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2434" w14:textId="77777777" w:rsidR="00D87668" w:rsidRPr="005B0195" w:rsidRDefault="00D87668" w:rsidP="00027BEB">
      <w:pPr>
        <w:rPr>
          <w:rFonts w:cstheme="minorHAnsi"/>
          <w:noProof/>
        </w:rPr>
      </w:pPr>
      <w:r w:rsidRPr="005B0195">
        <w:rPr>
          <w:rFonts w:cstheme="minorHAnsi"/>
          <w:noProof/>
        </w:rPr>
        <mc:AlternateContent>
          <mc:Choice Requires="wps">
            <w:drawing>
              <wp:anchor distT="45720" distB="45720" distL="114300" distR="114300" simplePos="0" relativeHeight="251660288" behindDoc="0" locked="0" layoutInCell="1" allowOverlap="1" wp14:anchorId="05182D98" wp14:editId="58717D75">
                <wp:simplePos x="0" y="0"/>
                <wp:positionH relativeFrom="column">
                  <wp:posOffset>252095</wp:posOffset>
                </wp:positionH>
                <wp:positionV relativeFrom="paragraph">
                  <wp:posOffset>2562547</wp:posOffset>
                </wp:positionV>
                <wp:extent cx="4776470" cy="3848100"/>
                <wp:effectExtent l="0" t="0" r="508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848100"/>
                        </a:xfrm>
                        <a:prstGeom prst="rect">
                          <a:avLst/>
                        </a:prstGeom>
                        <a:solidFill>
                          <a:srgbClr val="FFFFFF"/>
                        </a:solidFill>
                        <a:ln w="9525">
                          <a:noFill/>
                          <a:miter lim="800000"/>
                          <a:headEnd/>
                          <a:tailEnd/>
                        </a:ln>
                      </wps:spPr>
                      <wps:txbx>
                        <w:txbxContent>
                          <w:p w14:paraId="32084DAF" w14:textId="3CB81042" w:rsidR="0083443F" w:rsidRPr="005B0195" w:rsidRDefault="0083443F" w:rsidP="00D87668">
                            <w:pPr>
                              <w:rPr>
                                <w:rFonts w:cstheme="minorHAnsi"/>
                                <w:b/>
                                <w:sz w:val="56"/>
                                <w:szCs w:val="56"/>
                              </w:rPr>
                            </w:pPr>
                            <w:r w:rsidRPr="005B0195">
                              <w:rPr>
                                <w:rFonts w:cstheme="minorHAnsi"/>
                                <w:b/>
                                <w:sz w:val="56"/>
                                <w:szCs w:val="56"/>
                              </w:rPr>
                              <w:t>Treasury Management Strategy 202</w:t>
                            </w:r>
                            <w:r w:rsidR="007011CE" w:rsidRPr="005B0195">
                              <w:rPr>
                                <w:rFonts w:cstheme="minorHAnsi"/>
                                <w:b/>
                                <w:sz w:val="56"/>
                                <w:szCs w:val="56"/>
                              </w:rPr>
                              <w:t>3</w:t>
                            </w:r>
                            <w:r w:rsidRPr="005B0195">
                              <w:rPr>
                                <w:rFonts w:cstheme="minorHAnsi"/>
                                <w:b/>
                                <w:sz w:val="56"/>
                                <w:szCs w:val="56"/>
                              </w:rPr>
                              <w:t>/2</w:t>
                            </w:r>
                            <w:r w:rsidR="007011CE" w:rsidRPr="005B0195">
                              <w:rPr>
                                <w:rFonts w:cstheme="minorHAnsi"/>
                                <w:b/>
                                <w:sz w:val="56"/>
                                <w:szCs w:val="56"/>
                              </w:rPr>
                              <w:t>4</w:t>
                            </w:r>
                          </w:p>
                          <w:p w14:paraId="0399139C" w14:textId="77777777" w:rsidR="0083443F" w:rsidRPr="005B0195" w:rsidRDefault="0083443F" w:rsidP="00D87668">
                            <w:pPr>
                              <w:rPr>
                                <w:rFonts w:cstheme="minorHAnsi"/>
                                <w:b/>
                                <w:sz w:val="52"/>
                                <w:szCs w:val="52"/>
                              </w:rPr>
                            </w:pPr>
                          </w:p>
                          <w:p w14:paraId="69D95D22" w14:textId="190D2728" w:rsidR="0083443F" w:rsidRPr="005B0195" w:rsidRDefault="0083443F" w:rsidP="00D87668">
                            <w:pPr>
                              <w:rPr>
                                <w:rFonts w:cstheme="minorHAnsi"/>
                                <w:sz w:val="40"/>
                                <w:szCs w:val="40"/>
                              </w:rPr>
                            </w:pPr>
                            <w:r w:rsidRPr="005B0195">
                              <w:rPr>
                                <w:rFonts w:cstheme="minorHAnsi"/>
                                <w:sz w:val="40"/>
                                <w:szCs w:val="40"/>
                              </w:rPr>
                              <w:t>Northamptonshire Commissioner Fire &amp; Rescue Authority</w:t>
                            </w:r>
                            <w:r w:rsidR="005478B9" w:rsidRPr="005B0195">
                              <w:rPr>
                                <w:rFonts w:cstheme="minorHAnsi"/>
                                <w:sz w:val="40"/>
                                <w:szCs w:val="40"/>
                              </w:rPr>
                              <w:t xml:space="preserve"> (NCFRA)</w:t>
                            </w:r>
                          </w:p>
                          <w:p w14:paraId="052052E0" w14:textId="77777777" w:rsidR="0083443F" w:rsidRPr="005B0195" w:rsidRDefault="0083443F" w:rsidP="00D87668">
                            <w:pPr>
                              <w:rPr>
                                <w:rFonts w:cstheme="minorHAnsi"/>
                                <w:sz w:val="40"/>
                                <w:szCs w:val="40"/>
                              </w:rPr>
                            </w:pPr>
                          </w:p>
                          <w:p w14:paraId="52D6DAA9" w14:textId="3CF83F71" w:rsidR="0083443F" w:rsidRPr="005B0195" w:rsidRDefault="0083443F" w:rsidP="00D87668">
                            <w:pPr>
                              <w:rPr>
                                <w:rFonts w:cstheme="minorHAnsi"/>
                                <w:sz w:val="28"/>
                                <w:szCs w:val="28"/>
                              </w:rPr>
                            </w:pPr>
                            <w:r w:rsidRPr="005B0195">
                              <w:rPr>
                                <w:rFonts w:cstheme="minorHAnsi"/>
                                <w:sz w:val="28"/>
                                <w:szCs w:val="28"/>
                              </w:rPr>
                              <w:t>Author: Joint Finance Team</w:t>
                            </w:r>
                          </w:p>
                          <w:p w14:paraId="00895B22" w14:textId="77777777" w:rsidR="0083443F" w:rsidRPr="005B0195" w:rsidRDefault="0083443F" w:rsidP="00D87668">
                            <w:pPr>
                              <w:rPr>
                                <w:rFonts w:cstheme="minorHAnsi"/>
                                <w:sz w:val="28"/>
                                <w:szCs w:val="28"/>
                              </w:rPr>
                            </w:pPr>
                          </w:p>
                          <w:p w14:paraId="3079D954" w14:textId="4EF1CE6B" w:rsidR="0083443F" w:rsidRPr="005B0195" w:rsidRDefault="0083443F" w:rsidP="00D87668">
                            <w:pPr>
                              <w:rPr>
                                <w:rFonts w:cstheme="minorHAnsi"/>
                                <w:sz w:val="36"/>
                                <w:szCs w:val="36"/>
                              </w:rPr>
                            </w:pPr>
                            <w:r w:rsidRPr="005B0195">
                              <w:rPr>
                                <w:rFonts w:cstheme="minorHAnsi"/>
                                <w:sz w:val="28"/>
                                <w:szCs w:val="28"/>
                              </w:rPr>
                              <w:t>Version Control: 1</w:t>
                            </w:r>
                            <w:r w:rsidRPr="005B0195">
                              <w:rPr>
                                <w:rFonts w:cstheme="minorHAnsi"/>
                                <w:sz w:val="22"/>
                                <w:szCs w:val="22"/>
                              </w:rPr>
                              <w:br w:type="page"/>
                            </w:r>
                          </w:p>
                          <w:p w14:paraId="4D934B46" w14:textId="77777777" w:rsidR="0083443F" w:rsidRDefault="00834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82D98" id="_x0000_t202" coordsize="21600,21600" o:spt="202" path="m,l,21600r21600,l21600,xe">
                <v:stroke joinstyle="miter"/>
                <v:path gradientshapeok="t" o:connecttype="rect"/>
              </v:shapetype>
              <v:shape id="Text Box 2" o:spid="_x0000_s1026" type="#_x0000_t202" alt="&quot;&quot;" style="position:absolute;margin-left:19.85pt;margin-top:201.8pt;width:376.1pt;height:3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m+DgIAAPcDAAAOAAAAZHJzL2Uyb0RvYy54bWysU9tu2zAMfR+wfxD0vtjJkiY14hRdugwD&#10;ugvQ7QNkWY6FyaJGKbG7ry8lp2nQvQ3Tg0CK1BF5eLS+GTrDjgq9Blvy6STnTFkJtbb7kv/8sXu3&#10;4s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" stroked="f">
                <v:textbox>
                  <w:txbxContent>
                    <w:p w14:paraId="32084DAF" w14:textId="3CB81042" w:rsidR="0083443F" w:rsidRPr="005B0195" w:rsidRDefault="0083443F" w:rsidP="00D87668">
                      <w:pPr>
                        <w:rPr>
                          <w:rFonts w:cstheme="minorHAnsi"/>
                          <w:b/>
                          <w:sz w:val="56"/>
                          <w:szCs w:val="56"/>
                        </w:rPr>
                      </w:pPr>
                      <w:r w:rsidRPr="005B0195">
                        <w:rPr>
                          <w:rFonts w:cstheme="minorHAnsi"/>
                          <w:b/>
                          <w:sz w:val="56"/>
                          <w:szCs w:val="56"/>
                        </w:rPr>
                        <w:t>Treasury Management Strategy 202</w:t>
                      </w:r>
                      <w:r w:rsidR="007011CE" w:rsidRPr="005B0195">
                        <w:rPr>
                          <w:rFonts w:cstheme="minorHAnsi"/>
                          <w:b/>
                          <w:sz w:val="56"/>
                          <w:szCs w:val="56"/>
                        </w:rPr>
                        <w:t>3</w:t>
                      </w:r>
                      <w:r w:rsidRPr="005B0195">
                        <w:rPr>
                          <w:rFonts w:cstheme="minorHAnsi"/>
                          <w:b/>
                          <w:sz w:val="56"/>
                          <w:szCs w:val="56"/>
                        </w:rPr>
                        <w:t>/2</w:t>
                      </w:r>
                      <w:r w:rsidR="007011CE" w:rsidRPr="005B0195">
                        <w:rPr>
                          <w:rFonts w:cstheme="minorHAnsi"/>
                          <w:b/>
                          <w:sz w:val="56"/>
                          <w:szCs w:val="56"/>
                        </w:rPr>
                        <w:t>4</w:t>
                      </w:r>
                    </w:p>
                    <w:p w14:paraId="0399139C" w14:textId="77777777" w:rsidR="0083443F" w:rsidRPr="005B0195" w:rsidRDefault="0083443F" w:rsidP="00D87668">
                      <w:pPr>
                        <w:rPr>
                          <w:rFonts w:cstheme="minorHAnsi"/>
                          <w:b/>
                          <w:sz w:val="52"/>
                          <w:szCs w:val="52"/>
                        </w:rPr>
                      </w:pPr>
                    </w:p>
                    <w:p w14:paraId="69D95D22" w14:textId="190D2728" w:rsidR="0083443F" w:rsidRPr="005B0195" w:rsidRDefault="0083443F" w:rsidP="00D87668">
                      <w:pPr>
                        <w:rPr>
                          <w:rFonts w:cstheme="minorHAnsi"/>
                          <w:sz w:val="40"/>
                          <w:szCs w:val="40"/>
                        </w:rPr>
                      </w:pPr>
                      <w:r w:rsidRPr="005B0195">
                        <w:rPr>
                          <w:rFonts w:cstheme="minorHAnsi"/>
                          <w:sz w:val="40"/>
                          <w:szCs w:val="40"/>
                        </w:rPr>
                        <w:t>Northamptonshire Commissioner Fire &amp; Rescue Authority</w:t>
                      </w:r>
                      <w:r w:rsidR="005478B9" w:rsidRPr="005B0195">
                        <w:rPr>
                          <w:rFonts w:cstheme="minorHAnsi"/>
                          <w:sz w:val="40"/>
                          <w:szCs w:val="40"/>
                        </w:rPr>
                        <w:t xml:space="preserve"> (NCFRA)</w:t>
                      </w:r>
                    </w:p>
                    <w:p w14:paraId="052052E0" w14:textId="77777777" w:rsidR="0083443F" w:rsidRPr="005B0195" w:rsidRDefault="0083443F" w:rsidP="00D87668">
                      <w:pPr>
                        <w:rPr>
                          <w:rFonts w:cstheme="minorHAnsi"/>
                          <w:sz w:val="40"/>
                          <w:szCs w:val="40"/>
                        </w:rPr>
                      </w:pPr>
                    </w:p>
                    <w:p w14:paraId="52D6DAA9" w14:textId="3CF83F71" w:rsidR="0083443F" w:rsidRPr="005B0195" w:rsidRDefault="0083443F" w:rsidP="00D87668">
                      <w:pPr>
                        <w:rPr>
                          <w:rFonts w:cstheme="minorHAnsi"/>
                          <w:sz w:val="28"/>
                          <w:szCs w:val="28"/>
                        </w:rPr>
                      </w:pPr>
                      <w:r w:rsidRPr="005B0195">
                        <w:rPr>
                          <w:rFonts w:cstheme="minorHAnsi"/>
                          <w:sz w:val="28"/>
                          <w:szCs w:val="28"/>
                        </w:rPr>
                        <w:t>Author: Joint Finance Team</w:t>
                      </w:r>
                    </w:p>
                    <w:p w14:paraId="00895B22" w14:textId="77777777" w:rsidR="0083443F" w:rsidRPr="005B0195" w:rsidRDefault="0083443F" w:rsidP="00D87668">
                      <w:pPr>
                        <w:rPr>
                          <w:rFonts w:cstheme="minorHAnsi"/>
                          <w:sz w:val="28"/>
                          <w:szCs w:val="28"/>
                        </w:rPr>
                      </w:pPr>
                    </w:p>
                    <w:p w14:paraId="3079D954" w14:textId="4EF1CE6B" w:rsidR="0083443F" w:rsidRPr="005B0195" w:rsidRDefault="0083443F" w:rsidP="00D87668">
                      <w:pPr>
                        <w:rPr>
                          <w:rFonts w:cstheme="minorHAnsi"/>
                          <w:sz w:val="36"/>
                          <w:szCs w:val="36"/>
                        </w:rPr>
                      </w:pPr>
                      <w:r w:rsidRPr="005B0195">
                        <w:rPr>
                          <w:rFonts w:cstheme="minorHAnsi"/>
                          <w:sz w:val="28"/>
                          <w:szCs w:val="28"/>
                        </w:rPr>
                        <w:t>Version Control: 1</w:t>
                      </w:r>
                      <w:r w:rsidRPr="005B0195">
                        <w:rPr>
                          <w:rFonts w:cstheme="minorHAnsi"/>
                          <w:sz w:val="22"/>
                          <w:szCs w:val="22"/>
                        </w:rPr>
                        <w:br w:type="page"/>
                      </w:r>
                    </w:p>
                    <w:p w14:paraId="4D934B46" w14:textId="77777777" w:rsidR="0083443F" w:rsidRDefault="0083443F"/>
                  </w:txbxContent>
                </v:textbox>
                <w10:wrap type="square"/>
              </v:shape>
            </w:pict>
          </mc:Fallback>
        </mc:AlternateContent>
      </w:r>
      <w:r w:rsidRPr="005B0195">
        <w:rPr>
          <w:rFonts w:cstheme="minorHAnsi"/>
          <w:noProof/>
        </w:rPr>
        <w:drawing>
          <wp:anchor distT="0" distB="0" distL="114300" distR="114300" simplePos="0" relativeHeight="251658240" behindDoc="0" locked="1" layoutInCell="1" allowOverlap="1" wp14:anchorId="299B7B68" wp14:editId="320A99DA">
            <wp:simplePos x="0" y="0"/>
            <wp:positionH relativeFrom="margin">
              <wp:posOffset>-887095</wp:posOffset>
            </wp:positionH>
            <wp:positionV relativeFrom="page">
              <wp:align>top</wp:align>
            </wp:positionV>
            <wp:extent cx="7642800" cy="10800000"/>
            <wp:effectExtent l="0" t="0" r="0"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2800" cy="108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65830"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lastRenderedPageBreak/>
        <w:t>Introduction</w:t>
      </w:r>
    </w:p>
    <w:p w14:paraId="54A1ED06"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CIPFA Treasury Management in the Public Services: Code of Practice and Cross Sectoral Guidance Notes</w:t>
      </w:r>
    </w:p>
    <w:p w14:paraId="630ED2DF"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Chartered Institute of Public Finance and Accountancy (CIPFA) defines treasury management as “the management of the organisation’s investments and cash flows, its banking, money market and capital market transactions; the effective control of the risks associated with those activities; and the pursuit of optimum performance consistent with those risks.” </w:t>
      </w:r>
    </w:p>
    <w:p w14:paraId="4ABCB118"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CIPFA Prudential Code for Capital Finance in Local Authorities</w:t>
      </w:r>
    </w:p>
    <w:p w14:paraId="43E2B7C4" w14:textId="5BE2A8E6"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CIPFA Prudential Code for Capital Finance in Local Authorities (the Prudential Code) is a professional code of practice.  Authorities have a statutory requirement to comply with the Prudential Code when making capital investment decisions and carrying out their duties under Part 1 of the Local Government Act 2003 (Capital Finance etc. and Accounts). </w:t>
      </w:r>
    </w:p>
    <w:p w14:paraId="6BB0B012"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CIPFA Prudential Code sets out the manner in which capital spending plans should be considered and approved, and in conjunction with this, the requirement for an integrated treasury management strategy. </w:t>
      </w:r>
    </w:p>
    <w:p w14:paraId="745F8285" w14:textId="2B42CBBC" w:rsidR="004D09CE" w:rsidRPr="005B0195" w:rsidRDefault="005B0195" w:rsidP="004D09CE">
      <w:pPr>
        <w:pStyle w:val="TM2"/>
        <w:rPr>
          <w:rFonts w:ascii="Calibri" w:hAnsi="Calibri" w:cs="Calibri"/>
          <w:sz w:val="24"/>
          <w:szCs w:val="24"/>
        </w:rPr>
      </w:pPr>
      <w:r>
        <w:rPr>
          <w:rFonts w:ascii="Calibri" w:hAnsi="Calibri" w:cs="Calibri"/>
          <w:sz w:val="24"/>
          <w:szCs w:val="24"/>
        </w:rPr>
        <w:t xml:space="preserve">The </w:t>
      </w:r>
      <w:r w:rsidR="0064222E" w:rsidRPr="005B0195">
        <w:rPr>
          <w:rFonts w:ascii="Calibri" w:hAnsi="Calibri" w:cs="Calibri"/>
          <w:sz w:val="24"/>
          <w:szCs w:val="24"/>
        </w:rPr>
        <w:t>Authorit</w:t>
      </w:r>
      <w:r>
        <w:rPr>
          <w:rFonts w:ascii="Calibri" w:hAnsi="Calibri" w:cs="Calibri"/>
          <w:sz w:val="24"/>
          <w:szCs w:val="24"/>
        </w:rPr>
        <w:t>y</w:t>
      </w:r>
      <w:r w:rsidR="0064222E" w:rsidRPr="005B0195">
        <w:rPr>
          <w:rFonts w:ascii="Calibri" w:hAnsi="Calibri" w:cs="Calibri"/>
          <w:sz w:val="24"/>
          <w:szCs w:val="24"/>
        </w:rPr>
        <w:t xml:space="preserve"> </w:t>
      </w:r>
      <w:r>
        <w:rPr>
          <w:rFonts w:ascii="Calibri" w:hAnsi="Calibri" w:cs="Calibri"/>
          <w:sz w:val="24"/>
          <w:szCs w:val="24"/>
        </w:rPr>
        <w:t>is</w:t>
      </w:r>
      <w:r w:rsidR="004D09CE" w:rsidRPr="005B0195">
        <w:rPr>
          <w:rFonts w:ascii="Calibri" w:hAnsi="Calibri" w:cs="Calibri"/>
          <w:sz w:val="24"/>
          <w:szCs w:val="24"/>
        </w:rPr>
        <w:t xml:space="preserve"> required to set and monitor a range of prudential indicators for capital finance covering affordability, prudence, and a range of treasury indicators.</w:t>
      </w:r>
    </w:p>
    <w:p w14:paraId="0F1F1C62"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Treasury Management Policy Statement</w:t>
      </w:r>
    </w:p>
    <w:p w14:paraId="37909D04" w14:textId="7B0F84EF"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’s Treasury Management Policy Statement is included in Appendix 1.  The policy statement follows the wording recommended by the latest edition of the CIPFA Treasury Code. </w:t>
      </w:r>
    </w:p>
    <w:p w14:paraId="41E46BE2"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Treasury Management Practices</w:t>
      </w:r>
    </w:p>
    <w:p w14:paraId="730B973D" w14:textId="4A419190"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w:t>
      </w:r>
      <w:r w:rsidR="0064222E" w:rsidRPr="005B0195">
        <w:rPr>
          <w:rFonts w:ascii="Calibri" w:hAnsi="Calibri" w:cs="Calibri"/>
          <w:sz w:val="24"/>
          <w:szCs w:val="24"/>
        </w:rPr>
        <w:t xml:space="preserve">Authority’s </w:t>
      </w:r>
      <w:r w:rsidRPr="005B0195">
        <w:rPr>
          <w:rFonts w:ascii="Calibri" w:hAnsi="Calibri" w:cs="Calibri"/>
          <w:sz w:val="24"/>
          <w:szCs w:val="24"/>
        </w:rPr>
        <w:t>Treasury Management Practices (TMPs) will set out the manner in which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will seek to achieve its treasury management policies and objectives, and how it will manage and control those activities. </w:t>
      </w:r>
    </w:p>
    <w:p w14:paraId="40839575" w14:textId="760C403E" w:rsidR="005D2422" w:rsidRDefault="004D09CE" w:rsidP="005B0195">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’s TMPs Schedules will cover the detail of how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will apply the TMP Main Princip</w:t>
      </w:r>
      <w:r w:rsidR="00B70116">
        <w:rPr>
          <w:rFonts w:ascii="Calibri" w:hAnsi="Calibri" w:cs="Calibri"/>
          <w:sz w:val="24"/>
          <w:szCs w:val="24"/>
        </w:rPr>
        <w:t>le</w:t>
      </w:r>
      <w:r w:rsidRPr="005B0195">
        <w:rPr>
          <w:rFonts w:ascii="Calibri" w:hAnsi="Calibri" w:cs="Calibri"/>
          <w:sz w:val="24"/>
          <w:szCs w:val="24"/>
        </w:rPr>
        <w:t xml:space="preserve">s in carrying out its operational treasury activities. </w:t>
      </w:r>
      <w:r w:rsidR="00B60D14">
        <w:rPr>
          <w:rFonts w:ascii="Calibri" w:hAnsi="Calibri" w:cs="Calibri"/>
          <w:sz w:val="24"/>
          <w:szCs w:val="24"/>
        </w:rPr>
        <w:t xml:space="preserve"> </w:t>
      </w:r>
      <w:r w:rsidRPr="005B0195">
        <w:rPr>
          <w:rFonts w:ascii="Calibri" w:hAnsi="Calibri" w:cs="Calibri"/>
          <w:sz w:val="24"/>
          <w:szCs w:val="24"/>
        </w:rPr>
        <w:t>They are reviewed annually, and any amendments approved by the</w:t>
      </w:r>
      <w:r w:rsidR="0064222E" w:rsidRPr="005B0195">
        <w:rPr>
          <w:rFonts w:ascii="Calibri" w:hAnsi="Calibri" w:cs="Calibri"/>
          <w:sz w:val="24"/>
          <w:szCs w:val="24"/>
        </w:rPr>
        <w:t xml:space="preserve"> Authority</w:t>
      </w:r>
      <w:r w:rsidRPr="005B0195">
        <w:rPr>
          <w:rFonts w:ascii="Calibri" w:hAnsi="Calibri" w:cs="Calibri"/>
          <w:sz w:val="24"/>
          <w:szCs w:val="24"/>
        </w:rPr>
        <w:t>’s Chief Finance Officer.</w:t>
      </w:r>
    </w:p>
    <w:p w14:paraId="65A2B293" w14:textId="1971B33C" w:rsidR="005B0195" w:rsidRDefault="005B0195" w:rsidP="005B0195">
      <w:pPr>
        <w:pStyle w:val="TM1"/>
        <w:numPr>
          <w:ilvl w:val="0"/>
          <w:numId w:val="0"/>
        </w:numPr>
        <w:ind w:left="709" w:hanging="709"/>
      </w:pPr>
    </w:p>
    <w:p w14:paraId="39F5BB45" w14:textId="231E21EE" w:rsidR="00062A5F" w:rsidRDefault="00062A5F" w:rsidP="005B0195">
      <w:pPr>
        <w:pStyle w:val="TM1"/>
        <w:numPr>
          <w:ilvl w:val="0"/>
          <w:numId w:val="0"/>
        </w:numPr>
        <w:ind w:left="709" w:hanging="709"/>
      </w:pPr>
    </w:p>
    <w:p w14:paraId="56087576" w14:textId="1D8F0D15" w:rsidR="00062A5F" w:rsidRDefault="00062A5F" w:rsidP="005B0195">
      <w:pPr>
        <w:pStyle w:val="TM1"/>
        <w:numPr>
          <w:ilvl w:val="0"/>
          <w:numId w:val="0"/>
        </w:numPr>
        <w:ind w:left="709" w:hanging="709"/>
      </w:pPr>
    </w:p>
    <w:p w14:paraId="13F5909C" w14:textId="77777777" w:rsidR="00062A5F" w:rsidRDefault="00062A5F" w:rsidP="005B0195">
      <w:pPr>
        <w:pStyle w:val="TM1"/>
        <w:numPr>
          <w:ilvl w:val="0"/>
          <w:numId w:val="0"/>
        </w:numPr>
        <w:ind w:left="709" w:hanging="709"/>
      </w:pPr>
    </w:p>
    <w:p w14:paraId="7B732AB1" w14:textId="0C39C2E3" w:rsidR="005B0195" w:rsidRDefault="005B0195" w:rsidP="005B0195">
      <w:pPr>
        <w:pStyle w:val="TM1"/>
        <w:numPr>
          <w:ilvl w:val="0"/>
          <w:numId w:val="0"/>
        </w:numPr>
        <w:ind w:left="709" w:hanging="709"/>
      </w:pPr>
    </w:p>
    <w:p w14:paraId="1EF6383D" w14:textId="77777777" w:rsidR="005B0195" w:rsidRPr="005B0195" w:rsidRDefault="005B0195" w:rsidP="005B0195">
      <w:pPr>
        <w:pStyle w:val="TM1"/>
        <w:numPr>
          <w:ilvl w:val="0"/>
          <w:numId w:val="0"/>
        </w:numPr>
        <w:ind w:left="709" w:hanging="709"/>
      </w:pPr>
    </w:p>
    <w:p w14:paraId="4446A4CF"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lastRenderedPageBreak/>
        <w:t>The Treasury Management Strategy</w:t>
      </w:r>
    </w:p>
    <w:p w14:paraId="652D76DC" w14:textId="283D6082"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It is a requirement under the Treasury Code to produce an annual strategy report on proposed treasury management activities for the year.  The purpose of the Treasury Management Strategy is to establish the framework for the effective and efficient management of the</w:t>
      </w:r>
      <w:r w:rsidR="0064222E" w:rsidRPr="005B0195">
        <w:rPr>
          <w:rFonts w:ascii="Calibri" w:hAnsi="Calibri" w:cs="Calibri"/>
          <w:sz w:val="24"/>
          <w:szCs w:val="24"/>
        </w:rPr>
        <w:t xml:space="preserve"> Authority</w:t>
      </w:r>
      <w:r w:rsidRPr="005B0195">
        <w:rPr>
          <w:rFonts w:ascii="Calibri" w:hAnsi="Calibri" w:cs="Calibri"/>
          <w:sz w:val="24"/>
          <w:szCs w:val="24"/>
        </w:rPr>
        <w:t>’s treasury management activity, including the</w:t>
      </w:r>
      <w:r w:rsidR="0064222E" w:rsidRPr="005B0195">
        <w:rPr>
          <w:rFonts w:ascii="Calibri" w:hAnsi="Calibri" w:cs="Calibri"/>
          <w:sz w:val="24"/>
          <w:szCs w:val="24"/>
        </w:rPr>
        <w:t xml:space="preserve"> Authority</w:t>
      </w:r>
      <w:r w:rsidRPr="005B0195">
        <w:rPr>
          <w:rFonts w:ascii="Calibri" w:hAnsi="Calibri" w:cs="Calibri"/>
          <w:sz w:val="24"/>
          <w:szCs w:val="24"/>
        </w:rPr>
        <w:t>’s investment portfolio, within legislative, regulatory, and best practice regimes, and balancing risk against reward in the best interests of stewardship of the public purse.</w:t>
      </w:r>
    </w:p>
    <w:p w14:paraId="1C35B1B6" w14:textId="6CE14AAA"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’s Treasury Management Strategy is prepared in the context of the key princip</w:t>
      </w:r>
      <w:r w:rsidR="004463F9">
        <w:rPr>
          <w:rFonts w:ascii="Calibri" w:hAnsi="Calibri" w:cs="Calibri"/>
          <w:sz w:val="24"/>
          <w:szCs w:val="24"/>
        </w:rPr>
        <w:t>l</w:t>
      </w:r>
      <w:r w:rsidR="00B70116">
        <w:rPr>
          <w:rFonts w:ascii="Calibri" w:hAnsi="Calibri" w:cs="Calibri"/>
          <w:sz w:val="24"/>
          <w:szCs w:val="24"/>
        </w:rPr>
        <w:t>e</w:t>
      </w:r>
      <w:r w:rsidR="004463F9">
        <w:rPr>
          <w:rFonts w:ascii="Calibri" w:hAnsi="Calibri" w:cs="Calibri"/>
          <w:sz w:val="24"/>
          <w:szCs w:val="24"/>
        </w:rPr>
        <w:t>s</w:t>
      </w:r>
      <w:r w:rsidRPr="005B0195">
        <w:rPr>
          <w:rFonts w:ascii="Calibri" w:hAnsi="Calibri" w:cs="Calibri"/>
          <w:sz w:val="24"/>
          <w:szCs w:val="24"/>
        </w:rPr>
        <w:t xml:space="preserve"> of the Treasury Code and incorporates:</w:t>
      </w:r>
    </w:p>
    <w:p w14:paraId="52EF5A26" w14:textId="4A1E0181" w:rsidR="004D09CE" w:rsidRPr="005B0195" w:rsidRDefault="004D09CE" w:rsidP="00D75E47">
      <w:pPr>
        <w:pStyle w:val="TMBullets"/>
        <w:rPr>
          <w:rFonts w:ascii="Calibri" w:hAnsi="Calibri" w:cs="Calibri"/>
          <w:sz w:val="24"/>
          <w:szCs w:val="24"/>
          <w:lang w:val="en-US"/>
        </w:rPr>
      </w:pPr>
      <w:r w:rsidRPr="005B0195">
        <w:rPr>
          <w:rFonts w:ascii="Calibri" w:hAnsi="Calibri" w:cs="Calibri"/>
          <w:sz w:val="24"/>
          <w:szCs w:val="24"/>
          <w:lang w:val="en-US"/>
        </w:rPr>
        <w:t>The</w:t>
      </w:r>
      <w:r w:rsidR="0064222E" w:rsidRPr="005B0195">
        <w:rPr>
          <w:rFonts w:ascii="Calibri" w:hAnsi="Calibri" w:cs="Calibri"/>
          <w:sz w:val="24"/>
          <w:szCs w:val="24"/>
          <w:lang w:val="en-US"/>
        </w:rPr>
        <w:t xml:space="preserve"> Authority</w:t>
      </w:r>
      <w:r w:rsidRPr="005B0195">
        <w:rPr>
          <w:rFonts w:ascii="Calibri" w:hAnsi="Calibri" w:cs="Calibri"/>
          <w:sz w:val="24"/>
          <w:szCs w:val="24"/>
          <w:lang w:val="en-US"/>
        </w:rPr>
        <w:t>’s capital financing and borrowing strategy for the coming year</w:t>
      </w:r>
    </w:p>
    <w:p w14:paraId="43624523" w14:textId="1204C30A" w:rsidR="004D09CE" w:rsidRPr="005B0195" w:rsidRDefault="004D09CE" w:rsidP="00D75E47">
      <w:pPr>
        <w:pStyle w:val="TMBullets"/>
        <w:rPr>
          <w:rFonts w:ascii="Calibri" w:hAnsi="Calibri" w:cs="Calibri"/>
          <w:sz w:val="24"/>
          <w:szCs w:val="24"/>
          <w:lang w:val="en-US"/>
        </w:rPr>
      </w:pPr>
      <w:r w:rsidRPr="005B0195">
        <w:rPr>
          <w:rFonts w:ascii="Calibri" w:hAnsi="Calibri" w:cs="Calibri"/>
          <w:iCs/>
          <w:sz w:val="24"/>
          <w:szCs w:val="24"/>
        </w:rPr>
        <w:t>Policy on borrowing in advance of need</w:t>
      </w:r>
    </w:p>
    <w:p w14:paraId="2C0327AF" w14:textId="5BBB1D97" w:rsidR="004D09CE" w:rsidRPr="005B0195" w:rsidRDefault="004D09CE" w:rsidP="00D75E47">
      <w:pPr>
        <w:pStyle w:val="TMBullets"/>
        <w:rPr>
          <w:rFonts w:ascii="Calibri" w:hAnsi="Calibri" w:cs="Calibri"/>
          <w:sz w:val="24"/>
          <w:szCs w:val="24"/>
          <w:lang w:val="en-US"/>
        </w:rPr>
      </w:pPr>
      <w:r w:rsidRPr="005B0195">
        <w:rPr>
          <w:rFonts w:ascii="Calibri" w:hAnsi="Calibri" w:cs="Calibri"/>
          <w:sz w:val="24"/>
          <w:szCs w:val="24"/>
          <w:lang w:val="en-US"/>
        </w:rPr>
        <w:t>Policy on the making of Minimum Revenue Provision (MRP) for the repayment of debt</w:t>
      </w:r>
    </w:p>
    <w:p w14:paraId="1016217F" w14:textId="346B0438" w:rsidR="004D09CE" w:rsidRPr="005B0195" w:rsidRDefault="004D09CE" w:rsidP="00D75E47">
      <w:pPr>
        <w:pStyle w:val="TMBullets"/>
        <w:rPr>
          <w:rFonts w:ascii="Calibri" w:hAnsi="Calibri" w:cs="Calibri"/>
          <w:sz w:val="24"/>
          <w:szCs w:val="24"/>
          <w:lang w:val="en-US"/>
        </w:rPr>
      </w:pPr>
      <w:r w:rsidRPr="005B0195">
        <w:rPr>
          <w:rFonts w:ascii="Calibri" w:hAnsi="Calibri" w:cs="Calibri"/>
          <w:sz w:val="24"/>
          <w:szCs w:val="24"/>
          <w:lang w:val="en-US"/>
        </w:rPr>
        <w:t>The Affordable Borrowing Limit</w:t>
      </w:r>
    </w:p>
    <w:p w14:paraId="3C0FAC1A" w14:textId="088DB46F" w:rsidR="004D09CE" w:rsidRPr="005B0195" w:rsidRDefault="004D09CE" w:rsidP="00D75E47">
      <w:pPr>
        <w:pStyle w:val="TMBullets"/>
        <w:rPr>
          <w:rFonts w:ascii="Calibri" w:hAnsi="Calibri" w:cs="Calibri"/>
          <w:sz w:val="24"/>
          <w:szCs w:val="24"/>
          <w:lang w:val="en-US"/>
        </w:rPr>
      </w:pPr>
      <w:r w:rsidRPr="005B0195">
        <w:rPr>
          <w:rFonts w:ascii="Calibri" w:hAnsi="Calibri" w:cs="Calibri"/>
          <w:sz w:val="24"/>
          <w:szCs w:val="24"/>
          <w:lang w:val="en-US"/>
        </w:rPr>
        <w:t xml:space="preserve">The Annual Investment Strategy for the coming year, including </w:t>
      </w:r>
      <w:r w:rsidRPr="005B0195">
        <w:rPr>
          <w:rFonts w:ascii="Calibri" w:hAnsi="Calibri" w:cs="Calibri"/>
          <w:sz w:val="24"/>
          <w:szCs w:val="24"/>
        </w:rPr>
        <w:t>creditworthiness policies</w:t>
      </w:r>
    </w:p>
    <w:p w14:paraId="404A264E" w14:textId="52B6588C"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 strategy considers the impact of the</w:t>
      </w:r>
      <w:r w:rsidR="0064222E" w:rsidRPr="005B0195">
        <w:rPr>
          <w:rFonts w:ascii="Calibri" w:hAnsi="Calibri" w:cs="Calibri"/>
          <w:sz w:val="24"/>
          <w:szCs w:val="24"/>
        </w:rPr>
        <w:t xml:space="preserve"> Authority</w:t>
      </w:r>
      <w:r w:rsidRPr="005B0195">
        <w:rPr>
          <w:rFonts w:ascii="Calibri" w:hAnsi="Calibri" w:cs="Calibri"/>
          <w:sz w:val="24"/>
          <w:szCs w:val="24"/>
        </w:rPr>
        <w:t>’s Medium Term Financial Plan (MTFP), its revenue budget and capital programme, the balance sheet position, and the outlook for interest rates.</w:t>
      </w:r>
    </w:p>
    <w:p w14:paraId="77AC5566" w14:textId="0B64D588"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regards the successful identification, monitoring, and control of risk to be the prime criteria by which the effectiveness of its treasury management activities will be measured.  The Treasury Management Scheme of Delegation is detailed within the</w:t>
      </w:r>
      <w:r w:rsidR="0064222E" w:rsidRPr="005B0195">
        <w:rPr>
          <w:rFonts w:ascii="Calibri" w:hAnsi="Calibri" w:cs="Calibri"/>
          <w:sz w:val="24"/>
          <w:szCs w:val="24"/>
        </w:rPr>
        <w:t xml:space="preserve"> Authority</w:t>
      </w:r>
      <w:r w:rsidRPr="005B0195">
        <w:rPr>
          <w:rFonts w:ascii="Calibri" w:hAnsi="Calibri" w:cs="Calibri"/>
          <w:sz w:val="24"/>
          <w:szCs w:val="24"/>
        </w:rPr>
        <w:t>’s Corporate Governance Framework.</w:t>
      </w:r>
    </w:p>
    <w:p w14:paraId="29552CCE"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Current Treasury Management Position</w:t>
      </w:r>
    </w:p>
    <w:p w14:paraId="43A4B354" w14:textId="269F9268"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’s projected treasury portfolio position at 1st April 202</w:t>
      </w:r>
      <w:r w:rsidR="00CB7FCF" w:rsidRPr="005B0195">
        <w:rPr>
          <w:rFonts w:ascii="Calibri" w:hAnsi="Calibri" w:cs="Calibri"/>
          <w:sz w:val="24"/>
          <w:szCs w:val="24"/>
        </w:rPr>
        <w:t>3</w:t>
      </w:r>
      <w:r w:rsidRPr="005B0195">
        <w:rPr>
          <w:rFonts w:ascii="Calibri" w:hAnsi="Calibri" w:cs="Calibri"/>
          <w:sz w:val="24"/>
          <w:szCs w:val="24"/>
        </w:rPr>
        <w:t xml:space="preserve">, with forward projections into future years, is summarised below.  Table 1 shows the actual external borrowing (the treasury management operations), against the </w:t>
      </w:r>
      <w:r w:rsidR="00D87CA1" w:rsidRPr="005B0195">
        <w:rPr>
          <w:rFonts w:ascii="Calibri" w:hAnsi="Calibri" w:cs="Calibri"/>
          <w:sz w:val="24"/>
          <w:szCs w:val="24"/>
        </w:rPr>
        <w:t>Capital Financing Requirement</w:t>
      </w:r>
      <w:r w:rsidRPr="005B0195">
        <w:rPr>
          <w:rFonts w:ascii="Calibri" w:hAnsi="Calibri" w:cs="Calibri"/>
          <w:sz w:val="24"/>
          <w:szCs w:val="24"/>
        </w:rPr>
        <w:t xml:space="preserve"> </w:t>
      </w:r>
      <w:r w:rsidR="00D87CA1" w:rsidRPr="005B0195">
        <w:rPr>
          <w:rFonts w:ascii="Calibri" w:hAnsi="Calibri" w:cs="Calibri"/>
          <w:sz w:val="24"/>
          <w:szCs w:val="24"/>
        </w:rPr>
        <w:t>(</w:t>
      </w:r>
      <w:r w:rsidRPr="005B0195">
        <w:rPr>
          <w:rFonts w:ascii="Calibri" w:hAnsi="Calibri" w:cs="Calibri"/>
          <w:sz w:val="24"/>
          <w:szCs w:val="24"/>
        </w:rPr>
        <w:t>CFR).</w:t>
      </w:r>
    </w:p>
    <w:p w14:paraId="208064D9" w14:textId="0483502C"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 CFR is the total of outstanding capital expenditure which has not yet been paid for from either revenue or capital resources.  It is essentially a measure of the</w:t>
      </w:r>
      <w:r w:rsidR="0064222E" w:rsidRPr="005B0195">
        <w:rPr>
          <w:rFonts w:ascii="Calibri" w:hAnsi="Calibri" w:cs="Calibri"/>
          <w:sz w:val="24"/>
          <w:szCs w:val="24"/>
        </w:rPr>
        <w:t xml:space="preserve"> Authority</w:t>
      </w:r>
      <w:r w:rsidRPr="005B0195">
        <w:rPr>
          <w:rFonts w:ascii="Calibri" w:hAnsi="Calibri" w:cs="Calibri"/>
          <w:sz w:val="24"/>
          <w:szCs w:val="24"/>
        </w:rPr>
        <w:t>’s underlying borrowing need.</w:t>
      </w:r>
    </w:p>
    <w:p w14:paraId="78A9AFAC" w14:textId="049C836A"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Any capital expenditure which has not immediately been paid for will increase the CFR.  The CFR does not increase indefinitely, as the Minimum Revenue Provision (MRP) is a statutory annual revenue charge which broadly reduces the borrowing need over each asset’s life.</w:t>
      </w:r>
    </w:p>
    <w:p w14:paraId="20C54755" w14:textId="66CE74C2" w:rsidR="004D09CE" w:rsidRPr="005B0195" w:rsidRDefault="00867135" w:rsidP="00867135">
      <w:pPr>
        <w:pStyle w:val="TM2"/>
        <w:numPr>
          <w:ilvl w:val="0"/>
          <w:numId w:val="0"/>
        </w:numPr>
        <w:ind w:left="709"/>
        <w:rPr>
          <w:rFonts w:ascii="Calibri" w:hAnsi="Calibri" w:cs="Calibri"/>
          <w:sz w:val="24"/>
          <w:szCs w:val="24"/>
        </w:rPr>
      </w:pPr>
      <w:r w:rsidRPr="00867135">
        <w:lastRenderedPageBreak/>
        <w:drawing>
          <wp:inline distT="0" distB="0" distL="0" distR="0" wp14:anchorId="38AE3908" wp14:editId="41D89FA0">
            <wp:extent cx="5731510" cy="2935605"/>
            <wp:effectExtent l="0" t="0" r="2540" b="0"/>
            <wp:docPr id="4" name="Picture 4" descr="Table showing borrowing levels between 2022-23 and 2027-28.&#10;&#10;Levels go from £3.679m in 2022-23 to £3.806m in 2027-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showing borrowing levels between 2022-23 and 2027-28.&#10;&#10;Levels go from £3.679m in 2022-23 to £3.806m in 2027-28.&#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935605"/>
                    </a:xfrm>
                    <a:prstGeom prst="rect">
                      <a:avLst/>
                    </a:prstGeom>
                    <a:noFill/>
                    <a:ln>
                      <a:noFill/>
                    </a:ln>
                  </pic:spPr>
                </pic:pic>
              </a:graphicData>
            </a:graphic>
          </wp:inline>
        </w:drawing>
      </w:r>
    </w:p>
    <w:p w14:paraId="56586A67" w14:textId="77E2521A" w:rsidR="004D09CE" w:rsidRPr="005B0195" w:rsidRDefault="004D09CE" w:rsidP="00D87CA1">
      <w:pPr>
        <w:pStyle w:val="TM2"/>
        <w:rPr>
          <w:rFonts w:ascii="Calibri" w:hAnsi="Calibri" w:cs="Calibri"/>
          <w:sz w:val="24"/>
          <w:szCs w:val="24"/>
        </w:rPr>
      </w:pPr>
      <w:r w:rsidRPr="005B0195">
        <w:rPr>
          <w:rFonts w:ascii="Calibri" w:hAnsi="Calibri" w:cs="Calibri"/>
          <w:sz w:val="24"/>
          <w:szCs w:val="24"/>
        </w:rPr>
        <w:t>There are a number of key indicators to ensure that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operates its activities within well-defined limits.  Among these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needs to ensure that its gross borrowing does not, except in the short term, exceed the total of the CFR in the preceding years.  This ensures that borrowing is not undertaken for revenue purposes except to cover short term cash flows.</w:t>
      </w:r>
    </w:p>
    <w:p w14:paraId="18F6DAFF"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 Chief Finance Officer does not envisage difficulties complying with these indicators based upon current commitments, existing plans, the proposals in this strategy, the budget report, the Capital Programme and the Medium Term Financial Plan.</w:t>
      </w:r>
    </w:p>
    <w:p w14:paraId="513C197D"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Prospects for Interest Rates</w:t>
      </w:r>
    </w:p>
    <w:p w14:paraId="09AABABD" w14:textId="553E9F2D"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’s assessment of the likely path for bank base rate, investment market rates (The London Interbank Bid Rate - LIBID), and PWLB borrowing rates are set out below:</w:t>
      </w:r>
    </w:p>
    <w:p w14:paraId="640014BD" w14:textId="77777777" w:rsidR="004D09CE" w:rsidRPr="005B0195" w:rsidRDefault="004D09CE">
      <w:pPr>
        <w:rPr>
          <w:rFonts w:ascii="Calibri" w:eastAsia="Times New Roman" w:hAnsi="Calibri" w:cs="Calibri"/>
          <w:b/>
          <w:bCs/>
        </w:rPr>
      </w:pPr>
      <w:r w:rsidRPr="005B0195">
        <w:rPr>
          <w:rFonts w:ascii="Calibri" w:eastAsia="Times New Roman" w:hAnsi="Calibri" w:cs="Calibri"/>
          <w:b/>
          <w:bCs/>
        </w:rPr>
        <w:br w:type="page"/>
      </w:r>
    </w:p>
    <w:p w14:paraId="76C87911" w14:textId="35E5DFBE" w:rsidR="004D09CE" w:rsidRPr="005B0195" w:rsidRDefault="004D09CE" w:rsidP="00D75E47">
      <w:pPr>
        <w:pStyle w:val="TM1A"/>
        <w:rPr>
          <w:rFonts w:ascii="Calibri" w:hAnsi="Calibri" w:cs="Calibri"/>
          <w:bCs w:val="0"/>
          <w:sz w:val="24"/>
          <w:szCs w:val="24"/>
        </w:rPr>
      </w:pPr>
      <w:r w:rsidRPr="005B0195">
        <w:rPr>
          <w:rFonts w:ascii="Calibri" w:hAnsi="Calibri" w:cs="Calibri"/>
          <w:bCs w:val="0"/>
          <w:sz w:val="24"/>
          <w:szCs w:val="24"/>
        </w:rPr>
        <w:lastRenderedPageBreak/>
        <w:t xml:space="preserve">Table 2: Interest Rate Outlook </w:t>
      </w:r>
      <w:r w:rsidR="00D75E47" w:rsidRPr="005B0195">
        <w:rPr>
          <w:rFonts w:ascii="Calibri" w:hAnsi="Calibri" w:cs="Calibri"/>
          <w:bCs w:val="0"/>
          <w:sz w:val="24"/>
          <w:szCs w:val="24"/>
        </w:rPr>
        <w:t xml:space="preserve">as at </w:t>
      </w:r>
      <w:r w:rsidR="005C153E" w:rsidRPr="005B0195">
        <w:rPr>
          <w:rFonts w:ascii="Calibri" w:hAnsi="Calibri" w:cs="Calibri"/>
          <w:bCs w:val="0"/>
          <w:sz w:val="24"/>
          <w:szCs w:val="24"/>
        </w:rPr>
        <w:t>2</w:t>
      </w:r>
      <w:r w:rsidR="005C153E" w:rsidRPr="005B0195">
        <w:rPr>
          <w:rFonts w:ascii="Calibri" w:hAnsi="Calibri" w:cs="Calibri"/>
          <w:bCs w:val="0"/>
          <w:sz w:val="24"/>
          <w:szCs w:val="24"/>
          <w:vertAlign w:val="superscript"/>
        </w:rPr>
        <w:t>nd</w:t>
      </w:r>
      <w:r w:rsidR="005C153E" w:rsidRPr="005B0195">
        <w:rPr>
          <w:rFonts w:ascii="Calibri" w:hAnsi="Calibri" w:cs="Calibri"/>
          <w:bCs w:val="0"/>
          <w:sz w:val="24"/>
          <w:szCs w:val="24"/>
        </w:rPr>
        <w:t xml:space="preserve"> December</w:t>
      </w:r>
      <w:r w:rsidRPr="005B0195">
        <w:rPr>
          <w:rFonts w:ascii="Calibri" w:hAnsi="Calibri" w:cs="Calibri"/>
          <w:bCs w:val="0"/>
          <w:sz w:val="24"/>
          <w:szCs w:val="24"/>
        </w:rPr>
        <w:t xml:space="preserve"> 2022</w:t>
      </w:r>
    </w:p>
    <w:p w14:paraId="49650212" w14:textId="3BDBD561" w:rsidR="004D09CE" w:rsidRPr="005B0195" w:rsidRDefault="00132CE6" w:rsidP="00D75E47">
      <w:pPr>
        <w:tabs>
          <w:tab w:val="num" w:pos="709"/>
        </w:tabs>
        <w:ind w:left="709"/>
        <w:jc w:val="both"/>
        <w:rPr>
          <w:rFonts w:ascii="Calibri" w:eastAsia="Times New Roman" w:hAnsi="Calibri" w:cs="Calibri"/>
          <w:b/>
          <w:bCs/>
        </w:rPr>
      </w:pPr>
      <w:r>
        <w:rPr>
          <w:rFonts w:ascii="Calibri" w:eastAsia="Times New Roman" w:hAnsi="Calibri" w:cs="Calibri"/>
          <w:b/>
          <w:bCs/>
          <w:noProof/>
        </w:rPr>
        <w:drawing>
          <wp:inline distT="0" distB="0" distL="0" distR="0" wp14:anchorId="10419404" wp14:editId="44FE0881">
            <wp:extent cx="5876925" cy="2133600"/>
            <wp:effectExtent l="0" t="0" r="9525" b="0"/>
            <wp:docPr id="7" name="Picture 7" descr="A table showing the Public Works Loan Board interest rate outlook from DEc 22 to September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table showing the Public Works Loan Board interest rate outlook from DEc 22 to September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2133600"/>
                    </a:xfrm>
                    <a:prstGeom prst="rect">
                      <a:avLst/>
                    </a:prstGeom>
                    <a:noFill/>
                  </pic:spPr>
                </pic:pic>
              </a:graphicData>
            </a:graphic>
          </wp:inline>
        </w:drawing>
      </w:r>
    </w:p>
    <w:p w14:paraId="78F15CA6" w14:textId="77777777" w:rsidR="005C153E" w:rsidRPr="005B0195" w:rsidRDefault="005C153E" w:rsidP="00D75E47">
      <w:pPr>
        <w:tabs>
          <w:tab w:val="num" w:pos="709"/>
        </w:tabs>
        <w:ind w:left="709"/>
        <w:jc w:val="both"/>
        <w:rPr>
          <w:rFonts w:ascii="Calibri" w:eastAsia="Times New Roman" w:hAnsi="Calibri" w:cs="Calibri"/>
          <w:b/>
          <w:bCs/>
        </w:rPr>
      </w:pPr>
    </w:p>
    <w:p w14:paraId="636BDFC4" w14:textId="77777777" w:rsidR="0075583C" w:rsidRPr="000736E1" w:rsidRDefault="0075583C" w:rsidP="0075583C">
      <w:pPr>
        <w:pStyle w:val="TM2"/>
        <w:rPr>
          <w:rFonts w:ascii="Calibri" w:hAnsi="Calibri" w:cs="Calibri"/>
          <w:sz w:val="24"/>
          <w:szCs w:val="24"/>
        </w:rPr>
      </w:pPr>
      <w:r w:rsidRPr="000736E1">
        <w:rPr>
          <w:rFonts w:ascii="Calibri" w:hAnsi="Calibri" w:cs="Calibri"/>
          <w:sz w:val="24"/>
          <w:szCs w:val="24"/>
        </w:rPr>
        <w:t xml:space="preserve">The current economic situation to the UK after September 2022 decisions from Government has resulted in a step interest increase which impacted quarter 3 2022/23. March 2022 the Bank of England base rate increased to 0.75%, to the last increase in </w:t>
      </w:r>
      <w:r>
        <w:rPr>
          <w:rFonts w:ascii="Calibri" w:hAnsi="Calibri" w:cs="Calibri"/>
          <w:sz w:val="24"/>
          <w:szCs w:val="24"/>
        </w:rPr>
        <w:t>Dec</w:t>
      </w:r>
      <w:r w:rsidRPr="000736E1">
        <w:rPr>
          <w:rFonts w:ascii="Calibri" w:hAnsi="Calibri" w:cs="Calibri"/>
          <w:sz w:val="24"/>
          <w:szCs w:val="24"/>
        </w:rPr>
        <w:t>ember 2022 to 3</w:t>
      </w:r>
      <w:r>
        <w:rPr>
          <w:rFonts w:ascii="Calibri" w:hAnsi="Calibri" w:cs="Calibri"/>
          <w:sz w:val="24"/>
          <w:szCs w:val="24"/>
        </w:rPr>
        <w:t>.5</w:t>
      </w:r>
      <w:r w:rsidRPr="000736E1">
        <w:rPr>
          <w:rFonts w:ascii="Calibri" w:hAnsi="Calibri" w:cs="Calibri"/>
          <w:sz w:val="24"/>
          <w:szCs w:val="24"/>
        </w:rPr>
        <w:t>%</w:t>
      </w:r>
      <w:r>
        <w:rPr>
          <w:rFonts w:ascii="Calibri" w:hAnsi="Calibri" w:cs="Calibri"/>
          <w:sz w:val="24"/>
          <w:szCs w:val="24"/>
        </w:rPr>
        <w:t xml:space="preserve"> (at the time of writing)</w:t>
      </w:r>
      <w:r w:rsidRPr="000736E1">
        <w:rPr>
          <w:rFonts w:ascii="Calibri" w:hAnsi="Calibri" w:cs="Calibri"/>
          <w:sz w:val="24"/>
          <w:szCs w:val="24"/>
        </w:rPr>
        <w:t xml:space="preserve">. </w:t>
      </w:r>
      <w:r>
        <w:rPr>
          <w:rFonts w:ascii="Calibri" w:hAnsi="Calibri" w:cs="Calibri"/>
          <w:sz w:val="24"/>
          <w:szCs w:val="24"/>
        </w:rPr>
        <w:t xml:space="preserve"> T</w:t>
      </w:r>
      <w:r w:rsidRPr="000736E1">
        <w:rPr>
          <w:rFonts w:ascii="Calibri" w:hAnsi="Calibri" w:cs="Calibri"/>
          <w:sz w:val="24"/>
          <w:szCs w:val="24"/>
        </w:rPr>
        <w:t>he forecasters are expecting another base rate increase early 2023 to be above 4%, increasing again July 2023 as high as 4.8%.  The forecast table above shows the current forecast of the PWLB inter</w:t>
      </w:r>
      <w:r>
        <w:rPr>
          <w:rFonts w:ascii="Calibri" w:hAnsi="Calibri" w:cs="Calibri"/>
          <w:sz w:val="24"/>
          <w:szCs w:val="24"/>
        </w:rPr>
        <w:t>e</w:t>
      </w:r>
      <w:r w:rsidRPr="000736E1">
        <w:rPr>
          <w:rFonts w:ascii="Calibri" w:hAnsi="Calibri" w:cs="Calibri"/>
          <w:sz w:val="24"/>
          <w:szCs w:val="24"/>
        </w:rPr>
        <w:t>st rates from our Treasury Advisors.</w:t>
      </w:r>
    </w:p>
    <w:p w14:paraId="3C74609C" w14:textId="77777777" w:rsidR="0075583C" w:rsidRPr="000736E1" w:rsidRDefault="0075583C" w:rsidP="0075583C">
      <w:pPr>
        <w:pStyle w:val="TM2"/>
        <w:rPr>
          <w:rFonts w:ascii="Calibri" w:hAnsi="Calibri" w:cs="Calibri"/>
          <w:sz w:val="24"/>
          <w:szCs w:val="24"/>
        </w:rPr>
      </w:pPr>
      <w:r w:rsidRPr="000736E1">
        <w:rPr>
          <w:rFonts w:ascii="Calibri" w:hAnsi="Calibri" w:cs="Calibri"/>
          <w:sz w:val="24"/>
          <w:szCs w:val="24"/>
        </w:rPr>
        <w:t>Investment returns are likely to slightly increase in 2023/24 from the interest currently earnt in 2022/23 due to the increase in rates</w:t>
      </w:r>
      <w:r>
        <w:rPr>
          <w:rFonts w:ascii="Calibri" w:hAnsi="Calibri" w:cs="Calibri"/>
          <w:sz w:val="24"/>
          <w:szCs w:val="24"/>
        </w:rPr>
        <w:t>,</w:t>
      </w:r>
      <w:r w:rsidRPr="000736E1">
        <w:rPr>
          <w:rFonts w:ascii="Calibri" w:hAnsi="Calibri" w:cs="Calibri"/>
          <w:sz w:val="24"/>
          <w:szCs w:val="24"/>
        </w:rPr>
        <w:t xml:space="preserve"> and remain constant </w:t>
      </w:r>
      <w:r>
        <w:rPr>
          <w:rFonts w:ascii="Calibri" w:hAnsi="Calibri" w:cs="Calibri"/>
          <w:sz w:val="24"/>
          <w:szCs w:val="24"/>
        </w:rPr>
        <w:t xml:space="preserve">thereafter </w:t>
      </w:r>
      <w:r w:rsidRPr="000736E1">
        <w:rPr>
          <w:rFonts w:ascii="Calibri" w:hAnsi="Calibri" w:cs="Calibri"/>
          <w:sz w:val="24"/>
          <w:szCs w:val="24"/>
        </w:rPr>
        <w:t>as the current forecasts are expected to remain for the next 5 years.</w:t>
      </w:r>
    </w:p>
    <w:p w14:paraId="57AB048E" w14:textId="77777777" w:rsidR="0075583C" w:rsidRPr="000736E1" w:rsidRDefault="0075583C" w:rsidP="0075583C">
      <w:pPr>
        <w:pStyle w:val="TM2"/>
        <w:rPr>
          <w:rFonts w:ascii="Calibri" w:hAnsi="Calibri" w:cs="Calibri"/>
          <w:sz w:val="24"/>
          <w:szCs w:val="24"/>
        </w:rPr>
      </w:pPr>
      <w:r w:rsidRPr="000736E1">
        <w:rPr>
          <w:rFonts w:ascii="Calibri" w:hAnsi="Calibri" w:cs="Calibri"/>
          <w:sz w:val="24"/>
          <w:szCs w:val="24"/>
        </w:rPr>
        <w:t>In March 2020, the Government started a consultation process for reviewing the margins over gilt rates for PWLB borrowing for different types of PFCC capital expenditure.  Following the consultation, the Government published their responses in November 2020 which stated these outcomes:</w:t>
      </w:r>
    </w:p>
    <w:p w14:paraId="56DAAB27" w14:textId="77777777" w:rsidR="0075583C" w:rsidRPr="000736E1" w:rsidRDefault="0075583C" w:rsidP="0075583C">
      <w:pPr>
        <w:pStyle w:val="TMBullets"/>
        <w:rPr>
          <w:rFonts w:ascii="Calibri" w:eastAsia="Calibri" w:hAnsi="Calibri" w:cs="Calibri"/>
          <w:sz w:val="24"/>
          <w:szCs w:val="24"/>
        </w:rPr>
      </w:pPr>
      <w:r w:rsidRPr="000736E1">
        <w:rPr>
          <w:rFonts w:ascii="Calibri" w:eastAsia="Calibri" w:hAnsi="Calibri" w:cs="Calibri"/>
          <w:sz w:val="24"/>
          <w:szCs w:val="24"/>
        </w:rPr>
        <w:t xml:space="preserve">PWLB will not lend to a </w:t>
      </w:r>
      <w:r w:rsidRPr="000736E1">
        <w:rPr>
          <w:rFonts w:ascii="Calibri" w:hAnsi="Calibri" w:cs="Calibri"/>
          <w:sz w:val="24"/>
          <w:szCs w:val="24"/>
        </w:rPr>
        <w:t>PFCC</w:t>
      </w:r>
      <w:r w:rsidRPr="000736E1">
        <w:rPr>
          <w:rFonts w:ascii="Calibri" w:eastAsia="Calibri" w:hAnsi="Calibri" w:cs="Calibri"/>
          <w:sz w:val="24"/>
          <w:szCs w:val="24"/>
        </w:rPr>
        <w:t xml:space="preserve"> who intends to buy investment assets primarily for yield</w:t>
      </w:r>
    </w:p>
    <w:p w14:paraId="1DE4E2C4" w14:textId="3B903AE6" w:rsidR="0075583C" w:rsidRPr="000736E1" w:rsidRDefault="0075583C" w:rsidP="0075583C">
      <w:pPr>
        <w:pStyle w:val="TMBullets"/>
        <w:rPr>
          <w:rFonts w:ascii="Calibri" w:eastAsia="Calibri" w:hAnsi="Calibri" w:cs="Calibri"/>
          <w:sz w:val="24"/>
          <w:szCs w:val="24"/>
        </w:rPr>
      </w:pPr>
      <w:r w:rsidRPr="000736E1">
        <w:rPr>
          <w:rFonts w:ascii="Calibri" w:eastAsia="Calibri" w:hAnsi="Calibri" w:cs="Calibri"/>
          <w:sz w:val="24"/>
          <w:szCs w:val="24"/>
        </w:rPr>
        <w:t>Reduction to the interest on borrowing on all standard and certainty rates by 100 basis point which took effect from 26</w:t>
      </w:r>
      <w:r w:rsidRPr="000736E1">
        <w:rPr>
          <w:rFonts w:ascii="Calibri" w:eastAsia="Calibri" w:hAnsi="Calibri" w:cs="Calibri"/>
          <w:sz w:val="24"/>
          <w:szCs w:val="24"/>
          <w:vertAlign w:val="superscript"/>
        </w:rPr>
        <w:t>th</w:t>
      </w:r>
      <w:r w:rsidRPr="000736E1">
        <w:rPr>
          <w:rFonts w:ascii="Calibri" w:eastAsia="Calibri" w:hAnsi="Calibri" w:cs="Calibri"/>
          <w:sz w:val="24"/>
          <w:szCs w:val="24"/>
        </w:rPr>
        <w:t xml:space="preserve"> November</w:t>
      </w:r>
      <w:r w:rsidR="00EE04F9">
        <w:rPr>
          <w:rFonts w:ascii="Calibri" w:eastAsia="Calibri" w:hAnsi="Calibri" w:cs="Calibri"/>
          <w:sz w:val="24"/>
          <w:szCs w:val="24"/>
        </w:rPr>
        <w:t xml:space="preserve"> 2022</w:t>
      </w:r>
      <w:r w:rsidRPr="000736E1">
        <w:rPr>
          <w:rFonts w:ascii="Calibri" w:eastAsia="Calibri" w:hAnsi="Calibri" w:cs="Calibri"/>
          <w:sz w:val="24"/>
          <w:szCs w:val="24"/>
        </w:rPr>
        <w:t>.</w:t>
      </w:r>
    </w:p>
    <w:p w14:paraId="7C0F9D4B" w14:textId="77777777" w:rsidR="004D09CE" w:rsidRPr="005B0195" w:rsidRDefault="004D09CE" w:rsidP="004D09CE">
      <w:pPr>
        <w:pStyle w:val="TM1"/>
        <w:rPr>
          <w:rFonts w:ascii="Calibri" w:hAnsi="Calibri" w:cs="Calibri"/>
          <w:sz w:val="24"/>
          <w:szCs w:val="24"/>
          <w:lang w:eastAsia="en-GB"/>
        </w:rPr>
      </w:pPr>
      <w:r w:rsidRPr="005B0195">
        <w:rPr>
          <w:rFonts w:ascii="Calibri" w:hAnsi="Calibri" w:cs="Calibri"/>
          <w:sz w:val="24"/>
          <w:szCs w:val="24"/>
          <w:lang w:eastAsia="en-GB"/>
        </w:rPr>
        <w:t>Managing daily cash balances and investing surpluses</w:t>
      </w:r>
    </w:p>
    <w:p w14:paraId="7E124386" w14:textId="511F4D56"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In order that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can maximise income earned from investments, the target for the un-invested overnight balances in our current accounts is usually always lower than £</w:t>
      </w:r>
      <w:r w:rsidR="000935D9">
        <w:rPr>
          <w:rFonts w:ascii="Calibri" w:hAnsi="Calibri" w:cs="Calibri"/>
          <w:sz w:val="24"/>
          <w:szCs w:val="24"/>
        </w:rPr>
        <w:t>5</w:t>
      </w:r>
      <w:r w:rsidRPr="005B0195">
        <w:rPr>
          <w:rFonts w:ascii="Calibri" w:hAnsi="Calibri" w:cs="Calibri"/>
          <w:sz w:val="24"/>
          <w:szCs w:val="24"/>
        </w:rPr>
        <w:t>k.  However, if there is an emergency, we are unable to place an investment or it is not prudent or cost-effective to do so, we will maintain any excess balances in the Natwest account in order to safeguard funds.</w:t>
      </w:r>
    </w:p>
    <w:p w14:paraId="2966ED2E" w14:textId="0987C8CD" w:rsidR="00F0151B" w:rsidRPr="00BD08B4" w:rsidRDefault="004D09CE" w:rsidP="00F0151B">
      <w:pPr>
        <w:pStyle w:val="TM2"/>
        <w:rPr>
          <w:rFonts w:ascii="Calibri" w:hAnsi="Calibri" w:cs="Calibri"/>
          <w:sz w:val="24"/>
          <w:szCs w:val="24"/>
        </w:rPr>
      </w:pPr>
      <w:r w:rsidRPr="00BD08B4">
        <w:rPr>
          <w:rFonts w:ascii="Calibri" w:hAnsi="Calibri" w:cs="Calibri"/>
          <w:sz w:val="24"/>
          <w:szCs w:val="24"/>
        </w:rPr>
        <w:t>At any one time,</w:t>
      </w:r>
      <w:r w:rsidR="0064222E" w:rsidRPr="00BD08B4">
        <w:rPr>
          <w:rFonts w:ascii="Calibri" w:hAnsi="Calibri" w:cs="Calibri"/>
          <w:sz w:val="24"/>
          <w:szCs w:val="24"/>
        </w:rPr>
        <w:t xml:space="preserve"> </w:t>
      </w:r>
      <w:r w:rsidR="00AE6A32" w:rsidRPr="00BD08B4">
        <w:rPr>
          <w:rFonts w:ascii="Calibri" w:hAnsi="Calibri" w:cs="Calibri"/>
          <w:sz w:val="24"/>
          <w:szCs w:val="24"/>
        </w:rPr>
        <w:t xml:space="preserve">the </w:t>
      </w:r>
      <w:r w:rsidR="0064222E" w:rsidRPr="00BD08B4">
        <w:rPr>
          <w:rFonts w:ascii="Calibri" w:hAnsi="Calibri" w:cs="Calibri"/>
          <w:sz w:val="24"/>
          <w:szCs w:val="24"/>
        </w:rPr>
        <w:t>Authority</w:t>
      </w:r>
      <w:r w:rsidRPr="00BD08B4">
        <w:rPr>
          <w:rFonts w:ascii="Calibri" w:hAnsi="Calibri" w:cs="Calibri"/>
          <w:sz w:val="24"/>
          <w:szCs w:val="24"/>
        </w:rPr>
        <w:t xml:space="preserve"> has between £</w:t>
      </w:r>
      <w:r w:rsidR="004719E7" w:rsidRPr="00BD08B4">
        <w:rPr>
          <w:rFonts w:ascii="Calibri" w:hAnsi="Calibri" w:cs="Calibri"/>
          <w:sz w:val="24"/>
          <w:szCs w:val="24"/>
        </w:rPr>
        <w:t>3</w:t>
      </w:r>
      <w:r w:rsidRPr="00BD08B4">
        <w:rPr>
          <w:rFonts w:ascii="Calibri" w:hAnsi="Calibri" w:cs="Calibri"/>
          <w:sz w:val="24"/>
          <w:szCs w:val="24"/>
        </w:rPr>
        <w:t>m and £1</w:t>
      </w:r>
      <w:r w:rsidR="00D55938" w:rsidRPr="00BD08B4">
        <w:rPr>
          <w:rFonts w:ascii="Calibri" w:hAnsi="Calibri" w:cs="Calibri"/>
          <w:sz w:val="24"/>
          <w:szCs w:val="24"/>
        </w:rPr>
        <w:t>1</w:t>
      </w:r>
      <w:r w:rsidRPr="00BD08B4">
        <w:rPr>
          <w:rFonts w:ascii="Calibri" w:hAnsi="Calibri" w:cs="Calibri"/>
          <w:sz w:val="24"/>
          <w:szCs w:val="24"/>
        </w:rPr>
        <w:t xml:space="preserve">m (depending on the cash flow of both revenue and capital financing) available to invest.  This represents income received in advance of expenditure plus balances and reserves.  The average cash </w:t>
      </w:r>
      <w:r w:rsidRPr="00BD08B4">
        <w:rPr>
          <w:rFonts w:ascii="Calibri" w:hAnsi="Calibri" w:cs="Calibri"/>
          <w:sz w:val="24"/>
          <w:szCs w:val="24"/>
        </w:rPr>
        <w:lastRenderedPageBreak/>
        <w:t>available to or forecast to invest throughout 202</w:t>
      </w:r>
      <w:r w:rsidR="00D55938" w:rsidRPr="00BD08B4">
        <w:rPr>
          <w:rFonts w:ascii="Calibri" w:hAnsi="Calibri" w:cs="Calibri"/>
          <w:sz w:val="24"/>
          <w:szCs w:val="24"/>
        </w:rPr>
        <w:t>2</w:t>
      </w:r>
      <w:r w:rsidRPr="00BD08B4">
        <w:rPr>
          <w:rFonts w:ascii="Calibri" w:hAnsi="Calibri" w:cs="Calibri"/>
          <w:sz w:val="24"/>
          <w:szCs w:val="24"/>
        </w:rPr>
        <w:t>/2</w:t>
      </w:r>
      <w:r w:rsidR="00D55938" w:rsidRPr="00BD08B4">
        <w:rPr>
          <w:rFonts w:ascii="Calibri" w:hAnsi="Calibri" w:cs="Calibri"/>
          <w:sz w:val="24"/>
          <w:szCs w:val="24"/>
        </w:rPr>
        <w:t>3</w:t>
      </w:r>
      <w:r w:rsidRPr="00BD08B4">
        <w:rPr>
          <w:rFonts w:ascii="Calibri" w:hAnsi="Calibri" w:cs="Calibri"/>
          <w:sz w:val="24"/>
          <w:szCs w:val="24"/>
        </w:rPr>
        <w:t xml:space="preserve"> including a projection of 202</w:t>
      </w:r>
      <w:r w:rsidR="00D55938" w:rsidRPr="00BD08B4">
        <w:rPr>
          <w:rFonts w:ascii="Calibri" w:hAnsi="Calibri" w:cs="Calibri"/>
          <w:sz w:val="24"/>
          <w:szCs w:val="24"/>
        </w:rPr>
        <w:t>3</w:t>
      </w:r>
      <w:r w:rsidRPr="00BD08B4">
        <w:rPr>
          <w:rFonts w:ascii="Calibri" w:hAnsi="Calibri" w:cs="Calibri"/>
          <w:sz w:val="24"/>
          <w:szCs w:val="24"/>
        </w:rPr>
        <w:t>/2</w:t>
      </w:r>
      <w:r w:rsidR="00D55938" w:rsidRPr="00BD08B4">
        <w:rPr>
          <w:rFonts w:ascii="Calibri" w:hAnsi="Calibri" w:cs="Calibri"/>
          <w:sz w:val="24"/>
          <w:szCs w:val="24"/>
        </w:rPr>
        <w:t>4</w:t>
      </w:r>
      <w:r w:rsidRPr="00BD08B4">
        <w:rPr>
          <w:rFonts w:ascii="Calibri" w:hAnsi="Calibri" w:cs="Calibri"/>
          <w:sz w:val="24"/>
          <w:szCs w:val="24"/>
        </w:rPr>
        <w:t xml:space="preserve"> is as follows:</w:t>
      </w:r>
    </w:p>
    <w:p w14:paraId="233DB216" w14:textId="23D6DA0D" w:rsidR="004D09CE" w:rsidRPr="005B0195" w:rsidRDefault="00B60D14" w:rsidP="00F0151B">
      <w:pPr>
        <w:pStyle w:val="TM2"/>
        <w:numPr>
          <w:ilvl w:val="0"/>
          <w:numId w:val="0"/>
        </w:numPr>
        <w:ind w:left="709"/>
        <w:rPr>
          <w:rFonts w:ascii="Calibri" w:hAnsi="Calibri" w:cs="Calibri"/>
          <w:sz w:val="24"/>
          <w:szCs w:val="24"/>
        </w:rPr>
      </w:pPr>
      <w:r>
        <w:rPr>
          <w:rFonts w:ascii="Calibri" w:hAnsi="Calibri" w:cs="Calibri"/>
          <w:sz w:val="24"/>
          <w:szCs w:val="24"/>
        </w:rPr>
        <w:drawing>
          <wp:inline distT="0" distB="0" distL="0" distR="0" wp14:anchorId="237C03A6" wp14:editId="092BC4EF">
            <wp:extent cx="4612689" cy="2924175"/>
            <wp:effectExtent l="0" t="0" r="0" b="0"/>
            <wp:docPr id="11" name="Picture 11" descr="A line graph which shows the cash flows for 2022-23 and 2023-24 each month for NCFRA. It shows a level around £5m in April reducing in March of ea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ine graph which shows the cash flows for 2022-23 and 2023-24 each month for NCFRA. It shows a level around £5m in April reducing in March of each y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67" cy="2928599"/>
                    </a:xfrm>
                    <a:prstGeom prst="rect">
                      <a:avLst/>
                    </a:prstGeom>
                    <a:noFill/>
                  </pic:spPr>
                </pic:pic>
              </a:graphicData>
            </a:graphic>
          </wp:inline>
        </w:drawing>
      </w:r>
    </w:p>
    <w:p w14:paraId="590FEAD2" w14:textId="6F297BD2" w:rsidR="004D09CE" w:rsidRPr="005B0195" w:rsidRDefault="004D09CE" w:rsidP="004D09CE">
      <w:pPr>
        <w:pStyle w:val="TM2"/>
        <w:rPr>
          <w:rFonts w:ascii="Calibri" w:eastAsia="Calibri" w:hAnsi="Calibri" w:cs="Calibri"/>
          <w:sz w:val="24"/>
          <w:szCs w:val="24"/>
        </w:rPr>
      </w:pPr>
      <w:r w:rsidRPr="005B0195">
        <w:rPr>
          <w:rFonts w:ascii="Calibri" w:eastAsia="Calibri" w:hAnsi="Calibri" w:cs="Calibri"/>
          <w:sz w:val="24"/>
          <w:szCs w:val="24"/>
        </w:rPr>
        <w:t>As with most local authorities with a high proportion of employee to Supplies and Services expenditure,</w:t>
      </w:r>
      <w:r w:rsidR="0064222E" w:rsidRPr="005B0195">
        <w:rPr>
          <w:rFonts w:ascii="Calibri" w:eastAsia="Calibri" w:hAnsi="Calibri" w:cs="Calibri"/>
          <w:sz w:val="24"/>
          <w:szCs w:val="24"/>
        </w:rPr>
        <w:t xml:space="preserve"> </w:t>
      </w:r>
      <w:r w:rsidR="0075583C">
        <w:rPr>
          <w:rFonts w:ascii="Calibri" w:eastAsia="Calibri" w:hAnsi="Calibri" w:cs="Calibri"/>
          <w:sz w:val="24"/>
          <w:szCs w:val="24"/>
        </w:rPr>
        <w:t xml:space="preserve">the </w:t>
      </w:r>
      <w:r w:rsidR="0064222E" w:rsidRPr="005B0195">
        <w:rPr>
          <w:rFonts w:ascii="Calibri" w:eastAsia="Calibri" w:hAnsi="Calibri" w:cs="Calibri"/>
          <w:sz w:val="24"/>
          <w:szCs w:val="24"/>
        </w:rPr>
        <w:t>Authority</w:t>
      </w:r>
      <w:r w:rsidRPr="005B0195">
        <w:rPr>
          <w:rFonts w:ascii="Calibri" w:eastAsia="Calibri" w:hAnsi="Calibri" w:cs="Calibri"/>
          <w:sz w:val="24"/>
          <w:szCs w:val="24"/>
        </w:rPr>
        <w:t xml:space="preserve">’s cash flow is fairly consistent month on month and therefore investable cash balances only significantly deviate when single payments (such as internally funded capital purchases) or large annual income receipts are forecast. </w:t>
      </w:r>
    </w:p>
    <w:p w14:paraId="52B05CBE" w14:textId="77777777" w:rsidR="004D09CE" w:rsidRPr="005B0195" w:rsidRDefault="004D09CE" w:rsidP="004D09CE">
      <w:pPr>
        <w:pStyle w:val="TM2"/>
        <w:rPr>
          <w:rFonts w:ascii="Calibri" w:eastAsia="Calibri" w:hAnsi="Calibri" w:cs="Calibri"/>
          <w:sz w:val="24"/>
          <w:szCs w:val="24"/>
        </w:rPr>
      </w:pPr>
      <w:r w:rsidRPr="005B0195">
        <w:rPr>
          <w:rFonts w:ascii="Calibri" w:eastAsia="Calibri" w:hAnsi="Calibri" w:cs="Calibri"/>
          <w:sz w:val="24"/>
          <w:szCs w:val="24"/>
        </w:rPr>
        <w:t>The decline and increase in cash balances represented above occurs with the:</w:t>
      </w:r>
    </w:p>
    <w:p w14:paraId="52E2D8C9" w14:textId="5BD143AB" w:rsidR="004D09CE" w:rsidRPr="005B0195" w:rsidRDefault="004D09CE" w:rsidP="004D09CE">
      <w:pPr>
        <w:pStyle w:val="TMBullets"/>
        <w:rPr>
          <w:rFonts w:ascii="Calibri" w:eastAsia="Calibri" w:hAnsi="Calibri" w:cs="Calibri"/>
          <w:sz w:val="24"/>
          <w:szCs w:val="24"/>
        </w:rPr>
      </w:pPr>
      <w:r w:rsidRPr="005B0195">
        <w:rPr>
          <w:rFonts w:ascii="Calibri" w:eastAsia="Calibri" w:hAnsi="Calibri" w:cs="Calibri"/>
          <w:sz w:val="24"/>
          <w:szCs w:val="24"/>
        </w:rPr>
        <w:t xml:space="preserve">Receipt of </w:t>
      </w:r>
      <w:r w:rsidR="0064222E" w:rsidRPr="005B0195">
        <w:rPr>
          <w:rFonts w:ascii="Calibri" w:eastAsia="Calibri" w:hAnsi="Calibri" w:cs="Calibri"/>
          <w:sz w:val="24"/>
          <w:szCs w:val="24"/>
        </w:rPr>
        <w:t>Fire Fighter Pension Fund (FFPF)</w:t>
      </w:r>
      <w:r w:rsidRPr="005B0195">
        <w:rPr>
          <w:rFonts w:ascii="Calibri" w:eastAsia="Calibri" w:hAnsi="Calibri" w:cs="Calibri"/>
          <w:sz w:val="24"/>
          <w:szCs w:val="24"/>
        </w:rPr>
        <w:t xml:space="preserve"> grant during July</w:t>
      </w:r>
    </w:p>
    <w:p w14:paraId="63A38935" w14:textId="31835005" w:rsidR="004D09CE" w:rsidRPr="005B0195" w:rsidRDefault="004D09CE" w:rsidP="004D09CE">
      <w:pPr>
        <w:pStyle w:val="TMBullets"/>
        <w:rPr>
          <w:rFonts w:ascii="Calibri" w:eastAsia="Calibri" w:hAnsi="Calibri" w:cs="Calibri"/>
          <w:sz w:val="24"/>
          <w:szCs w:val="24"/>
        </w:rPr>
      </w:pPr>
      <w:r w:rsidRPr="005B0195">
        <w:rPr>
          <w:rFonts w:ascii="Calibri" w:eastAsia="Calibri" w:hAnsi="Calibri" w:cs="Calibri"/>
          <w:sz w:val="24"/>
          <w:szCs w:val="24"/>
        </w:rPr>
        <w:t xml:space="preserve">The costs associated with the </w:t>
      </w:r>
      <w:r w:rsidR="0064222E" w:rsidRPr="005B0195">
        <w:rPr>
          <w:rFonts w:ascii="Calibri" w:eastAsia="Calibri" w:hAnsi="Calibri" w:cs="Calibri"/>
          <w:sz w:val="24"/>
          <w:szCs w:val="24"/>
        </w:rPr>
        <w:t>FF</w:t>
      </w:r>
      <w:r w:rsidRPr="005B0195">
        <w:rPr>
          <w:rFonts w:ascii="Calibri" w:eastAsia="Calibri" w:hAnsi="Calibri" w:cs="Calibri"/>
          <w:sz w:val="24"/>
          <w:szCs w:val="24"/>
        </w:rPr>
        <w:t>PF being expended throughout the financial year</w:t>
      </w:r>
    </w:p>
    <w:p w14:paraId="15A1AD11" w14:textId="76792DD1" w:rsidR="00ED37F7" w:rsidRPr="005B0195" w:rsidRDefault="00ED37F7" w:rsidP="004D09CE">
      <w:pPr>
        <w:pStyle w:val="TMBullets"/>
        <w:rPr>
          <w:rFonts w:ascii="Calibri" w:eastAsia="Calibri" w:hAnsi="Calibri" w:cs="Calibri"/>
          <w:sz w:val="24"/>
          <w:szCs w:val="24"/>
        </w:rPr>
      </w:pPr>
      <w:r w:rsidRPr="005B0195">
        <w:rPr>
          <w:rFonts w:ascii="Calibri" w:eastAsia="Calibri" w:hAnsi="Calibri" w:cs="Calibri"/>
          <w:sz w:val="24"/>
          <w:szCs w:val="24"/>
        </w:rPr>
        <w:t>Repayment of PWLB loans</w:t>
      </w:r>
    </w:p>
    <w:p w14:paraId="3B030413"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Borrowing Strategy</w:t>
      </w:r>
    </w:p>
    <w:p w14:paraId="7DC021CB" w14:textId="5D6A35D4"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 overarching objectives for the</w:t>
      </w:r>
      <w:r w:rsidR="0064222E" w:rsidRPr="005B0195">
        <w:rPr>
          <w:rFonts w:ascii="Calibri" w:hAnsi="Calibri" w:cs="Calibri"/>
          <w:sz w:val="24"/>
          <w:szCs w:val="24"/>
        </w:rPr>
        <w:t xml:space="preserve"> Authority</w:t>
      </w:r>
      <w:r w:rsidRPr="005B0195">
        <w:rPr>
          <w:rFonts w:ascii="Calibri" w:hAnsi="Calibri" w:cs="Calibri"/>
          <w:sz w:val="24"/>
          <w:szCs w:val="24"/>
        </w:rPr>
        <w:t>’s borrowing strategy are as follows:</w:t>
      </w:r>
    </w:p>
    <w:p w14:paraId="4EDD613B" w14:textId="68C70B65" w:rsidR="004D09CE" w:rsidRPr="005B0195" w:rsidRDefault="004D09CE" w:rsidP="004D09CE">
      <w:pPr>
        <w:pStyle w:val="TMBullets"/>
        <w:rPr>
          <w:rFonts w:ascii="Calibri" w:hAnsi="Calibri" w:cs="Calibri"/>
          <w:iCs/>
          <w:sz w:val="24"/>
          <w:szCs w:val="24"/>
        </w:rPr>
      </w:pPr>
      <w:r w:rsidRPr="005B0195">
        <w:rPr>
          <w:rFonts w:ascii="Calibri" w:eastAsia="Calibri" w:hAnsi="Calibri" w:cs="Calibri"/>
          <w:sz w:val="24"/>
          <w:szCs w:val="24"/>
        </w:rPr>
        <w:t>To manage the</w:t>
      </w:r>
      <w:r w:rsidR="0064222E" w:rsidRPr="005B0195">
        <w:rPr>
          <w:rFonts w:ascii="Calibri" w:eastAsia="Calibri" w:hAnsi="Calibri" w:cs="Calibri"/>
          <w:sz w:val="24"/>
          <w:szCs w:val="24"/>
        </w:rPr>
        <w:t xml:space="preserve"> Authority</w:t>
      </w:r>
      <w:r w:rsidRPr="005B0195">
        <w:rPr>
          <w:rFonts w:ascii="Calibri" w:eastAsia="Calibri" w:hAnsi="Calibri" w:cs="Calibri"/>
          <w:sz w:val="24"/>
          <w:szCs w:val="24"/>
        </w:rPr>
        <w:t>’s debt maturity profile; this is achieved by monitoring short and long term cash flow forecasts in tandem with balance sheet analysis</w:t>
      </w:r>
    </w:p>
    <w:p w14:paraId="1DE7F146" w14:textId="2D42BB4D" w:rsidR="004D09CE" w:rsidRPr="005B0195" w:rsidRDefault="004D09CE" w:rsidP="004D09CE">
      <w:pPr>
        <w:pStyle w:val="TMBullets"/>
        <w:rPr>
          <w:rFonts w:ascii="Calibri" w:hAnsi="Calibri" w:cs="Calibri"/>
          <w:iCs/>
          <w:sz w:val="24"/>
          <w:szCs w:val="24"/>
        </w:rPr>
      </w:pPr>
      <w:r w:rsidRPr="005B0195">
        <w:rPr>
          <w:rFonts w:ascii="Calibri" w:hAnsi="Calibri" w:cs="Calibri"/>
          <w:iCs/>
          <w:sz w:val="24"/>
          <w:szCs w:val="24"/>
        </w:rPr>
        <w:t>To maintain a view on current and possible future interest rate movements, and to plan borrowing accordingly</w:t>
      </w:r>
      <w:r w:rsidR="0064222E" w:rsidRPr="005B0195">
        <w:rPr>
          <w:rFonts w:ascii="Calibri" w:hAnsi="Calibri" w:cs="Calibri"/>
          <w:iCs/>
          <w:sz w:val="24"/>
          <w:szCs w:val="24"/>
        </w:rPr>
        <w:t>.</w:t>
      </w:r>
      <w:r w:rsidRPr="005B0195">
        <w:rPr>
          <w:rFonts w:ascii="Calibri" w:hAnsi="Calibri" w:cs="Calibri"/>
          <w:iCs/>
          <w:sz w:val="24"/>
          <w:szCs w:val="24"/>
        </w:rPr>
        <w:t xml:space="preserve"> </w:t>
      </w:r>
      <w:r w:rsidR="0064222E" w:rsidRPr="005B0195">
        <w:rPr>
          <w:rFonts w:ascii="Calibri" w:hAnsi="Calibri" w:cs="Calibri"/>
          <w:iCs/>
          <w:sz w:val="24"/>
          <w:szCs w:val="24"/>
        </w:rPr>
        <w:t xml:space="preserve"> T</w:t>
      </w:r>
      <w:r w:rsidRPr="005B0195">
        <w:rPr>
          <w:rFonts w:ascii="Calibri" w:hAnsi="Calibri" w:cs="Calibri"/>
          <w:iCs/>
          <w:sz w:val="24"/>
          <w:szCs w:val="24"/>
        </w:rPr>
        <w:t>his is achieved by monitoring of economic commentary to undertake sensitivity analysis</w:t>
      </w:r>
    </w:p>
    <w:p w14:paraId="661FBFED" w14:textId="74184EFD"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To monitor and review the balance between fixed and variable rate loans against the background of interest rates and the Prudential Indicators; this is achieved by monitoring of economic commentary to undertake sensitivity analysis</w:t>
      </w:r>
    </w:p>
    <w:p w14:paraId="6B12DB76" w14:textId="73AE35A9"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is currently maintaining an under-borrowed position.  This means that the capital borrowing need, (the Capital Financing Requirement), will not </w:t>
      </w:r>
      <w:r w:rsidR="00E533F8">
        <w:rPr>
          <w:rFonts w:ascii="Calibri" w:hAnsi="Calibri" w:cs="Calibri"/>
          <w:sz w:val="24"/>
          <w:szCs w:val="24"/>
        </w:rPr>
        <w:t xml:space="preserve">need to be </w:t>
      </w:r>
      <w:r w:rsidRPr="005B0195">
        <w:rPr>
          <w:rFonts w:ascii="Calibri" w:hAnsi="Calibri" w:cs="Calibri"/>
          <w:sz w:val="24"/>
          <w:szCs w:val="24"/>
        </w:rPr>
        <w:t xml:space="preserve"> </w:t>
      </w:r>
      <w:r w:rsidRPr="005B0195">
        <w:rPr>
          <w:rFonts w:ascii="Calibri" w:hAnsi="Calibri" w:cs="Calibri"/>
          <w:sz w:val="24"/>
          <w:szCs w:val="24"/>
        </w:rPr>
        <w:lastRenderedPageBreak/>
        <w:t>fully funded with loan debt a</w:t>
      </w:r>
      <w:r w:rsidR="00E533F8">
        <w:rPr>
          <w:rFonts w:ascii="Calibri" w:hAnsi="Calibri" w:cs="Calibri"/>
          <w:sz w:val="24"/>
          <w:szCs w:val="24"/>
        </w:rPr>
        <w:t>nd</w:t>
      </w:r>
      <w:r w:rsidRPr="005B0195">
        <w:rPr>
          <w:rFonts w:ascii="Calibri" w:hAnsi="Calibri" w:cs="Calibri"/>
          <w:sz w:val="24"/>
          <w:szCs w:val="24"/>
        </w:rPr>
        <w:t xml:space="preserve"> cash supporting the</w:t>
      </w:r>
      <w:r w:rsidR="0064222E" w:rsidRPr="005B0195">
        <w:rPr>
          <w:rFonts w:ascii="Calibri" w:hAnsi="Calibri" w:cs="Calibri"/>
          <w:sz w:val="24"/>
          <w:szCs w:val="24"/>
        </w:rPr>
        <w:t xml:space="preserve"> Authority</w:t>
      </w:r>
      <w:r w:rsidRPr="005B0195">
        <w:rPr>
          <w:rFonts w:ascii="Calibri" w:hAnsi="Calibri" w:cs="Calibri"/>
          <w:sz w:val="24"/>
          <w:szCs w:val="24"/>
        </w:rPr>
        <w:t>’s reserves, balances and cash flow has been used as a temporary measure.</w:t>
      </w:r>
    </w:p>
    <w:p w14:paraId="2851FE9D" w14:textId="77777777" w:rsidR="001B6F50" w:rsidRPr="005B0195" w:rsidRDefault="001B6F50" w:rsidP="004D09CE">
      <w:pPr>
        <w:pStyle w:val="TM2"/>
        <w:rPr>
          <w:rFonts w:ascii="Calibri" w:hAnsi="Calibri" w:cs="Calibri"/>
          <w:sz w:val="24"/>
          <w:szCs w:val="24"/>
        </w:rPr>
      </w:pPr>
      <w:bookmarkStart w:id="0" w:name="_Hlk120897683"/>
      <w:r w:rsidRPr="005B0195">
        <w:rPr>
          <w:rFonts w:ascii="Calibri" w:hAnsi="Calibri" w:cs="Calibri"/>
          <w:sz w:val="24"/>
          <w:szCs w:val="24"/>
        </w:rPr>
        <w:t>The sources of borrowing;</w:t>
      </w:r>
    </w:p>
    <w:p w14:paraId="2C80964A" w14:textId="529BAC11" w:rsidR="001B6F50" w:rsidRPr="005B0195" w:rsidRDefault="001B6F50" w:rsidP="001B6F50">
      <w:pPr>
        <w:pStyle w:val="TM2"/>
        <w:numPr>
          <w:ilvl w:val="0"/>
          <w:numId w:val="12"/>
        </w:numPr>
        <w:rPr>
          <w:rFonts w:ascii="Calibri" w:hAnsi="Calibri" w:cs="Calibri"/>
          <w:sz w:val="24"/>
          <w:szCs w:val="24"/>
        </w:rPr>
      </w:pPr>
      <w:r w:rsidRPr="005B0195">
        <w:rPr>
          <w:rFonts w:ascii="Calibri" w:hAnsi="Calibri" w:cs="Calibri"/>
          <w:sz w:val="24"/>
          <w:szCs w:val="24"/>
        </w:rPr>
        <w:t>PWLB as the Authority will receive a Certainty rate which is reduced by 20 basis points (0.20%) against the PWLB standard rate</w:t>
      </w:r>
    </w:p>
    <w:p w14:paraId="3924F0B4" w14:textId="5B4ED813" w:rsidR="001B6F50" w:rsidRPr="005B0195" w:rsidRDefault="001B6F50" w:rsidP="001B6F50">
      <w:pPr>
        <w:pStyle w:val="TM2"/>
        <w:numPr>
          <w:ilvl w:val="0"/>
          <w:numId w:val="12"/>
        </w:numPr>
        <w:rPr>
          <w:rFonts w:ascii="Calibri" w:hAnsi="Calibri" w:cs="Calibri"/>
          <w:sz w:val="24"/>
          <w:szCs w:val="24"/>
        </w:rPr>
      </w:pPr>
      <w:r w:rsidRPr="005B0195">
        <w:rPr>
          <w:rFonts w:ascii="Calibri" w:hAnsi="Calibri" w:cs="Calibri"/>
          <w:sz w:val="24"/>
          <w:szCs w:val="24"/>
        </w:rPr>
        <w:t>Local Authority particularly for Short term borrowing</w:t>
      </w:r>
    </w:p>
    <w:p w14:paraId="60FD8EB1" w14:textId="2A1DF30D" w:rsidR="001B6F50" w:rsidRPr="005B0195" w:rsidRDefault="000D1131" w:rsidP="001B6F50">
      <w:pPr>
        <w:pStyle w:val="TM2"/>
        <w:numPr>
          <w:ilvl w:val="0"/>
          <w:numId w:val="12"/>
        </w:numPr>
        <w:rPr>
          <w:rFonts w:ascii="Calibri" w:hAnsi="Calibri" w:cs="Calibri"/>
          <w:sz w:val="24"/>
          <w:szCs w:val="24"/>
        </w:rPr>
      </w:pPr>
      <w:r>
        <w:rPr>
          <w:rFonts w:ascii="Calibri" w:hAnsi="Calibri" w:cs="Calibri"/>
          <w:sz w:val="24"/>
          <w:szCs w:val="24"/>
        </w:rPr>
        <w:t xml:space="preserve">OPFCC (Police funds) </w:t>
      </w:r>
      <w:r w:rsidR="004B3B74">
        <w:rPr>
          <w:rFonts w:ascii="Calibri" w:hAnsi="Calibri" w:cs="Calibri"/>
          <w:sz w:val="24"/>
          <w:szCs w:val="24"/>
        </w:rPr>
        <w:t>–</w:t>
      </w:r>
      <w:r w:rsidRPr="000736E1">
        <w:rPr>
          <w:rFonts w:ascii="Calibri" w:hAnsi="Calibri" w:cs="Calibri"/>
          <w:sz w:val="24"/>
          <w:szCs w:val="24"/>
        </w:rPr>
        <w:t xml:space="preserve"> </w:t>
      </w:r>
      <w:r w:rsidR="004B3B74">
        <w:rPr>
          <w:rFonts w:ascii="Calibri" w:hAnsi="Calibri" w:cs="Calibri"/>
          <w:sz w:val="24"/>
          <w:szCs w:val="24"/>
        </w:rPr>
        <w:t xml:space="preserve">this TMS enables that </w:t>
      </w:r>
      <w:r w:rsidR="00867135">
        <w:rPr>
          <w:rFonts w:ascii="Calibri" w:hAnsi="Calibri" w:cs="Calibri"/>
          <w:sz w:val="24"/>
          <w:szCs w:val="24"/>
        </w:rPr>
        <w:t>i</w:t>
      </w:r>
      <w:r w:rsidR="00C375A6" w:rsidRPr="000736E1">
        <w:rPr>
          <w:rFonts w:ascii="Calibri" w:hAnsi="Calibri" w:cs="Calibri"/>
          <w:sz w:val="24"/>
          <w:szCs w:val="24"/>
        </w:rPr>
        <w:t xml:space="preserve">f there is an instance that </w:t>
      </w:r>
      <w:r w:rsidR="004B3B74">
        <w:rPr>
          <w:rFonts w:ascii="Calibri" w:hAnsi="Calibri" w:cs="Calibri"/>
          <w:sz w:val="24"/>
          <w:szCs w:val="24"/>
        </w:rPr>
        <w:t xml:space="preserve">either NCFRA or OPFCC (Police) </w:t>
      </w:r>
      <w:r w:rsidR="00C375A6" w:rsidRPr="000736E1">
        <w:rPr>
          <w:rFonts w:ascii="Calibri" w:hAnsi="Calibri" w:cs="Calibri"/>
          <w:sz w:val="24"/>
          <w:szCs w:val="24"/>
        </w:rPr>
        <w:t xml:space="preserve">has </w:t>
      </w:r>
      <w:r w:rsidR="00C375A6">
        <w:rPr>
          <w:rFonts w:ascii="Calibri" w:hAnsi="Calibri" w:cs="Calibri"/>
          <w:sz w:val="24"/>
          <w:szCs w:val="24"/>
        </w:rPr>
        <w:t>similar term ex</w:t>
      </w:r>
      <w:r w:rsidR="00C375A6" w:rsidRPr="000736E1">
        <w:rPr>
          <w:rFonts w:ascii="Calibri" w:hAnsi="Calibri" w:cs="Calibri"/>
          <w:sz w:val="24"/>
          <w:szCs w:val="24"/>
        </w:rPr>
        <w:t>cess of funds when the other entity has a borrowing need</w:t>
      </w:r>
      <w:r w:rsidR="004B3B74">
        <w:rPr>
          <w:rFonts w:ascii="Calibri" w:hAnsi="Calibri" w:cs="Calibri"/>
          <w:sz w:val="24"/>
          <w:szCs w:val="24"/>
        </w:rPr>
        <w:t>, that borrowing can take place from either party</w:t>
      </w:r>
      <w:r w:rsidR="00C375A6" w:rsidRPr="000736E1">
        <w:rPr>
          <w:rFonts w:ascii="Calibri" w:hAnsi="Calibri" w:cs="Calibri"/>
          <w:sz w:val="24"/>
          <w:szCs w:val="24"/>
        </w:rPr>
        <w:t xml:space="preserve">. </w:t>
      </w:r>
      <w:r w:rsidR="00C375A6">
        <w:rPr>
          <w:rFonts w:ascii="Calibri" w:hAnsi="Calibri" w:cs="Calibri"/>
          <w:sz w:val="24"/>
          <w:szCs w:val="24"/>
        </w:rPr>
        <w:t xml:space="preserve"> </w:t>
      </w:r>
      <w:r w:rsidR="00C375A6" w:rsidRPr="000736E1">
        <w:rPr>
          <w:rFonts w:ascii="Calibri" w:hAnsi="Calibri" w:cs="Calibri"/>
          <w:sz w:val="24"/>
          <w:szCs w:val="24"/>
        </w:rPr>
        <w:t xml:space="preserve">This </w:t>
      </w:r>
      <w:r w:rsidR="00C375A6">
        <w:rPr>
          <w:rFonts w:ascii="Calibri" w:hAnsi="Calibri" w:cs="Calibri"/>
          <w:sz w:val="24"/>
          <w:szCs w:val="24"/>
        </w:rPr>
        <w:t>must be</w:t>
      </w:r>
      <w:r w:rsidR="00C375A6" w:rsidRPr="000736E1">
        <w:rPr>
          <w:rFonts w:ascii="Calibri" w:hAnsi="Calibri" w:cs="Calibri"/>
          <w:sz w:val="24"/>
          <w:szCs w:val="24"/>
        </w:rPr>
        <w:t xml:space="preserve"> </w:t>
      </w:r>
      <w:r w:rsidR="00C375A6">
        <w:rPr>
          <w:rFonts w:ascii="Calibri" w:hAnsi="Calibri" w:cs="Calibri"/>
          <w:sz w:val="24"/>
          <w:szCs w:val="24"/>
        </w:rPr>
        <w:t xml:space="preserve">mutually </w:t>
      </w:r>
      <w:r w:rsidR="00C375A6" w:rsidRPr="000736E1">
        <w:rPr>
          <w:rFonts w:ascii="Calibri" w:hAnsi="Calibri" w:cs="Calibri"/>
          <w:sz w:val="24"/>
          <w:szCs w:val="24"/>
        </w:rPr>
        <w:t>benefi</w:t>
      </w:r>
      <w:r w:rsidR="00C375A6">
        <w:rPr>
          <w:rFonts w:ascii="Calibri" w:hAnsi="Calibri" w:cs="Calibri"/>
          <w:sz w:val="24"/>
          <w:szCs w:val="24"/>
        </w:rPr>
        <w:t>ci</w:t>
      </w:r>
      <w:r w:rsidR="00C375A6" w:rsidRPr="000736E1">
        <w:rPr>
          <w:rFonts w:ascii="Calibri" w:hAnsi="Calibri" w:cs="Calibri"/>
          <w:sz w:val="24"/>
          <w:szCs w:val="24"/>
        </w:rPr>
        <w:t>al</w:t>
      </w:r>
      <w:r w:rsidR="00C375A6">
        <w:rPr>
          <w:rFonts w:ascii="Calibri" w:hAnsi="Calibri" w:cs="Calibri"/>
          <w:sz w:val="24"/>
          <w:szCs w:val="24"/>
        </w:rPr>
        <w:t xml:space="preserve"> and hold minimal risk</w:t>
      </w:r>
      <w:r w:rsidR="004B3B74">
        <w:rPr>
          <w:rFonts w:ascii="Calibri" w:hAnsi="Calibri" w:cs="Calibri"/>
          <w:sz w:val="24"/>
          <w:szCs w:val="24"/>
        </w:rPr>
        <w:t xml:space="preserve"> and to provide additional assurance, approval will be provided by both S151 officers or their deputies, so that both parties interests are demonstrably represented.</w:t>
      </w:r>
      <w:r w:rsidR="00C375A6">
        <w:rPr>
          <w:rFonts w:ascii="Calibri" w:hAnsi="Calibri" w:cs="Calibri"/>
          <w:sz w:val="24"/>
          <w:szCs w:val="24"/>
        </w:rPr>
        <w:t xml:space="preserve"> </w:t>
      </w:r>
      <w:r w:rsidR="00867135">
        <w:rPr>
          <w:rFonts w:ascii="Calibri" w:hAnsi="Calibri" w:cs="Calibri"/>
          <w:sz w:val="24"/>
          <w:szCs w:val="24"/>
        </w:rPr>
        <w:t xml:space="preserve"> </w:t>
      </w:r>
      <w:r w:rsidR="00C375A6">
        <w:rPr>
          <w:rFonts w:ascii="Calibri" w:hAnsi="Calibri" w:cs="Calibri"/>
          <w:sz w:val="24"/>
          <w:szCs w:val="24"/>
        </w:rPr>
        <w:t xml:space="preserve">It ensures that </w:t>
      </w:r>
      <w:r w:rsidR="00C375A6" w:rsidRPr="000736E1">
        <w:rPr>
          <w:rFonts w:ascii="Calibri" w:hAnsi="Calibri" w:cs="Calibri"/>
          <w:sz w:val="24"/>
          <w:szCs w:val="24"/>
        </w:rPr>
        <w:t xml:space="preserve">interest rates </w:t>
      </w:r>
      <w:r w:rsidR="00C375A6">
        <w:rPr>
          <w:rFonts w:ascii="Calibri" w:hAnsi="Calibri" w:cs="Calibri"/>
          <w:sz w:val="24"/>
          <w:szCs w:val="24"/>
        </w:rPr>
        <w:t>are</w:t>
      </w:r>
      <w:r w:rsidR="00C375A6" w:rsidRPr="000736E1">
        <w:rPr>
          <w:rFonts w:ascii="Calibri" w:hAnsi="Calibri" w:cs="Calibri"/>
          <w:sz w:val="24"/>
          <w:szCs w:val="24"/>
        </w:rPr>
        <w:t xml:space="preserve"> competitive to the market </w:t>
      </w:r>
      <w:r w:rsidR="00C375A6">
        <w:rPr>
          <w:rFonts w:ascii="Calibri" w:hAnsi="Calibri" w:cs="Calibri"/>
          <w:sz w:val="24"/>
          <w:szCs w:val="24"/>
        </w:rPr>
        <w:t>and</w:t>
      </w:r>
      <w:r w:rsidR="00C375A6" w:rsidRPr="000736E1">
        <w:rPr>
          <w:rFonts w:ascii="Calibri" w:hAnsi="Calibri" w:cs="Calibri"/>
          <w:sz w:val="24"/>
          <w:szCs w:val="24"/>
        </w:rPr>
        <w:t xml:space="preserve"> no broker fee</w:t>
      </w:r>
      <w:r w:rsidR="00C375A6">
        <w:rPr>
          <w:rFonts w:ascii="Calibri" w:hAnsi="Calibri" w:cs="Calibri"/>
          <w:sz w:val="24"/>
          <w:szCs w:val="24"/>
        </w:rPr>
        <w:t xml:space="preserve"> is payable (historically</w:t>
      </w:r>
      <w:r w:rsidR="00C375A6" w:rsidRPr="000736E1">
        <w:rPr>
          <w:rFonts w:ascii="Calibri" w:hAnsi="Calibri" w:cs="Calibri"/>
          <w:sz w:val="24"/>
          <w:szCs w:val="24"/>
        </w:rPr>
        <w:t xml:space="preserve"> 10 basis points o</w:t>
      </w:r>
      <w:r w:rsidR="00C375A6">
        <w:rPr>
          <w:rFonts w:ascii="Calibri" w:hAnsi="Calibri" w:cs="Calibri"/>
          <w:sz w:val="24"/>
          <w:szCs w:val="24"/>
        </w:rPr>
        <w:t>f</w:t>
      </w:r>
      <w:r w:rsidR="00C375A6" w:rsidRPr="000736E1">
        <w:rPr>
          <w:rFonts w:ascii="Calibri" w:hAnsi="Calibri" w:cs="Calibri"/>
          <w:sz w:val="24"/>
          <w:szCs w:val="24"/>
        </w:rPr>
        <w:t xml:space="preserve"> the amount borrowed</w:t>
      </w:r>
      <w:r w:rsidR="00C375A6">
        <w:rPr>
          <w:rFonts w:ascii="Calibri" w:hAnsi="Calibri" w:cs="Calibri"/>
          <w:sz w:val="24"/>
          <w:szCs w:val="24"/>
        </w:rPr>
        <w:t>)</w:t>
      </w:r>
      <w:r>
        <w:rPr>
          <w:rFonts w:ascii="Calibri" w:hAnsi="Calibri" w:cs="Calibri"/>
          <w:sz w:val="24"/>
          <w:szCs w:val="24"/>
        </w:rPr>
        <w:t>.</w:t>
      </w:r>
    </w:p>
    <w:bookmarkEnd w:id="0"/>
    <w:p w14:paraId="4D7A1B14" w14:textId="5B2CF9E2" w:rsidR="004D09CE" w:rsidRPr="005B0195" w:rsidRDefault="005D2422" w:rsidP="000072A8">
      <w:pPr>
        <w:pStyle w:val="TM2"/>
        <w:rPr>
          <w:rFonts w:ascii="Calibri" w:hAnsi="Calibri" w:cs="Calibri"/>
          <w:sz w:val="24"/>
          <w:szCs w:val="24"/>
        </w:rPr>
      </w:pPr>
      <w:r w:rsidRPr="005B0195">
        <w:rPr>
          <w:rFonts w:ascii="Calibri" w:hAnsi="Calibri" w:cs="Calibri"/>
          <w:sz w:val="24"/>
          <w:szCs w:val="24"/>
        </w:rPr>
        <w:t>The Authority a</w:t>
      </w:r>
      <w:r w:rsidR="004D09CE" w:rsidRPr="005B0195">
        <w:rPr>
          <w:rFonts w:ascii="Calibri" w:hAnsi="Calibri" w:cs="Calibri"/>
          <w:sz w:val="24"/>
          <w:szCs w:val="24"/>
        </w:rPr>
        <w:t>gainst this background and the risks within the economic forecast, caution will be adopted with the 202</w:t>
      </w:r>
      <w:r w:rsidR="002834E5" w:rsidRPr="005B0195">
        <w:rPr>
          <w:rFonts w:ascii="Calibri" w:hAnsi="Calibri" w:cs="Calibri"/>
          <w:sz w:val="24"/>
          <w:szCs w:val="24"/>
        </w:rPr>
        <w:t>3</w:t>
      </w:r>
      <w:r w:rsidR="00517369" w:rsidRPr="005B0195">
        <w:rPr>
          <w:rFonts w:ascii="Calibri" w:hAnsi="Calibri" w:cs="Calibri"/>
          <w:sz w:val="24"/>
          <w:szCs w:val="24"/>
        </w:rPr>
        <w:t>/</w:t>
      </w:r>
      <w:r w:rsidR="004D09CE" w:rsidRPr="005B0195">
        <w:rPr>
          <w:rFonts w:ascii="Calibri" w:hAnsi="Calibri" w:cs="Calibri"/>
          <w:sz w:val="24"/>
          <w:szCs w:val="24"/>
        </w:rPr>
        <w:t>2</w:t>
      </w:r>
      <w:r w:rsidR="002834E5" w:rsidRPr="005B0195">
        <w:rPr>
          <w:rFonts w:ascii="Calibri" w:hAnsi="Calibri" w:cs="Calibri"/>
          <w:sz w:val="24"/>
          <w:szCs w:val="24"/>
        </w:rPr>
        <w:t>4</w:t>
      </w:r>
      <w:r w:rsidR="004D09CE" w:rsidRPr="005B0195">
        <w:rPr>
          <w:rFonts w:ascii="Calibri" w:hAnsi="Calibri" w:cs="Calibri"/>
          <w:sz w:val="24"/>
          <w:szCs w:val="24"/>
        </w:rPr>
        <w:t xml:space="preserve"> treasury operations.  The Joint Finance Team will monitor interest rates in financial markets and regularly brief the Chief Finance Officer so the</w:t>
      </w:r>
      <w:r w:rsidR="0064222E" w:rsidRPr="005B0195">
        <w:rPr>
          <w:rFonts w:ascii="Calibri" w:hAnsi="Calibri" w:cs="Calibri"/>
          <w:sz w:val="24"/>
          <w:szCs w:val="24"/>
        </w:rPr>
        <w:t xml:space="preserve"> Authority</w:t>
      </w:r>
      <w:r w:rsidR="004D09CE" w:rsidRPr="005B0195">
        <w:rPr>
          <w:rFonts w:ascii="Calibri" w:hAnsi="Calibri" w:cs="Calibri"/>
          <w:sz w:val="24"/>
          <w:szCs w:val="24"/>
        </w:rPr>
        <w:t xml:space="preserve"> may adopt a pragmatic approach to changing circumstances.  For example:</w:t>
      </w:r>
    </w:p>
    <w:p w14:paraId="606DA69B" w14:textId="6466848C"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 xml:space="preserve">If it was felt that there was a significant risk of a sharp </w:t>
      </w:r>
      <w:r w:rsidRPr="005B0195">
        <w:rPr>
          <w:rFonts w:ascii="Calibri" w:hAnsi="Calibri" w:cs="Calibri"/>
          <w:sz w:val="24"/>
          <w:szCs w:val="24"/>
          <w:u w:val="single"/>
        </w:rPr>
        <w:t>FALL</w:t>
      </w:r>
      <w:r w:rsidRPr="005B0195">
        <w:rPr>
          <w:rFonts w:ascii="Calibri" w:hAnsi="Calibri" w:cs="Calibri"/>
          <w:sz w:val="24"/>
          <w:szCs w:val="24"/>
        </w:rPr>
        <w:t xml:space="preserve"> of 25% or more in long and short term rates (</w:t>
      </w:r>
      <w:proofErr w:type="spellStart"/>
      <w:r w:rsidRPr="005B0195">
        <w:rPr>
          <w:rFonts w:ascii="Calibri" w:hAnsi="Calibri" w:cs="Calibri"/>
          <w:sz w:val="24"/>
          <w:szCs w:val="24"/>
        </w:rPr>
        <w:t>eg.</w:t>
      </w:r>
      <w:proofErr w:type="spellEnd"/>
      <w:r w:rsidRPr="005B0195">
        <w:rPr>
          <w:rFonts w:ascii="Calibri" w:hAnsi="Calibri" w:cs="Calibri"/>
          <w:sz w:val="24"/>
          <w:szCs w:val="24"/>
        </w:rPr>
        <w:t xml:space="preserve"> due to a marked increase of risks around a relapse into recession or of risks of deflation), then long term borrowings may be postponed and potential rescheduling from fixed rate funding into short term borrowing considered (where appropriate);</w:t>
      </w:r>
    </w:p>
    <w:p w14:paraId="2E715F0B" w14:textId="7202C5D8" w:rsidR="000D1131" w:rsidRPr="00867135" w:rsidRDefault="004D09CE" w:rsidP="00867135">
      <w:pPr>
        <w:pStyle w:val="TMBullets"/>
        <w:rPr>
          <w:rFonts w:ascii="Calibri" w:hAnsi="Calibri" w:cs="Calibri"/>
          <w:sz w:val="24"/>
          <w:szCs w:val="24"/>
        </w:rPr>
      </w:pPr>
      <w:r w:rsidRPr="005B0195">
        <w:rPr>
          <w:rFonts w:ascii="Calibri" w:hAnsi="Calibri" w:cs="Calibri"/>
          <w:sz w:val="24"/>
          <w:szCs w:val="24"/>
        </w:rPr>
        <w:t xml:space="preserve">If it was felt that there was a significant risk of a much sharper </w:t>
      </w:r>
      <w:r w:rsidRPr="005B0195">
        <w:rPr>
          <w:rFonts w:ascii="Calibri" w:hAnsi="Calibri" w:cs="Calibri"/>
          <w:sz w:val="24"/>
          <w:szCs w:val="24"/>
          <w:u w:val="single"/>
        </w:rPr>
        <w:t>RISE</w:t>
      </w:r>
      <w:r w:rsidRPr="005B0195">
        <w:rPr>
          <w:rFonts w:ascii="Calibri" w:hAnsi="Calibri" w:cs="Calibri"/>
          <w:sz w:val="24"/>
          <w:szCs w:val="24"/>
        </w:rPr>
        <w:t xml:space="preserve"> of 25% or more in long and short term rates than that currently forecast (</w:t>
      </w:r>
      <w:proofErr w:type="spellStart"/>
      <w:r w:rsidRPr="005B0195">
        <w:rPr>
          <w:rFonts w:ascii="Calibri" w:hAnsi="Calibri" w:cs="Calibri"/>
          <w:sz w:val="24"/>
          <w:szCs w:val="24"/>
        </w:rPr>
        <w:t>eg.</w:t>
      </w:r>
      <w:proofErr w:type="spellEnd"/>
      <w:r w:rsidRPr="005B0195">
        <w:rPr>
          <w:rFonts w:ascii="Calibri" w:hAnsi="Calibri" w:cs="Calibri"/>
          <w:sz w:val="24"/>
          <w:szCs w:val="24"/>
        </w:rPr>
        <w:t xml:space="preserve"> arising from an acceleration in the start date and rate of increase in central rates in the USA and UK) then the portfolio position will be re-appraised.  This may include drawing fixed rate funding whilst interest rates are lower than they are projected to be in the next few years.</w:t>
      </w:r>
    </w:p>
    <w:p w14:paraId="56AE3342"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Prudential &amp; Treasury Indicators</w:t>
      </w:r>
    </w:p>
    <w:p w14:paraId="73F15812" w14:textId="7825AE2D" w:rsidR="004D09CE" w:rsidRPr="00D0562D" w:rsidRDefault="004D09CE" w:rsidP="004D09CE">
      <w:pPr>
        <w:pStyle w:val="TM2"/>
        <w:rPr>
          <w:rFonts w:ascii="Calibri" w:hAnsi="Calibri" w:cs="Calibri"/>
          <w:sz w:val="24"/>
          <w:szCs w:val="24"/>
        </w:rPr>
      </w:pPr>
      <w:r w:rsidRPr="00D0562D">
        <w:rPr>
          <w:rFonts w:ascii="Calibri" w:hAnsi="Calibri" w:cs="Calibri"/>
          <w:sz w:val="24"/>
          <w:szCs w:val="24"/>
        </w:rPr>
        <w:t>There is a requirement under the Local Government Act 2003 for Authorities to have regard to CIPFA’s Prudential Code for Capital Finance in Local Authorities (the “CIPFA Prudential Code”) when setting and reviewing their Prudential Indicators. The Prudential Code was</w:t>
      </w:r>
      <w:r w:rsidR="006C55FA" w:rsidRPr="00D0562D">
        <w:rPr>
          <w:rFonts w:ascii="Calibri" w:hAnsi="Calibri" w:cs="Calibri"/>
          <w:sz w:val="24"/>
          <w:szCs w:val="24"/>
        </w:rPr>
        <w:t xml:space="preserve"> most</w:t>
      </w:r>
      <w:r w:rsidRPr="00D0562D">
        <w:rPr>
          <w:rFonts w:ascii="Calibri" w:hAnsi="Calibri" w:cs="Calibri"/>
          <w:sz w:val="24"/>
          <w:szCs w:val="24"/>
        </w:rPr>
        <w:t xml:space="preserve"> recently updated in 20</w:t>
      </w:r>
      <w:r w:rsidR="006C55FA" w:rsidRPr="00D0562D">
        <w:rPr>
          <w:rFonts w:ascii="Calibri" w:hAnsi="Calibri" w:cs="Calibri"/>
          <w:sz w:val="24"/>
          <w:szCs w:val="24"/>
        </w:rPr>
        <w:t>21.</w:t>
      </w:r>
    </w:p>
    <w:p w14:paraId="62C562AE" w14:textId="22E28500" w:rsidR="00671668" w:rsidRDefault="004D09CE" w:rsidP="000D1131">
      <w:pPr>
        <w:pStyle w:val="TM2"/>
        <w:rPr>
          <w:rFonts w:ascii="Calibri" w:hAnsi="Calibri" w:cs="Calibri"/>
          <w:sz w:val="24"/>
          <w:szCs w:val="24"/>
        </w:rPr>
      </w:pPr>
      <w:r w:rsidRPr="005B0195">
        <w:rPr>
          <w:rFonts w:ascii="Calibri" w:hAnsi="Calibri" w:cs="Calibri"/>
          <w:sz w:val="24"/>
          <w:szCs w:val="24"/>
        </w:rPr>
        <w:t>A full set of Prudential Indicators and Borrowing Limits are shown in Appendix 2.</w:t>
      </w:r>
    </w:p>
    <w:p w14:paraId="67150B4B" w14:textId="77777777" w:rsidR="007B66C2" w:rsidRPr="000D1131" w:rsidRDefault="007B66C2" w:rsidP="007B66C2">
      <w:pPr>
        <w:pStyle w:val="TM2"/>
        <w:numPr>
          <w:ilvl w:val="0"/>
          <w:numId w:val="0"/>
        </w:numPr>
        <w:ind w:left="709"/>
        <w:rPr>
          <w:rFonts w:ascii="Calibri" w:hAnsi="Calibri" w:cs="Calibri"/>
          <w:sz w:val="24"/>
          <w:szCs w:val="24"/>
        </w:rPr>
      </w:pPr>
    </w:p>
    <w:p w14:paraId="1FB12FF3" w14:textId="3D0E259A" w:rsidR="004D09CE" w:rsidRPr="005B0195" w:rsidRDefault="004D09CE" w:rsidP="004D09CE">
      <w:pPr>
        <w:pStyle w:val="TM1"/>
        <w:rPr>
          <w:rFonts w:ascii="Calibri" w:hAnsi="Calibri" w:cs="Calibri"/>
          <w:sz w:val="24"/>
          <w:szCs w:val="24"/>
        </w:rPr>
      </w:pPr>
      <w:r w:rsidRPr="005B0195">
        <w:rPr>
          <w:rFonts w:ascii="Calibri" w:hAnsi="Calibri" w:cs="Calibri"/>
          <w:sz w:val="24"/>
          <w:szCs w:val="24"/>
        </w:rPr>
        <w:lastRenderedPageBreak/>
        <w:t>Policy on Borrowing in Advance of Need</w:t>
      </w:r>
    </w:p>
    <w:p w14:paraId="6B893FA9" w14:textId="23EB75EC"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’s policy is to keep cash balances as low as possible and not to borrow in advance of need for capital purposes, whilst ensuring that cash is available to make payments when they become due.  </w:t>
      </w:r>
      <w:r w:rsidR="000D1131" w:rsidRPr="000736E1">
        <w:rPr>
          <w:rFonts w:ascii="Calibri" w:hAnsi="Calibri" w:cs="Calibri"/>
          <w:sz w:val="24"/>
          <w:szCs w:val="24"/>
        </w:rPr>
        <w:t xml:space="preserve">However, this </w:t>
      </w:r>
      <w:r w:rsidR="000D1131">
        <w:rPr>
          <w:rFonts w:ascii="Calibri" w:hAnsi="Calibri" w:cs="Calibri"/>
          <w:sz w:val="24"/>
          <w:szCs w:val="24"/>
        </w:rPr>
        <w:t>policy may</w:t>
      </w:r>
      <w:r w:rsidR="000D1131" w:rsidRPr="000736E1">
        <w:rPr>
          <w:rFonts w:ascii="Calibri" w:hAnsi="Calibri" w:cs="Calibri"/>
          <w:sz w:val="24"/>
          <w:szCs w:val="24"/>
        </w:rPr>
        <w:t xml:space="preserve"> be reviewed should it be prudent to do so</w:t>
      </w:r>
      <w:r w:rsidR="000D1131">
        <w:rPr>
          <w:rFonts w:ascii="Calibri" w:hAnsi="Calibri" w:cs="Calibri"/>
          <w:sz w:val="24"/>
          <w:szCs w:val="24"/>
        </w:rPr>
        <w:t>, subject to support by the Chief Finance Officer.</w:t>
      </w:r>
    </w:p>
    <w:p w14:paraId="0B5C340E"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Debt Rescheduling</w:t>
      </w:r>
    </w:p>
    <w:p w14:paraId="6B45A1B9" w14:textId="7C63CD4C"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may reschedule debt if it is prudent to do so.  The reasons for any rescheduling to take place may include: </w:t>
      </w:r>
    </w:p>
    <w:p w14:paraId="695A2F97" w14:textId="2995C235"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the generation of cash savings and/or discounted cash flow savings</w:t>
      </w:r>
    </w:p>
    <w:p w14:paraId="43E09796" w14:textId="5B18A7DD"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helping to fulfil the treasury strategy</w:t>
      </w:r>
    </w:p>
    <w:p w14:paraId="1A242644" w14:textId="5BECB6E7"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Enhance the balance of the portfolio (amend the maturity profile and/or the balance of volatility)</w:t>
      </w:r>
    </w:p>
    <w:p w14:paraId="77DCD132"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Any rescheduling activity decision must be recommended by the Chief Finance Officer, and reported in the next Treasury Management report following its action.</w:t>
      </w:r>
    </w:p>
    <w:p w14:paraId="6D526AD7"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Minimum Revenue Provision</w:t>
      </w:r>
    </w:p>
    <w:p w14:paraId="0DD9A7BB" w14:textId="5C91935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is required to repay annually an element of its outstanding capital expenditure which has not yet been paid for from either revenue or capital resources (the CFR).  This is achieved through a revenue charge known as the Minimum Revenue Provision (MRP).  It is also allowed to undertake additional voluntary payments (Voluntary Revenue Provision - VRP).</w:t>
      </w:r>
    </w:p>
    <w:p w14:paraId="52E04C6B" w14:textId="7E4C74DC" w:rsidR="00EE04F9" w:rsidRPr="00867135" w:rsidRDefault="00517369" w:rsidP="00867135">
      <w:pPr>
        <w:pStyle w:val="TM2"/>
        <w:rPr>
          <w:rFonts w:ascii="Calibri" w:hAnsi="Calibri" w:cs="Calibri"/>
          <w:sz w:val="24"/>
          <w:szCs w:val="24"/>
        </w:rPr>
      </w:pPr>
      <w:r w:rsidRPr="005B0195">
        <w:rPr>
          <w:rFonts w:ascii="Calibri" w:hAnsi="Calibri" w:cs="Calibri"/>
          <w:sz w:val="24"/>
          <w:szCs w:val="24"/>
        </w:rPr>
        <w:t>DLUHC</w:t>
      </w:r>
      <w:r w:rsidR="004D09CE" w:rsidRPr="005B0195">
        <w:rPr>
          <w:rFonts w:ascii="Calibri" w:hAnsi="Calibri" w:cs="Calibri"/>
          <w:sz w:val="24"/>
          <w:szCs w:val="24"/>
        </w:rPr>
        <w:t xml:space="preserve"> Regulations have been issued which requires the</w:t>
      </w:r>
      <w:r w:rsidR="0064222E" w:rsidRPr="005B0195">
        <w:rPr>
          <w:rFonts w:ascii="Calibri" w:hAnsi="Calibri" w:cs="Calibri"/>
          <w:sz w:val="24"/>
          <w:szCs w:val="24"/>
        </w:rPr>
        <w:t xml:space="preserve"> Authority</w:t>
      </w:r>
      <w:r w:rsidR="004D09CE" w:rsidRPr="005B0195">
        <w:rPr>
          <w:rFonts w:ascii="Calibri" w:hAnsi="Calibri" w:cs="Calibri"/>
          <w:sz w:val="24"/>
          <w:szCs w:val="24"/>
        </w:rPr>
        <w:t xml:space="preserve"> to approve an MRP Statement in advance of each year.  A variety of options are provided so long as there is a prudent provision.  The</w:t>
      </w:r>
      <w:r w:rsidR="0064222E" w:rsidRPr="005B0195">
        <w:rPr>
          <w:rFonts w:ascii="Calibri" w:hAnsi="Calibri" w:cs="Calibri"/>
          <w:sz w:val="24"/>
          <w:szCs w:val="24"/>
        </w:rPr>
        <w:t xml:space="preserve"> Authority</w:t>
      </w:r>
      <w:r w:rsidR="004D09CE" w:rsidRPr="005B0195">
        <w:rPr>
          <w:rFonts w:ascii="Calibri" w:hAnsi="Calibri" w:cs="Calibri"/>
          <w:sz w:val="24"/>
          <w:szCs w:val="24"/>
        </w:rPr>
        <w:t xml:space="preserve"> is recommended to approve the MRP Policy in Appendix 3 which sets out how MRP will be charged against particular asset types or other forms of capital expenditure.</w:t>
      </w:r>
    </w:p>
    <w:p w14:paraId="2C1172E4"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Investment Strategy</w:t>
      </w:r>
    </w:p>
    <w:p w14:paraId="34714EE6"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Government guidance on Local Government Investments in England requires that an Annual Investment Strategy (AIS) be set.  The Guidance permits the Treasury Management Strategy Statement (TMSS) and the AIS to be combined into one document.</w:t>
      </w:r>
    </w:p>
    <w:p w14:paraId="79EC9EA0" w14:textId="2331B228"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’s general policy objective is to invest its surplus funds prudently. </w:t>
      </w:r>
      <w:r w:rsidR="000D1131">
        <w:rPr>
          <w:rFonts w:ascii="Calibri" w:hAnsi="Calibri" w:cs="Calibri"/>
          <w:sz w:val="24"/>
          <w:szCs w:val="24"/>
        </w:rPr>
        <w:t xml:space="preserve"> </w:t>
      </w:r>
      <w:r w:rsidRPr="005B0195">
        <w:rPr>
          <w:rFonts w:ascii="Calibri" w:hAnsi="Calibri" w:cs="Calibri"/>
          <w:sz w:val="24"/>
          <w:szCs w:val="24"/>
        </w:rPr>
        <w:t>As such the</w:t>
      </w:r>
      <w:r w:rsidR="0064222E" w:rsidRPr="005B0195">
        <w:rPr>
          <w:rFonts w:ascii="Calibri" w:hAnsi="Calibri" w:cs="Calibri"/>
          <w:sz w:val="24"/>
          <w:szCs w:val="24"/>
        </w:rPr>
        <w:t xml:space="preserve"> Authority</w:t>
      </w:r>
      <w:r w:rsidRPr="005B0195">
        <w:rPr>
          <w:rFonts w:ascii="Calibri" w:hAnsi="Calibri" w:cs="Calibri"/>
          <w:sz w:val="24"/>
          <w:szCs w:val="24"/>
        </w:rPr>
        <w:t>’s investment priorities, in priority order, are:</w:t>
      </w:r>
    </w:p>
    <w:p w14:paraId="058E4E80" w14:textId="45B956FE"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Security of the invested capital</w:t>
      </w:r>
    </w:p>
    <w:p w14:paraId="3F66270B" w14:textId="728778BF"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Liquidity of the invested capital</w:t>
      </w:r>
    </w:p>
    <w:p w14:paraId="5FC696DF" w14:textId="5DC1055C" w:rsidR="004D09CE" w:rsidRPr="007B66C2" w:rsidRDefault="004D09CE" w:rsidP="007B66C2">
      <w:pPr>
        <w:pStyle w:val="TMBullets"/>
        <w:rPr>
          <w:rFonts w:ascii="Calibri" w:hAnsi="Calibri" w:cs="Calibri"/>
          <w:sz w:val="24"/>
          <w:szCs w:val="24"/>
        </w:rPr>
      </w:pPr>
      <w:r w:rsidRPr="005B0195">
        <w:rPr>
          <w:rFonts w:ascii="Calibri" w:hAnsi="Calibri" w:cs="Calibri"/>
          <w:sz w:val="24"/>
          <w:szCs w:val="24"/>
        </w:rPr>
        <w:t>Yield received from the investment</w:t>
      </w:r>
    </w:p>
    <w:p w14:paraId="1071B626" w14:textId="6054A8E6" w:rsidR="00DA50DD" w:rsidRPr="005B0195" w:rsidRDefault="00DA50DD" w:rsidP="004D09CE">
      <w:pPr>
        <w:pStyle w:val="TM2"/>
        <w:rPr>
          <w:rFonts w:ascii="Calibri" w:hAnsi="Calibri" w:cs="Calibri"/>
          <w:sz w:val="24"/>
          <w:szCs w:val="24"/>
        </w:rPr>
      </w:pPr>
      <w:r w:rsidRPr="005B0195">
        <w:rPr>
          <w:rFonts w:ascii="Calibri" w:hAnsi="Calibri" w:cs="Calibri"/>
          <w:sz w:val="24"/>
          <w:szCs w:val="24"/>
        </w:rPr>
        <w:lastRenderedPageBreak/>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expects to </w:t>
      </w:r>
      <w:r w:rsidR="004020CB">
        <w:rPr>
          <w:rFonts w:ascii="Calibri" w:hAnsi="Calibri" w:cs="Calibri"/>
          <w:sz w:val="24"/>
          <w:szCs w:val="24"/>
        </w:rPr>
        <w:t>i</w:t>
      </w:r>
      <w:r w:rsidRPr="005B0195">
        <w:rPr>
          <w:rFonts w:ascii="Calibri" w:hAnsi="Calibri" w:cs="Calibri"/>
          <w:sz w:val="24"/>
          <w:szCs w:val="24"/>
        </w:rPr>
        <w:t xml:space="preserve">nvest all surplus funding and is forecast over the medium term that interest rate returns are expected to increase. </w:t>
      </w:r>
      <w:r w:rsidR="00132CE6">
        <w:rPr>
          <w:rFonts w:ascii="Calibri" w:hAnsi="Calibri" w:cs="Calibri"/>
          <w:sz w:val="24"/>
          <w:szCs w:val="24"/>
        </w:rPr>
        <w:t xml:space="preserve"> </w:t>
      </w:r>
      <w:r w:rsidRPr="005B0195">
        <w:rPr>
          <w:rFonts w:ascii="Calibri" w:hAnsi="Calibri" w:cs="Calibri"/>
          <w:sz w:val="24"/>
          <w:szCs w:val="24"/>
        </w:rPr>
        <w:t>The average cash balances from those is expected to remain consistent with peaks in July following the receipt of grant income with reductions in available levels through to the end of each financial year.</w:t>
      </w:r>
      <w:r w:rsidR="00132CE6">
        <w:rPr>
          <w:rFonts w:ascii="Calibri" w:hAnsi="Calibri" w:cs="Calibri"/>
          <w:sz w:val="24"/>
          <w:szCs w:val="24"/>
        </w:rPr>
        <w:t xml:space="preserve"> </w:t>
      </w:r>
      <w:r w:rsidRPr="005B0195">
        <w:rPr>
          <w:rFonts w:ascii="Calibri" w:hAnsi="Calibri" w:cs="Calibri"/>
          <w:sz w:val="24"/>
          <w:szCs w:val="24"/>
        </w:rPr>
        <w:t xml:space="preserve"> </w:t>
      </w:r>
      <w:bookmarkStart w:id="1" w:name="_Hlk124257186"/>
      <w:r w:rsidR="004020CB">
        <w:rPr>
          <w:rFonts w:ascii="Calibri" w:hAnsi="Calibri" w:cs="Calibri"/>
          <w:sz w:val="24"/>
          <w:szCs w:val="24"/>
        </w:rPr>
        <w:t>An estimate of</w:t>
      </w:r>
      <w:r w:rsidRPr="005B0195">
        <w:rPr>
          <w:rFonts w:ascii="Calibri" w:hAnsi="Calibri" w:cs="Calibri"/>
          <w:sz w:val="24"/>
          <w:szCs w:val="24"/>
        </w:rPr>
        <w:t xml:space="preserve"> </w:t>
      </w:r>
      <w:r w:rsidR="00132CE6">
        <w:rPr>
          <w:rFonts w:ascii="Calibri" w:hAnsi="Calibri" w:cs="Calibri"/>
          <w:sz w:val="24"/>
          <w:szCs w:val="24"/>
        </w:rPr>
        <w:t>possible</w:t>
      </w:r>
      <w:r w:rsidRPr="005B0195">
        <w:rPr>
          <w:rFonts w:ascii="Calibri" w:hAnsi="Calibri" w:cs="Calibri"/>
          <w:sz w:val="24"/>
          <w:szCs w:val="24"/>
        </w:rPr>
        <w:t xml:space="preserve"> income is as follows</w:t>
      </w:r>
      <w:r w:rsidR="00132CE6">
        <w:rPr>
          <w:rFonts w:ascii="Calibri" w:hAnsi="Calibri" w:cs="Calibri"/>
          <w:sz w:val="24"/>
          <w:szCs w:val="24"/>
        </w:rPr>
        <w:t>, which is higher than the Authority’s more prudent forecast in the medium term financial plan</w:t>
      </w:r>
      <w:r w:rsidR="00517369" w:rsidRPr="005B0195">
        <w:rPr>
          <w:rFonts w:ascii="Calibri" w:hAnsi="Calibri" w:cs="Calibri"/>
          <w:sz w:val="24"/>
          <w:szCs w:val="24"/>
        </w:rPr>
        <w:t>:</w:t>
      </w:r>
      <w:bookmarkEnd w:id="1"/>
    </w:p>
    <w:p w14:paraId="6A9711CB" w14:textId="55EA1C6B" w:rsidR="00DA50DD" w:rsidRPr="000D1131" w:rsidRDefault="004020CB" w:rsidP="000D1131">
      <w:pPr>
        <w:pStyle w:val="TM2"/>
        <w:numPr>
          <w:ilvl w:val="0"/>
          <w:numId w:val="0"/>
        </w:numPr>
        <w:ind w:left="709"/>
        <w:rPr>
          <w:rFonts w:ascii="Calibri" w:hAnsi="Calibri" w:cs="Calibri"/>
          <w:sz w:val="24"/>
          <w:szCs w:val="24"/>
        </w:rPr>
      </w:pPr>
      <w:r w:rsidRPr="004020CB">
        <w:drawing>
          <wp:inline distT="0" distB="0" distL="0" distR="0" wp14:anchorId="3EB2A08B" wp14:editId="389076B4">
            <wp:extent cx="5731510" cy="1021080"/>
            <wp:effectExtent l="0" t="0" r="2540" b="7620"/>
            <wp:docPr id="5" name="Picture 5" descr="A table which shows the assumed level of income from interest receivable for each financial year from £120k in 2022-23 to £75k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able which shows the assumed level of income from interest receivable for each financial year from £120k in 2022-23 to £75k in 202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021080"/>
                    </a:xfrm>
                    <a:prstGeom prst="rect">
                      <a:avLst/>
                    </a:prstGeom>
                    <a:noFill/>
                    <a:ln>
                      <a:noFill/>
                    </a:ln>
                  </pic:spPr>
                </pic:pic>
              </a:graphicData>
            </a:graphic>
          </wp:inline>
        </w:drawing>
      </w:r>
    </w:p>
    <w:p w14:paraId="6096D5A8" w14:textId="0287000A"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’s Investment Strategy is shown in Appendix 4.</w:t>
      </w:r>
    </w:p>
    <w:p w14:paraId="158F7669"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Risk Analysis and Forecast Sensitivity</w:t>
      </w:r>
    </w:p>
    <w:p w14:paraId="3BBE4E98"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Risk Management</w:t>
      </w:r>
    </w:p>
    <w:p w14:paraId="0ED9FCC1" w14:textId="764015E5"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regards the successful identification, monitoring and control of risk to be the prime criteria by which the effectiveness of its treasury management activities will be measured.  Treasury management risks are identified in the</w:t>
      </w:r>
      <w:r w:rsidR="0064222E" w:rsidRPr="005B0195">
        <w:rPr>
          <w:rFonts w:ascii="Calibri" w:hAnsi="Calibri" w:cs="Calibri"/>
          <w:sz w:val="24"/>
          <w:szCs w:val="24"/>
        </w:rPr>
        <w:t xml:space="preserve"> Authority</w:t>
      </w:r>
      <w:r w:rsidRPr="005B0195">
        <w:rPr>
          <w:rFonts w:ascii="Calibri" w:hAnsi="Calibri" w:cs="Calibri"/>
          <w:sz w:val="24"/>
          <w:szCs w:val="24"/>
        </w:rPr>
        <w:t>’s approved Treasury Management Practices.</w:t>
      </w:r>
    </w:p>
    <w:p w14:paraId="3977964E" w14:textId="3476B2F2"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w:t>
      </w:r>
      <w:r w:rsidR="000D1131" w:rsidRPr="000736E1">
        <w:rPr>
          <w:rFonts w:ascii="Calibri" w:hAnsi="Calibri" w:cs="Calibri"/>
          <w:sz w:val="24"/>
          <w:szCs w:val="24"/>
        </w:rPr>
        <w:t xml:space="preserve">Schedule of Treasury Management Practices </w:t>
      </w:r>
      <w:r w:rsidRPr="005B0195">
        <w:rPr>
          <w:rFonts w:ascii="Calibri" w:hAnsi="Calibri" w:cs="Calibri"/>
          <w:sz w:val="24"/>
          <w:szCs w:val="24"/>
        </w:rPr>
        <w:t>set out the ways in which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seeks to mitigate these risks.  Examples are the segregation of duties (to counter fraud, error and corruption), and the use of creditworthiness criteria and counterparty limits (to minimise credit and counterparty risk).  Officers will monitor these risks closely. </w:t>
      </w:r>
    </w:p>
    <w:p w14:paraId="3BCDFAFD"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Sensitivity of the Forecast</w:t>
      </w:r>
    </w:p>
    <w:p w14:paraId="68228EC7" w14:textId="72DAC14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 sensitivity of the forecast is linked primarily to movements in interest rates and in cash balances, both of which can be volatile. Interest rates in particular are subject to global external influences over which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has no control.</w:t>
      </w:r>
    </w:p>
    <w:p w14:paraId="10CC6474" w14:textId="64BD8238"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Both interest rates and cash balances will be monitored closely throughout the year and potential impacts on the</w:t>
      </w:r>
      <w:r w:rsidR="0064222E" w:rsidRPr="005B0195">
        <w:rPr>
          <w:rFonts w:ascii="Calibri" w:hAnsi="Calibri" w:cs="Calibri"/>
          <w:sz w:val="24"/>
          <w:szCs w:val="24"/>
        </w:rPr>
        <w:t xml:space="preserve"> Authority</w:t>
      </w:r>
      <w:r w:rsidRPr="005B0195">
        <w:rPr>
          <w:rFonts w:ascii="Calibri" w:hAnsi="Calibri" w:cs="Calibri"/>
          <w:sz w:val="24"/>
          <w:szCs w:val="24"/>
        </w:rPr>
        <w:t>’s debt financing budget will be assessed. Action will be taken as appropriate, within the limits of the TMP Schedules and the treasury strategy, and in line with the</w:t>
      </w:r>
      <w:r w:rsidR="0064222E" w:rsidRPr="005B0195">
        <w:rPr>
          <w:rFonts w:ascii="Calibri" w:hAnsi="Calibri" w:cs="Calibri"/>
          <w:sz w:val="24"/>
          <w:szCs w:val="24"/>
        </w:rPr>
        <w:t xml:space="preserve"> Authority</w:t>
      </w:r>
      <w:r w:rsidRPr="005B0195">
        <w:rPr>
          <w:rFonts w:ascii="Calibri" w:hAnsi="Calibri" w:cs="Calibri"/>
          <w:sz w:val="24"/>
          <w:szCs w:val="24"/>
        </w:rPr>
        <w:t>’s risk appetite, to keep negative variations to a minimum. Any significant variations will be reported in the next available Treasury Management report.</w:t>
      </w:r>
    </w:p>
    <w:p w14:paraId="1E5F057F"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Capital Strategy</w:t>
      </w:r>
    </w:p>
    <w:p w14:paraId="3E629322" w14:textId="10DDD523"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CIPFA’s revised 2017 Prudential and Treasury Management Codes requires all</w:t>
      </w:r>
      <w:r w:rsidR="0064222E" w:rsidRPr="005B0195">
        <w:rPr>
          <w:rFonts w:ascii="Calibri" w:hAnsi="Calibri" w:cs="Calibri"/>
          <w:sz w:val="24"/>
          <w:szCs w:val="24"/>
        </w:rPr>
        <w:t xml:space="preserve"> </w:t>
      </w:r>
      <w:r w:rsidR="00517369" w:rsidRPr="005B0195">
        <w:rPr>
          <w:rFonts w:ascii="Calibri" w:hAnsi="Calibri" w:cs="Calibri"/>
          <w:sz w:val="24"/>
          <w:szCs w:val="24"/>
        </w:rPr>
        <w:t>local authorities</w:t>
      </w:r>
      <w:r w:rsidRPr="005B0195">
        <w:rPr>
          <w:rFonts w:ascii="Calibri" w:hAnsi="Calibri" w:cs="Calibri"/>
          <w:sz w:val="24"/>
          <w:szCs w:val="24"/>
        </w:rPr>
        <w:t xml:space="preserve">, </w:t>
      </w:r>
      <w:r w:rsidR="00AE6A32" w:rsidRPr="005B0195">
        <w:rPr>
          <w:rFonts w:ascii="Calibri" w:hAnsi="Calibri" w:cs="Calibri"/>
          <w:sz w:val="24"/>
          <w:szCs w:val="24"/>
        </w:rPr>
        <w:t>to have in place</w:t>
      </w:r>
      <w:r w:rsidR="004A6B38" w:rsidRPr="005B0195">
        <w:rPr>
          <w:rFonts w:ascii="Calibri" w:hAnsi="Calibri" w:cs="Calibri"/>
          <w:sz w:val="24"/>
          <w:szCs w:val="24"/>
        </w:rPr>
        <w:t xml:space="preserve"> </w:t>
      </w:r>
      <w:r w:rsidR="00AE6A32" w:rsidRPr="005B0195">
        <w:rPr>
          <w:rFonts w:ascii="Calibri" w:hAnsi="Calibri" w:cs="Calibri"/>
          <w:sz w:val="24"/>
          <w:szCs w:val="24"/>
        </w:rPr>
        <w:t xml:space="preserve">a </w:t>
      </w:r>
      <w:r w:rsidR="004A6B38" w:rsidRPr="005B0195">
        <w:rPr>
          <w:rFonts w:ascii="Calibri" w:hAnsi="Calibri" w:cs="Calibri"/>
          <w:sz w:val="24"/>
          <w:szCs w:val="24"/>
        </w:rPr>
        <w:t>C</w:t>
      </w:r>
      <w:r w:rsidRPr="005B0195">
        <w:rPr>
          <w:rFonts w:ascii="Calibri" w:hAnsi="Calibri" w:cs="Calibri"/>
          <w:sz w:val="24"/>
          <w:szCs w:val="24"/>
        </w:rPr>
        <w:t xml:space="preserve">apital </w:t>
      </w:r>
      <w:r w:rsidR="004A6B38" w:rsidRPr="005B0195">
        <w:rPr>
          <w:rFonts w:ascii="Calibri" w:hAnsi="Calibri" w:cs="Calibri"/>
          <w:sz w:val="24"/>
          <w:szCs w:val="24"/>
        </w:rPr>
        <w:t>S</w:t>
      </w:r>
      <w:r w:rsidRPr="005B0195">
        <w:rPr>
          <w:rFonts w:ascii="Calibri" w:hAnsi="Calibri" w:cs="Calibri"/>
          <w:sz w:val="24"/>
          <w:szCs w:val="24"/>
        </w:rPr>
        <w:t>trategy, which will provide the following:</w:t>
      </w:r>
    </w:p>
    <w:p w14:paraId="66B34974" w14:textId="68E42593"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lastRenderedPageBreak/>
        <w:t>a high-level long term overview of how capital expenditure, capital financing and treasury management activity contribute to the provision of services</w:t>
      </w:r>
    </w:p>
    <w:p w14:paraId="0715D9A3" w14:textId="608EFF47"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an overview of how the associated risk is managed</w:t>
      </w:r>
    </w:p>
    <w:p w14:paraId="6C4AE44E" w14:textId="20FB378E"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the implications for future financial sustainability</w:t>
      </w:r>
    </w:p>
    <w:p w14:paraId="102576FB" w14:textId="77777777" w:rsidR="004D09CE" w:rsidRPr="005B0195" w:rsidRDefault="004D09CE" w:rsidP="004D09CE">
      <w:pPr>
        <w:ind w:left="709"/>
        <w:jc w:val="both"/>
        <w:rPr>
          <w:rFonts w:ascii="Calibri" w:eastAsia="Times New Roman" w:hAnsi="Calibri" w:cs="Calibri"/>
          <w:bCs/>
        </w:rPr>
      </w:pPr>
    </w:p>
    <w:p w14:paraId="08522B5E" w14:textId="6E34C7B5"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aim of this </w:t>
      </w:r>
      <w:r w:rsidR="004A6B38" w:rsidRPr="005B0195">
        <w:rPr>
          <w:rFonts w:ascii="Calibri" w:hAnsi="Calibri" w:cs="Calibri"/>
          <w:sz w:val="24"/>
          <w:szCs w:val="24"/>
        </w:rPr>
        <w:t>C</w:t>
      </w:r>
      <w:r w:rsidRPr="005B0195">
        <w:rPr>
          <w:rFonts w:ascii="Calibri" w:hAnsi="Calibri" w:cs="Calibri"/>
          <w:sz w:val="24"/>
          <w:szCs w:val="24"/>
        </w:rPr>
        <w:t xml:space="preserve">apital </w:t>
      </w:r>
      <w:r w:rsidR="004A6B38" w:rsidRPr="005B0195">
        <w:rPr>
          <w:rFonts w:ascii="Calibri" w:hAnsi="Calibri" w:cs="Calibri"/>
          <w:sz w:val="24"/>
          <w:szCs w:val="24"/>
        </w:rPr>
        <w:t>S</w:t>
      </w:r>
      <w:r w:rsidRPr="005B0195">
        <w:rPr>
          <w:rFonts w:ascii="Calibri" w:hAnsi="Calibri" w:cs="Calibri"/>
          <w:sz w:val="24"/>
          <w:szCs w:val="24"/>
        </w:rPr>
        <w:t>trategy is to ensure a full understanding of the overall long-term policy objectives and resulting capital strategy requirements, governance procedures and risk appetite.</w:t>
      </w:r>
    </w:p>
    <w:p w14:paraId="1B06349A" w14:textId="5E25BD3D" w:rsidR="00F86814" w:rsidRPr="005B0195" w:rsidRDefault="00AE6A32" w:rsidP="00671668">
      <w:pPr>
        <w:pStyle w:val="TM2"/>
        <w:rPr>
          <w:rFonts w:ascii="Calibri" w:hAnsi="Calibri" w:cs="Calibri"/>
          <w:sz w:val="24"/>
          <w:szCs w:val="24"/>
        </w:rPr>
      </w:pPr>
      <w:r w:rsidRPr="005B0195">
        <w:rPr>
          <w:rFonts w:ascii="Calibri" w:hAnsi="Calibri" w:cs="Calibri"/>
          <w:sz w:val="24"/>
          <w:szCs w:val="24"/>
        </w:rPr>
        <w:t xml:space="preserve">NCFRA have a published Capital Strategy which </w:t>
      </w:r>
      <w:r w:rsidR="004A6B38" w:rsidRPr="005B0195">
        <w:rPr>
          <w:rFonts w:ascii="Calibri" w:hAnsi="Calibri" w:cs="Calibri"/>
          <w:sz w:val="24"/>
          <w:szCs w:val="24"/>
        </w:rPr>
        <w:t xml:space="preserve">is </w:t>
      </w:r>
      <w:r w:rsidRPr="005B0195">
        <w:rPr>
          <w:rFonts w:ascii="Calibri" w:hAnsi="Calibri" w:cs="Calibri"/>
          <w:sz w:val="24"/>
          <w:szCs w:val="24"/>
        </w:rPr>
        <w:t xml:space="preserve">aligned to the Fire and Rescue Plan. </w:t>
      </w:r>
      <w:r w:rsidR="004A6B38" w:rsidRPr="005B0195">
        <w:rPr>
          <w:rFonts w:ascii="Calibri" w:hAnsi="Calibri" w:cs="Calibri"/>
          <w:sz w:val="24"/>
          <w:szCs w:val="24"/>
        </w:rPr>
        <w:t xml:space="preserve"> </w:t>
      </w:r>
      <w:r w:rsidRPr="005B0195">
        <w:rPr>
          <w:rFonts w:ascii="Calibri" w:hAnsi="Calibri" w:cs="Calibri"/>
          <w:sz w:val="24"/>
          <w:szCs w:val="24"/>
        </w:rPr>
        <w:t xml:space="preserve">The PFCC </w:t>
      </w:r>
      <w:r w:rsidR="00287EDE" w:rsidRPr="005B0195">
        <w:rPr>
          <w:rFonts w:ascii="Calibri" w:hAnsi="Calibri" w:cs="Calibri"/>
          <w:sz w:val="24"/>
          <w:szCs w:val="24"/>
        </w:rPr>
        <w:t>has finalised</w:t>
      </w:r>
      <w:r w:rsidRPr="005B0195">
        <w:rPr>
          <w:rFonts w:ascii="Calibri" w:hAnsi="Calibri" w:cs="Calibri"/>
          <w:sz w:val="24"/>
          <w:szCs w:val="24"/>
        </w:rPr>
        <w:t xml:space="preserve"> a new Police, Fire and Rescue Plan </w:t>
      </w:r>
      <w:r w:rsidR="00287EDE" w:rsidRPr="005B0195">
        <w:rPr>
          <w:rFonts w:ascii="Calibri" w:hAnsi="Calibri" w:cs="Calibri"/>
          <w:sz w:val="24"/>
          <w:szCs w:val="24"/>
        </w:rPr>
        <w:t>which has been published</w:t>
      </w:r>
      <w:r w:rsidRPr="005B0195">
        <w:rPr>
          <w:rFonts w:ascii="Calibri" w:hAnsi="Calibri" w:cs="Calibri"/>
          <w:sz w:val="24"/>
          <w:szCs w:val="24"/>
        </w:rPr>
        <w:t xml:space="preserve"> on the PFCC website. </w:t>
      </w:r>
      <w:r w:rsidR="00F86B44" w:rsidRPr="005B0195">
        <w:rPr>
          <w:rFonts w:ascii="Calibri" w:hAnsi="Calibri" w:cs="Calibri"/>
          <w:sz w:val="24"/>
          <w:szCs w:val="24"/>
        </w:rPr>
        <w:t xml:space="preserve"> </w:t>
      </w:r>
      <w:bookmarkStart w:id="2" w:name="_Hlk122360816"/>
      <w:r w:rsidRPr="005B0195">
        <w:rPr>
          <w:rFonts w:ascii="Calibri" w:hAnsi="Calibri" w:cs="Calibri"/>
          <w:sz w:val="24"/>
          <w:szCs w:val="24"/>
        </w:rPr>
        <w:t xml:space="preserve">The </w:t>
      </w:r>
      <w:r w:rsidR="00287EDE" w:rsidRPr="005B0195">
        <w:rPr>
          <w:rFonts w:ascii="Calibri" w:hAnsi="Calibri" w:cs="Calibri"/>
          <w:sz w:val="24"/>
          <w:szCs w:val="24"/>
        </w:rPr>
        <w:t>C</w:t>
      </w:r>
      <w:r w:rsidRPr="005B0195">
        <w:rPr>
          <w:rFonts w:ascii="Calibri" w:hAnsi="Calibri" w:cs="Calibri"/>
          <w:sz w:val="24"/>
          <w:szCs w:val="24"/>
        </w:rPr>
        <w:t xml:space="preserve">apital </w:t>
      </w:r>
      <w:r w:rsidR="00287EDE" w:rsidRPr="005B0195">
        <w:rPr>
          <w:rFonts w:ascii="Calibri" w:hAnsi="Calibri" w:cs="Calibri"/>
          <w:sz w:val="24"/>
          <w:szCs w:val="24"/>
        </w:rPr>
        <w:t>S</w:t>
      </w:r>
      <w:r w:rsidRPr="005B0195">
        <w:rPr>
          <w:rFonts w:ascii="Calibri" w:hAnsi="Calibri" w:cs="Calibri"/>
          <w:sz w:val="24"/>
          <w:szCs w:val="24"/>
        </w:rPr>
        <w:t xml:space="preserve">trategy will be reviewed and updated in line with the new Police, Fire and Crime Plan </w:t>
      </w:r>
      <w:r w:rsidR="00E533F8">
        <w:rPr>
          <w:rFonts w:ascii="Calibri" w:hAnsi="Calibri" w:cs="Calibri"/>
          <w:sz w:val="24"/>
          <w:szCs w:val="24"/>
        </w:rPr>
        <w:t xml:space="preserve">in </w:t>
      </w:r>
      <w:r w:rsidRPr="005B0195">
        <w:rPr>
          <w:rFonts w:ascii="Calibri" w:hAnsi="Calibri" w:cs="Calibri"/>
          <w:sz w:val="24"/>
          <w:szCs w:val="24"/>
        </w:rPr>
        <w:t>202</w:t>
      </w:r>
      <w:r w:rsidR="002E6BFC" w:rsidRPr="005B0195">
        <w:rPr>
          <w:rFonts w:ascii="Calibri" w:hAnsi="Calibri" w:cs="Calibri"/>
          <w:sz w:val="24"/>
          <w:szCs w:val="24"/>
        </w:rPr>
        <w:t>3</w:t>
      </w:r>
      <w:r w:rsidRPr="005B0195">
        <w:rPr>
          <w:rFonts w:ascii="Calibri" w:hAnsi="Calibri" w:cs="Calibri"/>
          <w:sz w:val="24"/>
          <w:szCs w:val="24"/>
        </w:rPr>
        <w:t>/2</w:t>
      </w:r>
      <w:r w:rsidR="002E6BFC" w:rsidRPr="005B0195">
        <w:rPr>
          <w:rFonts w:ascii="Calibri" w:hAnsi="Calibri" w:cs="Calibri"/>
          <w:sz w:val="24"/>
          <w:szCs w:val="24"/>
        </w:rPr>
        <w:t>4</w:t>
      </w:r>
      <w:r w:rsidRPr="005B0195">
        <w:rPr>
          <w:rFonts w:ascii="Calibri" w:hAnsi="Calibri" w:cs="Calibri"/>
          <w:sz w:val="24"/>
          <w:szCs w:val="24"/>
        </w:rPr>
        <w:t>.</w:t>
      </w:r>
    </w:p>
    <w:bookmarkEnd w:id="2"/>
    <w:p w14:paraId="535660C1" w14:textId="4BE0AEB0" w:rsidR="004D09CE" w:rsidRPr="005B0195" w:rsidRDefault="00F86814" w:rsidP="00F86814">
      <w:pPr>
        <w:pStyle w:val="TM1"/>
        <w:rPr>
          <w:rFonts w:ascii="Calibri" w:hAnsi="Calibri" w:cs="Calibri"/>
          <w:sz w:val="24"/>
          <w:szCs w:val="24"/>
        </w:rPr>
      </w:pPr>
      <w:r w:rsidRPr="005B0195">
        <w:rPr>
          <w:rFonts w:ascii="Calibri" w:hAnsi="Calibri" w:cs="Calibri"/>
          <w:sz w:val="24"/>
          <w:szCs w:val="24"/>
        </w:rPr>
        <w:t>Trea</w:t>
      </w:r>
      <w:r w:rsidR="004D09CE" w:rsidRPr="005B0195">
        <w:rPr>
          <w:rFonts w:ascii="Calibri" w:hAnsi="Calibri" w:cs="Calibri"/>
          <w:sz w:val="24"/>
          <w:szCs w:val="24"/>
        </w:rPr>
        <w:t>sury Management Reporting</w:t>
      </w:r>
    </w:p>
    <w:p w14:paraId="33CAC161" w14:textId="08846FD7" w:rsidR="004D09CE" w:rsidRPr="005B0195" w:rsidRDefault="00AE6A32" w:rsidP="004D09CE">
      <w:pPr>
        <w:pStyle w:val="TM2"/>
        <w:rPr>
          <w:rFonts w:ascii="Calibri" w:hAnsi="Calibri" w:cs="Calibri"/>
          <w:sz w:val="24"/>
          <w:szCs w:val="24"/>
        </w:rPr>
      </w:pPr>
      <w:r w:rsidRPr="005B0195">
        <w:rPr>
          <w:rFonts w:ascii="Calibri" w:hAnsi="Calibri" w:cs="Calibri"/>
          <w:sz w:val="24"/>
          <w:szCs w:val="24"/>
        </w:rPr>
        <w:t>The PFCC receives two treasury reports as a minimum each year, with a mid</w:t>
      </w:r>
      <w:r w:rsidR="004A6B38" w:rsidRPr="005B0195">
        <w:rPr>
          <w:rFonts w:ascii="Calibri" w:hAnsi="Calibri" w:cs="Calibri"/>
          <w:sz w:val="24"/>
          <w:szCs w:val="24"/>
        </w:rPr>
        <w:t>-</w:t>
      </w:r>
      <w:r w:rsidRPr="005B0195">
        <w:rPr>
          <w:rFonts w:ascii="Calibri" w:hAnsi="Calibri" w:cs="Calibri"/>
          <w:sz w:val="24"/>
          <w:szCs w:val="24"/>
        </w:rPr>
        <w:t>year update as and when appropriate</w:t>
      </w:r>
      <w:r w:rsidR="004D09CE" w:rsidRPr="005B0195">
        <w:rPr>
          <w:rFonts w:ascii="Calibri" w:hAnsi="Calibri" w:cs="Calibri"/>
          <w:sz w:val="24"/>
          <w:szCs w:val="24"/>
        </w:rPr>
        <w:t>, which incorporate a variety of policies, estimates and actuals:</w:t>
      </w:r>
    </w:p>
    <w:p w14:paraId="046963FC" w14:textId="2C29C9B5" w:rsidR="004D09CE" w:rsidRPr="005B0195" w:rsidRDefault="004D09CE" w:rsidP="00F0151B">
      <w:pPr>
        <w:pStyle w:val="ListParagraph"/>
        <w:numPr>
          <w:ilvl w:val="0"/>
          <w:numId w:val="10"/>
        </w:numPr>
        <w:spacing w:after="0" w:line="240" w:lineRule="auto"/>
        <w:ind w:hanging="371"/>
        <w:jc w:val="both"/>
        <w:rPr>
          <w:rFonts w:ascii="Calibri" w:eastAsia="Times New Roman" w:hAnsi="Calibri" w:cs="Calibri"/>
          <w:b/>
          <w:bCs/>
          <w:sz w:val="24"/>
          <w:szCs w:val="24"/>
        </w:rPr>
      </w:pPr>
      <w:r w:rsidRPr="005B0195">
        <w:rPr>
          <w:rFonts w:ascii="Calibri" w:eastAsia="Times New Roman" w:hAnsi="Calibri" w:cs="Calibri"/>
          <w:b/>
          <w:bCs/>
          <w:sz w:val="24"/>
          <w:szCs w:val="24"/>
        </w:rPr>
        <w:t>Treasury Management Strategy and Prudential and Treasury Indicators (this report</w:t>
      </w:r>
      <w:r w:rsidR="00AE6A32" w:rsidRPr="005B0195">
        <w:rPr>
          <w:rFonts w:ascii="Calibri" w:eastAsia="Times New Roman" w:hAnsi="Calibri" w:cs="Calibri"/>
          <w:b/>
          <w:bCs/>
          <w:sz w:val="24"/>
          <w:szCs w:val="24"/>
        </w:rPr>
        <w:t xml:space="preserve"> – essential report</w:t>
      </w:r>
      <w:r w:rsidRPr="005B0195">
        <w:rPr>
          <w:rFonts w:ascii="Calibri" w:eastAsia="Times New Roman" w:hAnsi="Calibri" w:cs="Calibri"/>
          <w:b/>
          <w:bCs/>
          <w:sz w:val="24"/>
          <w:szCs w:val="24"/>
        </w:rPr>
        <w:t>)</w:t>
      </w:r>
    </w:p>
    <w:p w14:paraId="5A2D616F" w14:textId="77777777" w:rsidR="004D09CE" w:rsidRPr="005B0195" w:rsidRDefault="004D09CE" w:rsidP="00F0151B">
      <w:pPr>
        <w:pStyle w:val="ListParagraph"/>
        <w:spacing w:after="0" w:line="240" w:lineRule="auto"/>
        <w:ind w:left="1080" w:hanging="371"/>
        <w:jc w:val="both"/>
        <w:rPr>
          <w:rFonts w:ascii="Calibri" w:eastAsia="Times New Roman" w:hAnsi="Calibri" w:cs="Calibri"/>
          <w:b/>
          <w:bCs/>
          <w:sz w:val="24"/>
          <w:szCs w:val="24"/>
        </w:rPr>
      </w:pPr>
    </w:p>
    <w:p w14:paraId="19FFC395" w14:textId="54BCD086" w:rsidR="004D09CE" w:rsidRPr="005B0195" w:rsidRDefault="004D09CE" w:rsidP="00F0151B">
      <w:pPr>
        <w:pStyle w:val="ListParagraph"/>
        <w:spacing w:after="0" w:line="240" w:lineRule="auto"/>
        <w:ind w:left="1080" w:hanging="371"/>
        <w:jc w:val="both"/>
        <w:rPr>
          <w:rFonts w:ascii="Calibri" w:eastAsia="Times New Roman" w:hAnsi="Calibri" w:cs="Calibri"/>
          <w:b/>
          <w:bCs/>
          <w:sz w:val="24"/>
          <w:szCs w:val="24"/>
        </w:rPr>
      </w:pPr>
      <w:r w:rsidRPr="005B0195">
        <w:rPr>
          <w:rFonts w:ascii="Calibri" w:eastAsia="Times New Roman" w:hAnsi="Calibri" w:cs="Calibri"/>
          <w:bCs/>
          <w:sz w:val="24"/>
          <w:szCs w:val="24"/>
        </w:rPr>
        <w:t>Th</w:t>
      </w:r>
      <w:r w:rsidR="0065576B">
        <w:rPr>
          <w:rFonts w:ascii="Calibri" w:eastAsia="Times New Roman" w:hAnsi="Calibri" w:cs="Calibri"/>
          <w:bCs/>
          <w:sz w:val="24"/>
          <w:szCs w:val="24"/>
        </w:rPr>
        <w:t xml:space="preserve">is </w:t>
      </w:r>
      <w:r w:rsidRPr="005B0195">
        <w:rPr>
          <w:rFonts w:ascii="Calibri" w:eastAsia="Times New Roman" w:hAnsi="Calibri" w:cs="Calibri"/>
          <w:bCs/>
          <w:sz w:val="24"/>
          <w:szCs w:val="24"/>
        </w:rPr>
        <w:t>report is forward</w:t>
      </w:r>
      <w:r w:rsidR="00F0151B" w:rsidRPr="005B0195">
        <w:rPr>
          <w:rFonts w:ascii="Calibri" w:eastAsia="Times New Roman" w:hAnsi="Calibri" w:cs="Calibri"/>
          <w:bCs/>
          <w:sz w:val="24"/>
          <w:szCs w:val="24"/>
        </w:rPr>
        <w:t>-</w:t>
      </w:r>
      <w:r w:rsidRPr="005B0195">
        <w:rPr>
          <w:rFonts w:ascii="Calibri" w:eastAsia="Times New Roman" w:hAnsi="Calibri" w:cs="Calibri"/>
          <w:bCs/>
          <w:sz w:val="24"/>
          <w:szCs w:val="24"/>
        </w:rPr>
        <w:t>looking and covers:</w:t>
      </w:r>
    </w:p>
    <w:p w14:paraId="03FEDFF5" w14:textId="7D1CAF69" w:rsidR="004D09CE" w:rsidRPr="005B0195" w:rsidRDefault="004D09CE" w:rsidP="00F0151B">
      <w:pPr>
        <w:pStyle w:val="TMBullets"/>
        <w:ind w:left="1080" w:hanging="371"/>
        <w:rPr>
          <w:rFonts w:ascii="Calibri" w:hAnsi="Calibri" w:cs="Calibri"/>
          <w:sz w:val="24"/>
          <w:szCs w:val="24"/>
        </w:rPr>
      </w:pPr>
      <w:r w:rsidRPr="005B0195">
        <w:rPr>
          <w:rFonts w:ascii="Calibri" w:hAnsi="Calibri" w:cs="Calibri"/>
          <w:sz w:val="24"/>
          <w:szCs w:val="24"/>
        </w:rPr>
        <w:t>the capital plans, (including prudential indicators)</w:t>
      </w:r>
    </w:p>
    <w:p w14:paraId="63E26FA7" w14:textId="5082490D" w:rsidR="004D09CE" w:rsidRPr="005B0195" w:rsidRDefault="004D09CE" w:rsidP="00F0151B">
      <w:pPr>
        <w:pStyle w:val="TMBullets"/>
        <w:ind w:left="1080" w:hanging="371"/>
        <w:rPr>
          <w:rFonts w:ascii="Calibri" w:hAnsi="Calibri" w:cs="Calibri"/>
          <w:sz w:val="24"/>
          <w:szCs w:val="24"/>
        </w:rPr>
      </w:pPr>
      <w:r w:rsidRPr="005B0195">
        <w:rPr>
          <w:rFonts w:ascii="Calibri" w:hAnsi="Calibri" w:cs="Calibri"/>
          <w:sz w:val="24"/>
          <w:szCs w:val="24"/>
        </w:rPr>
        <w:t>a minimum revenue provision (MRP) policy, (how residual capital expenditure is charged to revenue over time)</w:t>
      </w:r>
    </w:p>
    <w:p w14:paraId="00E2359C" w14:textId="774BC62A" w:rsidR="004D09CE" w:rsidRPr="005B0195" w:rsidRDefault="004D09CE" w:rsidP="00F0151B">
      <w:pPr>
        <w:pStyle w:val="TMBullets"/>
        <w:ind w:left="1080" w:hanging="371"/>
        <w:rPr>
          <w:rFonts w:ascii="Calibri" w:hAnsi="Calibri" w:cs="Calibri"/>
          <w:sz w:val="24"/>
          <w:szCs w:val="24"/>
        </w:rPr>
      </w:pPr>
      <w:r w:rsidRPr="005B0195">
        <w:rPr>
          <w:rFonts w:ascii="Calibri" w:hAnsi="Calibri" w:cs="Calibri"/>
          <w:sz w:val="24"/>
          <w:szCs w:val="24"/>
        </w:rPr>
        <w:t>the treasury management strategy, (how the investments and borrowings are to be organised), including treasury indicators</w:t>
      </w:r>
    </w:p>
    <w:p w14:paraId="1AE54EFC" w14:textId="6A988975" w:rsidR="00671668" w:rsidRDefault="004D09CE" w:rsidP="002E6BFC">
      <w:pPr>
        <w:pStyle w:val="TMBullets"/>
        <w:ind w:left="1080" w:hanging="371"/>
        <w:rPr>
          <w:rFonts w:ascii="Calibri" w:hAnsi="Calibri" w:cs="Calibri"/>
          <w:sz w:val="24"/>
          <w:szCs w:val="24"/>
        </w:rPr>
      </w:pPr>
      <w:r w:rsidRPr="005B0195">
        <w:rPr>
          <w:rFonts w:ascii="Calibri" w:hAnsi="Calibri" w:cs="Calibri"/>
          <w:sz w:val="24"/>
          <w:szCs w:val="24"/>
        </w:rPr>
        <w:t>an investment strategy, (the parameters on how investments are to be managed)</w:t>
      </w:r>
    </w:p>
    <w:p w14:paraId="78DE331B" w14:textId="77777777" w:rsidR="0065576B" w:rsidRPr="005B0195" w:rsidRDefault="0065576B" w:rsidP="0065576B">
      <w:pPr>
        <w:pStyle w:val="TMBullets"/>
        <w:numPr>
          <w:ilvl w:val="0"/>
          <w:numId w:val="0"/>
        </w:numPr>
        <w:ind w:left="1080"/>
        <w:rPr>
          <w:rFonts w:ascii="Calibri" w:hAnsi="Calibri" w:cs="Calibri"/>
          <w:sz w:val="24"/>
          <w:szCs w:val="24"/>
        </w:rPr>
      </w:pPr>
    </w:p>
    <w:p w14:paraId="7B549E50" w14:textId="3E8E1916" w:rsidR="004D09CE" w:rsidRPr="005B0195" w:rsidRDefault="004D09CE" w:rsidP="00F0151B">
      <w:pPr>
        <w:pStyle w:val="ListParagraph"/>
        <w:numPr>
          <w:ilvl w:val="0"/>
          <w:numId w:val="10"/>
        </w:numPr>
        <w:spacing w:after="0" w:line="240" w:lineRule="auto"/>
        <w:ind w:hanging="371"/>
        <w:jc w:val="both"/>
        <w:rPr>
          <w:rFonts w:ascii="Calibri" w:eastAsia="Times New Roman" w:hAnsi="Calibri" w:cs="Calibri"/>
          <w:bCs/>
          <w:sz w:val="24"/>
          <w:szCs w:val="24"/>
        </w:rPr>
      </w:pPr>
      <w:r w:rsidRPr="005B0195">
        <w:rPr>
          <w:rFonts w:ascii="Calibri" w:eastAsia="Times New Roman" w:hAnsi="Calibri" w:cs="Calibri"/>
          <w:b/>
          <w:bCs/>
          <w:sz w:val="24"/>
          <w:szCs w:val="24"/>
        </w:rPr>
        <w:t>A mid-year treasury management report</w:t>
      </w:r>
      <w:r w:rsidRPr="005B0195">
        <w:rPr>
          <w:rFonts w:ascii="Calibri" w:eastAsia="Times New Roman" w:hAnsi="Calibri" w:cs="Calibri"/>
          <w:bCs/>
          <w:sz w:val="24"/>
          <w:szCs w:val="24"/>
        </w:rPr>
        <w:t xml:space="preserve"> </w:t>
      </w:r>
      <w:r w:rsidR="00AE6A32" w:rsidRPr="005B0195">
        <w:rPr>
          <w:rFonts w:ascii="Calibri" w:eastAsia="Times New Roman" w:hAnsi="Calibri" w:cs="Calibri"/>
          <w:bCs/>
          <w:sz w:val="24"/>
          <w:szCs w:val="24"/>
        </w:rPr>
        <w:t>(as required)</w:t>
      </w:r>
    </w:p>
    <w:p w14:paraId="784A5D4E" w14:textId="77777777" w:rsidR="004D09CE" w:rsidRPr="005B0195" w:rsidRDefault="004D09CE" w:rsidP="00F0151B">
      <w:pPr>
        <w:pStyle w:val="ListParagraph"/>
        <w:spacing w:after="0" w:line="240" w:lineRule="auto"/>
        <w:ind w:left="1080" w:hanging="371"/>
        <w:jc w:val="both"/>
        <w:rPr>
          <w:rFonts w:ascii="Calibri" w:eastAsia="Times New Roman" w:hAnsi="Calibri" w:cs="Calibri"/>
          <w:bCs/>
          <w:sz w:val="24"/>
          <w:szCs w:val="24"/>
        </w:rPr>
      </w:pPr>
    </w:p>
    <w:p w14:paraId="57EA73B1" w14:textId="77777777" w:rsidR="004D09CE" w:rsidRPr="005B0195" w:rsidRDefault="004D09CE" w:rsidP="00F0151B">
      <w:pPr>
        <w:pStyle w:val="ListParagraph"/>
        <w:spacing w:after="0" w:line="240" w:lineRule="auto"/>
        <w:ind w:left="709"/>
        <w:jc w:val="both"/>
        <w:rPr>
          <w:rFonts w:ascii="Calibri" w:eastAsia="Times New Roman" w:hAnsi="Calibri" w:cs="Calibri"/>
          <w:bCs/>
          <w:sz w:val="24"/>
          <w:szCs w:val="24"/>
        </w:rPr>
      </w:pPr>
      <w:r w:rsidRPr="005B0195">
        <w:rPr>
          <w:rFonts w:ascii="Calibri" w:eastAsia="Times New Roman" w:hAnsi="Calibri" w:cs="Calibri"/>
          <w:bCs/>
          <w:sz w:val="24"/>
          <w:szCs w:val="24"/>
        </w:rPr>
        <w:t xml:space="preserve">This is primarily a progress report and updates on the capital position, amending prudential indicators as necessary, and whether any policies require revision. </w:t>
      </w:r>
    </w:p>
    <w:p w14:paraId="58653EF7" w14:textId="77777777" w:rsidR="004D09CE" w:rsidRPr="005B0195" w:rsidRDefault="004D09CE" w:rsidP="00F0151B">
      <w:pPr>
        <w:ind w:left="1080" w:hanging="371"/>
        <w:jc w:val="both"/>
        <w:rPr>
          <w:rFonts w:ascii="Calibri" w:eastAsia="Times New Roman" w:hAnsi="Calibri" w:cs="Calibri"/>
          <w:bCs/>
        </w:rPr>
      </w:pPr>
    </w:p>
    <w:p w14:paraId="3F2D78A0" w14:textId="1EE547FF" w:rsidR="004D09CE" w:rsidRPr="005B0195" w:rsidRDefault="004D09CE" w:rsidP="00F0151B">
      <w:pPr>
        <w:pStyle w:val="ListParagraph"/>
        <w:numPr>
          <w:ilvl w:val="0"/>
          <w:numId w:val="10"/>
        </w:numPr>
        <w:spacing w:after="0" w:line="240" w:lineRule="auto"/>
        <w:ind w:hanging="371"/>
        <w:jc w:val="both"/>
        <w:rPr>
          <w:rFonts w:ascii="Calibri" w:eastAsia="Times New Roman" w:hAnsi="Calibri" w:cs="Calibri"/>
          <w:bCs/>
          <w:sz w:val="24"/>
          <w:szCs w:val="24"/>
        </w:rPr>
      </w:pPr>
      <w:r w:rsidRPr="005B0195">
        <w:rPr>
          <w:rFonts w:ascii="Calibri" w:eastAsia="Times New Roman" w:hAnsi="Calibri" w:cs="Calibri"/>
          <w:b/>
          <w:bCs/>
          <w:sz w:val="24"/>
          <w:szCs w:val="24"/>
        </w:rPr>
        <w:t>An annual treasury outturn report</w:t>
      </w:r>
      <w:r w:rsidR="00AE6A32" w:rsidRPr="005B0195">
        <w:rPr>
          <w:rFonts w:ascii="Calibri" w:eastAsia="Times New Roman" w:hAnsi="Calibri" w:cs="Calibri"/>
          <w:b/>
          <w:bCs/>
          <w:sz w:val="24"/>
          <w:szCs w:val="24"/>
        </w:rPr>
        <w:t xml:space="preserve"> (essential)</w:t>
      </w:r>
    </w:p>
    <w:p w14:paraId="4E79655F" w14:textId="77777777" w:rsidR="004D09CE" w:rsidRPr="005B0195" w:rsidRDefault="004D09CE" w:rsidP="00F0151B">
      <w:pPr>
        <w:pStyle w:val="ListParagraph"/>
        <w:spacing w:after="0" w:line="240" w:lineRule="auto"/>
        <w:ind w:left="1080" w:hanging="371"/>
        <w:jc w:val="both"/>
        <w:rPr>
          <w:rFonts w:ascii="Calibri" w:eastAsia="Times New Roman" w:hAnsi="Calibri" w:cs="Calibri"/>
          <w:bCs/>
          <w:sz w:val="24"/>
          <w:szCs w:val="24"/>
        </w:rPr>
      </w:pPr>
    </w:p>
    <w:p w14:paraId="2232BFC9" w14:textId="50F777C8" w:rsidR="004D09CE" w:rsidRDefault="004D09CE" w:rsidP="00F0151B">
      <w:pPr>
        <w:pStyle w:val="ListParagraph"/>
        <w:spacing w:after="0" w:line="240" w:lineRule="auto"/>
        <w:ind w:left="709"/>
        <w:jc w:val="both"/>
        <w:rPr>
          <w:rFonts w:ascii="Calibri" w:eastAsia="Times New Roman" w:hAnsi="Calibri" w:cs="Calibri"/>
          <w:bCs/>
          <w:sz w:val="24"/>
          <w:szCs w:val="24"/>
        </w:rPr>
      </w:pPr>
      <w:r w:rsidRPr="005B0195">
        <w:rPr>
          <w:rFonts w:ascii="Calibri" w:eastAsia="Times New Roman" w:hAnsi="Calibri" w:cs="Calibri"/>
          <w:bCs/>
          <w:sz w:val="24"/>
          <w:szCs w:val="24"/>
        </w:rPr>
        <w:t>This is a backward-looking review document and provides details of a selection of actual prudential and treasury indicators and actual treasury operations compared to the estimates within the strategy.</w:t>
      </w:r>
    </w:p>
    <w:p w14:paraId="40BB19EF" w14:textId="64DEBD57" w:rsidR="007B66C2" w:rsidRDefault="007B66C2" w:rsidP="00F0151B">
      <w:pPr>
        <w:pStyle w:val="ListParagraph"/>
        <w:spacing w:after="0" w:line="240" w:lineRule="auto"/>
        <w:ind w:left="709"/>
        <w:jc w:val="both"/>
        <w:rPr>
          <w:rFonts w:ascii="Calibri" w:eastAsia="Times New Roman" w:hAnsi="Calibri" w:cs="Calibri"/>
          <w:bCs/>
          <w:sz w:val="24"/>
          <w:szCs w:val="24"/>
        </w:rPr>
      </w:pPr>
    </w:p>
    <w:p w14:paraId="50129270" w14:textId="77777777" w:rsidR="007B66C2" w:rsidRPr="005B0195" w:rsidRDefault="007B66C2" w:rsidP="00F0151B">
      <w:pPr>
        <w:pStyle w:val="ListParagraph"/>
        <w:spacing w:after="0" w:line="240" w:lineRule="auto"/>
        <w:ind w:left="709"/>
        <w:jc w:val="both"/>
        <w:rPr>
          <w:rFonts w:ascii="Calibri" w:eastAsia="Times New Roman" w:hAnsi="Calibri" w:cs="Calibri"/>
          <w:bCs/>
          <w:sz w:val="24"/>
          <w:szCs w:val="24"/>
        </w:rPr>
      </w:pPr>
    </w:p>
    <w:p w14:paraId="0FF4466F"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lastRenderedPageBreak/>
        <w:t>Treasury Management Budget</w:t>
      </w:r>
    </w:p>
    <w:p w14:paraId="199835C7" w14:textId="19F5CCB7" w:rsidR="004D09CE" w:rsidRPr="005B0195" w:rsidRDefault="004D09CE" w:rsidP="00D87CA1">
      <w:pPr>
        <w:pStyle w:val="TM2"/>
        <w:rPr>
          <w:rFonts w:ascii="Calibri" w:hAnsi="Calibri" w:cs="Calibri"/>
          <w:sz w:val="24"/>
          <w:szCs w:val="24"/>
        </w:rPr>
      </w:pPr>
      <w:r w:rsidRPr="005B0195">
        <w:rPr>
          <w:rFonts w:ascii="Calibri" w:hAnsi="Calibri" w:cs="Calibri"/>
          <w:sz w:val="24"/>
          <w:szCs w:val="24"/>
        </w:rPr>
        <w:t>The table below provides a breakdown of the treasury management budget.</w:t>
      </w:r>
      <w:r w:rsidR="00D87CA1" w:rsidRPr="005B0195">
        <w:rPr>
          <w:rFonts w:ascii="Calibri" w:hAnsi="Calibri" w:cs="Calibri"/>
          <w:sz w:val="24"/>
          <w:szCs w:val="24"/>
        </w:rPr>
        <w:t xml:space="preserve">  </w:t>
      </w:r>
      <w:r w:rsidRPr="005B0195">
        <w:rPr>
          <w:rFonts w:ascii="Calibri" w:hAnsi="Calibri" w:cs="Calibri"/>
          <w:sz w:val="24"/>
          <w:szCs w:val="24"/>
        </w:rPr>
        <w:t>M</w:t>
      </w:r>
      <w:r w:rsidR="00E0250E" w:rsidRPr="005B0195">
        <w:rPr>
          <w:rFonts w:ascii="Calibri" w:hAnsi="Calibri" w:cs="Calibri"/>
          <w:sz w:val="24"/>
          <w:szCs w:val="24"/>
        </w:rPr>
        <w:t>inimum Revenue Provision (MRP)</w:t>
      </w:r>
      <w:r w:rsidRPr="005B0195">
        <w:rPr>
          <w:rFonts w:ascii="Calibri" w:hAnsi="Calibri" w:cs="Calibri"/>
          <w:sz w:val="24"/>
          <w:szCs w:val="24"/>
        </w:rPr>
        <w:t xml:space="preserve"> charges have been calculated in line with the </w:t>
      </w:r>
      <w:r w:rsidR="00E0250E" w:rsidRPr="005B0195">
        <w:rPr>
          <w:rFonts w:ascii="Calibri" w:hAnsi="Calibri" w:cs="Calibri"/>
          <w:sz w:val="24"/>
          <w:szCs w:val="24"/>
        </w:rPr>
        <w:t>P</w:t>
      </w:r>
      <w:r w:rsidRPr="005B0195">
        <w:rPr>
          <w:rFonts w:ascii="Calibri" w:hAnsi="Calibri" w:cs="Calibri"/>
          <w:sz w:val="24"/>
          <w:szCs w:val="24"/>
        </w:rPr>
        <w:t>olicy at Appendix 3</w:t>
      </w:r>
      <w:r w:rsidR="00E0250E" w:rsidRPr="005B0195">
        <w:rPr>
          <w:rFonts w:ascii="Calibri" w:hAnsi="Calibri" w:cs="Calibri"/>
          <w:sz w:val="24"/>
          <w:szCs w:val="24"/>
        </w:rPr>
        <w:t>:</w:t>
      </w:r>
    </w:p>
    <w:p w14:paraId="4EFC9666" w14:textId="4B28133D" w:rsidR="00D87CA1" w:rsidRPr="005B0195" w:rsidRDefault="0055051E" w:rsidP="003D739F">
      <w:pPr>
        <w:pStyle w:val="TM2"/>
        <w:numPr>
          <w:ilvl w:val="0"/>
          <w:numId w:val="0"/>
        </w:numPr>
        <w:ind w:left="709"/>
        <w:rPr>
          <w:rFonts w:ascii="Calibri" w:hAnsi="Calibri" w:cs="Calibri"/>
          <w:sz w:val="24"/>
          <w:szCs w:val="24"/>
        </w:rPr>
      </w:pPr>
      <w:r w:rsidRPr="0055051E">
        <w:drawing>
          <wp:inline distT="0" distB="0" distL="0" distR="0" wp14:anchorId="71652D5B" wp14:editId="04FCC9D6">
            <wp:extent cx="5731510" cy="1026795"/>
            <wp:effectExtent l="0" t="0" r="2540" b="1905"/>
            <wp:docPr id="3" name="Picture 3" descr="A table which shows the treasury management budget for capital financing costs of £750k estimated in 2022-23 to £911k estimated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hich shows the treasury management budget for capital financing costs of £750k estimated in 2022-23 to £911k estimated in 2027-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026795"/>
                    </a:xfrm>
                    <a:prstGeom prst="rect">
                      <a:avLst/>
                    </a:prstGeom>
                    <a:noFill/>
                    <a:ln>
                      <a:noFill/>
                    </a:ln>
                  </pic:spPr>
                </pic:pic>
              </a:graphicData>
            </a:graphic>
          </wp:inline>
        </w:drawing>
      </w:r>
    </w:p>
    <w:p w14:paraId="7F53D06E" w14:textId="77777777" w:rsidR="004D09CE" w:rsidRPr="005B0195" w:rsidRDefault="004D09CE" w:rsidP="00E0250E">
      <w:pPr>
        <w:pStyle w:val="TM2"/>
        <w:rPr>
          <w:rFonts w:ascii="Calibri" w:hAnsi="Calibri" w:cs="Calibri"/>
          <w:sz w:val="24"/>
          <w:szCs w:val="24"/>
        </w:rPr>
      </w:pPr>
      <w:r w:rsidRPr="005B0195">
        <w:rPr>
          <w:rFonts w:ascii="Calibri" w:hAnsi="Calibri" w:cs="Calibri"/>
          <w:bCs w:val="0"/>
          <w:sz w:val="24"/>
          <w:szCs w:val="24"/>
        </w:rPr>
        <w:t>Budget estimates will be revised during the year reflect the further development of capital programme plans and other relevant strategies.</w:t>
      </w:r>
    </w:p>
    <w:p w14:paraId="4D70148E"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Policy on the use of External Service Providers</w:t>
      </w:r>
      <w:r w:rsidRPr="005B0195">
        <w:rPr>
          <w:rFonts w:ascii="Calibri" w:hAnsi="Calibri" w:cs="Calibri"/>
          <w:sz w:val="24"/>
          <w:szCs w:val="24"/>
        </w:rPr>
        <w:tab/>
      </w:r>
    </w:p>
    <w:p w14:paraId="5FD16A85" w14:textId="347CBC1E"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recognises that responsibility for treasury management decisions always remains with the organisation.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also recognises there is value in employing an external provider of treasury management services in order to acquire access to specialist skills and advice to support the treasury management function.</w:t>
      </w:r>
    </w:p>
    <w:p w14:paraId="7FF04F79"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Treasury Management services are undertaken by the Enabling Services Joint Finance Team and the Treasury Advisor is currently Link Group.</w:t>
      </w:r>
    </w:p>
    <w:p w14:paraId="4125C905"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Future Developments</w:t>
      </w:r>
    </w:p>
    <w:p w14:paraId="619DAC97" w14:textId="4A80AA7A" w:rsidR="004D09CE" w:rsidRPr="005B0195" w:rsidRDefault="004D09CE" w:rsidP="004D09CE">
      <w:pPr>
        <w:pStyle w:val="TM2"/>
        <w:rPr>
          <w:rFonts w:ascii="Calibri" w:hAnsi="Calibri" w:cs="Calibri"/>
          <w:b/>
          <w:sz w:val="24"/>
          <w:szCs w:val="24"/>
        </w:rPr>
      </w:pPr>
      <w:r w:rsidRPr="005B0195">
        <w:rPr>
          <w:rFonts w:ascii="Calibri" w:hAnsi="Calibri" w:cs="Calibri"/>
          <w:sz w:val="24"/>
          <w:szCs w:val="24"/>
        </w:rPr>
        <w:t xml:space="preserve">Public bodies are having to consider innovative strategies towards improving service provision to their communities.  This approach to innovation also applies to treasury management activities.  The Government has already introduced new statutory powers, and regulatory agencies such as CIPFA are introducing policy changes, which will have an impact on treasury management approaches in the future. </w:t>
      </w:r>
      <w:r w:rsidR="003D739F">
        <w:rPr>
          <w:rFonts w:ascii="Calibri" w:hAnsi="Calibri" w:cs="Calibri"/>
          <w:sz w:val="24"/>
          <w:szCs w:val="24"/>
        </w:rPr>
        <w:t xml:space="preserve"> </w:t>
      </w:r>
      <w:r w:rsidRPr="005B0195">
        <w:rPr>
          <w:rFonts w:ascii="Calibri" w:hAnsi="Calibri" w:cs="Calibri"/>
          <w:sz w:val="24"/>
          <w:szCs w:val="24"/>
        </w:rPr>
        <w:t>Examples of such changes are:</w:t>
      </w:r>
    </w:p>
    <w:p w14:paraId="78F30CA5"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Localism Act</w:t>
      </w:r>
    </w:p>
    <w:p w14:paraId="1F391672" w14:textId="10D60A16"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A key element of the Act is the “General Power of Competence”: “A</w:t>
      </w:r>
      <w:r w:rsidR="0064222E" w:rsidRPr="005B0195">
        <w:rPr>
          <w:rFonts w:ascii="Calibri" w:hAnsi="Calibri" w:cs="Calibri"/>
          <w:sz w:val="24"/>
          <w:szCs w:val="24"/>
        </w:rPr>
        <w:t xml:space="preserve"> Authority</w:t>
      </w:r>
      <w:r w:rsidRPr="005B0195">
        <w:rPr>
          <w:rFonts w:ascii="Calibri" w:hAnsi="Calibri" w:cs="Calibri"/>
          <w:sz w:val="24"/>
          <w:szCs w:val="24"/>
        </w:rPr>
        <w:t xml:space="preserve"> has power to do anything that individuals generally may do.”  The Act opens up the possibility that a</w:t>
      </w:r>
      <w:r w:rsidR="0064222E" w:rsidRPr="005B0195">
        <w:rPr>
          <w:rFonts w:ascii="Calibri" w:hAnsi="Calibri" w:cs="Calibri"/>
          <w:sz w:val="24"/>
          <w:szCs w:val="24"/>
        </w:rPr>
        <w:t xml:space="preserve"> Authority</w:t>
      </w:r>
      <w:r w:rsidRPr="005B0195">
        <w:rPr>
          <w:rFonts w:ascii="Calibri" w:hAnsi="Calibri" w:cs="Calibri"/>
          <w:sz w:val="24"/>
          <w:szCs w:val="24"/>
        </w:rPr>
        <w:t xml:space="preserve"> can use derivatives as part of their treasury management operations.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has no plans to use financial derivatives under the powers contained within this Act.</w:t>
      </w:r>
    </w:p>
    <w:p w14:paraId="6C1EDAAB"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Loans to Third Parties</w:t>
      </w:r>
    </w:p>
    <w:p w14:paraId="76B7C85B" w14:textId="02B41038"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may borrow to make grants or loans to third parties for the purpose of capital expenditure.  This will usually be to support local economic development, and may be funded by external borrowing. </w:t>
      </w:r>
    </w:p>
    <w:p w14:paraId="038E3D2E" w14:textId="1208B99F"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lastRenderedPageBreak/>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has not lent any funds to third parties and has no plans to do so in the immediate future.</w:t>
      </w:r>
    </w:p>
    <w:p w14:paraId="02CDB367"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Proposals to amend the CIPFA Treasury Management and Prudential Codes</w:t>
      </w:r>
    </w:p>
    <w:p w14:paraId="286837E8" w14:textId="77777777"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 xml:space="preserve">CIPFA conducted a review of the Treasury Management Code of Practice and the Prudential Code.  This review particularly focused on non-treasury investments and especially on the purchase of property with a view to generating income.  Such purchases could involve undertaking external borrowing to raise the cash to finance these purchases, or the use of existing cash balances.  Both actions would affect treasury management.  </w:t>
      </w:r>
    </w:p>
    <w:p w14:paraId="41358FAF" w14:textId="77777777"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The Capital Strategy will cover non-treasury investments to deal with such purchases, their objectives, how they have been appraised, how they have been financed, and what powers were used to undertake these purchases.</w:t>
      </w:r>
    </w:p>
    <w:p w14:paraId="3ED5F33B"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Impact of International Financial Reporting Standard 9 (IFRS 9) </w:t>
      </w:r>
    </w:p>
    <w:p w14:paraId="30E1034A" w14:textId="3836601E"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All public bodies were required to adopt the princip</w:t>
      </w:r>
      <w:r w:rsidR="004463F9">
        <w:rPr>
          <w:rFonts w:ascii="Calibri" w:hAnsi="Calibri" w:cs="Calibri"/>
          <w:sz w:val="24"/>
          <w:szCs w:val="24"/>
        </w:rPr>
        <w:t>l</w:t>
      </w:r>
      <w:r w:rsidR="00B70116">
        <w:rPr>
          <w:rFonts w:ascii="Calibri" w:hAnsi="Calibri" w:cs="Calibri"/>
          <w:sz w:val="24"/>
          <w:szCs w:val="24"/>
        </w:rPr>
        <w:t>e</w:t>
      </w:r>
      <w:r w:rsidRPr="005B0195">
        <w:rPr>
          <w:rFonts w:ascii="Calibri" w:hAnsi="Calibri" w:cs="Calibri"/>
          <w:sz w:val="24"/>
          <w:szCs w:val="24"/>
        </w:rPr>
        <w:t>s of accounting standard IFRS 9 from 1</w:t>
      </w:r>
      <w:r w:rsidRPr="005B0195">
        <w:rPr>
          <w:rFonts w:ascii="Calibri" w:hAnsi="Calibri" w:cs="Calibri"/>
          <w:sz w:val="24"/>
          <w:szCs w:val="24"/>
          <w:vertAlign w:val="superscript"/>
        </w:rPr>
        <w:t>st</w:t>
      </w:r>
      <w:r w:rsidRPr="005B0195">
        <w:rPr>
          <w:rFonts w:ascii="Calibri" w:hAnsi="Calibri" w:cs="Calibri"/>
          <w:sz w:val="24"/>
          <w:szCs w:val="24"/>
        </w:rPr>
        <w:t xml:space="preserve"> April 2018.  A key element of this standard is a requirement to set aside financial provision within revenue budgets for losses on financial assets based on potential expected losses (i.e. the likelihood of loss across the asset lifetime).  This however does not have a material impact upon the traditional treasury management investments 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will undertake.</w:t>
      </w:r>
    </w:p>
    <w:p w14:paraId="4347F417" w14:textId="77777777" w:rsidR="004D09CE" w:rsidRPr="005B0195" w:rsidRDefault="004D09CE" w:rsidP="004D09CE">
      <w:pPr>
        <w:pStyle w:val="TM1"/>
        <w:rPr>
          <w:rFonts w:ascii="Calibri" w:hAnsi="Calibri" w:cs="Calibri"/>
          <w:bCs/>
          <w:sz w:val="24"/>
          <w:szCs w:val="24"/>
        </w:rPr>
      </w:pPr>
      <w:r w:rsidRPr="005B0195">
        <w:rPr>
          <w:rFonts w:ascii="Calibri" w:hAnsi="Calibri" w:cs="Calibri"/>
          <w:sz w:val="24"/>
          <w:szCs w:val="24"/>
        </w:rPr>
        <w:t>Training</w:t>
      </w:r>
    </w:p>
    <w:p w14:paraId="5B0CD2C6" w14:textId="664B9DE2" w:rsidR="004D09CE" w:rsidRPr="005B0195" w:rsidRDefault="004D09CE" w:rsidP="005B7FCC">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Authority</w:t>
      </w:r>
      <w:r w:rsidRPr="005B0195">
        <w:rPr>
          <w:rFonts w:ascii="Calibri" w:hAnsi="Calibri" w:cs="Calibri"/>
          <w:sz w:val="24"/>
          <w:szCs w:val="24"/>
        </w:rPr>
        <w:t xml:space="preserve"> needs to ensure appropriate training and knowledge in relation to treasury management activities, for officers engaged in treasury activity and those with oversight responsibilities charged with governance of the treasury management function.  Treasury management training will be considered and delivered as required to facilitate best practices, informed decision making and challenge processes. </w:t>
      </w:r>
    </w:p>
    <w:p w14:paraId="7DF4D10C" w14:textId="77777777" w:rsidR="00671668" w:rsidRPr="005B0195" w:rsidRDefault="00671668" w:rsidP="00671668">
      <w:pPr>
        <w:pStyle w:val="TM1"/>
        <w:numPr>
          <w:ilvl w:val="0"/>
          <w:numId w:val="0"/>
        </w:numPr>
        <w:ind w:left="709" w:hanging="709"/>
        <w:rPr>
          <w:rFonts w:ascii="Calibri" w:hAnsi="Calibri" w:cs="Calibri"/>
          <w:sz w:val="24"/>
          <w:szCs w:val="24"/>
        </w:rPr>
      </w:pPr>
    </w:p>
    <w:p w14:paraId="15FED517" w14:textId="03C0E85D" w:rsidR="004D09CE" w:rsidRPr="005B0195" w:rsidRDefault="004D09CE" w:rsidP="00671668">
      <w:pPr>
        <w:rPr>
          <w:rFonts w:ascii="Calibri" w:eastAsia="Times New Roman" w:hAnsi="Calibri" w:cs="Calibri"/>
          <w:b/>
        </w:rPr>
      </w:pPr>
      <w:r w:rsidRPr="005B0195">
        <w:rPr>
          <w:rFonts w:ascii="Calibri" w:eastAsia="Times New Roman" w:hAnsi="Calibri" w:cs="Calibri"/>
          <w:b/>
        </w:rPr>
        <w:t>List of Appendices</w:t>
      </w:r>
    </w:p>
    <w:p w14:paraId="1A9EDD8D" w14:textId="77777777" w:rsidR="00671668" w:rsidRPr="005B0195" w:rsidRDefault="00671668" w:rsidP="00671668">
      <w:pPr>
        <w:rPr>
          <w:rFonts w:ascii="Calibri" w:eastAsia="Times New Roman" w:hAnsi="Calibri" w:cs="Calibri"/>
          <w:b/>
        </w:rPr>
      </w:pPr>
    </w:p>
    <w:p w14:paraId="6C41A10E" w14:textId="77777777" w:rsidR="004D09CE" w:rsidRPr="005B0195" w:rsidRDefault="004D09CE" w:rsidP="004D09CE">
      <w:pPr>
        <w:tabs>
          <w:tab w:val="left" w:pos="2410"/>
        </w:tabs>
        <w:ind w:left="2410" w:hanging="1690"/>
        <w:jc w:val="both"/>
        <w:rPr>
          <w:rFonts w:ascii="Calibri" w:eastAsia="Times New Roman" w:hAnsi="Calibri" w:cs="Calibri"/>
        </w:rPr>
      </w:pPr>
      <w:r w:rsidRPr="005B0195">
        <w:rPr>
          <w:rFonts w:ascii="Calibri" w:eastAsia="Times New Roman" w:hAnsi="Calibri" w:cs="Calibri"/>
        </w:rPr>
        <w:t>Appendix 1:</w:t>
      </w:r>
      <w:r w:rsidRPr="005B0195">
        <w:rPr>
          <w:rFonts w:ascii="Calibri" w:eastAsia="Times New Roman" w:hAnsi="Calibri" w:cs="Calibri"/>
        </w:rPr>
        <w:tab/>
        <w:t>Treasury Management Policy Statement</w:t>
      </w:r>
    </w:p>
    <w:p w14:paraId="2CCC7DCA" w14:textId="77777777" w:rsidR="004D09CE" w:rsidRPr="005B0195" w:rsidRDefault="004D09CE" w:rsidP="004D09CE">
      <w:pPr>
        <w:tabs>
          <w:tab w:val="left" w:pos="2410"/>
        </w:tabs>
        <w:ind w:left="720"/>
        <w:jc w:val="both"/>
        <w:rPr>
          <w:rFonts w:ascii="Calibri" w:eastAsia="Times New Roman" w:hAnsi="Calibri" w:cs="Calibri"/>
        </w:rPr>
      </w:pPr>
      <w:r w:rsidRPr="005B0195">
        <w:rPr>
          <w:rFonts w:ascii="Calibri" w:eastAsia="Times New Roman" w:hAnsi="Calibri" w:cs="Calibri"/>
        </w:rPr>
        <w:t xml:space="preserve">Appendix 2: </w:t>
      </w:r>
      <w:r w:rsidRPr="005B0195">
        <w:rPr>
          <w:rFonts w:ascii="Calibri" w:eastAsia="Times New Roman" w:hAnsi="Calibri" w:cs="Calibri"/>
        </w:rPr>
        <w:tab/>
        <w:t>Prudential &amp; Treasury Indicators</w:t>
      </w:r>
    </w:p>
    <w:p w14:paraId="3C0270D8" w14:textId="77777777" w:rsidR="004D09CE" w:rsidRPr="005B0195" w:rsidRDefault="004D09CE" w:rsidP="004D09CE">
      <w:pPr>
        <w:tabs>
          <w:tab w:val="left" w:pos="2410"/>
        </w:tabs>
        <w:ind w:left="720"/>
        <w:jc w:val="both"/>
        <w:rPr>
          <w:rFonts w:ascii="Calibri" w:eastAsia="Times New Roman" w:hAnsi="Calibri" w:cs="Calibri"/>
        </w:rPr>
      </w:pPr>
      <w:r w:rsidRPr="005B0195">
        <w:rPr>
          <w:rFonts w:ascii="Calibri" w:eastAsia="Times New Roman" w:hAnsi="Calibri" w:cs="Calibri"/>
        </w:rPr>
        <w:t xml:space="preserve">Appendix 3: </w:t>
      </w:r>
      <w:r w:rsidRPr="005B0195">
        <w:rPr>
          <w:rFonts w:ascii="Calibri" w:eastAsia="Times New Roman" w:hAnsi="Calibri" w:cs="Calibri"/>
        </w:rPr>
        <w:tab/>
        <w:t>Minimum Revenue Provision (MRP) Policy Statement</w:t>
      </w:r>
    </w:p>
    <w:p w14:paraId="44AFECBB" w14:textId="77777777" w:rsidR="004D09CE" w:rsidRPr="005B0195" w:rsidRDefault="004D09CE" w:rsidP="004D09CE">
      <w:pPr>
        <w:tabs>
          <w:tab w:val="left" w:pos="2410"/>
        </w:tabs>
        <w:ind w:left="720"/>
        <w:jc w:val="both"/>
        <w:rPr>
          <w:rFonts w:ascii="Calibri" w:eastAsia="Times New Roman" w:hAnsi="Calibri" w:cs="Calibri"/>
        </w:rPr>
      </w:pPr>
      <w:r w:rsidRPr="005B0195">
        <w:rPr>
          <w:rFonts w:ascii="Calibri" w:eastAsia="Times New Roman" w:hAnsi="Calibri" w:cs="Calibri"/>
        </w:rPr>
        <w:t xml:space="preserve">Appendix 4: </w:t>
      </w:r>
      <w:r w:rsidRPr="005B0195">
        <w:rPr>
          <w:rFonts w:ascii="Calibri" w:eastAsia="Times New Roman" w:hAnsi="Calibri" w:cs="Calibri"/>
        </w:rPr>
        <w:tab/>
        <w:t>Annual Investment Strategy</w:t>
      </w:r>
    </w:p>
    <w:p w14:paraId="2C1988BE" w14:textId="77777777" w:rsidR="004D09CE" w:rsidRPr="005B0195" w:rsidRDefault="004D09CE" w:rsidP="004D09CE">
      <w:pPr>
        <w:ind w:left="6480"/>
        <w:jc w:val="right"/>
        <w:rPr>
          <w:rFonts w:ascii="Calibri" w:eastAsia="Times New Roman" w:hAnsi="Calibri" w:cs="Calibri"/>
        </w:rPr>
      </w:pPr>
      <w:r w:rsidRPr="005B0195">
        <w:rPr>
          <w:rFonts w:ascii="Calibri" w:eastAsia="Times New Roman" w:hAnsi="Calibri" w:cs="Calibri"/>
        </w:rPr>
        <w:br w:type="page"/>
      </w:r>
      <w:r w:rsidRPr="005B0195">
        <w:rPr>
          <w:rFonts w:ascii="Calibri" w:eastAsia="Times New Roman" w:hAnsi="Calibri" w:cs="Calibri"/>
        </w:rPr>
        <w:lastRenderedPageBreak/>
        <w:t>APPENDIX 1</w:t>
      </w:r>
    </w:p>
    <w:p w14:paraId="6A9FAD73" w14:textId="77777777" w:rsidR="004D09CE" w:rsidRPr="005B0195" w:rsidRDefault="004D09CE" w:rsidP="004D09CE">
      <w:pPr>
        <w:rPr>
          <w:rFonts w:ascii="Calibri" w:eastAsia="Times New Roman" w:hAnsi="Calibri" w:cs="Calibri"/>
          <w:b/>
        </w:rPr>
      </w:pPr>
      <w:r w:rsidRPr="005B0195">
        <w:rPr>
          <w:rFonts w:ascii="Calibri" w:eastAsia="Times New Roman" w:hAnsi="Calibri" w:cs="Calibri"/>
          <w:b/>
        </w:rPr>
        <w:t>Treasury Management Policy Statement</w:t>
      </w:r>
    </w:p>
    <w:p w14:paraId="0ACDF91C" w14:textId="77777777" w:rsidR="004D09CE" w:rsidRPr="005B0195" w:rsidRDefault="004D09CE" w:rsidP="004D09CE">
      <w:pPr>
        <w:ind w:left="720"/>
        <w:jc w:val="both"/>
        <w:rPr>
          <w:rFonts w:ascii="Calibri" w:eastAsia="Times New Roman" w:hAnsi="Calibri" w:cs="Calibri"/>
        </w:rPr>
      </w:pPr>
    </w:p>
    <w:p w14:paraId="1ADA62F8" w14:textId="00E1D538" w:rsidR="004D09CE" w:rsidRPr="005B0195" w:rsidRDefault="004D09CE" w:rsidP="004D09CE">
      <w:pPr>
        <w:jc w:val="both"/>
        <w:rPr>
          <w:rFonts w:ascii="Calibri" w:eastAsia="Times New Roman" w:hAnsi="Calibri" w:cs="Calibri"/>
        </w:rPr>
      </w:pPr>
      <w:r w:rsidRPr="005B0195">
        <w:rPr>
          <w:rFonts w:ascii="Calibri" w:eastAsia="Times New Roman" w:hAnsi="Calibri" w:cs="Calibri"/>
        </w:rPr>
        <w:t xml:space="preserve">Northamptonshire </w:t>
      </w:r>
      <w:r w:rsidR="0083443F" w:rsidRPr="005B0195">
        <w:rPr>
          <w:rFonts w:ascii="Calibri" w:eastAsia="Times New Roman" w:hAnsi="Calibri" w:cs="Calibri"/>
        </w:rPr>
        <w:t xml:space="preserve">Commissioner Fire and Rescue Authority </w:t>
      </w:r>
      <w:r w:rsidRPr="005B0195">
        <w:rPr>
          <w:rFonts w:ascii="Calibri" w:eastAsia="Times New Roman" w:hAnsi="Calibri" w:cs="Calibri"/>
        </w:rPr>
        <w:t>defines its treasury management activities as:</w:t>
      </w:r>
    </w:p>
    <w:p w14:paraId="4713759F" w14:textId="77777777" w:rsidR="004D09CE" w:rsidRPr="005B0195" w:rsidRDefault="004D09CE" w:rsidP="004D09CE">
      <w:pPr>
        <w:jc w:val="both"/>
        <w:rPr>
          <w:rFonts w:ascii="Calibri" w:eastAsia="Times New Roman" w:hAnsi="Calibri" w:cs="Calibri"/>
        </w:rPr>
      </w:pPr>
    </w:p>
    <w:p w14:paraId="50943113" w14:textId="187D3AE2" w:rsidR="004D09CE" w:rsidRPr="005B0195" w:rsidRDefault="004D09CE" w:rsidP="004D09CE">
      <w:pPr>
        <w:jc w:val="both"/>
        <w:rPr>
          <w:rFonts w:ascii="Calibri" w:eastAsia="Times New Roman" w:hAnsi="Calibri" w:cs="Calibri"/>
          <w:b/>
          <w:bCs/>
          <w:i/>
          <w:iCs/>
        </w:rPr>
      </w:pPr>
      <w:r w:rsidRPr="005B0195">
        <w:rPr>
          <w:rFonts w:ascii="Calibri" w:eastAsia="Times New Roman" w:hAnsi="Calibri" w:cs="Calibri"/>
          <w:b/>
          <w:bCs/>
          <w:i/>
          <w:iCs/>
        </w:rPr>
        <w:t>The management of the</w:t>
      </w:r>
      <w:r w:rsidR="0064222E" w:rsidRPr="005B0195">
        <w:rPr>
          <w:rFonts w:ascii="Calibri" w:eastAsia="Times New Roman" w:hAnsi="Calibri" w:cs="Calibri"/>
          <w:b/>
          <w:bCs/>
          <w:i/>
          <w:iCs/>
        </w:rPr>
        <w:t xml:space="preserve"> Authority</w:t>
      </w:r>
      <w:r w:rsidRPr="005B0195">
        <w:rPr>
          <w:rFonts w:ascii="Calibri" w:eastAsia="Times New Roman" w:hAnsi="Calibri" w:cs="Calibri"/>
          <w:b/>
          <w:bCs/>
          <w:i/>
          <w:iCs/>
        </w:rPr>
        <w:t>’s investments and cash flows, its banking, money market and capital market transactions; the effective control of the risks associated with those activities; and the pursuit of optimum performance consistent with those risks.</w:t>
      </w:r>
    </w:p>
    <w:p w14:paraId="602B7759" w14:textId="77777777" w:rsidR="004D09CE" w:rsidRPr="005B0195" w:rsidRDefault="004D09CE" w:rsidP="004D09CE">
      <w:pPr>
        <w:jc w:val="both"/>
        <w:rPr>
          <w:rFonts w:ascii="Calibri" w:eastAsia="Times New Roman" w:hAnsi="Calibri" w:cs="Calibri"/>
        </w:rPr>
      </w:pPr>
    </w:p>
    <w:p w14:paraId="7E8E7C2D" w14:textId="5B6A1766" w:rsidR="004D09CE" w:rsidRPr="005B0195" w:rsidRDefault="004D09CE" w:rsidP="004D09CE">
      <w:pPr>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bCs/>
        </w:rPr>
        <w:t xml:space="preserve"> Authority</w:t>
      </w:r>
      <w:r w:rsidRPr="005B0195">
        <w:rPr>
          <w:rFonts w:ascii="Calibri" w:eastAsia="Times New Roman" w:hAnsi="Calibri" w:cs="Calibri"/>
        </w:rPr>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and any financial instruments entered into to manage these risks.</w:t>
      </w:r>
    </w:p>
    <w:p w14:paraId="3B3ECB4D" w14:textId="77777777" w:rsidR="004D09CE" w:rsidRPr="005B0195" w:rsidRDefault="004D09CE" w:rsidP="004D09CE">
      <w:pPr>
        <w:jc w:val="both"/>
        <w:rPr>
          <w:rFonts w:ascii="Calibri" w:eastAsia="Times New Roman" w:hAnsi="Calibri" w:cs="Calibri"/>
        </w:rPr>
      </w:pPr>
    </w:p>
    <w:p w14:paraId="730A13AC" w14:textId="3048907F" w:rsidR="004D09CE" w:rsidRPr="005B0195" w:rsidRDefault="004D09CE" w:rsidP="004D09CE">
      <w:pPr>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acknowledges that effective treasury management will provide support towards the achievement of its business and service objectives.  It is therefore committed to the princip</w:t>
      </w:r>
      <w:r w:rsidR="004463F9">
        <w:rPr>
          <w:rFonts w:ascii="Calibri" w:eastAsia="Times New Roman" w:hAnsi="Calibri" w:cs="Calibri"/>
        </w:rPr>
        <w:t>l</w:t>
      </w:r>
      <w:r w:rsidR="00B70116">
        <w:rPr>
          <w:rFonts w:ascii="Calibri" w:eastAsia="Times New Roman" w:hAnsi="Calibri" w:cs="Calibri"/>
        </w:rPr>
        <w:t>e</w:t>
      </w:r>
      <w:r w:rsidRPr="005B0195">
        <w:rPr>
          <w:rFonts w:ascii="Calibri" w:eastAsia="Times New Roman" w:hAnsi="Calibri" w:cs="Calibri"/>
        </w:rPr>
        <w:t>s of achieving value for money in treasury management, and to employing suitable comprehensive performance measurement techniques, within the context of effective risk management.</w:t>
      </w:r>
    </w:p>
    <w:p w14:paraId="64A1B15B" w14:textId="77777777" w:rsidR="004D09CE" w:rsidRPr="005B0195" w:rsidRDefault="004D09CE" w:rsidP="004D09CE">
      <w:pPr>
        <w:jc w:val="both"/>
        <w:rPr>
          <w:rFonts w:ascii="Calibri" w:eastAsia="Times New Roman" w:hAnsi="Calibri" w:cs="Calibri"/>
        </w:rPr>
      </w:pPr>
    </w:p>
    <w:p w14:paraId="2A1DE446" w14:textId="77777777" w:rsidR="004D09CE" w:rsidRPr="005B0195" w:rsidRDefault="004D09CE" w:rsidP="004D09CE">
      <w:pPr>
        <w:rPr>
          <w:rFonts w:ascii="Calibri" w:eastAsia="Times New Roman" w:hAnsi="Calibri" w:cs="Calibri"/>
        </w:rPr>
      </w:pPr>
    </w:p>
    <w:p w14:paraId="57CB20B4" w14:textId="77777777" w:rsidR="004D09CE" w:rsidRPr="005B0195" w:rsidRDefault="004D09CE" w:rsidP="004D09CE">
      <w:pPr>
        <w:rPr>
          <w:rFonts w:ascii="Calibri" w:eastAsia="Times New Roman" w:hAnsi="Calibri" w:cs="Calibri"/>
        </w:rPr>
      </w:pPr>
    </w:p>
    <w:p w14:paraId="26B279FA" w14:textId="77777777" w:rsidR="004D09CE" w:rsidRPr="005B0195" w:rsidRDefault="004D09CE" w:rsidP="004D09CE">
      <w:pPr>
        <w:rPr>
          <w:rFonts w:ascii="Calibri" w:eastAsia="Times New Roman" w:hAnsi="Calibri" w:cs="Calibri"/>
          <w:highlight w:val="yellow"/>
        </w:rPr>
      </w:pPr>
    </w:p>
    <w:p w14:paraId="27FE2478" w14:textId="77777777" w:rsidR="004D09CE" w:rsidRPr="005B0195" w:rsidRDefault="004D09CE" w:rsidP="004D09CE">
      <w:pPr>
        <w:rPr>
          <w:rFonts w:ascii="Calibri" w:eastAsia="Times New Roman" w:hAnsi="Calibri" w:cs="Calibri"/>
          <w:highlight w:val="yellow"/>
        </w:rPr>
      </w:pPr>
    </w:p>
    <w:p w14:paraId="5BC9CF5B" w14:textId="77777777" w:rsidR="004D09CE" w:rsidRPr="005B0195" w:rsidRDefault="004D09CE" w:rsidP="004D09CE">
      <w:pPr>
        <w:rPr>
          <w:rFonts w:ascii="Calibri" w:eastAsia="Times New Roman" w:hAnsi="Calibri" w:cs="Calibri"/>
          <w:highlight w:val="yellow"/>
        </w:rPr>
      </w:pPr>
    </w:p>
    <w:p w14:paraId="6824C600" w14:textId="77777777" w:rsidR="004D09CE" w:rsidRPr="005B0195" w:rsidRDefault="004D09CE" w:rsidP="004D09CE">
      <w:pPr>
        <w:rPr>
          <w:rFonts w:ascii="Calibri" w:eastAsia="Times New Roman" w:hAnsi="Calibri" w:cs="Calibri"/>
          <w:highlight w:val="yellow"/>
        </w:rPr>
      </w:pPr>
    </w:p>
    <w:p w14:paraId="65CCD613" w14:textId="77777777" w:rsidR="004D09CE" w:rsidRPr="005B0195" w:rsidRDefault="004D09CE" w:rsidP="004D09CE">
      <w:pPr>
        <w:rPr>
          <w:rFonts w:ascii="Calibri" w:eastAsia="Times New Roman" w:hAnsi="Calibri" w:cs="Calibri"/>
          <w:highlight w:val="yellow"/>
        </w:rPr>
      </w:pPr>
    </w:p>
    <w:p w14:paraId="7E3D7C34" w14:textId="77777777" w:rsidR="004D09CE" w:rsidRPr="005B0195" w:rsidRDefault="004D09CE" w:rsidP="004D09CE">
      <w:pPr>
        <w:rPr>
          <w:rFonts w:ascii="Calibri" w:eastAsia="Times New Roman" w:hAnsi="Calibri" w:cs="Calibri"/>
          <w:highlight w:val="yellow"/>
        </w:rPr>
      </w:pPr>
    </w:p>
    <w:p w14:paraId="17D2C6E9" w14:textId="77777777" w:rsidR="004D09CE" w:rsidRPr="005B0195" w:rsidRDefault="004D09CE" w:rsidP="004D09CE">
      <w:pPr>
        <w:rPr>
          <w:rFonts w:ascii="Calibri" w:eastAsia="Times New Roman" w:hAnsi="Calibri" w:cs="Calibri"/>
          <w:highlight w:val="yellow"/>
        </w:rPr>
      </w:pPr>
    </w:p>
    <w:p w14:paraId="0C25A167" w14:textId="77777777" w:rsidR="004D09CE" w:rsidRPr="005B0195" w:rsidRDefault="004D09CE" w:rsidP="004D09CE">
      <w:pPr>
        <w:rPr>
          <w:rFonts w:ascii="Calibri" w:eastAsia="Times New Roman" w:hAnsi="Calibri" w:cs="Calibri"/>
          <w:highlight w:val="yellow"/>
        </w:rPr>
      </w:pPr>
    </w:p>
    <w:p w14:paraId="1AADAE35" w14:textId="77777777" w:rsidR="004D09CE" w:rsidRPr="005B0195" w:rsidRDefault="004D09CE" w:rsidP="004D09CE">
      <w:pPr>
        <w:rPr>
          <w:rFonts w:ascii="Calibri" w:eastAsia="Times New Roman" w:hAnsi="Calibri" w:cs="Calibri"/>
          <w:highlight w:val="yellow"/>
        </w:rPr>
      </w:pPr>
    </w:p>
    <w:p w14:paraId="1400ED2A" w14:textId="77777777" w:rsidR="004D09CE" w:rsidRPr="005B0195" w:rsidRDefault="004D09CE" w:rsidP="004D09CE">
      <w:pPr>
        <w:rPr>
          <w:rFonts w:ascii="Calibri" w:eastAsia="Times New Roman" w:hAnsi="Calibri" w:cs="Calibri"/>
          <w:highlight w:val="yellow"/>
        </w:rPr>
      </w:pPr>
    </w:p>
    <w:p w14:paraId="029729CC" w14:textId="77777777" w:rsidR="004D09CE" w:rsidRPr="005B0195" w:rsidRDefault="004D09CE" w:rsidP="004D09CE">
      <w:pPr>
        <w:ind w:left="6480"/>
        <w:jc w:val="right"/>
        <w:rPr>
          <w:rFonts w:ascii="Calibri" w:eastAsia="Times New Roman" w:hAnsi="Calibri" w:cs="Calibri"/>
        </w:rPr>
      </w:pPr>
      <w:r w:rsidRPr="005B0195">
        <w:rPr>
          <w:rFonts w:ascii="Calibri" w:eastAsia="Times New Roman" w:hAnsi="Calibri" w:cs="Calibri"/>
          <w:highlight w:val="yellow"/>
        </w:rPr>
        <w:br w:type="page"/>
      </w:r>
    </w:p>
    <w:p w14:paraId="7C2B19CC" w14:textId="77777777" w:rsidR="004D09CE" w:rsidRPr="005B0195" w:rsidRDefault="004D09CE" w:rsidP="004D09CE">
      <w:pPr>
        <w:jc w:val="right"/>
        <w:rPr>
          <w:rFonts w:ascii="Calibri" w:eastAsia="Times New Roman" w:hAnsi="Calibri" w:cs="Calibri"/>
        </w:rPr>
      </w:pPr>
      <w:r w:rsidRPr="005B0195">
        <w:rPr>
          <w:rFonts w:ascii="Calibri" w:eastAsia="Times New Roman" w:hAnsi="Calibri" w:cs="Calibri"/>
        </w:rPr>
        <w:lastRenderedPageBreak/>
        <w:t>APPENDIX 2</w:t>
      </w:r>
    </w:p>
    <w:p w14:paraId="1C89AB23" w14:textId="77777777" w:rsidR="004D09CE" w:rsidRPr="005B0195" w:rsidRDefault="004D09CE" w:rsidP="004D09CE">
      <w:pPr>
        <w:jc w:val="both"/>
        <w:outlineLvl w:val="0"/>
        <w:rPr>
          <w:rFonts w:ascii="Calibri" w:eastAsia="Times New Roman" w:hAnsi="Calibri" w:cs="Calibri"/>
          <w:b/>
        </w:rPr>
      </w:pPr>
      <w:r w:rsidRPr="005B0195">
        <w:rPr>
          <w:rFonts w:ascii="Calibri" w:eastAsia="Times New Roman" w:hAnsi="Calibri" w:cs="Calibri"/>
          <w:b/>
        </w:rPr>
        <w:t>Prudential and Treasury Indicators</w:t>
      </w:r>
    </w:p>
    <w:p w14:paraId="68772A37" w14:textId="77777777" w:rsidR="004D09CE" w:rsidRPr="005B0195" w:rsidRDefault="004D09CE" w:rsidP="004D09CE">
      <w:pPr>
        <w:ind w:left="720"/>
        <w:jc w:val="both"/>
        <w:rPr>
          <w:rFonts w:ascii="Calibri" w:eastAsia="Times New Roman" w:hAnsi="Calibri" w:cs="Calibri"/>
          <w:b/>
        </w:rPr>
      </w:pPr>
    </w:p>
    <w:p w14:paraId="3E9B6B47" w14:textId="77777777" w:rsidR="004D09CE" w:rsidRPr="005B0195" w:rsidRDefault="004D09CE" w:rsidP="005478B9">
      <w:pPr>
        <w:numPr>
          <w:ilvl w:val="0"/>
          <w:numId w:val="1"/>
        </w:numPr>
        <w:tabs>
          <w:tab w:val="num" w:pos="720"/>
        </w:tabs>
        <w:ind w:left="720" w:hanging="720"/>
        <w:jc w:val="both"/>
        <w:rPr>
          <w:rFonts w:ascii="Calibri" w:eastAsia="Times New Roman" w:hAnsi="Calibri" w:cs="Calibri"/>
          <w:b/>
        </w:rPr>
      </w:pPr>
      <w:r w:rsidRPr="005B0195">
        <w:rPr>
          <w:rFonts w:ascii="Calibri" w:eastAsia="Times New Roman" w:hAnsi="Calibri" w:cs="Calibri"/>
          <w:b/>
        </w:rPr>
        <w:t>The Capital Prudential Indicators</w:t>
      </w:r>
    </w:p>
    <w:p w14:paraId="6B6F60D3" w14:textId="77777777" w:rsidR="004D09CE" w:rsidRPr="005B0195" w:rsidRDefault="004D09CE" w:rsidP="004D09CE">
      <w:pPr>
        <w:jc w:val="both"/>
        <w:rPr>
          <w:rFonts w:ascii="Calibri" w:eastAsia="Times New Roman" w:hAnsi="Calibri" w:cs="Calibri"/>
          <w:b/>
        </w:rPr>
      </w:pPr>
    </w:p>
    <w:p w14:paraId="2AE27D48" w14:textId="62B2D2F2" w:rsidR="004D09CE" w:rsidRPr="005B0195" w:rsidRDefault="004D09CE" w:rsidP="004D09CE">
      <w:pPr>
        <w:numPr>
          <w:ilvl w:val="1"/>
          <w:numId w:val="1"/>
        </w:numPr>
        <w:tabs>
          <w:tab w:val="num" w:pos="720"/>
        </w:tabs>
        <w:ind w:left="720" w:hanging="720"/>
        <w:jc w:val="both"/>
        <w:rPr>
          <w:rFonts w:ascii="Calibri" w:eastAsia="Times New Roman" w:hAnsi="Calibri" w:cs="Calibri"/>
          <w:b/>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’s capital expenditure plans are the key driver of Treasury Management activity.  The output of the capital expenditure plans </w:t>
      </w:r>
      <w:r w:rsidR="00D4345D" w:rsidRPr="005B0195">
        <w:rPr>
          <w:rFonts w:ascii="Calibri" w:eastAsia="Times New Roman" w:hAnsi="Calibri" w:cs="Calibri"/>
        </w:rPr>
        <w:t>is</w:t>
      </w:r>
      <w:r w:rsidRPr="005B0195">
        <w:rPr>
          <w:rFonts w:ascii="Calibri" w:eastAsia="Times New Roman" w:hAnsi="Calibri" w:cs="Calibri"/>
        </w:rPr>
        <w:t xml:space="preserve"> reflected in prudential indicators, which are designed to assist overview and confirm capital expenditure plans.</w:t>
      </w:r>
    </w:p>
    <w:p w14:paraId="4DED0C18" w14:textId="77777777" w:rsidR="004D09CE" w:rsidRPr="005B0195" w:rsidRDefault="004D09CE" w:rsidP="004D09CE">
      <w:pPr>
        <w:tabs>
          <w:tab w:val="num" w:pos="960"/>
        </w:tabs>
        <w:jc w:val="both"/>
        <w:rPr>
          <w:rFonts w:ascii="Calibri" w:eastAsia="Times New Roman" w:hAnsi="Calibri" w:cs="Calibri"/>
        </w:rPr>
      </w:pPr>
    </w:p>
    <w:p w14:paraId="19F5E5DD" w14:textId="3B7BFAD5" w:rsidR="004D09CE" w:rsidRPr="005B0195" w:rsidRDefault="004D09CE" w:rsidP="004D09CE">
      <w:pPr>
        <w:ind w:left="720"/>
        <w:jc w:val="both"/>
        <w:rPr>
          <w:rFonts w:ascii="Calibri" w:eastAsia="Times New Roman" w:hAnsi="Calibri" w:cs="Calibri"/>
          <w:b/>
        </w:rPr>
      </w:pPr>
      <w:r w:rsidRPr="005B0195">
        <w:rPr>
          <w:rFonts w:ascii="Calibri" w:eastAsia="Times New Roman" w:hAnsi="Calibri" w:cs="Calibri"/>
          <w:b/>
        </w:rPr>
        <w:t>Capital Expenditure</w:t>
      </w:r>
      <w:r w:rsidR="003B367F" w:rsidRPr="005B0195">
        <w:rPr>
          <w:rFonts w:ascii="Calibri" w:eastAsia="Times New Roman" w:hAnsi="Calibri" w:cs="Calibri"/>
          <w:b/>
        </w:rPr>
        <w:t xml:space="preserve"> and Borrowing Need</w:t>
      </w:r>
    </w:p>
    <w:p w14:paraId="09800D68" w14:textId="77777777" w:rsidR="004D09CE" w:rsidRPr="005B0195" w:rsidRDefault="004D09CE" w:rsidP="004D09CE">
      <w:pPr>
        <w:ind w:left="720"/>
        <w:jc w:val="both"/>
        <w:rPr>
          <w:rFonts w:ascii="Calibri" w:eastAsia="Times New Roman" w:hAnsi="Calibri" w:cs="Calibri"/>
          <w:b/>
          <w:highlight w:val="yellow"/>
        </w:rPr>
      </w:pPr>
    </w:p>
    <w:p w14:paraId="7323C8D8" w14:textId="0A126218" w:rsidR="004D09CE" w:rsidRPr="005B0195" w:rsidRDefault="004D09CE" w:rsidP="003B367F">
      <w:pPr>
        <w:numPr>
          <w:ilvl w:val="1"/>
          <w:numId w:val="1"/>
        </w:numPr>
        <w:tabs>
          <w:tab w:val="num" w:pos="720"/>
        </w:tabs>
        <w:ind w:left="720" w:hanging="720"/>
        <w:jc w:val="both"/>
        <w:rPr>
          <w:rFonts w:ascii="Calibri" w:eastAsia="Times New Roman" w:hAnsi="Calibri" w:cs="Calibri"/>
          <w:b/>
        </w:rPr>
      </w:pPr>
      <w:r w:rsidRPr="005B0195">
        <w:rPr>
          <w:rFonts w:ascii="Calibri" w:eastAsia="Times New Roman" w:hAnsi="Calibri" w:cs="Calibri"/>
        </w:rPr>
        <w:t>This prudential indicator shows the</w:t>
      </w:r>
      <w:r w:rsidR="0064222E" w:rsidRPr="005B0195">
        <w:rPr>
          <w:rFonts w:ascii="Calibri" w:eastAsia="Times New Roman" w:hAnsi="Calibri" w:cs="Calibri"/>
        </w:rPr>
        <w:t xml:space="preserve"> Authority</w:t>
      </w:r>
      <w:r w:rsidRPr="005B0195">
        <w:rPr>
          <w:rFonts w:ascii="Calibri" w:eastAsia="Times New Roman" w:hAnsi="Calibri" w:cs="Calibri"/>
        </w:rPr>
        <w:t>’s capital expenditure plans</w:t>
      </w:r>
      <w:r w:rsidR="003B367F" w:rsidRPr="005B0195">
        <w:rPr>
          <w:rFonts w:ascii="Calibri" w:eastAsia="Times New Roman" w:hAnsi="Calibri" w:cs="Calibri"/>
        </w:rPr>
        <w:t xml:space="preserve"> and capital financing requirement as described in the body of the Strategy and summarised in Table 1 (Para 3.3 above).</w:t>
      </w:r>
    </w:p>
    <w:p w14:paraId="53E1064A" w14:textId="77777777" w:rsidR="003B367F" w:rsidRPr="005B0195" w:rsidRDefault="003B367F" w:rsidP="003B367F">
      <w:pPr>
        <w:ind w:left="720"/>
        <w:jc w:val="both"/>
        <w:rPr>
          <w:rFonts w:ascii="Calibri" w:eastAsia="Times New Roman" w:hAnsi="Calibri" w:cs="Calibri"/>
          <w:b/>
        </w:rPr>
      </w:pPr>
    </w:p>
    <w:p w14:paraId="3EDCFB22" w14:textId="77777777" w:rsidR="004D09CE" w:rsidRPr="005B0195" w:rsidRDefault="004D09CE" w:rsidP="004D09CE">
      <w:pPr>
        <w:ind w:left="720"/>
        <w:jc w:val="both"/>
        <w:rPr>
          <w:rFonts w:ascii="Calibri" w:eastAsia="Times New Roman" w:hAnsi="Calibri" w:cs="Calibri"/>
        </w:rPr>
      </w:pPr>
      <w:r w:rsidRPr="005B0195">
        <w:rPr>
          <w:rFonts w:ascii="Calibri" w:eastAsia="Times New Roman" w:hAnsi="Calibri" w:cs="Calibri"/>
          <w:b/>
        </w:rPr>
        <w:t>The Operational Boundary</w:t>
      </w:r>
    </w:p>
    <w:p w14:paraId="3E9B1A26" w14:textId="77777777" w:rsidR="004D09CE" w:rsidRPr="005B0195" w:rsidRDefault="004D09CE" w:rsidP="004D09CE">
      <w:pPr>
        <w:ind w:left="720"/>
        <w:jc w:val="both"/>
        <w:rPr>
          <w:rFonts w:ascii="Calibri" w:eastAsia="Times New Roman" w:hAnsi="Calibri" w:cs="Calibri"/>
        </w:rPr>
      </w:pPr>
    </w:p>
    <w:p w14:paraId="3FD6E7A0" w14:textId="3401D621"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This is the limit beyond which external borrowing is not normally expected to exceed.  All things being equal, this could be a similar figure to the CFR, but may be lower or higher depending on the levels of actual borrowing undertaken as impacted by the level of current and future cash resources and the shape of the interest rate yield curve.</w:t>
      </w:r>
    </w:p>
    <w:p w14:paraId="3280B680" w14:textId="77777777" w:rsidR="004D09CE" w:rsidRPr="005B0195" w:rsidRDefault="004D09CE" w:rsidP="004D09CE">
      <w:pPr>
        <w:tabs>
          <w:tab w:val="num" w:pos="1000"/>
        </w:tabs>
        <w:ind w:left="720"/>
        <w:jc w:val="both"/>
        <w:rPr>
          <w:rFonts w:ascii="Calibri" w:eastAsia="Times New Roman" w:hAnsi="Calibri" w:cs="Calibri"/>
        </w:rPr>
      </w:pPr>
    </w:p>
    <w:p w14:paraId="2A1B1A2A" w14:textId="53070BF3" w:rsidR="004D09CE" w:rsidRPr="005B0195" w:rsidRDefault="00611CA9" w:rsidP="00D4345D">
      <w:pPr>
        <w:pStyle w:val="TM2"/>
        <w:numPr>
          <w:ilvl w:val="0"/>
          <w:numId w:val="0"/>
        </w:numPr>
        <w:ind w:left="720"/>
        <w:rPr>
          <w:rFonts w:ascii="Calibri" w:hAnsi="Calibri" w:cs="Calibri"/>
          <w:sz w:val="24"/>
          <w:szCs w:val="24"/>
        </w:rPr>
      </w:pPr>
      <w:r w:rsidRPr="00611CA9">
        <w:drawing>
          <wp:inline distT="0" distB="0" distL="0" distR="0" wp14:anchorId="4D6A256D" wp14:editId="3227FB16">
            <wp:extent cx="5731510" cy="614680"/>
            <wp:effectExtent l="0" t="0" r="2540" b="0"/>
            <wp:docPr id="16" name="Picture 16" descr="A table which shows the operational boundary for borrowing across each financial year of £8m in 2022-23 to £7m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table which shows the operational boundary for borrowing across each financial year of £8m in 2022-23 to £7m in 2027-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14680"/>
                    </a:xfrm>
                    <a:prstGeom prst="rect">
                      <a:avLst/>
                    </a:prstGeom>
                    <a:noFill/>
                    <a:ln>
                      <a:noFill/>
                    </a:ln>
                  </pic:spPr>
                </pic:pic>
              </a:graphicData>
            </a:graphic>
          </wp:inline>
        </w:drawing>
      </w:r>
    </w:p>
    <w:p w14:paraId="6CC78782" w14:textId="0E61E5E8" w:rsidR="004D09CE" w:rsidRPr="005B0195" w:rsidRDefault="00D75E47"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The Operational Boundary is calculated here by rounded the CFR for each year up to the nearest £1m.  This allows nominal flexibility to account for price variations on capital investment.</w:t>
      </w:r>
    </w:p>
    <w:p w14:paraId="3DA686A7" w14:textId="77777777" w:rsidR="004D09CE" w:rsidRPr="005B0195" w:rsidRDefault="004D09CE" w:rsidP="004D09CE">
      <w:pPr>
        <w:jc w:val="both"/>
        <w:rPr>
          <w:rFonts w:ascii="Calibri" w:eastAsia="Times New Roman" w:hAnsi="Calibri" w:cs="Calibri"/>
          <w:b/>
        </w:rPr>
      </w:pPr>
    </w:p>
    <w:p w14:paraId="38889B65" w14:textId="77777777" w:rsidR="004D09CE" w:rsidRPr="005B0195" w:rsidRDefault="004D09CE" w:rsidP="004D09CE">
      <w:pPr>
        <w:ind w:left="720"/>
        <w:jc w:val="both"/>
        <w:rPr>
          <w:rFonts w:ascii="Calibri" w:eastAsia="Times New Roman" w:hAnsi="Calibri" w:cs="Calibri"/>
        </w:rPr>
      </w:pPr>
      <w:r w:rsidRPr="005B0195">
        <w:rPr>
          <w:rFonts w:ascii="Calibri" w:eastAsia="Times New Roman" w:hAnsi="Calibri" w:cs="Calibri"/>
          <w:b/>
        </w:rPr>
        <w:t>The Authorised Limit for external borrowing</w:t>
      </w:r>
    </w:p>
    <w:p w14:paraId="6BBE4CA7" w14:textId="77777777" w:rsidR="004D09CE" w:rsidRPr="005B0195" w:rsidRDefault="004D09CE" w:rsidP="004D09CE">
      <w:pPr>
        <w:ind w:left="720"/>
        <w:jc w:val="both"/>
        <w:rPr>
          <w:rFonts w:ascii="Calibri" w:eastAsia="Times New Roman" w:hAnsi="Calibri" w:cs="Calibri"/>
        </w:rPr>
      </w:pPr>
    </w:p>
    <w:p w14:paraId="7E8F9022" w14:textId="7621C609"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A further key prudential indicator represents a control on the maximum level of borrowing. </w:t>
      </w:r>
      <w:r w:rsidR="00520C7D" w:rsidRPr="005B0195">
        <w:rPr>
          <w:rFonts w:ascii="Calibri" w:eastAsia="Times New Roman" w:hAnsi="Calibri" w:cs="Calibri"/>
        </w:rPr>
        <w:t xml:space="preserve"> </w:t>
      </w:r>
      <w:r w:rsidRPr="005B0195">
        <w:rPr>
          <w:rFonts w:ascii="Calibri" w:eastAsia="Times New Roman" w:hAnsi="Calibri" w:cs="Calibri"/>
        </w:rPr>
        <w:t>This represents a limit beyond which external borrowing is prohibited, and this limit needs to be set or revised in line with 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’s </w:t>
      </w:r>
      <w:r w:rsidRPr="005B0195">
        <w:rPr>
          <w:rFonts w:ascii="Calibri" w:eastAsia="Times New Roman" w:hAnsi="Calibri" w:cs="Calibri"/>
          <w:bCs/>
          <w:iCs/>
        </w:rPr>
        <w:t>Corporate Governance Framework</w:t>
      </w:r>
      <w:r w:rsidRPr="005B0195">
        <w:rPr>
          <w:rFonts w:ascii="Calibri" w:eastAsia="Times New Roman" w:hAnsi="Calibri" w:cs="Calibri"/>
        </w:rPr>
        <w:t xml:space="preserve">. </w:t>
      </w:r>
      <w:r w:rsidR="00520C7D" w:rsidRPr="005B0195">
        <w:rPr>
          <w:rFonts w:ascii="Calibri" w:eastAsia="Times New Roman" w:hAnsi="Calibri" w:cs="Calibri"/>
        </w:rPr>
        <w:t xml:space="preserve"> </w:t>
      </w:r>
      <w:r w:rsidRPr="005B0195">
        <w:rPr>
          <w:rFonts w:ascii="Calibri" w:eastAsia="Times New Roman" w:hAnsi="Calibri" w:cs="Calibri"/>
        </w:rPr>
        <w:t>It reflects the level of external borrowing which, while not desired, could be afforded in the short term, but is not sustainable in the longer term.</w:t>
      </w:r>
    </w:p>
    <w:p w14:paraId="64997717" w14:textId="77777777" w:rsidR="004D09CE" w:rsidRPr="005B0195" w:rsidRDefault="004D09CE" w:rsidP="004D09CE">
      <w:pPr>
        <w:ind w:left="720"/>
        <w:jc w:val="both"/>
        <w:rPr>
          <w:rFonts w:ascii="Calibri" w:eastAsia="Times New Roman" w:hAnsi="Calibri" w:cs="Calibri"/>
        </w:rPr>
      </w:pPr>
    </w:p>
    <w:p w14:paraId="6E7A883E" w14:textId="3899CA49" w:rsidR="004D09CE" w:rsidRPr="005B0195" w:rsidRDefault="004D09CE" w:rsidP="004D09CE">
      <w:pPr>
        <w:numPr>
          <w:ilvl w:val="0"/>
          <w:numId w:val="5"/>
        </w:numPr>
        <w:spacing w:after="120"/>
        <w:ind w:left="1134" w:hanging="425"/>
        <w:jc w:val="both"/>
        <w:rPr>
          <w:rFonts w:ascii="Calibri" w:eastAsia="Times New Roman" w:hAnsi="Calibri" w:cs="Calibri"/>
          <w:iCs/>
        </w:rPr>
      </w:pPr>
      <w:r w:rsidRPr="005B0195">
        <w:rPr>
          <w:rFonts w:ascii="Calibri" w:eastAsia="Times New Roman" w:hAnsi="Calibri" w:cs="Calibri"/>
          <w:iCs/>
        </w:rPr>
        <w:t>This is the statutory limit determined under section 3 (1) of the Local Government Act 2003.</w:t>
      </w:r>
    </w:p>
    <w:p w14:paraId="6A006799" w14:textId="7B8B2FB3" w:rsidR="004D09CE" w:rsidRPr="005B0195" w:rsidRDefault="004D09CE" w:rsidP="00520C7D">
      <w:pPr>
        <w:numPr>
          <w:ilvl w:val="0"/>
          <w:numId w:val="5"/>
        </w:numPr>
        <w:spacing w:after="120"/>
        <w:ind w:left="1134" w:hanging="425"/>
        <w:jc w:val="both"/>
        <w:rPr>
          <w:rFonts w:ascii="Calibri" w:eastAsia="Times New Roman" w:hAnsi="Calibri" w:cs="Calibri"/>
          <w:b/>
        </w:rPr>
      </w:pPr>
      <w:r w:rsidRPr="005B0195">
        <w:rPr>
          <w:rFonts w:ascii="Calibri" w:eastAsia="Times New Roman" w:hAnsi="Calibri" w:cs="Calibri"/>
          <w:iCs/>
        </w:rPr>
        <w:t>The</w:t>
      </w:r>
      <w:r w:rsidR="0064222E" w:rsidRPr="005B0195">
        <w:rPr>
          <w:rFonts w:ascii="Calibri" w:eastAsia="Times New Roman" w:hAnsi="Calibri" w:cs="Calibri"/>
          <w:iCs/>
        </w:rPr>
        <w:t xml:space="preserve"> Authority</w:t>
      </w:r>
      <w:r w:rsidRPr="005B0195">
        <w:rPr>
          <w:rFonts w:ascii="Calibri" w:eastAsia="Times New Roman" w:hAnsi="Calibri" w:cs="Calibri"/>
          <w:iCs/>
        </w:rPr>
        <w:t xml:space="preserve"> is asked to approve the following Authorised Limit:</w:t>
      </w:r>
    </w:p>
    <w:p w14:paraId="523BE15C" w14:textId="3D2E8CDC" w:rsidR="00A51A19" w:rsidRPr="005B0195" w:rsidRDefault="00611CA9" w:rsidP="00D4345D">
      <w:pPr>
        <w:spacing w:after="120"/>
        <w:ind w:left="709"/>
        <w:jc w:val="both"/>
        <w:rPr>
          <w:rFonts w:ascii="Calibri" w:eastAsia="Times New Roman" w:hAnsi="Calibri" w:cs="Calibri"/>
          <w:b/>
        </w:rPr>
      </w:pPr>
      <w:r w:rsidRPr="00611CA9">
        <w:rPr>
          <w:noProof/>
        </w:rPr>
        <w:lastRenderedPageBreak/>
        <w:drawing>
          <wp:inline distT="0" distB="0" distL="0" distR="0" wp14:anchorId="7B3A5888" wp14:editId="2BAF1325">
            <wp:extent cx="5731510" cy="603250"/>
            <wp:effectExtent l="0" t="0" r="2540" b="6350"/>
            <wp:docPr id="17" name="Picture 17" descr="A table which shows the authorised limit level of borrowing across each year from £8.4m in 2022-23 to £7.350m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table which shows the authorised limit level of borrowing across each year from £8.4m in 2022-23 to £7.350m in 2027-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03250"/>
                    </a:xfrm>
                    <a:prstGeom prst="rect">
                      <a:avLst/>
                    </a:prstGeom>
                    <a:noFill/>
                    <a:ln>
                      <a:noFill/>
                    </a:ln>
                  </pic:spPr>
                </pic:pic>
              </a:graphicData>
            </a:graphic>
          </wp:inline>
        </w:drawing>
      </w:r>
    </w:p>
    <w:p w14:paraId="19EDE8E1" w14:textId="71EEC116"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The rising trend of the Authorised Limit reflects that of the CFR and subsequently the Operational Boundary. </w:t>
      </w:r>
      <w:r w:rsidR="00520C7D" w:rsidRPr="005B0195">
        <w:rPr>
          <w:rFonts w:ascii="Calibri" w:eastAsia="Times New Roman" w:hAnsi="Calibri" w:cs="Calibri"/>
        </w:rPr>
        <w:t xml:space="preserve"> </w:t>
      </w:r>
      <w:r w:rsidRPr="005B0195">
        <w:rPr>
          <w:rFonts w:ascii="Calibri" w:eastAsia="Times New Roman" w:hAnsi="Calibri" w:cs="Calibri"/>
        </w:rPr>
        <w:t>The level set is at a 5% margin above the Operational Boundary, providing additional headroom for further short-term borrowing should it be required for cashflow purposes, before the legal limit is reached.</w:t>
      </w:r>
    </w:p>
    <w:p w14:paraId="570BAE7E" w14:textId="77777777" w:rsidR="004D09CE" w:rsidRPr="005B0195" w:rsidRDefault="004D09CE" w:rsidP="004D09CE">
      <w:pPr>
        <w:jc w:val="both"/>
        <w:rPr>
          <w:rFonts w:ascii="Calibri" w:eastAsia="Times New Roman" w:hAnsi="Calibri" w:cs="Calibri"/>
        </w:rPr>
      </w:pPr>
    </w:p>
    <w:p w14:paraId="7631FECC" w14:textId="77777777" w:rsidR="004D09CE" w:rsidRPr="005B0195" w:rsidRDefault="004D09CE" w:rsidP="004D09CE">
      <w:pPr>
        <w:numPr>
          <w:ilvl w:val="0"/>
          <w:numId w:val="1"/>
        </w:numPr>
        <w:tabs>
          <w:tab w:val="num" w:pos="720"/>
        </w:tabs>
        <w:ind w:left="720" w:hanging="720"/>
        <w:jc w:val="both"/>
        <w:rPr>
          <w:rFonts w:ascii="Calibri" w:eastAsia="Times New Roman" w:hAnsi="Calibri" w:cs="Calibri"/>
          <w:b/>
        </w:rPr>
      </w:pPr>
      <w:r w:rsidRPr="005B0195">
        <w:rPr>
          <w:rFonts w:ascii="Calibri" w:eastAsia="Times New Roman" w:hAnsi="Calibri" w:cs="Calibri"/>
          <w:b/>
        </w:rPr>
        <w:t>Treasury Management Limits on Activity</w:t>
      </w:r>
    </w:p>
    <w:p w14:paraId="7708CEF1" w14:textId="77777777" w:rsidR="004D09CE" w:rsidRPr="005B0195" w:rsidRDefault="004D09CE" w:rsidP="004D09CE">
      <w:pPr>
        <w:jc w:val="both"/>
        <w:rPr>
          <w:rFonts w:ascii="Calibri" w:eastAsia="Times New Roman" w:hAnsi="Calibri" w:cs="Calibri"/>
        </w:rPr>
      </w:pPr>
    </w:p>
    <w:p w14:paraId="27F7F70D" w14:textId="364A7569"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There are four debt and investment related treasury activity limits. </w:t>
      </w:r>
      <w:r w:rsidR="00520C7D" w:rsidRPr="005B0195">
        <w:rPr>
          <w:rFonts w:ascii="Calibri" w:eastAsia="Times New Roman" w:hAnsi="Calibri" w:cs="Calibri"/>
        </w:rPr>
        <w:t xml:space="preserve"> </w:t>
      </w:r>
      <w:r w:rsidRPr="005B0195">
        <w:rPr>
          <w:rFonts w:ascii="Calibri" w:eastAsia="Times New Roman" w:hAnsi="Calibri" w:cs="Calibri"/>
        </w:rPr>
        <w:t xml:space="preserve">The purpose of these </w:t>
      </w:r>
      <w:r w:rsidR="005478B9" w:rsidRPr="005B0195">
        <w:rPr>
          <w:rFonts w:ascii="Calibri" w:eastAsia="Times New Roman" w:hAnsi="Calibri" w:cs="Calibri"/>
        </w:rPr>
        <w:t>is</w:t>
      </w:r>
      <w:r w:rsidRPr="005B0195">
        <w:rPr>
          <w:rFonts w:ascii="Calibri" w:eastAsia="Times New Roman" w:hAnsi="Calibri" w:cs="Calibri"/>
        </w:rPr>
        <w:t xml:space="preserve"> to contain the activity of the treasury function within certain limits, thereby managing risk and reducing the impact of any adverse movement in interest rates. </w:t>
      </w:r>
      <w:r w:rsidR="00520C7D" w:rsidRPr="005B0195">
        <w:rPr>
          <w:rFonts w:ascii="Calibri" w:eastAsia="Times New Roman" w:hAnsi="Calibri" w:cs="Calibri"/>
        </w:rPr>
        <w:t xml:space="preserve"> </w:t>
      </w:r>
      <w:r w:rsidRPr="005B0195">
        <w:rPr>
          <w:rFonts w:ascii="Calibri" w:eastAsia="Times New Roman" w:hAnsi="Calibri" w:cs="Calibri"/>
          <w:iCs/>
        </w:rPr>
        <w:t xml:space="preserve">However, if these are set to be too </w:t>
      </w:r>
      <w:r w:rsidR="005B7FCC" w:rsidRPr="005B0195">
        <w:rPr>
          <w:rFonts w:ascii="Calibri" w:eastAsia="Times New Roman" w:hAnsi="Calibri" w:cs="Calibri"/>
          <w:iCs/>
        </w:rPr>
        <w:t>restrictive,</w:t>
      </w:r>
      <w:r w:rsidRPr="005B0195">
        <w:rPr>
          <w:rFonts w:ascii="Calibri" w:eastAsia="Times New Roman" w:hAnsi="Calibri" w:cs="Calibri"/>
          <w:iCs/>
        </w:rPr>
        <w:t xml:space="preserve"> they will impair the opportunities to reduce costs or improve performance. </w:t>
      </w:r>
      <w:r w:rsidR="00520C7D" w:rsidRPr="005B0195">
        <w:rPr>
          <w:rFonts w:ascii="Calibri" w:eastAsia="Times New Roman" w:hAnsi="Calibri" w:cs="Calibri"/>
          <w:iCs/>
        </w:rPr>
        <w:t xml:space="preserve"> </w:t>
      </w:r>
      <w:r w:rsidRPr="005B0195">
        <w:rPr>
          <w:rFonts w:ascii="Calibri" w:eastAsia="Times New Roman" w:hAnsi="Calibri" w:cs="Calibri"/>
        </w:rPr>
        <w:t>The indicators for debt are:</w:t>
      </w:r>
    </w:p>
    <w:p w14:paraId="6ECD7F2B" w14:textId="77777777" w:rsidR="004D09CE" w:rsidRPr="005B0195" w:rsidRDefault="004D09CE" w:rsidP="004D09CE">
      <w:pPr>
        <w:ind w:left="720"/>
        <w:jc w:val="both"/>
        <w:rPr>
          <w:rFonts w:ascii="Calibri" w:eastAsia="Times New Roman" w:hAnsi="Calibri" w:cs="Calibri"/>
        </w:rPr>
      </w:pPr>
    </w:p>
    <w:p w14:paraId="5C947F78" w14:textId="0D10B660" w:rsidR="004D09CE" w:rsidRPr="005B0195"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5B0195">
        <w:rPr>
          <w:rFonts w:ascii="Calibri" w:eastAsia="Times New Roman" w:hAnsi="Calibri" w:cs="Calibri"/>
          <w:b/>
          <w:iCs/>
        </w:rPr>
        <w:t>Upper limits on variable interest rate exposure;</w:t>
      </w:r>
      <w:r w:rsidRPr="005B0195">
        <w:rPr>
          <w:rFonts w:ascii="Calibri" w:eastAsia="Times New Roman" w:hAnsi="Calibri" w:cs="Calibri"/>
          <w:iCs/>
        </w:rPr>
        <w:t xml:space="preserve"> this identifies a maximum limit for variable interest rates based upon the debt position net of investments</w:t>
      </w:r>
      <w:r w:rsidR="00D4345D">
        <w:rPr>
          <w:rFonts w:ascii="Calibri" w:eastAsia="Times New Roman" w:hAnsi="Calibri" w:cs="Calibri"/>
          <w:iCs/>
        </w:rPr>
        <w:t>.</w:t>
      </w:r>
    </w:p>
    <w:p w14:paraId="47EAF955" w14:textId="55314090" w:rsidR="004D09CE" w:rsidRPr="005B0195"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5B0195">
        <w:rPr>
          <w:rFonts w:ascii="Calibri" w:eastAsia="Times New Roman" w:hAnsi="Calibri" w:cs="Calibri"/>
          <w:b/>
          <w:iCs/>
        </w:rPr>
        <w:t>Upper limits on fixed interest rate exposure;</w:t>
      </w:r>
      <w:r w:rsidRPr="005B0195">
        <w:rPr>
          <w:rFonts w:ascii="Calibri" w:eastAsia="Times New Roman" w:hAnsi="Calibri" w:cs="Calibri"/>
          <w:iCs/>
        </w:rPr>
        <w:t xml:space="preserve"> this is similar to the previous indicator and covers a maximum limit on fixed interest rates</w:t>
      </w:r>
      <w:r w:rsidR="00D4345D">
        <w:rPr>
          <w:rFonts w:ascii="Calibri" w:eastAsia="Times New Roman" w:hAnsi="Calibri" w:cs="Calibri"/>
          <w:iCs/>
        </w:rPr>
        <w:t>.</w:t>
      </w:r>
    </w:p>
    <w:p w14:paraId="1C6C0A72" w14:textId="5D86BD49" w:rsidR="004D09CE" w:rsidRPr="005B0195"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5B0195">
        <w:rPr>
          <w:rFonts w:ascii="Calibri" w:eastAsia="Times New Roman" w:hAnsi="Calibri" w:cs="Calibri"/>
          <w:b/>
          <w:iCs/>
        </w:rPr>
        <w:t>Maturity structure of borrowing;</w:t>
      </w:r>
      <w:r w:rsidRPr="005B0195">
        <w:rPr>
          <w:rFonts w:ascii="Calibri" w:eastAsia="Times New Roman" w:hAnsi="Calibri" w:cs="Calibri"/>
          <w:iCs/>
        </w:rPr>
        <w:t xml:space="preserve"> these gross limits are set to reduce the</w:t>
      </w:r>
      <w:r w:rsidR="0064222E" w:rsidRPr="005B0195">
        <w:rPr>
          <w:rFonts w:ascii="Calibri" w:eastAsia="Times New Roman" w:hAnsi="Calibri" w:cs="Calibri"/>
          <w:iCs/>
        </w:rPr>
        <w:t xml:space="preserve"> Authority</w:t>
      </w:r>
      <w:r w:rsidRPr="005B0195">
        <w:rPr>
          <w:rFonts w:ascii="Calibri" w:eastAsia="Times New Roman" w:hAnsi="Calibri" w:cs="Calibri"/>
          <w:iCs/>
        </w:rPr>
        <w:t xml:space="preserve">’s exposure to </w:t>
      </w:r>
      <w:r w:rsidR="005B7FCC" w:rsidRPr="005B0195">
        <w:rPr>
          <w:rFonts w:ascii="Calibri" w:eastAsia="Times New Roman" w:hAnsi="Calibri" w:cs="Calibri"/>
          <w:iCs/>
        </w:rPr>
        <w:t>large, fixed</w:t>
      </w:r>
      <w:r w:rsidRPr="005B0195">
        <w:rPr>
          <w:rFonts w:ascii="Calibri" w:eastAsia="Times New Roman" w:hAnsi="Calibri" w:cs="Calibri"/>
          <w:iCs/>
        </w:rPr>
        <w:t xml:space="preserve"> rate sums falling due for refinancing, and are required for upper and lower limits</w:t>
      </w:r>
      <w:r w:rsidR="00D4345D">
        <w:rPr>
          <w:rFonts w:ascii="Calibri" w:eastAsia="Times New Roman" w:hAnsi="Calibri" w:cs="Calibri"/>
          <w:iCs/>
        </w:rPr>
        <w:t>.</w:t>
      </w:r>
    </w:p>
    <w:p w14:paraId="77D985B6" w14:textId="77777777" w:rsidR="004D09CE" w:rsidRPr="005B0195" w:rsidRDefault="004D09CE" w:rsidP="004D09CE">
      <w:pPr>
        <w:ind w:left="720"/>
        <w:jc w:val="both"/>
        <w:rPr>
          <w:rFonts w:ascii="Calibri" w:eastAsia="Times New Roman" w:hAnsi="Calibri" w:cs="Calibri"/>
        </w:rPr>
      </w:pPr>
    </w:p>
    <w:p w14:paraId="6EEB9033" w14:textId="14CA297A"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The interest rate exposure is calculated as a percentage of net debt. </w:t>
      </w:r>
      <w:r w:rsidR="00520C7D" w:rsidRPr="005B0195">
        <w:rPr>
          <w:rFonts w:ascii="Calibri" w:eastAsia="Times New Roman" w:hAnsi="Calibri" w:cs="Calibri"/>
        </w:rPr>
        <w:t xml:space="preserve"> </w:t>
      </w:r>
      <w:r w:rsidRPr="005B0195">
        <w:rPr>
          <w:rFonts w:ascii="Calibri" w:eastAsia="Times New Roman" w:hAnsi="Calibri" w:cs="Calibri"/>
        </w:rPr>
        <w:t>Due to the mathematical calculation, exposures could be greater than 100% or below zero (</w:t>
      </w:r>
      <w:proofErr w:type="spellStart"/>
      <w:r w:rsidRPr="005B0195">
        <w:rPr>
          <w:rFonts w:ascii="Calibri" w:eastAsia="Times New Roman" w:hAnsi="Calibri" w:cs="Calibri"/>
        </w:rPr>
        <w:t>ie</w:t>
      </w:r>
      <w:proofErr w:type="spellEnd"/>
      <w:r w:rsidRPr="005B0195">
        <w:rPr>
          <w:rFonts w:ascii="Calibri" w:eastAsia="Times New Roman" w:hAnsi="Calibri" w:cs="Calibri"/>
        </w:rPr>
        <w:t xml:space="preserve">. negative) depending on the component parts of the formula. </w:t>
      </w:r>
      <w:r w:rsidR="00520C7D" w:rsidRPr="005B0195">
        <w:rPr>
          <w:rFonts w:ascii="Calibri" w:eastAsia="Times New Roman" w:hAnsi="Calibri" w:cs="Calibri"/>
        </w:rPr>
        <w:t xml:space="preserve"> </w:t>
      </w:r>
      <w:r w:rsidRPr="005B0195">
        <w:rPr>
          <w:rFonts w:ascii="Calibri" w:eastAsia="Times New Roman" w:hAnsi="Calibri" w:cs="Calibri"/>
        </w:rPr>
        <w:t>The formula is shown below:</w:t>
      </w:r>
    </w:p>
    <w:p w14:paraId="5E07E2BF" w14:textId="77777777" w:rsidR="004D09CE" w:rsidRPr="005B0195" w:rsidRDefault="004D09CE" w:rsidP="004D09CE">
      <w:pPr>
        <w:ind w:left="720"/>
        <w:jc w:val="both"/>
        <w:rPr>
          <w:rFonts w:ascii="Calibri" w:eastAsia="Times New Roman" w:hAnsi="Calibri" w:cs="Calibri"/>
        </w:rPr>
      </w:pPr>
    </w:p>
    <w:p w14:paraId="6F929AB7" w14:textId="77777777" w:rsidR="004D09CE" w:rsidRPr="005B0195" w:rsidRDefault="004D09CE" w:rsidP="004D09CE">
      <w:pPr>
        <w:spacing w:after="120"/>
        <w:ind w:left="720"/>
        <w:jc w:val="both"/>
        <w:rPr>
          <w:rFonts w:ascii="Calibri" w:eastAsia="Times New Roman" w:hAnsi="Calibri" w:cs="Calibri"/>
        </w:rPr>
      </w:pPr>
      <w:r w:rsidRPr="005B0195">
        <w:rPr>
          <w:rFonts w:ascii="Calibri" w:eastAsia="Times New Roman" w:hAnsi="Calibri" w:cs="Calibri"/>
        </w:rPr>
        <w:t>Fixed rate calculation:</w:t>
      </w:r>
    </w:p>
    <w:p w14:paraId="66465CCF" w14:textId="77777777" w:rsidR="004D09CE" w:rsidRPr="005B0195" w:rsidRDefault="004D09CE" w:rsidP="004D09CE">
      <w:pPr>
        <w:ind w:left="720" w:firstLine="720"/>
        <w:jc w:val="both"/>
        <w:rPr>
          <w:rFonts w:ascii="Calibri" w:eastAsia="Times New Roman" w:hAnsi="Calibri" w:cs="Calibri"/>
          <w:u w:val="single"/>
        </w:rPr>
      </w:pPr>
      <w:r w:rsidRPr="005B0195">
        <w:rPr>
          <w:rFonts w:ascii="Calibri" w:eastAsia="Times New Roman" w:hAnsi="Calibri" w:cs="Calibri"/>
          <w:u w:val="single"/>
        </w:rPr>
        <w:t>(Fixed rate borrowing – Fixed rate investments)</w:t>
      </w:r>
    </w:p>
    <w:p w14:paraId="346354A1" w14:textId="77777777" w:rsidR="004D09CE" w:rsidRPr="005B0195" w:rsidRDefault="004D09CE" w:rsidP="004D09CE">
      <w:pPr>
        <w:ind w:left="720" w:firstLine="720"/>
        <w:jc w:val="both"/>
        <w:rPr>
          <w:rFonts w:ascii="Calibri" w:eastAsia="Times New Roman" w:hAnsi="Calibri" w:cs="Calibri"/>
        </w:rPr>
      </w:pPr>
      <w:r w:rsidRPr="005B0195">
        <w:rPr>
          <w:rFonts w:ascii="Calibri" w:eastAsia="Times New Roman" w:hAnsi="Calibri" w:cs="Calibri"/>
        </w:rPr>
        <w:t xml:space="preserve">        Total borrowing – Total investments</w:t>
      </w:r>
    </w:p>
    <w:p w14:paraId="61B27FC0" w14:textId="77777777" w:rsidR="004D09CE" w:rsidRPr="005B0195" w:rsidRDefault="004D09CE" w:rsidP="004D09CE">
      <w:pPr>
        <w:jc w:val="both"/>
        <w:rPr>
          <w:rFonts w:ascii="Calibri" w:eastAsia="Times New Roman" w:hAnsi="Calibri" w:cs="Calibri"/>
        </w:rPr>
      </w:pPr>
    </w:p>
    <w:p w14:paraId="17DBCBBC" w14:textId="77777777" w:rsidR="004D09CE" w:rsidRPr="005B0195" w:rsidRDefault="004D09CE" w:rsidP="004D09CE">
      <w:pPr>
        <w:spacing w:after="120"/>
        <w:ind w:left="720"/>
        <w:jc w:val="both"/>
        <w:rPr>
          <w:rFonts w:ascii="Calibri" w:eastAsia="Times New Roman" w:hAnsi="Calibri" w:cs="Calibri"/>
        </w:rPr>
      </w:pPr>
      <w:r w:rsidRPr="005B0195">
        <w:rPr>
          <w:rFonts w:ascii="Calibri" w:eastAsia="Times New Roman" w:hAnsi="Calibri" w:cs="Calibri"/>
        </w:rPr>
        <w:t>Variable rate calculation:</w:t>
      </w:r>
    </w:p>
    <w:p w14:paraId="66239CBF" w14:textId="507E6852" w:rsidR="004D09CE" w:rsidRPr="005B0195" w:rsidRDefault="004D09CE" w:rsidP="004D09CE">
      <w:pPr>
        <w:ind w:left="720"/>
        <w:jc w:val="both"/>
        <w:rPr>
          <w:rFonts w:ascii="Calibri" w:eastAsia="Times New Roman" w:hAnsi="Calibri" w:cs="Calibri"/>
          <w:u w:val="single"/>
        </w:rPr>
      </w:pPr>
      <w:r w:rsidRPr="005B0195">
        <w:rPr>
          <w:rFonts w:ascii="Calibri" w:eastAsia="Times New Roman" w:hAnsi="Calibri" w:cs="Calibri"/>
        </w:rPr>
        <w:tab/>
      </w:r>
      <w:r w:rsidRPr="005B0195">
        <w:rPr>
          <w:rFonts w:ascii="Calibri" w:eastAsia="Times New Roman" w:hAnsi="Calibri" w:cs="Calibri"/>
          <w:u w:val="single"/>
        </w:rPr>
        <w:t xml:space="preserve">(Variable rate borrowing – </w:t>
      </w:r>
      <w:r w:rsidR="00520C7D" w:rsidRPr="005B0195">
        <w:rPr>
          <w:rFonts w:ascii="Calibri" w:eastAsia="Times New Roman" w:hAnsi="Calibri" w:cs="Calibri"/>
          <w:u w:val="single"/>
        </w:rPr>
        <w:t>V</w:t>
      </w:r>
      <w:r w:rsidRPr="005B0195">
        <w:rPr>
          <w:rFonts w:ascii="Calibri" w:eastAsia="Times New Roman" w:hAnsi="Calibri" w:cs="Calibri"/>
          <w:u w:val="single"/>
        </w:rPr>
        <w:t>ariable rate investments)</w:t>
      </w:r>
    </w:p>
    <w:p w14:paraId="7F414717" w14:textId="1110A54C" w:rsidR="004D09CE" w:rsidRDefault="004D09CE" w:rsidP="004D09CE">
      <w:pPr>
        <w:ind w:left="720"/>
        <w:jc w:val="both"/>
        <w:rPr>
          <w:rFonts w:ascii="Calibri" w:eastAsia="Times New Roman" w:hAnsi="Calibri" w:cs="Calibri"/>
        </w:rPr>
      </w:pPr>
      <w:r w:rsidRPr="005B0195">
        <w:rPr>
          <w:rFonts w:ascii="Calibri" w:eastAsia="Times New Roman" w:hAnsi="Calibri" w:cs="Calibri"/>
        </w:rPr>
        <w:tab/>
        <w:t xml:space="preserve">           Total borrowing – Total investments</w:t>
      </w:r>
    </w:p>
    <w:p w14:paraId="46A22096" w14:textId="77777777" w:rsidR="00611CA9" w:rsidRPr="005B0195" w:rsidRDefault="00611CA9" w:rsidP="004D09CE">
      <w:pPr>
        <w:ind w:left="720"/>
        <w:jc w:val="both"/>
        <w:rPr>
          <w:rFonts w:ascii="Calibri" w:eastAsia="Times New Roman" w:hAnsi="Calibri" w:cs="Calibri"/>
        </w:rPr>
      </w:pPr>
    </w:p>
    <w:p w14:paraId="0651394A" w14:textId="483DFC49" w:rsidR="004D09CE" w:rsidRPr="005B0195" w:rsidRDefault="00611CA9" w:rsidP="004D09CE">
      <w:pPr>
        <w:ind w:left="720"/>
        <w:jc w:val="both"/>
        <w:rPr>
          <w:rFonts w:ascii="Calibri" w:eastAsia="Times New Roman" w:hAnsi="Calibri" w:cs="Calibri"/>
        </w:rPr>
      </w:pPr>
      <w:r w:rsidRPr="00611CA9">
        <w:rPr>
          <w:noProof/>
        </w:rPr>
        <w:drawing>
          <wp:inline distT="0" distB="0" distL="0" distR="0" wp14:anchorId="525FECB2" wp14:editId="1FC8D74B">
            <wp:extent cx="5731510" cy="957580"/>
            <wp:effectExtent l="0" t="0" r="2540" b="0"/>
            <wp:docPr id="18" name="Picture 18" descr="A table which shows the anticipated interest rate exposures from 2022-23 to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table which shows the anticipated interest rate exposures from 2022-23 to 2027-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957580"/>
                    </a:xfrm>
                    <a:prstGeom prst="rect">
                      <a:avLst/>
                    </a:prstGeom>
                    <a:noFill/>
                    <a:ln>
                      <a:noFill/>
                    </a:ln>
                  </pic:spPr>
                </pic:pic>
              </a:graphicData>
            </a:graphic>
          </wp:inline>
        </w:drawing>
      </w:r>
    </w:p>
    <w:p w14:paraId="7119A11F" w14:textId="56B51A93" w:rsidR="004D09CE" w:rsidRPr="005B0195" w:rsidRDefault="004D09CE" w:rsidP="004D09CE">
      <w:pPr>
        <w:jc w:val="both"/>
        <w:rPr>
          <w:rFonts w:ascii="Calibri" w:eastAsia="Times New Roman" w:hAnsi="Calibri" w:cs="Calibri"/>
        </w:rPr>
      </w:pPr>
      <w:r w:rsidRPr="005B0195">
        <w:rPr>
          <w:rFonts w:ascii="Calibri" w:eastAsia="Times New Roman" w:hAnsi="Calibri" w:cs="Calibri"/>
        </w:rPr>
        <w:tab/>
      </w:r>
    </w:p>
    <w:p w14:paraId="7F471FC3" w14:textId="48F82B4E"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lastRenderedPageBreak/>
        <w:t xml:space="preserve">The indicators above therefore allow for a maximum 100% of borrowing to be undertaken on a fixed interest rate basis, but a maximum of 50% on a variable interest rate basis. </w:t>
      </w:r>
      <w:r w:rsidR="00520C7D" w:rsidRPr="005B0195">
        <w:rPr>
          <w:rFonts w:ascii="Calibri" w:eastAsia="Times New Roman" w:hAnsi="Calibri" w:cs="Calibri"/>
        </w:rPr>
        <w:t xml:space="preserve"> </w:t>
      </w:r>
      <w:r w:rsidRPr="005B0195">
        <w:rPr>
          <w:rFonts w:ascii="Calibri" w:eastAsia="Times New Roman" w:hAnsi="Calibri" w:cs="Calibri"/>
        </w:rPr>
        <w:t>This allows flexibility to utilise variable rate instruments for up to half the</w:t>
      </w:r>
      <w:r w:rsidR="0064222E" w:rsidRPr="005B0195">
        <w:rPr>
          <w:rFonts w:ascii="Calibri" w:eastAsia="Times New Roman" w:hAnsi="Calibri" w:cs="Calibri"/>
        </w:rPr>
        <w:t xml:space="preserve"> Authority</w:t>
      </w:r>
      <w:r w:rsidRPr="005B0195">
        <w:rPr>
          <w:rFonts w:ascii="Calibri" w:eastAsia="Times New Roman" w:hAnsi="Calibri" w:cs="Calibri"/>
        </w:rPr>
        <w:t>’s borrowing requirement where prudent to do so, whilst limiting the variable interest rate risk against the</w:t>
      </w:r>
      <w:r w:rsidR="0064222E" w:rsidRPr="005B0195">
        <w:rPr>
          <w:rFonts w:ascii="Calibri" w:eastAsia="Times New Roman" w:hAnsi="Calibri" w:cs="Calibri"/>
        </w:rPr>
        <w:t xml:space="preserve"> Authority</w:t>
      </w:r>
      <w:r w:rsidRPr="005B0195">
        <w:rPr>
          <w:rFonts w:ascii="Calibri" w:eastAsia="Times New Roman" w:hAnsi="Calibri" w:cs="Calibri"/>
        </w:rPr>
        <w:t>’s revenue budget.</w:t>
      </w:r>
    </w:p>
    <w:p w14:paraId="669A85A2" w14:textId="77777777" w:rsidR="004D09CE" w:rsidRPr="005B0195" w:rsidRDefault="004D09CE" w:rsidP="004D09CE">
      <w:pPr>
        <w:ind w:left="720"/>
        <w:jc w:val="both"/>
        <w:rPr>
          <w:rFonts w:ascii="Calibri" w:eastAsia="Times New Roman" w:hAnsi="Calibri" w:cs="Calibri"/>
        </w:rPr>
      </w:pPr>
    </w:p>
    <w:p w14:paraId="7EE82AF6" w14:textId="76544EED" w:rsidR="00D75E47" w:rsidRPr="005B0195" w:rsidRDefault="004D09CE" w:rsidP="00D75E47">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The maturity structure of borrowing indicator represents the borrowing falling due in each period expressed as a percentage of total borrowing.</w:t>
      </w:r>
      <w:r w:rsidR="00D75E47" w:rsidRPr="005B0195">
        <w:rPr>
          <w:rFonts w:ascii="Calibri" w:eastAsia="Times New Roman" w:hAnsi="Calibri" w:cs="Calibri"/>
        </w:rPr>
        <w:t xml:space="preserve">  </w:t>
      </w:r>
      <w:r w:rsidRPr="005B0195">
        <w:rPr>
          <w:rFonts w:ascii="Calibri" w:eastAsia="Times New Roman" w:hAnsi="Calibri" w:cs="Calibri"/>
        </w:rPr>
        <w:t>These gross limits are set to manage the</w:t>
      </w:r>
      <w:r w:rsidR="0064222E" w:rsidRPr="005B0195">
        <w:rPr>
          <w:rFonts w:ascii="Calibri" w:eastAsia="Times New Roman" w:hAnsi="Calibri" w:cs="Calibri"/>
        </w:rPr>
        <w:t xml:space="preserve"> Authority</w:t>
      </w:r>
      <w:r w:rsidRPr="005B0195">
        <w:rPr>
          <w:rFonts w:ascii="Calibri" w:eastAsia="Times New Roman" w:hAnsi="Calibri" w:cs="Calibri"/>
        </w:rPr>
        <w:t>’s exposure to sums falling due for refinancing or repayment.</w:t>
      </w:r>
    </w:p>
    <w:p w14:paraId="1B64CBD7" w14:textId="77777777" w:rsidR="005B7FCC" w:rsidRPr="005B0195" w:rsidRDefault="005B7FCC" w:rsidP="005B7FCC">
      <w:pPr>
        <w:tabs>
          <w:tab w:val="num" w:pos="1000"/>
        </w:tabs>
        <w:jc w:val="both"/>
        <w:rPr>
          <w:rFonts w:ascii="Calibri" w:eastAsia="Times New Roman" w:hAnsi="Calibri" w:cs="Calibri"/>
        </w:rPr>
      </w:pPr>
    </w:p>
    <w:p w14:paraId="0544E1EF" w14:textId="6A4B25BC" w:rsidR="0083443F" w:rsidRDefault="00D4345D" w:rsidP="00EE04F9">
      <w:pPr>
        <w:ind w:left="720"/>
        <w:jc w:val="center"/>
        <w:rPr>
          <w:rFonts w:ascii="Calibri" w:eastAsia="Times New Roman" w:hAnsi="Calibri" w:cs="Calibri"/>
        </w:rPr>
      </w:pPr>
      <w:r w:rsidRPr="00D4345D">
        <w:rPr>
          <w:noProof/>
        </w:rPr>
        <w:drawing>
          <wp:inline distT="0" distB="0" distL="0" distR="0" wp14:anchorId="4EA3E33B" wp14:editId="3B5A9BFA">
            <wp:extent cx="3911600" cy="1174010"/>
            <wp:effectExtent l="0" t="0" r="0" b="7620"/>
            <wp:docPr id="14" name="Picture 14" descr="A table which shows NCFRA's maturity structure of borrowing. There are no lower limits but there are upper limits set between 50% and 100% for borrowing over these terms to manage NCFRA's exp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able which shows NCFRA's maturity structure of borrowing. There are no lower limits but there are upper limits set between 50% and 100% for borrowing over these terms to manage NCFRA's expos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1653" cy="1198037"/>
                    </a:xfrm>
                    <a:prstGeom prst="rect">
                      <a:avLst/>
                    </a:prstGeom>
                    <a:noFill/>
                    <a:ln>
                      <a:noFill/>
                    </a:ln>
                  </pic:spPr>
                </pic:pic>
              </a:graphicData>
            </a:graphic>
          </wp:inline>
        </w:drawing>
      </w:r>
    </w:p>
    <w:p w14:paraId="5FF3939B" w14:textId="77777777" w:rsidR="007E64A4" w:rsidRDefault="007E64A4" w:rsidP="00EE04F9">
      <w:pPr>
        <w:ind w:left="720"/>
        <w:jc w:val="center"/>
        <w:rPr>
          <w:rFonts w:ascii="Calibri" w:eastAsia="Times New Roman" w:hAnsi="Calibri" w:cs="Calibri"/>
        </w:rPr>
      </w:pPr>
    </w:p>
    <w:p w14:paraId="3C858BA6" w14:textId="51264732" w:rsidR="007E64A4" w:rsidRPr="005B0195" w:rsidRDefault="007E64A4" w:rsidP="002D2305">
      <w:pPr>
        <w:ind w:left="720"/>
        <w:jc w:val="both"/>
        <w:rPr>
          <w:rFonts w:ascii="Calibri" w:eastAsia="Times New Roman" w:hAnsi="Calibri" w:cs="Calibri"/>
        </w:rPr>
      </w:pPr>
      <w:r>
        <w:rPr>
          <w:rFonts w:ascii="Calibri" w:eastAsia="Times New Roman" w:hAnsi="Calibri" w:cs="Calibri"/>
        </w:rPr>
        <w:t xml:space="preserve">The </w:t>
      </w:r>
      <w:r w:rsidR="002D2305">
        <w:rPr>
          <w:rFonts w:ascii="Calibri" w:eastAsia="Times New Roman" w:hAnsi="Calibri" w:cs="Calibri"/>
        </w:rPr>
        <w:t xml:space="preserve">type of the </w:t>
      </w:r>
      <w:r>
        <w:rPr>
          <w:rFonts w:ascii="Calibri" w:eastAsia="Times New Roman" w:hAnsi="Calibri" w:cs="Calibri"/>
        </w:rPr>
        <w:t>current £3.3m PWLB loan is a EIP (Equal Instalments of Princip</w:t>
      </w:r>
      <w:r w:rsidR="00B70116">
        <w:rPr>
          <w:rFonts w:ascii="Calibri" w:eastAsia="Times New Roman" w:hAnsi="Calibri" w:cs="Calibri"/>
        </w:rPr>
        <w:t>al</w:t>
      </w:r>
      <w:r>
        <w:rPr>
          <w:rFonts w:ascii="Calibri" w:eastAsia="Times New Roman" w:hAnsi="Calibri" w:cs="Calibri"/>
        </w:rPr>
        <w:t xml:space="preserve">), meaning that the </w:t>
      </w:r>
      <w:r w:rsidRPr="002918B0">
        <w:rPr>
          <w:rFonts w:ascii="Calibri" w:hAnsi="Calibri" w:cs="Calibri"/>
        </w:rPr>
        <w:t>principal is paid throughout the loan rather than at the end of the loan term.</w:t>
      </w:r>
    </w:p>
    <w:p w14:paraId="41F46CE8" w14:textId="77777777" w:rsidR="004D09CE" w:rsidRPr="005B0195" w:rsidRDefault="004D09CE" w:rsidP="004D09CE">
      <w:pPr>
        <w:jc w:val="both"/>
        <w:rPr>
          <w:rFonts w:ascii="Calibri" w:eastAsia="Times New Roman" w:hAnsi="Calibri" w:cs="Calibri"/>
        </w:rPr>
      </w:pPr>
    </w:p>
    <w:p w14:paraId="5902CE35" w14:textId="0498433D" w:rsidR="004D09CE" w:rsidRDefault="004D09CE" w:rsidP="004D09CE">
      <w:pPr>
        <w:numPr>
          <w:ilvl w:val="1"/>
          <w:numId w:val="1"/>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does not expect to hold any investments that exceed 365 days but may do so in the future if it holds sufficient cash balances and such investments assist in the prudent management of the</w:t>
      </w:r>
      <w:r w:rsidR="0064222E" w:rsidRPr="005B0195">
        <w:rPr>
          <w:rFonts w:ascii="Calibri" w:eastAsia="Times New Roman" w:hAnsi="Calibri" w:cs="Calibri"/>
        </w:rPr>
        <w:t xml:space="preserve"> Authority</w:t>
      </w:r>
      <w:r w:rsidRPr="005B0195">
        <w:rPr>
          <w:rFonts w:ascii="Calibri" w:eastAsia="Times New Roman" w:hAnsi="Calibri" w:cs="Calibri"/>
        </w:rPr>
        <w:t>’s financial affairs.</w:t>
      </w:r>
    </w:p>
    <w:p w14:paraId="60582EEF" w14:textId="77777777" w:rsidR="00B70116" w:rsidRDefault="00B70116" w:rsidP="00B70116">
      <w:pPr>
        <w:ind w:left="709"/>
        <w:jc w:val="both"/>
        <w:rPr>
          <w:rFonts w:ascii="Calibri" w:eastAsia="Times New Roman" w:hAnsi="Calibri" w:cs="Calibri"/>
        </w:rPr>
      </w:pPr>
    </w:p>
    <w:p w14:paraId="7617AAE3" w14:textId="0503C300" w:rsidR="00B70116" w:rsidRPr="00B70116" w:rsidRDefault="00B70116" w:rsidP="00B70116">
      <w:pPr>
        <w:ind w:left="709"/>
        <w:jc w:val="both"/>
        <w:rPr>
          <w:rFonts w:ascii="Calibri" w:eastAsia="Times New Roman" w:hAnsi="Calibri" w:cs="Calibri"/>
          <w:b/>
          <w:bCs/>
        </w:rPr>
      </w:pPr>
      <w:r w:rsidRPr="00B70116">
        <w:rPr>
          <w:rFonts w:ascii="Calibri" w:eastAsia="Times New Roman" w:hAnsi="Calibri" w:cs="Calibri"/>
          <w:b/>
          <w:bCs/>
        </w:rPr>
        <w:t>Liability Benchmark</w:t>
      </w:r>
    </w:p>
    <w:p w14:paraId="7C5C8647" w14:textId="77777777" w:rsidR="00B70116" w:rsidRDefault="00B70116" w:rsidP="00B70116">
      <w:pPr>
        <w:ind w:left="709"/>
        <w:jc w:val="both"/>
        <w:rPr>
          <w:rFonts w:ascii="Calibri" w:eastAsia="Times New Roman" w:hAnsi="Calibri" w:cs="Calibri"/>
        </w:rPr>
      </w:pPr>
    </w:p>
    <w:p w14:paraId="389E3A90" w14:textId="2913C274" w:rsidR="00062A5F" w:rsidRPr="00B70116" w:rsidRDefault="00062A5F" w:rsidP="00B70116">
      <w:pPr>
        <w:numPr>
          <w:ilvl w:val="1"/>
          <w:numId w:val="1"/>
        </w:numPr>
        <w:ind w:left="709" w:hanging="709"/>
        <w:jc w:val="both"/>
        <w:rPr>
          <w:rFonts w:ascii="Calibri" w:eastAsia="Times New Roman" w:hAnsi="Calibri" w:cs="Calibri"/>
        </w:rPr>
      </w:pPr>
      <w:r w:rsidRPr="00B70116">
        <w:rPr>
          <w:rFonts w:ascii="Calibri" w:eastAsia="Times New Roman" w:hAnsi="Calibri" w:cs="Calibri"/>
        </w:rPr>
        <w:t>The PFCC is required to provide a comparison of the existing loan portfolio against the committed borrowing needs.</w:t>
      </w:r>
      <w:r w:rsidR="007B66C2" w:rsidRPr="00B70116">
        <w:rPr>
          <w:rFonts w:ascii="Calibri" w:eastAsia="Times New Roman" w:hAnsi="Calibri" w:cs="Calibri"/>
        </w:rPr>
        <w:t xml:space="preserve"> </w:t>
      </w:r>
      <w:r w:rsidRPr="00B70116">
        <w:rPr>
          <w:rFonts w:ascii="Calibri" w:eastAsia="Times New Roman" w:hAnsi="Calibri" w:cs="Calibri"/>
        </w:rPr>
        <w:t xml:space="preserve"> This is to provide evidence that it has a strong grasp of both its existing debt maturity profile and how MRP / LFR (Loan Fund Repayment) and other cash flows affect the future debt requirement.</w:t>
      </w:r>
    </w:p>
    <w:p w14:paraId="208AD12D" w14:textId="77777777" w:rsidR="007B66C2" w:rsidRDefault="007B66C2" w:rsidP="007B66C2">
      <w:pPr>
        <w:ind w:left="709"/>
        <w:jc w:val="both"/>
        <w:rPr>
          <w:rFonts w:ascii="Calibri" w:eastAsia="Times New Roman" w:hAnsi="Calibri" w:cs="Calibri"/>
        </w:rPr>
      </w:pPr>
    </w:p>
    <w:p w14:paraId="1D88EEC2" w14:textId="511BDEF9" w:rsidR="00062A5F" w:rsidRDefault="00062A5F" w:rsidP="007B66C2">
      <w:pPr>
        <w:ind w:left="709"/>
        <w:rPr>
          <w:rFonts w:ascii="Calibri" w:eastAsia="Times New Roman" w:hAnsi="Calibri" w:cs="Calibri"/>
        </w:rPr>
      </w:pPr>
      <w:r>
        <w:rPr>
          <w:rFonts w:ascii="Calibri" w:eastAsia="Times New Roman" w:hAnsi="Calibri" w:cs="Calibri"/>
        </w:rPr>
        <w:tab/>
      </w:r>
      <w:r w:rsidR="005F307C">
        <w:rPr>
          <w:noProof/>
        </w:rPr>
        <w:drawing>
          <wp:inline distT="0" distB="0" distL="0" distR="0" wp14:anchorId="45032C9E" wp14:editId="03A5D392">
            <wp:extent cx="4229100" cy="2562147"/>
            <wp:effectExtent l="0" t="0" r="0" b="0"/>
            <wp:docPr id="8" name="Picture 8" descr="A bar and line graph which shows the NCFRA liability benchmark in accordance with Prudential Code requirements across the years 2022-23 to 2026-27. The graph demonstrates that loans held are PWLB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r and line graph which shows the NCFRA liability benchmark in accordance with Prudential Code requirements across the years 2022-23 to 2026-27. The graph demonstrates that loans held are PWLB loans."/>
                    <pic:cNvPicPr/>
                  </pic:nvPicPr>
                  <pic:blipFill>
                    <a:blip r:embed="rId18"/>
                    <a:stretch>
                      <a:fillRect/>
                    </a:stretch>
                  </pic:blipFill>
                  <pic:spPr>
                    <a:xfrm>
                      <a:off x="0" y="0"/>
                      <a:ext cx="4269701" cy="2586744"/>
                    </a:xfrm>
                    <a:prstGeom prst="rect">
                      <a:avLst/>
                    </a:prstGeom>
                  </pic:spPr>
                </pic:pic>
              </a:graphicData>
            </a:graphic>
          </wp:inline>
        </w:drawing>
      </w:r>
    </w:p>
    <w:p w14:paraId="43CA891B" w14:textId="77777777" w:rsidR="00062A5F" w:rsidRDefault="00062A5F" w:rsidP="00062A5F">
      <w:pPr>
        <w:ind w:left="709"/>
        <w:jc w:val="both"/>
        <w:rPr>
          <w:rFonts w:ascii="Calibri" w:eastAsia="Times New Roman" w:hAnsi="Calibri" w:cs="Calibri"/>
        </w:rPr>
      </w:pPr>
    </w:p>
    <w:p w14:paraId="04F765B7" w14:textId="5ACB5B87" w:rsidR="00D4345D" w:rsidRDefault="00062A5F" w:rsidP="00D4345D">
      <w:pPr>
        <w:ind w:left="709"/>
        <w:jc w:val="both"/>
        <w:rPr>
          <w:rFonts w:ascii="Calibri" w:eastAsia="Times New Roman" w:hAnsi="Calibri" w:cs="Calibri"/>
        </w:rPr>
      </w:pPr>
      <w:r>
        <w:rPr>
          <w:rFonts w:ascii="Calibri" w:eastAsia="Times New Roman" w:hAnsi="Calibri" w:cs="Calibri"/>
        </w:rPr>
        <w:lastRenderedPageBreak/>
        <w:t>Currently</w:t>
      </w:r>
      <w:r w:rsidR="007B66C2">
        <w:rPr>
          <w:rFonts w:ascii="Calibri" w:eastAsia="Times New Roman" w:hAnsi="Calibri" w:cs="Calibri"/>
        </w:rPr>
        <w:t>, all</w:t>
      </w:r>
      <w:r>
        <w:rPr>
          <w:rFonts w:ascii="Calibri" w:eastAsia="Times New Roman" w:hAnsi="Calibri" w:cs="Calibri"/>
        </w:rPr>
        <w:t xml:space="preserve"> the </w:t>
      </w:r>
      <w:r w:rsidR="007B66C2">
        <w:rPr>
          <w:rFonts w:ascii="Calibri" w:eastAsia="Times New Roman" w:hAnsi="Calibri" w:cs="Calibri"/>
        </w:rPr>
        <w:t>authority’s</w:t>
      </w:r>
      <w:r>
        <w:rPr>
          <w:rFonts w:ascii="Calibri" w:eastAsia="Times New Roman" w:hAnsi="Calibri" w:cs="Calibri"/>
        </w:rPr>
        <w:t xml:space="preserve"> loans are held with PWLB</w:t>
      </w:r>
      <w:r w:rsidR="007B66C2">
        <w:rPr>
          <w:rFonts w:ascii="Calibri" w:eastAsia="Times New Roman" w:hAnsi="Calibri" w:cs="Calibri"/>
        </w:rPr>
        <w:t>.</w:t>
      </w:r>
      <w:r>
        <w:rPr>
          <w:rFonts w:ascii="Calibri" w:eastAsia="Times New Roman" w:hAnsi="Calibri" w:cs="Calibri"/>
        </w:rPr>
        <w:t xml:space="preserve"> </w:t>
      </w:r>
      <w:r w:rsidR="007B66C2">
        <w:rPr>
          <w:rFonts w:ascii="Calibri" w:eastAsia="Times New Roman" w:hAnsi="Calibri" w:cs="Calibri"/>
        </w:rPr>
        <w:t xml:space="preserve"> T</w:t>
      </w:r>
      <w:r>
        <w:rPr>
          <w:rFonts w:ascii="Calibri" w:eastAsia="Times New Roman" w:hAnsi="Calibri" w:cs="Calibri"/>
        </w:rPr>
        <w:t xml:space="preserve">he graph </w:t>
      </w:r>
      <w:r w:rsidR="007B66C2">
        <w:rPr>
          <w:rFonts w:ascii="Calibri" w:eastAsia="Times New Roman" w:hAnsi="Calibri" w:cs="Calibri"/>
        </w:rPr>
        <w:t>show</w:t>
      </w:r>
      <w:r>
        <w:rPr>
          <w:rFonts w:ascii="Calibri" w:eastAsia="Times New Roman" w:hAnsi="Calibri" w:cs="Calibri"/>
        </w:rPr>
        <w:t>s the current outstanding loans</w:t>
      </w:r>
      <w:r w:rsidR="00B70116">
        <w:rPr>
          <w:rFonts w:ascii="Calibri" w:eastAsia="Times New Roman" w:hAnsi="Calibri" w:cs="Calibri"/>
        </w:rPr>
        <w:t xml:space="preserve"> and</w:t>
      </w:r>
      <w:r>
        <w:rPr>
          <w:rFonts w:ascii="Calibri" w:eastAsia="Times New Roman" w:hAnsi="Calibri" w:cs="Calibri"/>
        </w:rPr>
        <w:t xml:space="preserve"> the forecasted CFR loan requirement</w:t>
      </w:r>
      <w:r w:rsidR="004463F9">
        <w:rPr>
          <w:rFonts w:ascii="Calibri" w:eastAsia="Times New Roman" w:hAnsi="Calibri" w:cs="Calibri"/>
        </w:rPr>
        <w:t xml:space="preserve"> </w:t>
      </w:r>
      <w:r w:rsidR="00B70116">
        <w:rPr>
          <w:rFonts w:ascii="Calibri" w:eastAsia="Times New Roman" w:hAnsi="Calibri" w:cs="Calibri"/>
        </w:rPr>
        <w:t>to deliver</w:t>
      </w:r>
      <w:r w:rsidR="004463F9">
        <w:rPr>
          <w:rFonts w:ascii="Calibri" w:eastAsia="Times New Roman" w:hAnsi="Calibri" w:cs="Calibri"/>
        </w:rPr>
        <w:t xml:space="preserve"> the Capital Programme</w:t>
      </w:r>
      <w:r>
        <w:rPr>
          <w:rFonts w:ascii="Calibri" w:eastAsia="Times New Roman" w:hAnsi="Calibri" w:cs="Calibri"/>
        </w:rPr>
        <w:t>.  The decline in the Liability benchmark</w:t>
      </w:r>
      <w:r w:rsidR="004463F9">
        <w:rPr>
          <w:rFonts w:ascii="Calibri" w:eastAsia="Times New Roman" w:hAnsi="Calibri" w:cs="Calibri"/>
        </w:rPr>
        <w:t xml:space="preserve"> (gross loans requirement)</w:t>
      </w:r>
      <w:r>
        <w:rPr>
          <w:rFonts w:ascii="Calibri" w:eastAsia="Times New Roman" w:hAnsi="Calibri" w:cs="Calibri"/>
        </w:rPr>
        <w:t xml:space="preserve"> from 1</w:t>
      </w:r>
      <w:r w:rsidRPr="00062A5F">
        <w:rPr>
          <w:rFonts w:ascii="Calibri" w:eastAsia="Times New Roman" w:hAnsi="Calibri" w:cs="Calibri"/>
          <w:vertAlign w:val="superscript"/>
        </w:rPr>
        <w:t>st</w:t>
      </w:r>
      <w:r>
        <w:rPr>
          <w:rFonts w:ascii="Calibri" w:eastAsia="Times New Roman" w:hAnsi="Calibri" w:cs="Calibri"/>
        </w:rPr>
        <w:t xml:space="preserve"> April 22 to </w:t>
      </w:r>
      <w:r w:rsidR="005F307C">
        <w:rPr>
          <w:rFonts w:ascii="Calibri" w:eastAsia="Times New Roman" w:hAnsi="Calibri" w:cs="Calibri"/>
        </w:rPr>
        <w:t>1</w:t>
      </w:r>
      <w:r w:rsidR="005F307C" w:rsidRPr="005F307C">
        <w:rPr>
          <w:rFonts w:ascii="Calibri" w:eastAsia="Times New Roman" w:hAnsi="Calibri" w:cs="Calibri"/>
          <w:vertAlign w:val="superscript"/>
        </w:rPr>
        <w:t>st</w:t>
      </w:r>
      <w:r w:rsidR="005F307C">
        <w:rPr>
          <w:rFonts w:ascii="Calibri" w:eastAsia="Times New Roman" w:hAnsi="Calibri" w:cs="Calibri"/>
        </w:rPr>
        <w:t xml:space="preserve"> April 23 is due to </w:t>
      </w:r>
      <w:r w:rsidR="004463F9">
        <w:rPr>
          <w:rFonts w:ascii="Calibri" w:eastAsia="Times New Roman" w:hAnsi="Calibri" w:cs="Calibri"/>
        </w:rPr>
        <w:t>a review of</w:t>
      </w:r>
      <w:r w:rsidR="005F307C">
        <w:rPr>
          <w:rFonts w:ascii="Calibri" w:eastAsia="Times New Roman" w:hAnsi="Calibri" w:cs="Calibri"/>
        </w:rPr>
        <w:t xml:space="preserve"> the Capital </w:t>
      </w:r>
      <w:r w:rsidR="00DB61BD">
        <w:rPr>
          <w:rFonts w:ascii="Calibri" w:eastAsia="Times New Roman" w:hAnsi="Calibri" w:cs="Calibri"/>
        </w:rPr>
        <w:t>Programme</w:t>
      </w:r>
      <w:r w:rsidR="00F0306E">
        <w:rPr>
          <w:rFonts w:ascii="Calibri" w:eastAsia="Times New Roman" w:hAnsi="Calibri" w:cs="Calibri"/>
        </w:rPr>
        <w:t xml:space="preserve">, </w:t>
      </w:r>
      <w:r w:rsidR="004463F9">
        <w:rPr>
          <w:rFonts w:ascii="Calibri" w:eastAsia="Times New Roman" w:hAnsi="Calibri" w:cs="Calibri"/>
        </w:rPr>
        <w:t>and decision re-aligned to the Estates Strategy.</w:t>
      </w:r>
      <w:r w:rsidR="00B70116">
        <w:rPr>
          <w:rFonts w:ascii="Calibri" w:eastAsia="Times New Roman" w:hAnsi="Calibri" w:cs="Calibri"/>
        </w:rPr>
        <w:t xml:space="preserve"> </w:t>
      </w:r>
      <w:r w:rsidR="00F0306E">
        <w:rPr>
          <w:rFonts w:ascii="Calibri" w:eastAsia="Times New Roman" w:hAnsi="Calibri" w:cs="Calibri"/>
        </w:rPr>
        <w:t xml:space="preserve"> The Capital budget had been set in 2021/22 planning cycle.</w:t>
      </w:r>
    </w:p>
    <w:p w14:paraId="23FF4B39" w14:textId="77777777" w:rsidR="005F307C" w:rsidRDefault="005F307C" w:rsidP="00D4345D">
      <w:pPr>
        <w:ind w:left="709"/>
        <w:jc w:val="both"/>
        <w:rPr>
          <w:rFonts w:ascii="Calibri" w:eastAsia="Times New Roman" w:hAnsi="Calibri" w:cs="Calibri"/>
        </w:rPr>
      </w:pPr>
    </w:p>
    <w:p w14:paraId="2E7FED9A" w14:textId="01C83209" w:rsidR="004D09CE" w:rsidRPr="005B0195" w:rsidRDefault="004D09CE" w:rsidP="00B70116">
      <w:pPr>
        <w:ind w:firstLine="709"/>
        <w:rPr>
          <w:rFonts w:ascii="Calibri" w:eastAsia="Times New Roman" w:hAnsi="Calibri" w:cs="Calibri"/>
          <w:b/>
          <w:noProof/>
        </w:rPr>
      </w:pPr>
      <w:r w:rsidRPr="005B0195">
        <w:rPr>
          <w:rFonts w:ascii="Calibri" w:eastAsia="Times New Roman" w:hAnsi="Calibri" w:cs="Calibri"/>
          <w:b/>
          <w:noProof/>
        </w:rPr>
        <w:t>Affordability Prudential Indicator</w:t>
      </w:r>
    </w:p>
    <w:p w14:paraId="7CCAE5F6" w14:textId="77777777" w:rsidR="004D09CE" w:rsidRPr="00EE04F9" w:rsidRDefault="004D09CE" w:rsidP="004D09CE">
      <w:pPr>
        <w:ind w:left="720"/>
        <w:jc w:val="both"/>
        <w:rPr>
          <w:rFonts w:ascii="Calibri" w:eastAsia="Times New Roman" w:hAnsi="Calibri" w:cs="Calibri"/>
          <w:b/>
          <w:noProof/>
          <w:sz w:val="20"/>
          <w:szCs w:val="20"/>
        </w:rPr>
      </w:pPr>
    </w:p>
    <w:p w14:paraId="0EE51757" w14:textId="08AA0949" w:rsidR="004D09CE" w:rsidRPr="005B0195" w:rsidRDefault="004D09CE" w:rsidP="004D09CE">
      <w:pPr>
        <w:numPr>
          <w:ilvl w:val="1"/>
          <w:numId w:val="1"/>
        </w:numPr>
        <w:ind w:left="709" w:hanging="709"/>
        <w:jc w:val="both"/>
        <w:rPr>
          <w:rFonts w:ascii="Calibri" w:eastAsia="Times New Roman" w:hAnsi="Calibri" w:cs="Calibri"/>
          <w:bCs/>
          <w:noProof/>
        </w:rPr>
      </w:pPr>
      <w:r w:rsidRPr="005B0195">
        <w:rPr>
          <w:rFonts w:ascii="Calibri" w:eastAsia="Times New Roman" w:hAnsi="Calibri" w:cs="Calibri"/>
          <w:noProof/>
        </w:rPr>
        <w:t xml:space="preserve">The previous sections cover the overall capital and control of borrowing prudential indicators, but within this framework is an indicator required to assess the affordability of the capital investment plans. </w:t>
      </w:r>
      <w:r w:rsidR="00520C7D" w:rsidRPr="005B0195">
        <w:rPr>
          <w:rFonts w:ascii="Calibri" w:eastAsia="Times New Roman" w:hAnsi="Calibri" w:cs="Calibri"/>
          <w:noProof/>
        </w:rPr>
        <w:t xml:space="preserve"> </w:t>
      </w:r>
      <w:r w:rsidRPr="005B0195">
        <w:rPr>
          <w:rFonts w:ascii="Calibri" w:eastAsia="Times New Roman" w:hAnsi="Calibri" w:cs="Calibri"/>
          <w:noProof/>
        </w:rPr>
        <w:t>This provides an indication of the impact of the capital investment plans on the</w:t>
      </w:r>
      <w:r w:rsidR="0064222E" w:rsidRPr="005B0195">
        <w:rPr>
          <w:rFonts w:ascii="Calibri" w:eastAsia="Times New Roman" w:hAnsi="Calibri" w:cs="Calibri"/>
          <w:noProof/>
        </w:rPr>
        <w:t xml:space="preserve"> Authority</w:t>
      </w:r>
      <w:r w:rsidRPr="005B0195">
        <w:rPr>
          <w:rFonts w:ascii="Calibri" w:eastAsia="Times New Roman" w:hAnsi="Calibri" w:cs="Calibri"/>
          <w:noProof/>
        </w:rPr>
        <w:t>’s overall finances.</w:t>
      </w:r>
    </w:p>
    <w:p w14:paraId="05BD1995" w14:textId="77777777" w:rsidR="004D09CE" w:rsidRPr="00EE04F9" w:rsidRDefault="004D09CE" w:rsidP="004D09CE">
      <w:pPr>
        <w:ind w:left="709"/>
        <w:jc w:val="both"/>
        <w:rPr>
          <w:rFonts w:ascii="Calibri" w:eastAsia="Times New Roman" w:hAnsi="Calibri" w:cs="Calibri"/>
          <w:bCs/>
          <w:noProof/>
          <w:sz w:val="20"/>
          <w:szCs w:val="20"/>
        </w:rPr>
      </w:pPr>
    </w:p>
    <w:p w14:paraId="428B2CB7" w14:textId="021B9092" w:rsidR="004D09CE" w:rsidRPr="005B0195" w:rsidRDefault="004D09CE" w:rsidP="004D09CE">
      <w:pPr>
        <w:numPr>
          <w:ilvl w:val="1"/>
          <w:numId w:val="1"/>
        </w:numPr>
        <w:ind w:left="709" w:hanging="709"/>
        <w:jc w:val="both"/>
        <w:rPr>
          <w:rFonts w:ascii="Calibri" w:eastAsia="Times New Roman" w:hAnsi="Calibri" w:cs="Calibri"/>
          <w:bCs/>
          <w:noProof/>
        </w:rPr>
      </w:pPr>
      <w:r w:rsidRPr="005B0195">
        <w:rPr>
          <w:rFonts w:ascii="Calibri" w:eastAsia="Times New Roman" w:hAnsi="Calibri" w:cs="Calibri"/>
          <w:bCs/>
          <w:noProof/>
        </w:rPr>
        <w:t>The</w:t>
      </w:r>
      <w:r w:rsidR="0064222E" w:rsidRPr="005B0195">
        <w:rPr>
          <w:rFonts w:ascii="Calibri" w:eastAsia="Times New Roman" w:hAnsi="Calibri" w:cs="Calibri"/>
          <w:bCs/>
          <w:noProof/>
        </w:rPr>
        <w:t xml:space="preserve"> Authority</w:t>
      </w:r>
      <w:r w:rsidRPr="005B0195">
        <w:rPr>
          <w:rFonts w:ascii="Calibri" w:eastAsia="Times New Roman" w:hAnsi="Calibri" w:cs="Calibri"/>
          <w:bCs/>
          <w:noProof/>
        </w:rPr>
        <w:t xml:space="preserve"> is asked to approve the actual and estimates of financing costs to net revenue stream. </w:t>
      </w:r>
      <w:r w:rsidR="00520C7D" w:rsidRPr="005B0195">
        <w:rPr>
          <w:rFonts w:ascii="Calibri" w:eastAsia="Times New Roman" w:hAnsi="Calibri" w:cs="Calibri"/>
          <w:bCs/>
          <w:noProof/>
        </w:rPr>
        <w:t xml:space="preserve"> </w:t>
      </w:r>
      <w:r w:rsidRPr="005B0195">
        <w:rPr>
          <w:rFonts w:ascii="Calibri" w:eastAsia="Times New Roman" w:hAnsi="Calibri" w:cs="Calibri"/>
          <w:noProof/>
        </w:rPr>
        <w:t xml:space="preserve">This indicator identifies the trend in the cost of capital (borrowing and other long term obligation costs net of investment income) against net revenue stream. </w:t>
      </w:r>
      <w:r w:rsidR="00520C7D" w:rsidRPr="005B0195">
        <w:rPr>
          <w:rFonts w:ascii="Calibri" w:eastAsia="Times New Roman" w:hAnsi="Calibri" w:cs="Calibri"/>
          <w:noProof/>
        </w:rPr>
        <w:t xml:space="preserve"> </w:t>
      </w:r>
      <w:r w:rsidRPr="005B0195">
        <w:rPr>
          <w:rFonts w:ascii="Calibri" w:eastAsia="Times New Roman" w:hAnsi="Calibri" w:cs="Calibri"/>
          <w:noProof/>
        </w:rPr>
        <w:t>The estimates of financing costs include current commitments.</w:t>
      </w:r>
    </w:p>
    <w:p w14:paraId="703F3C2C" w14:textId="77777777" w:rsidR="004D09CE" w:rsidRPr="00EE04F9" w:rsidRDefault="004D09CE" w:rsidP="004D09CE">
      <w:pPr>
        <w:ind w:left="709"/>
        <w:jc w:val="both"/>
        <w:rPr>
          <w:rFonts w:ascii="Calibri" w:eastAsia="Times New Roman" w:hAnsi="Calibri" w:cs="Calibri"/>
          <w:bCs/>
          <w:noProof/>
          <w:sz w:val="20"/>
          <w:szCs w:val="20"/>
        </w:rPr>
      </w:pPr>
    </w:p>
    <w:p w14:paraId="3C7394F7" w14:textId="51CA2829" w:rsidR="00A51A19" w:rsidRPr="00EE04F9" w:rsidRDefault="004D09CE" w:rsidP="00D4345D">
      <w:pPr>
        <w:numPr>
          <w:ilvl w:val="1"/>
          <w:numId w:val="1"/>
        </w:numPr>
        <w:ind w:left="709" w:hanging="709"/>
        <w:jc w:val="both"/>
        <w:rPr>
          <w:rFonts w:ascii="Calibri" w:eastAsia="Times New Roman" w:hAnsi="Calibri" w:cs="Calibri"/>
          <w:bCs/>
          <w:noProof/>
        </w:rPr>
      </w:pPr>
      <w:r w:rsidRPr="005B0195">
        <w:rPr>
          <w:rFonts w:ascii="Calibri" w:eastAsia="Times New Roman" w:hAnsi="Calibri" w:cs="Calibri"/>
          <w:noProof/>
        </w:rPr>
        <w:t>This is calculated as the estimated net financing costs for the year divided by the amounts to be met from government grants and local taxpayers.</w:t>
      </w:r>
    </w:p>
    <w:p w14:paraId="53739B6A" w14:textId="77777777" w:rsidR="00EE04F9" w:rsidRPr="00EE04F9" w:rsidRDefault="00EE04F9" w:rsidP="00EE04F9">
      <w:pPr>
        <w:ind w:left="709"/>
        <w:jc w:val="both"/>
        <w:rPr>
          <w:rFonts w:ascii="Calibri" w:eastAsia="Times New Roman" w:hAnsi="Calibri" w:cs="Calibri"/>
          <w:bCs/>
          <w:noProof/>
          <w:sz w:val="12"/>
          <w:szCs w:val="12"/>
        </w:rPr>
      </w:pPr>
    </w:p>
    <w:p w14:paraId="6E163E38" w14:textId="17EC4AF5" w:rsidR="004D09CE" w:rsidRPr="005B0195" w:rsidRDefault="00611CA9" w:rsidP="00A51A19">
      <w:pPr>
        <w:pStyle w:val="ListParagraph"/>
        <w:ind w:left="709"/>
        <w:rPr>
          <w:rFonts w:ascii="Calibri" w:eastAsia="Times New Roman" w:hAnsi="Calibri" w:cs="Calibri"/>
          <w:bCs/>
          <w:noProof/>
          <w:sz w:val="24"/>
          <w:szCs w:val="24"/>
        </w:rPr>
      </w:pPr>
      <w:r w:rsidRPr="00611CA9">
        <w:rPr>
          <w:noProof/>
        </w:rPr>
        <w:drawing>
          <wp:inline distT="0" distB="0" distL="0" distR="0" wp14:anchorId="75D87E75" wp14:editId="3985AE03">
            <wp:extent cx="5731510" cy="434975"/>
            <wp:effectExtent l="0" t="0" r="2540" b="3175"/>
            <wp:docPr id="19" name="Picture 19" descr="A table which shows from 2022-23 to 2027-28 the financing costs as a percentage of net revenue stream. The levels are 4% in 2022-23 to 2024-25 and 3% there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table which shows from 2022-23 to 2027-28 the financing costs as a percentage of net revenue stream. The levels are 4% in 2022-23 to 2024-25 and 3% thereaf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34975"/>
                    </a:xfrm>
                    <a:prstGeom prst="rect">
                      <a:avLst/>
                    </a:prstGeom>
                    <a:noFill/>
                    <a:ln>
                      <a:noFill/>
                    </a:ln>
                  </pic:spPr>
                </pic:pic>
              </a:graphicData>
            </a:graphic>
          </wp:inline>
        </w:drawing>
      </w:r>
    </w:p>
    <w:p w14:paraId="71A0E454" w14:textId="77777777" w:rsidR="004D09CE" w:rsidRPr="005B0195" w:rsidRDefault="004D09CE" w:rsidP="004D09CE">
      <w:pPr>
        <w:jc w:val="right"/>
        <w:rPr>
          <w:rFonts w:ascii="Calibri" w:eastAsia="Times New Roman" w:hAnsi="Calibri" w:cs="Calibri"/>
          <w:bCs/>
        </w:rPr>
      </w:pPr>
      <w:r w:rsidRPr="005B0195">
        <w:rPr>
          <w:rFonts w:ascii="Calibri" w:eastAsia="Times New Roman" w:hAnsi="Calibri" w:cs="Calibri"/>
          <w:bCs/>
          <w:highlight w:val="yellow"/>
        </w:rPr>
        <w:br w:type="page"/>
      </w:r>
      <w:r w:rsidRPr="005B0195">
        <w:rPr>
          <w:rFonts w:ascii="Calibri" w:eastAsia="Times New Roman" w:hAnsi="Calibri" w:cs="Calibri"/>
          <w:bCs/>
        </w:rPr>
        <w:lastRenderedPageBreak/>
        <w:t>APPENDIX 3</w:t>
      </w:r>
    </w:p>
    <w:p w14:paraId="4464695F" w14:textId="77777777" w:rsidR="004D09CE" w:rsidRPr="005B0195" w:rsidRDefault="004D09CE" w:rsidP="004D09CE">
      <w:pPr>
        <w:jc w:val="both"/>
        <w:rPr>
          <w:rFonts w:ascii="Calibri" w:eastAsia="Times New Roman" w:hAnsi="Calibri" w:cs="Calibri"/>
          <w:b/>
          <w:bCs/>
        </w:rPr>
      </w:pPr>
      <w:r w:rsidRPr="005B0195">
        <w:rPr>
          <w:rFonts w:ascii="Calibri" w:eastAsia="Times New Roman" w:hAnsi="Calibri" w:cs="Calibri"/>
          <w:b/>
          <w:bCs/>
        </w:rPr>
        <w:t>Minimum Revenue Provision Policy Statement</w:t>
      </w:r>
    </w:p>
    <w:p w14:paraId="6813D76F" w14:textId="77777777" w:rsidR="004D09CE" w:rsidRPr="005B0195" w:rsidRDefault="004D09CE" w:rsidP="004D09CE">
      <w:pPr>
        <w:jc w:val="both"/>
        <w:rPr>
          <w:rFonts w:ascii="Calibri" w:eastAsia="Times New Roman" w:hAnsi="Calibri" w:cs="Calibri"/>
          <w:b/>
        </w:rPr>
      </w:pPr>
    </w:p>
    <w:p w14:paraId="5C3CA27A" w14:textId="0AC7602E" w:rsidR="004D09CE" w:rsidRPr="005B0195" w:rsidRDefault="004D09CE" w:rsidP="004D09CE">
      <w:pPr>
        <w:numPr>
          <w:ilvl w:val="1"/>
          <w:numId w:val="2"/>
        </w:numPr>
        <w:tabs>
          <w:tab w:val="num" w:pos="720"/>
          <w:tab w:val="num" w:pos="2160"/>
        </w:tabs>
        <w:ind w:left="720" w:hanging="720"/>
        <w:jc w:val="both"/>
        <w:rPr>
          <w:rFonts w:ascii="Calibri" w:eastAsia="Times New Roman" w:hAnsi="Calibri" w:cs="Calibri"/>
          <w:bCs/>
        </w:rPr>
      </w:pPr>
      <w:r w:rsidRPr="005B0195">
        <w:rPr>
          <w:rFonts w:ascii="Calibri" w:eastAsia="Times New Roman" w:hAnsi="Calibri" w:cs="Calibri"/>
          <w:bCs/>
        </w:rPr>
        <w:t>The</w:t>
      </w:r>
      <w:r w:rsidR="0064222E" w:rsidRPr="005B0195">
        <w:rPr>
          <w:rFonts w:ascii="Calibri" w:eastAsia="Times New Roman" w:hAnsi="Calibri" w:cs="Calibri"/>
          <w:bCs/>
        </w:rPr>
        <w:t xml:space="preserve"> Authority</w:t>
      </w:r>
      <w:r w:rsidRPr="005B0195">
        <w:rPr>
          <w:rFonts w:ascii="Calibri" w:eastAsia="Times New Roman" w:hAnsi="Calibri" w:cs="Calibri"/>
          <w:bCs/>
        </w:rPr>
        <w:t xml:space="preserve"> is required to repay an element of the accumulated General Fund capital spend each year (Capital Financing Requirement - CFR) through a revenue charge (Minimum Revenue Provision - MRP), although it is also allowed to undertake additional voluntary payments if required. </w:t>
      </w:r>
    </w:p>
    <w:p w14:paraId="1D320467" w14:textId="77777777" w:rsidR="004D09CE" w:rsidRPr="005B0195" w:rsidRDefault="004D09CE" w:rsidP="004D09CE">
      <w:pPr>
        <w:tabs>
          <w:tab w:val="num" w:pos="2160"/>
        </w:tabs>
        <w:ind w:left="720"/>
        <w:jc w:val="both"/>
        <w:rPr>
          <w:rFonts w:ascii="Calibri" w:eastAsia="Times New Roman" w:hAnsi="Calibri" w:cs="Calibri"/>
          <w:bCs/>
        </w:rPr>
      </w:pPr>
    </w:p>
    <w:p w14:paraId="22DFB458" w14:textId="29948B3D" w:rsidR="004D09CE" w:rsidRPr="005B0195" w:rsidRDefault="004D09CE" w:rsidP="004D09CE">
      <w:pPr>
        <w:numPr>
          <w:ilvl w:val="1"/>
          <w:numId w:val="2"/>
        </w:numPr>
        <w:tabs>
          <w:tab w:val="num" w:pos="720"/>
          <w:tab w:val="num" w:pos="2160"/>
        </w:tabs>
        <w:ind w:left="720" w:hanging="720"/>
        <w:jc w:val="both"/>
        <w:rPr>
          <w:rFonts w:ascii="Calibri" w:eastAsia="Times New Roman" w:hAnsi="Calibri" w:cs="Calibri"/>
          <w:bCs/>
        </w:rPr>
      </w:pPr>
      <w:r w:rsidRPr="005B0195">
        <w:rPr>
          <w:rFonts w:ascii="Calibri" w:eastAsia="Times New Roman" w:hAnsi="Calibri" w:cs="Calibri"/>
          <w:bCs/>
          <w:iCs/>
        </w:rPr>
        <w:t xml:space="preserve">The </w:t>
      </w:r>
      <w:r w:rsidR="0083443F" w:rsidRPr="005B0195">
        <w:rPr>
          <w:rFonts w:ascii="Calibri" w:eastAsia="Times New Roman" w:hAnsi="Calibri" w:cs="Calibri"/>
          <w:bCs/>
          <w:iCs/>
        </w:rPr>
        <w:t>Department for Levelling Up, Housing and Communities</w:t>
      </w:r>
      <w:r w:rsidRPr="005B0195">
        <w:rPr>
          <w:rFonts w:ascii="Calibri" w:eastAsia="Times New Roman" w:hAnsi="Calibri" w:cs="Calibri"/>
          <w:bCs/>
          <w:iCs/>
        </w:rPr>
        <w:t xml:space="preserve"> (</w:t>
      </w:r>
      <w:r w:rsidR="0083443F" w:rsidRPr="005B0195">
        <w:rPr>
          <w:rFonts w:ascii="Calibri" w:eastAsia="Times New Roman" w:hAnsi="Calibri" w:cs="Calibri"/>
          <w:bCs/>
          <w:iCs/>
        </w:rPr>
        <w:t>DLUHC</w:t>
      </w:r>
      <w:r w:rsidRPr="005B0195">
        <w:rPr>
          <w:rFonts w:ascii="Calibri" w:eastAsia="Times New Roman" w:hAnsi="Calibri" w:cs="Calibri"/>
          <w:bCs/>
          <w:iCs/>
        </w:rPr>
        <w:t>) have issued regulations that requires the</w:t>
      </w:r>
      <w:r w:rsidR="0064222E" w:rsidRPr="005B0195">
        <w:rPr>
          <w:rFonts w:ascii="Calibri" w:eastAsia="Times New Roman" w:hAnsi="Calibri" w:cs="Calibri"/>
          <w:bCs/>
          <w:iCs/>
        </w:rPr>
        <w:t xml:space="preserve"> Authority</w:t>
      </w:r>
      <w:r w:rsidRPr="005B0195">
        <w:rPr>
          <w:rFonts w:ascii="Calibri" w:eastAsia="Times New Roman" w:hAnsi="Calibri" w:cs="Calibri"/>
          <w:bCs/>
          <w:iCs/>
        </w:rPr>
        <w:t xml:space="preserve"> to approve an MRP Statement in advance of each year. </w:t>
      </w:r>
      <w:r w:rsidR="00520C7D" w:rsidRPr="005B0195">
        <w:rPr>
          <w:rFonts w:ascii="Calibri" w:eastAsia="Times New Roman" w:hAnsi="Calibri" w:cs="Calibri"/>
          <w:bCs/>
          <w:iCs/>
        </w:rPr>
        <w:t xml:space="preserve"> </w:t>
      </w:r>
      <w:r w:rsidRPr="005B0195">
        <w:rPr>
          <w:rFonts w:ascii="Calibri" w:eastAsia="Times New Roman" w:hAnsi="Calibri" w:cs="Calibri"/>
          <w:bCs/>
          <w:iCs/>
        </w:rPr>
        <w:t xml:space="preserve">A variety of options are provided in the guidance with the underlying </w:t>
      </w:r>
      <w:r w:rsidR="00B70116" w:rsidRPr="005B0195">
        <w:rPr>
          <w:rFonts w:ascii="Calibri" w:eastAsia="Times New Roman" w:hAnsi="Calibri" w:cs="Calibri"/>
          <w:bCs/>
          <w:iCs/>
        </w:rPr>
        <w:t>princip</w:t>
      </w:r>
      <w:r w:rsidR="00B70116">
        <w:rPr>
          <w:rFonts w:ascii="Calibri" w:eastAsia="Times New Roman" w:hAnsi="Calibri" w:cs="Calibri"/>
          <w:bCs/>
          <w:iCs/>
        </w:rPr>
        <w:t>le</w:t>
      </w:r>
      <w:r w:rsidR="004463F9">
        <w:rPr>
          <w:rFonts w:ascii="Calibri" w:eastAsia="Times New Roman" w:hAnsi="Calibri" w:cs="Calibri"/>
          <w:bCs/>
          <w:iCs/>
        </w:rPr>
        <w:t xml:space="preserve"> </w:t>
      </w:r>
      <w:r w:rsidRPr="005B0195">
        <w:rPr>
          <w:rFonts w:ascii="Calibri" w:eastAsia="Times New Roman" w:hAnsi="Calibri" w:cs="Calibri"/>
          <w:bCs/>
          <w:iCs/>
        </w:rPr>
        <w:t xml:space="preserve">that a prudent provision is made. </w:t>
      </w:r>
    </w:p>
    <w:p w14:paraId="7B164E09" w14:textId="77777777" w:rsidR="004D09CE" w:rsidRPr="005B0195" w:rsidRDefault="004D09CE" w:rsidP="004D09CE">
      <w:pPr>
        <w:tabs>
          <w:tab w:val="num" w:pos="2160"/>
        </w:tabs>
        <w:ind w:left="720"/>
        <w:jc w:val="both"/>
        <w:rPr>
          <w:rFonts w:ascii="Calibri" w:eastAsia="Times New Roman" w:hAnsi="Calibri" w:cs="Calibri"/>
          <w:bCs/>
        </w:rPr>
      </w:pPr>
    </w:p>
    <w:p w14:paraId="21BCA6B5" w14:textId="77777777" w:rsidR="004D09CE" w:rsidRPr="005B0195" w:rsidRDefault="004D09CE" w:rsidP="004D09CE">
      <w:pPr>
        <w:tabs>
          <w:tab w:val="num" w:pos="2160"/>
        </w:tabs>
        <w:ind w:left="720"/>
        <w:jc w:val="both"/>
        <w:rPr>
          <w:rFonts w:ascii="Calibri" w:eastAsia="Times New Roman" w:hAnsi="Calibri" w:cs="Calibri"/>
          <w:b/>
          <w:bCs/>
          <w:highlight w:val="yellow"/>
        </w:rPr>
      </w:pPr>
      <w:r w:rsidRPr="005B0195">
        <w:rPr>
          <w:rFonts w:ascii="Calibri" w:eastAsia="Times New Roman" w:hAnsi="Calibri" w:cs="Calibri"/>
          <w:b/>
          <w:bCs/>
        </w:rPr>
        <w:t xml:space="preserve">Accumulated Debt Liability </w:t>
      </w:r>
    </w:p>
    <w:p w14:paraId="5D5435E9" w14:textId="77777777" w:rsidR="004D09CE" w:rsidRPr="005B0195" w:rsidRDefault="004D09CE" w:rsidP="004D09CE">
      <w:pPr>
        <w:tabs>
          <w:tab w:val="num" w:pos="2160"/>
        </w:tabs>
        <w:ind w:left="720"/>
        <w:jc w:val="both"/>
        <w:rPr>
          <w:rFonts w:ascii="Calibri" w:eastAsia="Times New Roman" w:hAnsi="Calibri" w:cs="Calibri"/>
          <w:bCs/>
          <w:highlight w:val="yellow"/>
        </w:rPr>
      </w:pPr>
    </w:p>
    <w:p w14:paraId="02A5026A" w14:textId="77777777" w:rsidR="004D09CE" w:rsidRPr="005B0195" w:rsidRDefault="004D09CE" w:rsidP="004D09CE">
      <w:pPr>
        <w:numPr>
          <w:ilvl w:val="1"/>
          <w:numId w:val="2"/>
        </w:numPr>
        <w:ind w:left="709" w:hanging="709"/>
        <w:jc w:val="both"/>
        <w:rPr>
          <w:rFonts w:ascii="Calibri" w:eastAsia="Times New Roman" w:hAnsi="Calibri" w:cs="Calibri"/>
          <w:bCs/>
        </w:rPr>
      </w:pPr>
      <w:r w:rsidRPr="005B0195">
        <w:rPr>
          <w:rFonts w:ascii="Calibri" w:eastAsia="Times New Roman" w:hAnsi="Calibri" w:cs="Calibri"/>
          <w:bCs/>
        </w:rPr>
        <w:t>For unsupported capital expenditure, MRP will be charged from the year after the assets funded have become operational and spread over the estimated useful life of the assets using an equal annual instalment method.</w:t>
      </w:r>
    </w:p>
    <w:p w14:paraId="0F5A5D06" w14:textId="77777777" w:rsidR="004D09CE" w:rsidRPr="005B0195" w:rsidRDefault="004D09CE" w:rsidP="004D09CE">
      <w:pPr>
        <w:ind w:left="709"/>
        <w:jc w:val="both"/>
        <w:rPr>
          <w:rFonts w:ascii="Calibri" w:eastAsia="Times New Roman" w:hAnsi="Calibri" w:cs="Calibri"/>
          <w:bCs/>
        </w:rPr>
      </w:pPr>
    </w:p>
    <w:p w14:paraId="18AF71B9" w14:textId="22351FEF" w:rsidR="004D09CE" w:rsidRPr="005B0195" w:rsidRDefault="004D09CE" w:rsidP="004D09CE">
      <w:pPr>
        <w:numPr>
          <w:ilvl w:val="1"/>
          <w:numId w:val="2"/>
        </w:numPr>
        <w:tabs>
          <w:tab w:val="num" w:pos="720"/>
          <w:tab w:val="num" w:pos="2160"/>
        </w:tabs>
        <w:ind w:left="720" w:hanging="720"/>
        <w:jc w:val="both"/>
        <w:rPr>
          <w:rFonts w:ascii="Calibri" w:eastAsia="Times New Roman" w:hAnsi="Calibri" w:cs="Calibri"/>
          <w:b/>
        </w:rPr>
      </w:pPr>
      <w:r w:rsidRPr="005B0195">
        <w:rPr>
          <w:rFonts w:ascii="Calibri" w:eastAsia="Times New Roman" w:hAnsi="Calibri" w:cs="Calibri"/>
          <w:bCs/>
        </w:rPr>
        <w:t xml:space="preserve">Estimated useful life periods will be determined under delegated powers. </w:t>
      </w:r>
      <w:r w:rsidR="00520C7D" w:rsidRPr="005B0195">
        <w:rPr>
          <w:rFonts w:ascii="Calibri" w:eastAsia="Times New Roman" w:hAnsi="Calibri" w:cs="Calibri"/>
          <w:bCs/>
        </w:rPr>
        <w:t xml:space="preserve"> </w:t>
      </w:r>
      <w:r w:rsidRPr="005B0195">
        <w:rPr>
          <w:rFonts w:ascii="Calibri" w:eastAsia="Times New Roman" w:hAnsi="Calibri" w:cs="Calibri"/>
          <w:bCs/>
        </w:rPr>
        <w:t xml:space="preserve">To the extent that expenditure is not on the creation of an asset and is of a type that is subject to estimated life periods that are referred to in the guidance, these periods will generally be adopted. </w:t>
      </w:r>
      <w:r w:rsidR="00520C7D" w:rsidRPr="005B0195">
        <w:rPr>
          <w:rFonts w:ascii="Calibri" w:eastAsia="Times New Roman" w:hAnsi="Calibri" w:cs="Calibri"/>
          <w:bCs/>
        </w:rPr>
        <w:t xml:space="preserve"> </w:t>
      </w:r>
      <w:r w:rsidRPr="005B0195">
        <w:rPr>
          <w:rFonts w:ascii="Calibri" w:eastAsia="Times New Roman" w:hAnsi="Calibri" w:cs="Calibri"/>
          <w:bCs/>
        </w:rPr>
        <w:t>However, the</w:t>
      </w:r>
      <w:r w:rsidR="0064222E" w:rsidRPr="005B0195">
        <w:rPr>
          <w:rFonts w:ascii="Calibri" w:eastAsia="Times New Roman" w:hAnsi="Calibri" w:cs="Calibri"/>
          <w:bCs/>
        </w:rPr>
        <w:t xml:space="preserve"> Authority</w:t>
      </w:r>
      <w:r w:rsidRPr="005B0195">
        <w:rPr>
          <w:rFonts w:ascii="Calibri" w:eastAsia="Times New Roman" w:hAnsi="Calibri" w:cs="Calibri"/>
          <w:bCs/>
        </w:rPr>
        <w:t xml:space="preserve"> reserves the right to determine useful life periods and prudent MRP in exceptional circumstances where the recommendations of the guidance would not be appropriate.</w:t>
      </w:r>
    </w:p>
    <w:p w14:paraId="1DAA75B7" w14:textId="77777777" w:rsidR="004D09CE" w:rsidRPr="005B0195" w:rsidRDefault="004D09CE" w:rsidP="004D09CE">
      <w:pPr>
        <w:tabs>
          <w:tab w:val="num" w:pos="2160"/>
        </w:tabs>
        <w:jc w:val="both"/>
        <w:rPr>
          <w:rFonts w:ascii="Calibri" w:eastAsia="Times New Roman" w:hAnsi="Calibri" w:cs="Calibri"/>
          <w:bCs/>
          <w:highlight w:val="yellow"/>
        </w:rPr>
      </w:pPr>
    </w:p>
    <w:p w14:paraId="2F72A71A" w14:textId="0A419C92" w:rsidR="004D09CE" w:rsidRPr="005B0195" w:rsidRDefault="004D09CE" w:rsidP="004D09CE">
      <w:pPr>
        <w:numPr>
          <w:ilvl w:val="1"/>
          <w:numId w:val="2"/>
        </w:numPr>
        <w:tabs>
          <w:tab w:val="num" w:pos="720"/>
          <w:tab w:val="num" w:pos="2160"/>
        </w:tabs>
        <w:ind w:left="720" w:hanging="720"/>
        <w:jc w:val="both"/>
        <w:rPr>
          <w:rFonts w:ascii="Calibri" w:eastAsia="Times New Roman" w:hAnsi="Calibri" w:cs="Calibri"/>
          <w:b/>
        </w:rPr>
      </w:pPr>
      <w:r w:rsidRPr="005B0195">
        <w:rPr>
          <w:rFonts w:ascii="Calibri" w:eastAsia="Times New Roman" w:hAnsi="Calibri" w:cs="Calibri"/>
          <w:bCs/>
        </w:rPr>
        <w:t>As some types of capital expenditure incurred are not capable of being related to an individual asset, asset lives will be assessed on a basis which most reasonably reflects the anticipated period of benefit that arises from the expenditure.</w:t>
      </w:r>
      <w:r w:rsidR="00520C7D" w:rsidRPr="005B0195">
        <w:rPr>
          <w:rFonts w:ascii="Calibri" w:eastAsia="Times New Roman" w:hAnsi="Calibri" w:cs="Calibri"/>
          <w:bCs/>
        </w:rPr>
        <w:t xml:space="preserve"> </w:t>
      </w:r>
      <w:r w:rsidRPr="005B0195">
        <w:rPr>
          <w:rFonts w:ascii="Calibri" w:eastAsia="Times New Roman" w:hAnsi="Calibri" w:cs="Calibri"/>
          <w:bCs/>
        </w:rPr>
        <w:t xml:space="preserve"> Whatever type of expenditure is involved, it will be grouped together in a manner which reflects the nature of the main component of expenditure with substantially different useful economic lives.</w:t>
      </w:r>
    </w:p>
    <w:p w14:paraId="5C815E12" w14:textId="77777777" w:rsidR="004D09CE" w:rsidRPr="005B0195" w:rsidRDefault="004D09CE" w:rsidP="004D09CE">
      <w:pPr>
        <w:tabs>
          <w:tab w:val="num" w:pos="2160"/>
        </w:tabs>
        <w:jc w:val="both"/>
        <w:rPr>
          <w:rFonts w:ascii="Calibri" w:eastAsia="Times New Roman" w:hAnsi="Calibri" w:cs="Calibri"/>
          <w:bCs/>
          <w:highlight w:val="yellow"/>
          <w:u w:val="single"/>
        </w:rPr>
      </w:pPr>
    </w:p>
    <w:p w14:paraId="6A02B945" w14:textId="77777777" w:rsidR="004D09CE" w:rsidRPr="005B0195" w:rsidRDefault="004D09CE" w:rsidP="004D09CE">
      <w:pPr>
        <w:tabs>
          <w:tab w:val="num" w:pos="2160"/>
        </w:tabs>
        <w:ind w:left="720"/>
        <w:jc w:val="both"/>
        <w:rPr>
          <w:rFonts w:ascii="Calibri" w:eastAsia="Times New Roman" w:hAnsi="Calibri" w:cs="Calibri"/>
          <w:bCs/>
        </w:rPr>
      </w:pPr>
      <w:r w:rsidRPr="005B0195">
        <w:rPr>
          <w:rFonts w:ascii="Calibri" w:eastAsia="Times New Roman" w:hAnsi="Calibri" w:cs="Calibri"/>
          <w:b/>
          <w:bCs/>
        </w:rPr>
        <w:t>Non-operational assets</w:t>
      </w:r>
    </w:p>
    <w:p w14:paraId="058A7904" w14:textId="77777777" w:rsidR="004D09CE" w:rsidRPr="005B0195" w:rsidRDefault="004D09CE" w:rsidP="004D09CE">
      <w:pPr>
        <w:tabs>
          <w:tab w:val="num" w:pos="2160"/>
        </w:tabs>
        <w:ind w:left="720"/>
        <w:jc w:val="both"/>
        <w:rPr>
          <w:rFonts w:ascii="Calibri" w:eastAsia="Times New Roman" w:hAnsi="Calibri" w:cs="Calibri"/>
          <w:bCs/>
          <w:u w:val="single"/>
        </w:rPr>
      </w:pPr>
    </w:p>
    <w:p w14:paraId="2C5145FA" w14:textId="63D7676B" w:rsidR="004D09CE" w:rsidRPr="005B0195" w:rsidRDefault="004D09CE" w:rsidP="004D09CE">
      <w:pPr>
        <w:numPr>
          <w:ilvl w:val="1"/>
          <w:numId w:val="2"/>
        </w:numPr>
        <w:tabs>
          <w:tab w:val="num" w:pos="720"/>
          <w:tab w:val="num" w:pos="2160"/>
        </w:tabs>
        <w:ind w:left="720" w:hanging="720"/>
        <w:jc w:val="both"/>
        <w:rPr>
          <w:rFonts w:ascii="Calibri" w:eastAsia="Times New Roman" w:hAnsi="Calibri" w:cs="Calibri"/>
          <w:bCs/>
          <w:u w:val="single"/>
        </w:rPr>
      </w:pPr>
      <w:r w:rsidRPr="005B0195">
        <w:rPr>
          <w:rFonts w:ascii="Calibri" w:eastAsia="Times New Roman" w:hAnsi="Calibri" w:cs="Calibri"/>
          <w:bCs/>
        </w:rPr>
        <w:t>The</w:t>
      </w:r>
      <w:r w:rsidR="0064222E" w:rsidRPr="005B0195">
        <w:rPr>
          <w:rFonts w:ascii="Calibri" w:eastAsia="Times New Roman" w:hAnsi="Calibri" w:cs="Calibri"/>
          <w:bCs/>
        </w:rPr>
        <w:t xml:space="preserve"> Authority</w:t>
      </w:r>
      <w:r w:rsidRPr="005B0195">
        <w:rPr>
          <w:rFonts w:ascii="Calibri" w:eastAsia="Times New Roman" w:hAnsi="Calibri" w:cs="Calibri"/>
          <w:bCs/>
        </w:rPr>
        <w:t xml:space="preserve"> will not charge MRP on non-operational assets. </w:t>
      </w:r>
      <w:r w:rsidR="00520C7D" w:rsidRPr="005B0195">
        <w:rPr>
          <w:rFonts w:ascii="Calibri" w:eastAsia="Times New Roman" w:hAnsi="Calibri" w:cs="Calibri"/>
          <w:bCs/>
        </w:rPr>
        <w:t xml:space="preserve"> </w:t>
      </w:r>
      <w:r w:rsidRPr="005B0195">
        <w:rPr>
          <w:rFonts w:ascii="Calibri" w:eastAsia="Times New Roman" w:hAnsi="Calibri" w:cs="Calibri"/>
          <w:bCs/>
        </w:rPr>
        <w:t xml:space="preserve">MRP will only be charged in the financial year following the asset becoming operational. </w:t>
      </w:r>
      <w:r w:rsidR="00520C7D" w:rsidRPr="005B0195">
        <w:rPr>
          <w:rFonts w:ascii="Calibri" w:eastAsia="Times New Roman" w:hAnsi="Calibri" w:cs="Calibri"/>
          <w:bCs/>
        </w:rPr>
        <w:t xml:space="preserve"> </w:t>
      </w:r>
      <w:r w:rsidRPr="005B0195">
        <w:rPr>
          <w:rFonts w:ascii="Calibri" w:eastAsia="Times New Roman" w:hAnsi="Calibri" w:cs="Calibri"/>
          <w:bCs/>
        </w:rPr>
        <w:t xml:space="preserve">This policy will be reviewed annually. </w:t>
      </w:r>
    </w:p>
    <w:p w14:paraId="44F65226" w14:textId="77777777" w:rsidR="004D09CE" w:rsidRPr="005B0195" w:rsidRDefault="004D09CE" w:rsidP="004D09CE">
      <w:pPr>
        <w:tabs>
          <w:tab w:val="num" w:pos="2160"/>
        </w:tabs>
        <w:ind w:left="720"/>
        <w:jc w:val="both"/>
        <w:rPr>
          <w:rFonts w:ascii="Calibri" w:eastAsia="Times New Roman" w:hAnsi="Calibri" w:cs="Calibri"/>
          <w:bCs/>
          <w:u w:val="single"/>
        </w:rPr>
      </w:pPr>
    </w:p>
    <w:p w14:paraId="38BA5CD6" w14:textId="77777777" w:rsidR="004D09CE" w:rsidRPr="005B0195" w:rsidRDefault="004D09CE" w:rsidP="004D09CE">
      <w:pPr>
        <w:tabs>
          <w:tab w:val="num" w:pos="2160"/>
        </w:tabs>
        <w:ind w:left="720"/>
        <w:jc w:val="both"/>
        <w:rPr>
          <w:rFonts w:ascii="Calibri" w:eastAsia="Times New Roman" w:hAnsi="Calibri" w:cs="Calibri"/>
          <w:bCs/>
        </w:rPr>
      </w:pPr>
      <w:r w:rsidRPr="005B0195">
        <w:rPr>
          <w:rFonts w:ascii="Calibri" w:eastAsia="Times New Roman" w:hAnsi="Calibri" w:cs="Calibri"/>
          <w:b/>
          <w:bCs/>
        </w:rPr>
        <w:t>Use of Capital Receipts</w:t>
      </w:r>
    </w:p>
    <w:p w14:paraId="60886032" w14:textId="77777777" w:rsidR="004D09CE" w:rsidRPr="005B0195" w:rsidRDefault="004D09CE" w:rsidP="004D09CE">
      <w:pPr>
        <w:tabs>
          <w:tab w:val="num" w:pos="2160"/>
        </w:tabs>
        <w:ind w:left="720"/>
        <w:jc w:val="both"/>
        <w:rPr>
          <w:rFonts w:ascii="Calibri" w:eastAsia="Times New Roman" w:hAnsi="Calibri" w:cs="Calibri"/>
          <w:bCs/>
          <w:u w:val="single"/>
        </w:rPr>
      </w:pPr>
    </w:p>
    <w:p w14:paraId="47310FBB" w14:textId="0C789EDA" w:rsidR="00520C7D" w:rsidRPr="00D4345D" w:rsidRDefault="004D09CE" w:rsidP="00D4345D">
      <w:pPr>
        <w:numPr>
          <w:ilvl w:val="1"/>
          <w:numId w:val="2"/>
        </w:numPr>
        <w:tabs>
          <w:tab w:val="num" w:pos="720"/>
          <w:tab w:val="num" w:pos="2160"/>
        </w:tabs>
        <w:ind w:left="720" w:hanging="720"/>
        <w:jc w:val="both"/>
        <w:rPr>
          <w:rFonts w:ascii="Calibri" w:eastAsia="Times New Roman" w:hAnsi="Calibri" w:cs="Calibri"/>
          <w:bCs/>
          <w:u w:val="single"/>
        </w:rPr>
      </w:pPr>
      <w:r w:rsidRPr="005B0195">
        <w:rPr>
          <w:rFonts w:ascii="Calibri" w:eastAsia="Times New Roman" w:hAnsi="Calibri" w:cs="Calibri"/>
          <w:bCs/>
        </w:rPr>
        <w:t>The</w:t>
      </w:r>
      <w:r w:rsidR="0064222E" w:rsidRPr="005B0195">
        <w:rPr>
          <w:rFonts w:ascii="Calibri" w:eastAsia="Times New Roman" w:hAnsi="Calibri" w:cs="Calibri"/>
          <w:bCs/>
        </w:rPr>
        <w:t xml:space="preserve"> Authority</w:t>
      </w:r>
      <w:r w:rsidRPr="005B0195">
        <w:rPr>
          <w:rFonts w:ascii="Calibri" w:eastAsia="Times New Roman" w:hAnsi="Calibri" w:cs="Calibri"/>
          <w:bCs/>
        </w:rPr>
        <w:t xml:space="preserve"> may use capital receipts in the year in which they are received to reduce the CFR and to offset the MRP charge for that year. </w:t>
      </w:r>
      <w:r w:rsidR="00520C7D" w:rsidRPr="005B0195">
        <w:rPr>
          <w:rFonts w:ascii="Calibri" w:eastAsia="Times New Roman" w:hAnsi="Calibri" w:cs="Calibri"/>
          <w:bCs/>
        </w:rPr>
        <w:t xml:space="preserve"> </w:t>
      </w:r>
      <w:r w:rsidRPr="005B0195">
        <w:rPr>
          <w:rFonts w:ascii="Calibri" w:eastAsia="Times New Roman" w:hAnsi="Calibri" w:cs="Calibri"/>
          <w:bCs/>
        </w:rPr>
        <w:t>Any unapplied capital receipts will be available in future years and will be applied in a prudent manner</w:t>
      </w:r>
      <w:r w:rsidR="00D4345D">
        <w:rPr>
          <w:rFonts w:ascii="Calibri" w:eastAsia="Times New Roman" w:hAnsi="Calibri" w:cs="Calibri"/>
          <w:bCs/>
        </w:rPr>
        <w:t>.</w:t>
      </w:r>
      <w:r w:rsidR="00520C7D" w:rsidRPr="00D4345D">
        <w:rPr>
          <w:rFonts w:ascii="Calibri" w:eastAsia="Times New Roman" w:hAnsi="Calibri" w:cs="Calibri"/>
          <w:bCs/>
        </w:rPr>
        <w:br w:type="page"/>
      </w:r>
    </w:p>
    <w:p w14:paraId="3E1C8430" w14:textId="5BCA1090" w:rsidR="004D09CE" w:rsidRPr="005B0195" w:rsidRDefault="004D09CE" w:rsidP="00D75E47">
      <w:pPr>
        <w:jc w:val="right"/>
        <w:rPr>
          <w:rFonts w:ascii="Calibri" w:eastAsia="Times New Roman" w:hAnsi="Calibri" w:cs="Calibri"/>
          <w:bCs/>
        </w:rPr>
      </w:pPr>
      <w:r w:rsidRPr="005B0195">
        <w:rPr>
          <w:rFonts w:ascii="Calibri" w:eastAsia="Times New Roman" w:hAnsi="Calibri" w:cs="Calibri"/>
          <w:bCs/>
        </w:rPr>
        <w:lastRenderedPageBreak/>
        <w:t>APPENDIX 4</w:t>
      </w:r>
    </w:p>
    <w:p w14:paraId="6707F7A2" w14:textId="77777777" w:rsidR="004D09CE" w:rsidRPr="005B0195" w:rsidRDefault="004D09CE" w:rsidP="004D09CE">
      <w:pPr>
        <w:jc w:val="both"/>
        <w:outlineLvl w:val="0"/>
        <w:rPr>
          <w:rFonts w:ascii="Calibri" w:eastAsia="Times New Roman" w:hAnsi="Calibri" w:cs="Calibri"/>
          <w:b/>
        </w:rPr>
      </w:pPr>
      <w:r w:rsidRPr="005B0195">
        <w:rPr>
          <w:rFonts w:ascii="Calibri" w:eastAsia="Times New Roman" w:hAnsi="Calibri" w:cs="Calibri"/>
          <w:b/>
        </w:rPr>
        <w:t>Annual Investment Strategy</w:t>
      </w:r>
    </w:p>
    <w:p w14:paraId="37B3E5A8" w14:textId="77777777" w:rsidR="004D09CE" w:rsidRPr="005B0195" w:rsidRDefault="004D09CE" w:rsidP="004D09CE">
      <w:pPr>
        <w:jc w:val="both"/>
        <w:rPr>
          <w:rFonts w:ascii="Calibri" w:eastAsia="Times New Roman" w:hAnsi="Calibri" w:cs="Calibri"/>
          <w:b/>
        </w:rPr>
      </w:pPr>
    </w:p>
    <w:p w14:paraId="0B7E35C7"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Investment Policy</w:t>
      </w:r>
    </w:p>
    <w:p w14:paraId="03E1BB4F" w14:textId="77777777" w:rsidR="004D09CE" w:rsidRPr="005B0195" w:rsidRDefault="004D09CE" w:rsidP="004D09CE">
      <w:pPr>
        <w:ind w:left="720"/>
        <w:jc w:val="both"/>
        <w:rPr>
          <w:rFonts w:ascii="Calibri" w:eastAsia="Times New Roman" w:hAnsi="Calibri" w:cs="Calibri"/>
          <w:b/>
        </w:rPr>
      </w:pPr>
    </w:p>
    <w:p w14:paraId="05DB7907" w14:textId="4B561DD2" w:rsidR="004D09CE" w:rsidRPr="005B0195" w:rsidRDefault="0083443F" w:rsidP="004D09CE">
      <w:pPr>
        <w:numPr>
          <w:ilvl w:val="1"/>
          <w:numId w:val="3"/>
        </w:numPr>
        <w:ind w:left="709" w:hanging="709"/>
        <w:jc w:val="both"/>
        <w:rPr>
          <w:rFonts w:ascii="Calibri" w:eastAsia="Times New Roman" w:hAnsi="Calibri" w:cs="Calibri"/>
          <w:b/>
        </w:rPr>
      </w:pPr>
      <w:r w:rsidRPr="005B0195">
        <w:rPr>
          <w:rFonts w:ascii="Calibri" w:eastAsia="Times New Roman" w:hAnsi="Calibri" w:cs="Calibri"/>
        </w:rPr>
        <w:t>DLUHC</w:t>
      </w:r>
      <w:r w:rsidR="004D09CE" w:rsidRPr="005B0195">
        <w:rPr>
          <w:rFonts w:ascii="Calibri" w:eastAsia="Times New Roman" w:hAnsi="Calibri" w:cs="Calibri"/>
        </w:rPr>
        <w:t xml:space="preserve"> and CIPFA have extended the meaning of ‘investments’ to include both financial and non-financial investments. </w:t>
      </w:r>
      <w:r w:rsidR="00520C7D" w:rsidRPr="005B0195">
        <w:rPr>
          <w:rFonts w:ascii="Calibri" w:eastAsia="Times New Roman" w:hAnsi="Calibri" w:cs="Calibri"/>
        </w:rPr>
        <w:t xml:space="preserve"> </w:t>
      </w:r>
      <w:r w:rsidR="004D09CE" w:rsidRPr="005B0195">
        <w:rPr>
          <w:rFonts w:ascii="Calibri" w:eastAsia="Times New Roman" w:hAnsi="Calibri" w:cs="Calibri"/>
        </w:rPr>
        <w:t xml:space="preserve">This report deals solely with financial investments managed by the treasury management team. </w:t>
      </w:r>
      <w:r w:rsidR="00520C7D" w:rsidRPr="005B0195">
        <w:rPr>
          <w:rFonts w:ascii="Calibri" w:eastAsia="Times New Roman" w:hAnsi="Calibri" w:cs="Calibri"/>
        </w:rPr>
        <w:t xml:space="preserve"> </w:t>
      </w:r>
      <w:r w:rsidR="004D09CE" w:rsidRPr="005B0195">
        <w:rPr>
          <w:rFonts w:ascii="Calibri" w:eastAsia="Times New Roman" w:hAnsi="Calibri" w:cs="Calibri"/>
        </w:rPr>
        <w:t>Non-financial investments, essentially the purchase of income yielding assets, are covered in the Capital Strategy.</w:t>
      </w:r>
    </w:p>
    <w:p w14:paraId="4FBEC547" w14:textId="77777777" w:rsidR="004D09CE" w:rsidRPr="005B0195" w:rsidRDefault="004D09CE" w:rsidP="004D09CE">
      <w:pPr>
        <w:ind w:left="709"/>
        <w:jc w:val="both"/>
        <w:rPr>
          <w:rFonts w:ascii="Calibri" w:eastAsia="Times New Roman" w:hAnsi="Calibri" w:cs="Calibri"/>
          <w:b/>
        </w:rPr>
      </w:pPr>
    </w:p>
    <w:p w14:paraId="64A3166C" w14:textId="6C9B8ADF" w:rsidR="004D09CE" w:rsidRPr="005B0195" w:rsidRDefault="004D09CE" w:rsidP="004D09CE">
      <w:pPr>
        <w:numPr>
          <w:ilvl w:val="1"/>
          <w:numId w:val="3"/>
        </w:numPr>
        <w:ind w:left="709" w:hanging="709"/>
        <w:jc w:val="both"/>
        <w:rPr>
          <w:rFonts w:ascii="Calibri" w:eastAsia="Times New Roman" w:hAnsi="Calibri" w:cs="Calibri"/>
          <w:b/>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’s appetite for risk must be clearly identified in its strategy report. </w:t>
      </w:r>
      <w:r w:rsidR="00520C7D" w:rsidRPr="005B0195">
        <w:rPr>
          <w:rFonts w:ascii="Calibri" w:eastAsia="Times New Roman" w:hAnsi="Calibri" w:cs="Calibri"/>
        </w:rPr>
        <w:t xml:space="preserve"> </w:t>
      </w: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affirms that its investment policies are underpinned by a strategy of prudent investment of funds held on behalf of the local community. </w:t>
      </w:r>
      <w:r w:rsidR="00520C7D" w:rsidRPr="005B0195">
        <w:rPr>
          <w:rFonts w:ascii="Calibri" w:eastAsia="Times New Roman" w:hAnsi="Calibri" w:cs="Calibri"/>
        </w:rPr>
        <w:t xml:space="preserve"> </w:t>
      </w:r>
      <w:r w:rsidRPr="005B0195">
        <w:rPr>
          <w:rFonts w:ascii="Calibri" w:eastAsia="Times New Roman" w:hAnsi="Calibri" w:cs="Calibri"/>
        </w:rPr>
        <w:t>The objectives of the investment policy are firstly the security of funds (protecting the capital sum from loss) and then liquidity (keeping money readily available for expenditure when needed).</w:t>
      </w:r>
      <w:r w:rsidR="00520C7D" w:rsidRPr="005B0195">
        <w:rPr>
          <w:rFonts w:ascii="Calibri" w:eastAsia="Times New Roman" w:hAnsi="Calibri" w:cs="Calibri"/>
        </w:rPr>
        <w:t xml:space="preserve"> </w:t>
      </w:r>
      <w:r w:rsidRPr="005B0195">
        <w:rPr>
          <w:rFonts w:ascii="Calibri" w:eastAsia="Times New Roman" w:hAnsi="Calibri" w:cs="Calibri"/>
        </w:rPr>
        <w:t xml:space="preserve"> Once approved levels of security and liquidity are met, 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will seek to maximise yield from its investments, consistent with the applying of the agreed parameters. </w:t>
      </w:r>
      <w:r w:rsidR="00520C7D" w:rsidRPr="005B0195">
        <w:rPr>
          <w:rFonts w:ascii="Calibri" w:eastAsia="Times New Roman" w:hAnsi="Calibri" w:cs="Calibri"/>
        </w:rPr>
        <w:t xml:space="preserve"> </w:t>
      </w:r>
      <w:r w:rsidRPr="005B0195">
        <w:rPr>
          <w:rFonts w:ascii="Calibri" w:eastAsia="Times New Roman" w:hAnsi="Calibri" w:cs="Calibri"/>
        </w:rPr>
        <w:t>These princip</w:t>
      </w:r>
      <w:r w:rsidR="004463F9">
        <w:rPr>
          <w:rFonts w:ascii="Calibri" w:eastAsia="Times New Roman" w:hAnsi="Calibri" w:cs="Calibri"/>
        </w:rPr>
        <w:t>l</w:t>
      </w:r>
      <w:r w:rsidR="00B70116">
        <w:rPr>
          <w:rFonts w:ascii="Calibri" w:eastAsia="Times New Roman" w:hAnsi="Calibri" w:cs="Calibri"/>
        </w:rPr>
        <w:t>e</w:t>
      </w:r>
      <w:r w:rsidRPr="005B0195">
        <w:rPr>
          <w:rFonts w:ascii="Calibri" w:eastAsia="Times New Roman" w:hAnsi="Calibri" w:cs="Calibri"/>
        </w:rPr>
        <w:t xml:space="preserve">s are carried out by strict adherence to the risk management and control strategies set out in the TMP Schedules and the Treasury Management Strategy. </w:t>
      </w:r>
    </w:p>
    <w:p w14:paraId="5FA02112" w14:textId="77777777" w:rsidR="004D09CE" w:rsidRPr="005B0195" w:rsidRDefault="004D09CE" w:rsidP="004D09CE">
      <w:pPr>
        <w:ind w:left="709"/>
        <w:jc w:val="both"/>
        <w:rPr>
          <w:rFonts w:ascii="Calibri" w:eastAsia="Times New Roman" w:hAnsi="Calibri" w:cs="Calibri"/>
          <w:b/>
        </w:rPr>
      </w:pPr>
    </w:p>
    <w:p w14:paraId="1D21A8B3" w14:textId="52742093" w:rsidR="004D09CE" w:rsidRPr="005B0195" w:rsidRDefault="004D09CE" w:rsidP="004D09CE">
      <w:pPr>
        <w:numPr>
          <w:ilvl w:val="1"/>
          <w:numId w:val="3"/>
        </w:numPr>
        <w:ind w:left="709" w:hanging="709"/>
        <w:jc w:val="both"/>
        <w:rPr>
          <w:rFonts w:ascii="Calibri" w:eastAsia="Times New Roman" w:hAnsi="Calibri" w:cs="Calibri"/>
          <w:b/>
        </w:rPr>
      </w:pPr>
      <w:r w:rsidRPr="005B0195">
        <w:rPr>
          <w:rFonts w:ascii="Calibri" w:eastAsia="Times New Roman" w:hAnsi="Calibri" w:cs="Calibri"/>
        </w:rPr>
        <w:t>Responsibility for risk management and control lies within 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and cannot be delegated to an outside organisation.</w:t>
      </w:r>
    </w:p>
    <w:p w14:paraId="2F51A9DA" w14:textId="77777777" w:rsidR="004D09CE" w:rsidRPr="005B0195" w:rsidRDefault="004D09CE" w:rsidP="004D09CE">
      <w:pPr>
        <w:tabs>
          <w:tab w:val="num" w:pos="567"/>
        </w:tabs>
        <w:jc w:val="both"/>
        <w:rPr>
          <w:rFonts w:ascii="Calibri" w:eastAsia="Times New Roman" w:hAnsi="Calibri" w:cs="Calibri"/>
          <w:b/>
        </w:rPr>
      </w:pPr>
    </w:p>
    <w:p w14:paraId="6AEDED54"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Creditworthiness Policy</w:t>
      </w:r>
    </w:p>
    <w:p w14:paraId="44B6A740" w14:textId="77777777" w:rsidR="004D09CE" w:rsidRPr="005B0195" w:rsidRDefault="004D09CE" w:rsidP="004D09CE">
      <w:pPr>
        <w:jc w:val="both"/>
        <w:rPr>
          <w:rFonts w:ascii="Calibri" w:eastAsia="Times New Roman" w:hAnsi="Calibri" w:cs="Calibri"/>
          <w:b/>
        </w:rPr>
      </w:pPr>
    </w:p>
    <w:p w14:paraId="2E3B2648" w14:textId="2C2C4086"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’s counterparty and credit risk management policies are set out below. </w:t>
      </w:r>
      <w:r w:rsidR="00433242" w:rsidRPr="005B0195">
        <w:rPr>
          <w:rFonts w:ascii="Calibri" w:eastAsia="Times New Roman" w:hAnsi="Calibri" w:cs="Calibri"/>
        </w:rPr>
        <w:t xml:space="preserve"> </w:t>
      </w:r>
      <w:r w:rsidRPr="005B0195">
        <w:rPr>
          <w:rFonts w:ascii="Calibri" w:eastAsia="Times New Roman" w:hAnsi="Calibri" w:cs="Calibri"/>
        </w:rPr>
        <w:t>These, taken together, form the fundamental parameters of the</w:t>
      </w:r>
      <w:r w:rsidR="0064222E" w:rsidRPr="005B0195">
        <w:rPr>
          <w:rFonts w:ascii="Calibri" w:eastAsia="Times New Roman" w:hAnsi="Calibri" w:cs="Calibri"/>
        </w:rPr>
        <w:t xml:space="preserve"> Authority</w:t>
      </w:r>
      <w:r w:rsidRPr="005B0195">
        <w:rPr>
          <w:rFonts w:ascii="Calibri" w:eastAsia="Times New Roman" w:hAnsi="Calibri" w:cs="Calibri"/>
        </w:rPr>
        <w:t>’s Investment Strategy.</w:t>
      </w:r>
    </w:p>
    <w:p w14:paraId="2E385E71" w14:textId="77777777" w:rsidR="004D09CE" w:rsidRPr="005B0195" w:rsidRDefault="004D09CE" w:rsidP="004D09CE">
      <w:pPr>
        <w:ind w:left="709"/>
        <w:jc w:val="both"/>
        <w:rPr>
          <w:rFonts w:ascii="Calibri" w:eastAsia="Times New Roman" w:hAnsi="Calibri" w:cs="Calibri"/>
        </w:rPr>
      </w:pPr>
    </w:p>
    <w:p w14:paraId="438BD710" w14:textId="71B489A5"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defines high credit quality in terms of investment counterparties as those organisations that are:</w:t>
      </w:r>
    </w:p>
    <w:p w14:paraId="62B5E8A8" w14:textId="77777777"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 xml:space="preserve">Minimum strong grade long term credit rating (equivalent to A- / A3 / A from Fitch, Moody’s and Standard and Poor’s) </w:t>
      </w:r>
    </w:p>
    <w:p w14:paraId="77AB6592" w14:textId="77777777"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UK banking or other financial institutions, or are;</w:t>
      </w:r>
    </w:p>
    <w:p w14:paraId="05648B80" w14:textId="002BDD51"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UK national or local government bodies</w:t>
      </w:r>
      <w:r w:rsidR="00987C0A">
        <w:rPr>
          <w:rFonts w:ascii="Calibri" w:eastAsia="Times New Roman" w:hAnsi="Calibri" w:cs="Calibri"/>
        </w:rPr>
        <w:t>, including bonds</w:t>
      </w:r>
      <w:r w:rsidRPr="005B0195">
        <w:rPr>
          <w:rFonts w:ascii="Calibri" w:eastAsia="Times New Roman" w:hAnsi="Calibri" w:cs="Calibri"/>
        </w:rPr>
        <w:t>, or are;</w:t>
      </w:r>
    </w:p>
    <w:p w14:paraId="7D4871E8" w14:textId="77777777"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Countries with a sovereign rating of -AA or above, or are;</w:t>
      </w:r>
    </w:p>
    <w:p w14:paraId="5F46CB43" w14:textId="77777777"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Triple-A rated Money Market funds.</w:t>
      </w:r>
    </w:p>
    <w:p w14:paraId="39F0BE74" w14:textId="77777777" w:rsidR="004D09CE" w:rsidRPr="005B0195" w:rsidRDefault="004D09CE" w:rsidP="004D09CE">
      <w:pPr>
        <w:ind w:left="1000"/>
        <w:jc w:val="both"/>
        <w:rPr>
          <w:rFonts w:ascii="Calibri" w:eastAsia="Times New Roman" w:hAnsi="Calibri" w:cs="Calibri"/>
        </w:rPr>
      </w:pPr>
    </w:p>
    <w:p w14:paraId="63C73E4E" w14:textId="37C32407"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will assess the credit ratings from the three main credit rating agencies</w:t>
      </w:r>
      <w:r w:rsidR="00EE04F9">
        <w:rPr>
          <w:rFonts w:ascii="Calibri" w:eastAsia="Times New Roman" w:hAnsi="Calibri" w:cs="Calibri"/>
        </w:rPr>
        <w:t>,</w:t>
      </w:r>
      <w:r w:rsidRPr="005B0195">
        <w:rPr>
          <w:rFonts w:ascii="Calibri" w:eastAsia="Times New Roman" w:hAnsi="Calibri" w:cs="Calibri"/>
        </w:rPr>
        <w:t xml:space="preserve"> Fitch, Moody’s and Standard &amp; Poor’s. </w:t>
      </w:r>
      <w:r w:rsidR="00433242" w:rsidRPr="005B0195">
        <w:rPr>
          <w:rFonts w:ascii="Calibri" w:eastAsia="Times New Roman" w:hAnsi="Calibri" w:cs="Calibri"/>
        </w:rPr>
        <w:t xml:space="preserve"> </w:t>
      </w:r>
      <w:r w:rsidRPr="005B0195">
        <w:rPr>
          <w:rFonts w:ascii="Calibri" w:eastAsia="Times New Roman" w:hAnsi="Calibri" w:cs="Calibri"/>
        </w:rPr>
        <w:t xml:space="preserve">The credit ratings of counterparties will be supplemented with the following overlays: </w:t>
      </w:r>
    </w:p>
    <w:p w14:paraId="6DAE3231" w14:textId="77777777" w:rsidR="004D09CE" w:rsidRPr="005B0195" w:rsidRDefault="004D09CE" w:rsidP="004D09CE">
      <w:pPr>
        <w:ind w:left="709"/>
        <w:jc w:val="both"/>
        <w:rPr>
          <w:rFonts w:ascii="Calibri" w:eastAsia="Times New Roman" w:hAnsi="Calibri" w:cs="Calibri"/>
        </w:rPr>
      </w:pPr>
    </w:p>
    <w:p w14:paraId="4EC8654E" w14:textId="319F1B3C" w:rsidR="004D09CE" w:rsidRPr="005B0195" w:rsidRDefault="00EE04F9" w:rsidP="004D09CE">
      <w:pPr>
        <w:numPr>
          <w:ilvl w:val="0"/>
          <w:numId w:val="8"/>
        </w:numPr>
        <w:jc w:val="both"/>
        <w:rPr>
          <w:rFonts w:ascii="Calibri" w:eastAsia="Times New Roman" w:hAnsi="Calibri" w:cs="Calibri"/>
        </w:rPr>
      </w:pPr>
      <w:r>
        <w:rPr>
          <w:rFonts w:ascii="Calibri" w:eastAsia="Times New Roman" w:hAnsi="Calibri" w:cs="Calibri"/>
        </w:rPr>
        <w:t>C</w:t>
      </w:r>
      <w:r w:rsidR="004D09CE" w:rsidRPr="005B0195">
        <w:rPr>
          <w:rFonts w:ascii="Calibri" w:eastAsia="Times New Roman" w:hAnsi="Calibri" w:cs="Calibri"/>
        </w:rPr>
        <w:t>redit watches and credit outlooks from credit rating agencies</w:t>
      </w:r>
    </w:p>
    <w:p w14:paraId="78E34390" w14:textId="061A6720" w:rsidR="004D09CE" w:rsidRPr="005B0195" w:rsidRDefault="004D09CE" w:rsidP="004D09CE">
      <w:pPr>
        <w:numPr>
          <w:ilvl w:val="0"/>
          <w:numId w:val="8"/>
        </w:numPr>
        <w:jc w:val="both"/>
        <w:rPr>
          <w:rFonts w:ascii="Calibri" w:eastAsia="Times New Roman" w:hAnsi="Calibri" w:cs="Calibri"/>
        </w:rPr>
      </w:pPr>
      <w:r w:rsidRPr="005B0195">
        <w:rPr>
          <w:rFonts w:ascii="Calibri" w:eastAsia="Times New Roman" w:hAnsi="Calibri" w:cs="Calibri"/>
        </w:rPr>
        <w:t>Credit Default Swaps (CDS – a traded insurance policy market against default risk) spreads to give early warning of likely changes in credit ratings</w:t>
      </w:r>
    </w:p>
    <w:p w14:paraId="41A3F089" w14:textId="3DF2D93E" w:rsidR="004D09CE" w:rsidRPr="005B0195" w:rsidRDefault="004D09CE" w:rsidP="004D09CE">
      <w:pPr>
        <w:numPr>
          <w:ilvl w:val="0"/>
          <w:numId w:val="8"/>
        </w:numPr>
        <w:jc w:val="both"/>
        <w:rPr>
          <w:rFonts w:ascii="Calibri" w:eastAsia="Times New Roman" w:hAnsi="Calibri" w:cs="Calibri"/>
        </w:rPr>
      </w:pPr>
      <w:r w:rsidRPr="005B0195">
        <w:rPr>
          <w:rFonts w:ascii="Calibri" w:eastAsia="Times New Roman" w:hAnsi="Calibri" w:cs="Calibri"/>
        </w:rPr>
        <w:lastRenderedPageBreak/>
        <w:t>Sovereign ratings to select counterparties from only the most creditworthy countries</w:t>
      </w:r>
    </w:p>
    <w:p w14:paraId="494F901C" w14:textId="77777777" w:rsidR="004D09CE" w:rsidRPr="005B0195" w:rsidRDefault="004D09CE" w:rsidP="004D09CE">
      <w:pPr>
        <w:ind w:left="1000"/>
        <w:jc w:val="both"/>
        <w:rPr>
          <w:rFonts w:ascii="Calibri" w:eastAsia="Times New Roman" w:hAnsi="Calibri" w:cs="Calibri"/>
        </w:rPr>
      </w:pPr>
    </w:p>
    <w:p w14:paraId="0C5861EF" w14:textId="03496240"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 xml:space="preserve">This approach of combining credit ratings, credit Watches and credit Outlooks along with an overlay of CDS spreads will be used to determine duration for investment. </w:t>
      </w:r>
      <w:r w:rsidR="00433242" w:rsidRPr="005B0195">
        <w:rPr>
          <w:rFonts w:ascii="Calibri" w:eastAsia="Times New Roman" w:hAnsi="Calibri" w:cs="Calibri"/>
        </w:rPr>
        <w:t xml:space="preserve"> </w:t>
      </w: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will apply these duration limits to its investments at all times, unless otherwise approved by the Chief Finance Officer.</w:t>
      </w:r>
    </w:p>
    <w:p w14:paraId="35B1C68C" w14:textId="77777777" w:rsidR="004D09CE" w:rsidRPr="005B0195" w:rsidRDefault="004D09CE" w:rsidP="004D09CE">
      <w:pPr>
        <w:ind w:left="709"/>
        <w:jc w:val="both"/>
        <w:rPr>
          <w:rFonts w:ascii="Calibri" w:eastAsia="Times New Roman" w:hAnsi="Calibri" w:cs="Calibri"/>
        </w:rPr>
      </w:pPr>
    </w:p>
    <w:p w14:paraId="001AAF99" w14:textId="1FE53461"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 xml:space="preserve">Credit ratings will be monitored on a regular basis. </w:t>
      </w:r>
      <w:r w:rsidR="00433242" w:rsidRPr="005B0195">
        <w:rPr>
          <w:rFonts w:ascii="Calibri" w:eastAsia="Times New Roman" w:hAnsi="Calibri" w:cs="Calibri"/>
        </w:rPr>
        <w:t xml:space="preserve"> </w:t>
      </w:r>
      <w:r w:rsidRPr="005B0195">
        <w:rPr>
          <w:rFonts w:ascii="Calibri" w:eastAsia="Times New Roman" w:hAnsi="Calibri" w:cs="Calibri"/>
        </w:rPr>
        <w:t>If a rating downgrade results in the counterparty or investment scheme no longer meeting 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’s minimum criteria, its further use as a new investment will be withdrawn immediately. </w:t>
      </w:r>
      <w:r w:rsidR="00433242" w:rsidRPr="005B0195">
        <w:rPr>
          <w:rFonts w:ascii="Calibri" w:eastAsia="Times New Roman" w:hAnsi="Calibri" w:cs="Calibri"/>
        </w:rPr>
        <w:t xml:space="preserve"> </w:t>
      </w:r>
      <w:r w:rsidRPr="005B0195">
        <w:rPr>
          <w:rFonts w:ascii="Calibri" w:eastAsia="Times New Roman" w:hAnsi="Calibri" w:cs="Calibri"/>
        </w:rPr>
        <w:t>In addition, extreme market movements (which may be an early indicator of financial distress) may result in the removal of a counterparty from new investment.</w:t>
      </w:r>
    </w:p>
    <w:p w14:paraId="1ACF1FAE" w14:textId="77777777" w:rsidR="004D09CE" w:rsidRPr="005B0195" w:rsidRDefault="004D09CE" w:rsidP="004D09CE">
      <w:pPr>
        <w:ind w:left="709"/>
        <w:jc w:val="both"/>
        <w:rPr>
          <w:rFonts w:ascii="Calibri" w:eastAsia="Times New Roman" w:hAnsi="Calibri" w:cs="Calibri"/>
        </w:rPr>
      </w:pPr>
    </w:p>
    <w:p w14:paraId="16FF184D" w14:textId="6EF2D789"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will also use market data, financial press and information on any external support for banks to help support its </w:t>
      </w:r>
      <w:r w:rsidR="00D4345D" w:rsidRPr="005B0195">
        <w:rPr>
          <w:rFonts w:ascii="Calibri" w:eastAsia="Times New Roman" w:hAnsi="Calibri" w:cs="Calibri"/>
        </w:rPr>
        <w:t>decision-making</w:t>
      </w:r>
      <w:r w:rsidRPr="005B0195">
        <w:rPr>
          <w:rFonts w:ascii="Calibri" w:eastAsia="Times New Roman" w:hAnsi="Calibri" w:cs="Calibri"/>
        </w:rPr>
        <w:t xml:space="preserve"> process.</w:t>
      </w:r>
    </w:p>
    <w:p w14:paraId="53540BC7" w14:textId="77777777" w:rsidR="004D09CE" w:rsidRPr="005B0195" w:rsidRDefault="004D09CE" w:rsidP="004D09CE">
      <w:pPr>
        <w:ind w:left="709"/>
        <w:jc w:val="both"/>
        <w:rPr>
          <w:rFonts w:ascii="Calibri" w:eastAsia="Times New Roman" w:hAnsi="Calibri" w:cs="Calibri"/>
        </w:rPr>
      </w:pPr>
    </w:p>
    <w:p w14:paraId="5A54A7E9" w14:textId="0DDDE766"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recognises that responsibility for treasury management decisions always remains with the organisation and so to enable the effective management of risk in relation to its investments, the Chief Finance Officer shall have the discretion during the year to:</w:t>
      </w:r>
    </w:p>
    <w:p w14:paraId="7CBA6E95" w14:textId="77777777" w:rsidR="004D09CE" w:rsidRPr="005B0195" w:rsidRDefault="004D09CE" w:rsidP="004D09CE">
      <w:pPr>
        <w:ind w:left="709"/>
        <w:jc w:val="both"/>
        <w:rPr>
          <w:rFonts w:ascii="Calibri" w:eastAsia="Times New Roman" w:hAnsi="Calibri" w:cs="Calibri"/>
        </w:rPr>
      </w:pPr>
    </w:p>
    <w:p w14:paraId="17313B46" w14:textId="063C0864" w:rsidR="004D09CE" w:rsidRPr="005B0195" w:rsidRDefault="004D09CE" w:rsidP="004D09CE">
      <w:pPr>
        <w:numPr>
          <w:ilvl w:val="0"/>
          <w:numId w:val="9"/>
        </w:numPr>
        <w:jc w:val="both"/>
        <w:rPr>
          <w:rFonts w:ascii="Calibri" w:eastAsia="Times New Roman" w:hAnsi="Calibri" w:cs="Calibri"/>
        </w:rPr>
      </w:pPr>
      <w:r w:rsidRPr="005B0195">
        <w:rPr>
          <w:rFonts w:ascii="Calibri" w:eastAsia="Times New Roman" w:hAnsi="Calibri" w:cs="Calibri"/>
        </w:rPr>
        <w:t>Strengthen or relax restrictions on counterparty selection</w:t>
      </w:r>
    </w:p>
    <w:p w14:paraId="56BBAAB2" w14:textId="481A95B5" w:rsidR="004D09CE" w:rsidRPr="005B0195" w:rsidRDefault="004D09CE" w:rsidP="004D09CE">
      <w:pPr>
        <w:numPr>
          <w:ilvl w:val="0"/>
          <w:numId w:val="9"/>
        </w:numPr>
        <w:jc w:val="both"/>
        <w:rPr>
          <w:rFonts w:ascii="Calibri" w:eastAsia="Times New Roman" w:hAnsi="Calibri" w:cs="Calibri"/>
        </w:rPr>
      </w:pPr>
      <w:r w:rsidRPr="005B0195">
        <w:rPr>
          <w:rFonts w:ascii="Calibri" w:eastAsia="Times New Roman" w:hAnsi="Calibri" w:cs="Calibri"/>
        </w:rPr>
        <w:t xml:space="preserve">Adjust exposure and duration limits </w:t>
      </w:r>
    </w:p>
    <w:p w14:paraId="78904654" w14:textId="77777777" w:rsidR="004D09CE" w:rsidRPr="005B0195" w:rsidRDefault="004D09CE" w:rsidP="004D09CE">
      <w:pPr>
        <w:ind w:left="709"/>
        <w:jc w:val="both"/>
        <w:rPr>
          <w:rFonts w:ascii="Calibri" w:eastAsia="Times New Roman" w:hAnsi="Calibri" w:cs="Calibri"/>
        </w:rPr>
      </w:pPr>
    </w:p>
    <w:p w14:paraId="51E6F249" w14:textId="6FBC5CF2"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Where this discretionary</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is exercised, records will be </w:t>
      </w:r>
      <w:r w:rsidR="005478B9" w:rsidRPr="005B0195">
        <w:rPr>
          <w:rFonts w:ascii="Calibri" w:eastAsia="Times New Roman" w:hAnsi="Calibri" w:cs="Calibri"/>
        </w:rPr>
        <w:t>maintained,</w:t>
      </w:r>
      <w:r w:rsidRPr="005B0195">
        <w:rPr>
          <w:rFonts w:ascii="Calibri" w:eastAsia="Times New Roman" w:hAnsi="Calibri" w:cs="Calibri"/>
        </w:rPr>
        <w:t xml:space="preserve"> and details reported in the next available Treasury Management update report.</w:t>
      </w:r>
    </w:p>
    <w:p w14:paraId="23E9B868" w14:textId="77777777" w:rsidR="004D09CE" w:rsidRPr="005B0195" w:rsidRDefault="004D09CE" w:rsidP="004D09CE">
      <w:pPr>
        <w:ind w:left="720"/>
        <w:jc w:val="both"/>
        <w:rPr>
          <w:rFonts w:ascii="Calibri" w:eastAsia="Times New Roman" w:hAnsi="Calibri" w:cs="Calibri"/>
          <w:highlight w:val="yellow"/>
        </w:rPr>
      </w:pPr>
    </w:p>
    <w:p w14:paraId="5854381C"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Banking Services</w:t>
      </w:r>
    </w:p>
    <w:p w14:paraId="31F96B35" w14:textId="77777777" w:rsidR="004D09CE" w:rsidRPr="005B0195" w:rsidRDefault="004D09CE" w:rsidP="004D09CE">
      <w:pPr>
        <w:jc w:val="both"/>
        <w:rPr>
          <w:rFonts w:ascii="Calibri" w:eastAsia="Times New Roman" w:hAnsi="Calibri" w:cs="Calibri"/>
          <w:b/>
        </w:rPr>
      </w:pPr>
    </w:p>
    <w:p w14:paraId="48928C59" w14:textId="2E638D73"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uses NatWest to provides banking services. </w:t>
      </w:r>
      <w:r w:rsidR="00433242" w:rsidRPr="005B0195">
        <w:rPr>
          <w:rFonts w:ascii="Calibri" w:eastAsia="Times New Roman" w:hAnsi="Calibri" w:cs="Calibri"/>
        </w:rPr>
        <w:t xml:space="preserve"> </w:t>
      </w: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may continue to use its own bankers for short term liquidity requirements if the credit rating of the institution falls below the minimum credit criteria set out in this report, monitored daily. </w:t>
      </w:r>
      <w:r w:rsidR="00433242" w:rsidRPr="005B0195">
        <w:rPr>
          <w:rFonts w:ascii="Calibri" w:eastAsia="Times New Roman" w:hAnsi="Calibri" w:cs="Calibri"/>
        </w:rPr>
        <w:t xml:space="preserve"> </w:t>
      </w:r>
      <w:r w:rsidRPr="005B0195">
        <w:rPr>
          <w:rFonts w:ascii="Calibri" w:eastAsia="Times New Roman" w:hAnsi="Calibri" w:cs="Calibri"/>
        </w:rPr>
        <w:t>A pragmatic approach will be adopted</w:t>
      </w:r>
      <w:r w:rsidR="005B7FCC" w:rsidRPr="005B0195">
        <w:rPr>
          <w:rFonts w:ascii="Calibri" w:eastAsia="Times New Roman" w:hAnsi="Calibri" w:cs="Calibri"/>
        </w:rPr>
        <w:t>,</w:t>
      </w:r>
      <w:r w:rsidRPr="005B0195">
        <w:rPr>
          <w:rFonts w:ascii="Calibri" w:eastAsia="Times New Roman" w:hAnsi="Calibri" w:cs="Calibri"/>
        </w:rPr>
        <w:t xml:space="preserve"> and rating changes monitored closely.</w:t>
      </w:r>
    </w:p>
    <w:p w14:paraId="391EFFBC" w14:textId="77777777" w:rsidR="004D09CE" w:rsidRPr="005B0195" w:rsidRDefault="004D09CE" w:rsidP="004D09CE">
      <w:pPr>
        <w:ind w:left="720"/>
        <w:jc w:val="both"/>
        <w:rPr>
          <w:rFonts w:ascii="Calibri" w:eastAsia="Times New Roman" w:hAnsi="Calibri" w:cs="Calibri"/>
          <w:b/>
          <w:highlight w:val="yellow"/>
        </w:rPr>
      </w:pPr>
    </w:p>
    <w:p w14:paraId="75459B1F" w14:textId="69B01C2E"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Investment Position and Use of</w:t>
      </w:r>
      <w:r w:rsidR="0064222E" w:rsidRPr="005B0195">
        <w:rPr>
          <w:rFonts w:ascii="Calibri" w:eastAsia="Times New Roman" w:hAnsi="Calibri" w:cs="Calibri"/>
          <w:b/>
        </w:rPr>
        <w:t xml:space="preserve"> Authority</w:t>
      </w:r>
      <w:r w:rsidRPr="005B0195">
        <w:rPr>
          <w:rFonts w:ascii="Calibri" w:eastAsia="Times New Roman" w:hAnsi="Calibri" w:cs="Calibri"/>
          <w:b/>
        </w:rPr>
        <w:t>’s Resources</w:t>
      </w:r>
    </w:p>
    <w:p w14:paraId="0A5CED93" w14:textId="77777777" w:rsidR="004D09CE" w:rsidRPr="005B0195" w:rsidRDefault="004D09CE" w:rsidP="004D09CE">
      <w:pPr>
        <w:jc w:val="both"/>
        <w:rPr>
          <w:rFonts w:ascii="Calibri" w:eastAsia="Times New Roman" w:hAnsi="Calibri" w:cs="Calibri"/>
          <w:b/>
        </w:rPr>
      </w:pPr>
    </w:p>
    <w:p w14:paraId="2A12D6E0" w14:textId="77777777" w:rsidR="004D09CE" w:rsidRPr="005B0195" w:rsidRDefault="004D09CE" w:rsidP="004D09CE">
      <w:pPr>
        <w:numPr>
          <w:ilvl w:val="1"/>
          <w:numId w:val="3"/>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The application of resources (capital receipts, reserves etc.) to either finance capital expenditure or other budget decisions to support the revenue budget will have an ongoing impact on investments unless resources are supplemented each year from new sources (asset sales etc.). </w:t>
      </w:r>
    </w:p>
    <w:p w14:paraId="2FCA2B3D" w14:textId="77777777" w:rsidR="004D09CE" w:rsidRPr="005B0195" w:rsidRDefault="004D09CE" w:rsidP="004D09CE">
      <w:pPr>
        <w:jc w:val="both"/>
        <w:rPr>
          <w:rFonts w:ascii="Calibri" w:eastAsia="Times New Roman" w:hAnsi="Calibri" w:cs="Calibri"/>
          <w:b/>
          <w:highlight w:val="yellow"/>
        </w:rPr>
      </w:pPr>
    </w:p>
    <w:p w14:paraId="79E99128" w14:textId="77777777"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Investments will be made with reference to the core balances and cash flow requirements and the outlook for interest rates.</w:t>
      </w:r>
    </w:p>
    <w:p w14:paraId="1072AF1C" w14:textId="77777777" w:rsidR="004D09CE" w:rsidRPr="00EE04F9" w:rsidRDefault="004D09CE" w:rsidP="004D09CE">
      <w:pPr>
        <w:jc w:val="both"/>
        <w:rPr>
          <w:rFonts w:ascii="Calibri" w:eastAsia="Times New Roman" w:hAnsi="Calibri" w:cs="Calibri"/>
          <w:sz w:val="20"/>
          <w:szCs w:val="20"/>
        </w:rPr>
      </w:pPr>
    </w:p>
    <w:p w14:paraId="1AB47727" w14:textId="45EC5871"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lang w:eastAsia="en-GB"/>
        </w:rPr>
        <w:lastRenderedPageBreak/>
        <w:t>The</w:t>
      </w:r>
      <w:r w:rsidR="0064222E" w:rsidRPr="005B0195">
        <w:rPr>
          <w:rFonts w:ascii="Calibri" w:eastAsia="Times New Roman" w:hAnsi="Calibri" w:cs="Calibri"/>
          <w:lang w:eastAsia="en-GB"/>
        </w:rPr>
        <w:t xml:space="preserve"> Authority</w:t>
      </w:r>
      <w:r w:rsidRPr="005B0195">
        <w:rPr>
          <w:rFonts w:ascii="Calibri" w:eastAsia="Times New Roman" w:hAnsi="Calibri" w:cs="Calibri"/>
          <w:lang w:eastAsia="en-GB"/>
        </w:rPr>
        <w:t xml:space="preserve"> will primarily utilise business reserve accounts, notice accounts, low-volatility money market funds (known as LVNAV class) and short-dated deposits.</w:t>
      </w:r>
      <w:r w:rsidR="00433242" w:rsidRPr="005B0195">
        <w:rPr>
          <w:rFonts w:ascii="Calibri" w:eastAsia="Times New Roman" w:hAnsi="Calibri" w:cs="Calibri"/>
          <w:lang w:eastAsia="en-GB"/>
        </w:rPr>
        <w:t xml:space="preserve"> </w:t>
      </w:r>
      <w:r w:rsidRPr="005B0195">
        <w:rPr>
          <w:rFonts w:ascii="Calibri" w:eastAsia="Times New Roman" w:hAnsi="Calibri" w:cs="Calibri"/>
          <w:lang w:eastAsia="en-GB"/>
        </w:rPr>
        <w:t xml:space="preserve"> This strategy will be reviewed and developed in future years.</w:t>
      </w:r>
    </w:p>
    <w:p w14:paraId="184BCC91" w14:textId="77777777" w:rsidR="004D09CE" w:rsidRPr="00EE04F9" w:rsidRDefault="004D09CE" w:rsidP="004D09CE">
      <w:pPr>
        <w:ind w:left="720"/>
        <w:jc w:val="both"/>
        <w:rPr>
          <w:rFonts w:ascii="Calibri" w:eastAsia="Times New Roman" w:hAnsi="Calibri" w:cs="Calibri"/>
          <w:b/>
          <w:sz w:val="20"/>
          <w:szCs w:val="20"/>
          <w:highlight w:val="yellow"/>
        </w:rPr>
      </w:pPr>
    </w:p>
    <w:p w14:paraId="2EF38F66"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Specified Investments</w:t>
      </w:r>
    </w:p>
    <w:p w14:paraId="50D102C9" w14:textId="77777777" w:rsidR="004D09CE" w:rsidRPr="00EE04F9" w:rsidRDefault="004D09CE" w:rsidP="004D09CE">
      <w:pPr>
        <w:ind w:left="720"/>
        <w:jc w:val="both"/>
        <w:rPr>
          <w:rFonts w:ascii="Calibri" w:eastAsia="Times New Roman" w:hAnsi="Calibri" w:cs="Calibri"/>
          <w:b/>
          <w:sz w:val="20"/>
          <w:szCs w:val="20"/>
        </w:rPr>
      </w:pPr>
    </w:p>
    <w:p w14:paraId="7D64C4D7" w14:textId="6E44E4F6" w:rsidR="004D09CE" w:rsidRPr="005B0195" w:rsidRDefault="004D09CE" w:rsidP="004D09CE">
      <w:pPr>
        <w:numPr>
          <w:ilvl w:val="1"/>
          <w:numId w:val="3"/>
        </w:numPr>
        <w:ind w:left="709" w:hanging="709"/>
        <w:jc w:val="both"/>
        <w:rPr>
          <w:rFonts w:ascii="Calibri" w:eastAsia="Times New Roman" w:hAnsi="Calibri" w:cs="Calibri"/>
          <w:lang w:eastAsia="en-GB"/>
        </w:rPr>
      </w:pPr>
      <w:r w:rsidRPr="005B0195">
        <w:rPr>
          <w:rFonts w:ascii="Calibri" w:eastAsia="Times New Roman" w:hAnsi="Calibri" w:cs="Calibri"/>
          <w:lang w:eastAsia="en-GB"/>
        </w:rPr>
        <w:t>The</w:t>
      </w:r>
      <w:r w:rsidR="0064222E" w:rsidRPr="005B0195">
        <w:rPr>
          <w:rFonts w:ascii="Calibri" w:eastAsia="Times New Roman" w:hAnsi="Calibri" w:cs="Calibri"/>
          <w:lang w:eastAsia="en-GB"/>
        </w:rPr>
        <w:t xml:space="preserve"> Authority</w:t>
      </w:r>
      <w:r w:rsidRPr="005B0195">
        <w:rPr>
          <w:rFonts w:ascii="Calibri" w:eastAsia="Times New Roman" w:hAnsi="Calibri" w:cs="Calibri"/>
          <w:lang w:eastAsia="en-GB"/>
        </w:rPr>
        <w:t xml:space="preserve"> assesses that an investment is a specified investment if all of the following criteria apply:</w:t>
      </w:r>
    </w:p>
    <w:p w14:paraId="4218AD84" w14:textId="77777777" w:rsidR="004D09CE" w:rsidRPr="005B0195" w:rsidRDefault="004D09CE" w:rsidP="004D09CE">
      <w:pPr>
        <w:numPr>
          <w:ilvl w:val="0"/>
          <w:numId w:val="6"/>
        </w:numPr>
        <w:jc w:val="both"/>
        <w:rPr>
          <w:rFonts w:ascii="Calibri" w:eastAsia="Times New Roman" w:hAnsi="Calibri" w:cs="Calibri"/>
        </w:rPr>
      </w:pPr>
      <w:r w:rsidRPr="005B0195">
        <w:rPr>
          <w:rFonts w:ascii="Calibri" w:eastAsia="Times New Roman" w:hAnsi="Calibri" w:cs="Calibri"/>
        </w:rPr>
        <w:t>The investment is denominated in sterling and any payments or repayments in respect of the investment are payable only in sterling.</w:t>
      </w:r>
    </w:p>
    <w:p w14:paraId="47C58A4D" w14:textId="707611C5" w:rsidR="004D09CE" w:rsidRPr="005B0195" w:rsidRDefault="004D09CE" w:rsidP="004D09CE">
      <w:pPr>
        <w:numPr>
          <w:ilvl w:val="0"/>
          <w:numId w:val="6"/>
        </w:numPr>
        <w:jc w:val="both"/>
        <w:rPr>
          <w:rFonts w:ascii="Calibri" w:eastAsia="Times New Roman" w:hAnsi="Calibri" w:cs="Calibri"/>
        </w:rPr>
      </w:pPr>
      <w:r w:rsidRPr="005B0195">
        <w:rPr>
          <w:rFonts w:ascii="Calibri" w:eastAsia="Times New Roman" w:hAnsi="Calibri" w:cs="Calibri"/>
        </w:rPr>
        <w:t>The investment is not a long</w:t>
      </w:r>
      <w:r w:rsidR="00D4345D">
        <w:rPr>
          <w:rFonts w:ascii="Calibri" w:eastAsia="Times New Roman" w:hAnsi="Calibri" w:cs="Calibri"/>
        </w:rPr>
        <w:t>-</w:t>
      </w:r>
      <w:r w:rsidRPr="005B0195">
        <w:rPr>
          <w:rFonts w:ascii="Calibri" w:eastAsia="Times New Roman" w:hAnsi="Calibri" w:cs="Calibri"/>
        </w:rPr>
        <w:t>term investment (</w:t>
      </w:r>
      <w:proofErr w:type="spellStart"/>
      <w:r w:rsidRPr="005B0195">
        <w:rPr>
          <w:rFonts w:ascii="Calibri" w:eastAsia="Times New Roman" w:hAnsi="Calibri" w:cs="Calibri"/>
        </w:rPr>
        <w:t>ie</w:t>
      </w:r>
      <w:proofErr w:type="spellEnd"/>
      <w:r w:rsidRPr="005B0195">
        <w:rPr>
          <w:rFonts w:ascii="Calibri" w:eastAsia="Times New Roman" w:hAnsi="Calibri" w:cs="Calibri"/>
        </w:rPr>
        <w:t>. up to 1 year).</w:t>
      </w:r>
    </w:p>
    <w:p w14:paraId="005794A7" w14:textId="77777777" w:rsidR="004D09CE" w:rsidRPr="005B0195" w:rsidRDefault="004D09CE" w:rsidP="004D09CE">
      <w:pPr>
        <w:numPr>
          <w:ilvl w:val="0"/>
          <w:numId w:val="6"/>
        </w:numPr>
        <w:jc w:val="both"/>
        <w:rPr>
          <w:rFonts w:ascii="Calibri" w:eastAsia="Times New Roman" w:hAnsi="Calibri" w:cs="Calibri"/>
        </w:rPr>
      </w:pPr>
      <w:r w:rsidRPr="005B0195">
        <w:rPr>
          <w:rFonts w:ascii="Calibri" w:eastAsia="Times New Roman" w:hAnsi="Calibri" w:cs="Calibri"/>
        </w:rPr>
        <w:t>The making of the investment is not defined as capital expenditure by virtue of regulation 25(1)(d) of the Local Authorities (Capital Finance and Accounting) (England) Regulations 2003 [SI 3146 as amended].</w:t>
      </w:r>
    </w:p>
    <w:p w14:paraId="3AEE74A1" w14:textId="77777777" w:rsidR="004D09CE" w:rsidRPr="005B0195" w:rsidRDefault="004D09CE" w:rsidP="004D09CE">
      <w:pPr>
        <w:numPr>
          <w:ilvl w:val="0"/>
          <w:numId w:val="6"/>
        </w:numPr>
        <w:jc w:val="both"/>
        <w:rPr>
          <w:rFonts w:ascii="Calibri" w:eastAsia="Times New Roman" w:hAnsi="Calibri" w:cs="Calibri"/>
        </w:rPr>
      </w:pPr>
      <w:r w:rsidRPr="005B0195">
        <w:rPr>
          <w:rFonts w:ascii="Calibri" w:eastAsia="Times New Roman" w:hAnsi="Calibri" w:cs="Calibri"/>
        </w:rPr>
        <w:t>The investment is made with a body or in an investment scheme of high credit quality (see below) or with one of the following public-sector bodies:</w:t>
      </w:r>
    </w:p>
    <w:p w14:paraId="68FD1389" w14:textId="77777777" w:rsidR="004D09CE" w:rsidRPr="005B0195" w:rsidRDefault="004D09CE" w:rsidP="004D09CE">
      <w:pPr>
        <w:numPr>
          <w:ilvl w:val="1"/>
          <w:numId w:val="6"/>
        </w:numPr>
        <w:jc w:val="both"/>
        <w:rPr>
          <w:rFonts w:ascii="Calibri" w:eastAsia="Times New Roman" w:hAnsi="Calibri" w:cs="Calibri"/>
        </w:rPr>
      </w:pPr>
      <w:r w:rsidRPr="005B0195">
        <w:rPr>
          <w:rFonts w:ascii="Calibri" w:eastAsia="Times New Roman" w:hAnsi="Calibri" w:cs="Calibri"/>
        </w:rPr>
        <w:t>The United Kingdom Government.</w:t>
      </w:r>
    </w:p>
    <w:p w14:paraId="4FE36F32" w14:textId="3BF5ECBD" w:rsidR="004D09CE" w:rsidRPr="005B0195" w:rsidRDefault="004D09CE" w:rsidP="004D09CE">
      <w:pPr>
        <w:numPr>
          <w:ilvl w:val="1"/>
          <w:numId w:val="6"/>
        </w:numPr>
        <w:jc w:val="both"/>
        <w:rPr>
          <w:rFonts w:ascii="Calibri" w:eastAsia="Times New Roman" w:hAnsi="Calibri" w:cs="Calibri"/>
        </w:rPr>
      </w:pPr>
      <w:r w:rsidRPr="005B0195">
        <w:rPr>
          <w:rFonts w:ascii="Calibri" w:eastAsia="Times New Roman" w:hAnsi="Calibri" w:cs="Calibri"/>
        </w:rPr>
        <w:t>A</w:t>
      </w:r>
      <w:r w:rsidR="00A16D1B" w:rsidRPr="005B0195">
        <w:rPr>
          <w:rFonts w:ascii="Calibri" w:eastAsia="Times New Roman" w:hAnsi="Calibri" w:cs="Calibri"/>
        </w:rPr>
        <w:t>n</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in England or Wales (as defined under section 23 of the 2003 Act) or a similar body in Scotland or Northern Ireland.</w:t>
      </w:r>
    </w:p>
    <w:p w14:paraId="632DB7BD" w14:textId="77777777" w:rsidR="004D09CE" w:rsidRPr="005B0195" w:rsidRDefault="004D09CE" w:rsidP="004D09CE">
      <w:pPr>
        <w:numPr>
          <w:ilvl w:val="1"/>
          <w:numId w:val="6"/>
        </w:numPr>
        <w:jc w:val="both"/>
        <w:rPr>
          <w:rFonts w:ascii="Calibri" w:eastAsia="Times New Roman" w:hAnsi="Calibri" w:cs="Calibri"/>
        </w:rPr>
      </w:pPr>
      <w:r w:rsidRPr="005B0195">
        <w:rPr>
          <w:rFonts w:ascii="Calibri" w:eastAsia="Times New Roman" w:hAnsi="Calibri" w:cs="Calibri"/>
        </w:rPr>
        <w:t>High credit quality is defined as a minimum credit rating as outlined in this strategy.</w:t>
      </w:r>
    </w:p>
    <w:p w14:paraId="6BE8B71B" w14:textId="77777777" w:rsidR="00D4345D" w:rsidRPr="00EE04F9" w:rsidRDefault="00D4345D" w:rsidP="004D09CE">
      <w:pPr>
        <w:jc w:val="both"/>
        <w:rPr>
          <w:rFonts w:ascii="Calibri" w:eastAsia="Times New Roman" w:hAnsi="Calibri" w:cs="Calibri"/>
          <w:sz w:val="20"/>
          <w:szCs w:val="20"/>
        </w:rPr>
      </w:pPr>
    </w:p>
    <w:tbl>
      <w:tblPr>
        <w:tblStyle w:val="TableGrid"/>
        <w:tblW w:w="8460" w:type="dxa"/>
        <w:tblLook w:val="01E0" w:firstRow="1" w:lastRow="1" w:firstColumn="1" w:lastColumn="1" w:noHBand="0" w:noVBand="0"/>
      </w:tblPr>
      <w:tblGrid>
        <w:gridCol w:w="3783"/>
        <w:gridCol w:w="2409"/>
        <w:gridCol w:w="2268"/>
      </w:tblGrid>
      <w:tr w:rsidR="004D09CE" w:rsidRPr="008D4FF9" w14:paraId="3614D8EB" w14:textId="77777777" w:rsidTr="00647B78">
        <w:trPr>
          <w:trHeight w:val="465"/>
        </w:trPr>
        <w:tc>
          <w:tcPr>
            <w:tcW w:w="3783" w:type="dxa"/>
          </w:tcPr>
          <w:p w14:paraId="4170DF12" w14:textId="77777777" w:rsidR="004D09CE" w:rsidRPr="008D4FF9" w:rsidRDefault="004D09CE" w:rsidP="0083443F">
            <w:pPr>
              <w:rPr>
                <w:rFonts w:ascii="Calibri" w:eastAsia="Times New Roman" w:hAnsi="Calibri" w:cs="Calibri"/>
                <w:b/>
                <w:sz w:val="22"/>
                <w:szCs w:val="22"/>
              </w:rPr>
            </w:pPr>
            <w:r w:rsidRPr="008D4FF9">
              <w:rPr>
                <w:rFonts w:ascii="Calibri" w:eastAsia="Times New Roman" w:hAnsi="Calibri" w:cs="Calibri"/>
                <w:b/>
                <w:sz w:val="22"/>
                <w:szCs w:val="22"/>
              </w:rPr>
              <w:t>Instrument</w:t>
            </w:r>
          </w:p>
        </w:tc>
        <w:tc>
          <w:tcPr>
            <w:tcW w:w="2409" w:type="dxa"/>
          </w:tcPr>
          <w:p w14:paraId="222A9D2B" w14:textId="77777777" w:rsidR="004D09CE" w:rsidRPr="008D4FF9" w:rsidRDefault="004D09CE" w:rsidP="0083443F">
            <w:pPr>
              <w:rPr>
                <w:rFonts w:ascii="Calibri" w:eastAsia="Times New Roman" w:hAnsi="Calibri" w:cs="Calibri"/>
                <w:b/>
                <w:sz w:val="22"/>
                <w:szCs w:val="22"/>
              </w:rPr>
            </w:pPr>
            <w:r w:rsidRPr="008D4FF9">
              <w:rPr>
                <w:rFonts w:ascii="Calibri" w:eastAsia="Times New Roman" w:hAnsi="Calibri" w:cs="Calibri"/>
                <w:b/>
                <w:sz w:val="22"/>
                <w:szCs w:val="22"/>
              </w:rPr>
              <w:t>Minimum ‘High’ Credit Criteria</w:t>
            </w:r>
          </w:p>
        </w:tc>
        <w:tc>
          <w:tcPr>
            <w:tcW w:w="2268" w:type="dxa"/>
          </w:tcPr>
          <w:p w14:paraId="57DC361D" w14:textId="77777777" w:rsidR="004D09CE" w:rsidRPr="008D4FF9" w:rsidRDefault="004D09CE" w:rsidP="0083443F">
            <w:pPr>
              <w:rPr>
                <w:rFonts w:ascii="Calibri" w:eastAsia="Times New Roman" w:hAnsi="Calibri" w:cs="Calibri"/>
                <w:b/>
                <w:sz w:val="22"/>
                <w:szCs w:val="22"/>
              </w:rPr>
            </w:pPr>
            <w:r w:rsidRPr="008D4FF9">
              <w:rPr>
                <w:rFonts w:ascii="Calibri" w:eastAsia="Times New Roman" w:hAnsi="Calibri" w:cs="Calibri"/>
                <w:b/>
                <w:sz w:val="22"/>
                <w:szCs w:val="22"/>
              </w:rPr>
              <w:t>Maximum Amount</w:t>
            </w:r>
          </w:p>
        </w:tc>
      </w:tr>
      <w:tr w:rsidR="004D09CE" w:rsidRPr="008D4FF9" w14:paraId="56C8F523" w14:textId="77777777" w:rsidTr="00647B78">
        <w:trPr>
          <w:trHeight w:val="741"/>
        </w:trPr>
        <w:tc>
          <w:tcPr>
            <w:tcW w:w="3783" w:type="dxa"/>
          </w:tcPr>
          <w:p w14:paraId="58D275CD" w14:textId="77777777" w:rsidR="004D09CE" w:rsidRPr="008D4FF9" w:rsidRDefault="004D09CE" w:rsidP="0083443F">
            <w:pPr>
              <w:rPr>
                <w:rFonts w:ascii="Calibri" w:eastAsia="Times New Roman" w:hAnsi="Calibri" w:cs="Calibri"/>
                <w:sz w:val="22"/>
                <w:szCs w:val="22"/>
              </w:rPr>
            </w:pPr>
            <w:r w:rsidRPr="008D4FF9">
              <w:rPr>
                <w:rFonts w:ascii="Calibri" w:eastAsia="Times New Roman" w:hAnsi="Calibri" w:cs="Calibri"/>
                <w:sz w:val="22"/>
                <w:szCs w:val="22"/>
              </w:rPr>
              <w:t>Debt Management Agency Deposit Facility (DMADF)</w:t>
            </w:r>
          </w:p>
        </w:tc>
        <w:tc>
          <w:tcPr>
            <w:tcW w:w="2409" w:type="dxa"/>
          </w:tcPr>
          <w:p w14:paraId="1CFE2FC9" w14:textId="77777777" w:rsidR="004D09CE" w:rsidRPr="008D4FF9" w:rsidRDefault="004D09CE" w:rsidP="0083443F">
            <w:pPr>
              <w:rPr>
                <w:rFonts w:ascii="Calibri" w:eastAsia="Times New Roman" w:hAnsi="Calibri" w:cs="Calibri"/>
                <w:sz w:val="22"/>
                <w:szCs w:val="22"/>
              </w:rPr>
            </w:pPr>
            <w:r w:rsidRPr="008D4FF9">
              <w:rPr>
                <w:rFonts w:ascii="Calibri" w:eastAsia="Times New Roman" w:hAnsi="Calibri" w:cs="Calibri"/>
                <w:sz w:val="22"/>
                <w:szCs w:val="22"/>
              </w:rPr>
              <w:t>-</w:t>
            </w:r>
          </w:p>
        </w:tc>
        <w:tc>
          <w:tcPr>
            <w:tcW w:w="2268" w:type="dxa"/>
          </w:tcPr>
          <w:p w14:paraId="5E7C0497" w14:textId="77777777" w:rsidR="004D09CE" w:rsidRPr="008D4FF9" w:rsidRDefault="004D09CE" w:rsidP="0083443F">
            <w:pPr>
              <w:rPr>
                <w:rFonts w:ascii="Calibri" w:eastAsia="Times New Roman" w:hAnsi="Calibri" w:cs="Calibri"/>
                <w:sz w:val="22"/>
                <w:szCs w:val="22"/>
              </w:rPr>
            </w:pPr>
            <w:r w:rsidRPr="008D4FF9">
              <w:rPr>
                <w:rFonts w:ascii="Calibri" w:eastAsia="Times New Roman" w:hAnsi="Calibri" w:cs="Calibri"/>
                <w:sz w:val="22"/>
                <w:szCs w:val="22"/>
              </w:rPr>
              <w:t>No maximum</w:t>
            </w:r>
          </w:p>
        </w:tc>
      </w:tr>
      <w:tr w:rsidR="004D09CE" w:rsidRPr="008D4FF9" w14:paraId="6BB405B2" w14:textId="77777777" w:rsidTr="00647B78">
        <w:trPr>
          <w:trHeight w:val="740"/>
        </w:trPr>
        <w:tc>
          <w:tcPr>
            <w:tcW w:w="3783" w:type="dxa"/>
          </w:tcPr>
          <w:p w14:paraId="76712936" w14:textId="40FCF319" w:rsidR="004D09CE" w:rsidRPr="008D4FF9" w:rsidRDefault="004D09CE" w:rsidP="0083443F">
            <w:pPr>
              <w:spacing w:before="60" w:after="120"/>
              <w:ind w:left="34"/>
              <w:rPr>
                <w:rFonts w:ascii="Calibri" w:eastAsia="Times New Roman" w:hAnsi="Calibri" w:cs="Calibri"/>
                <w:sz w:val="22"/>
                <w:szCs w:val="22"/>
              </w:rPr>
            </w:pPr>
            <w:r w:rsidRPr="008D4FF9">
              <w:rPr>
                <w:rFonts w:ascii="Calibri" w:eastAsia="Times New Roman" w:hAnsi="Calibri" w:cs="Calibri"/>
                <w:sz w:val="22"/>
                <w:szCs w:val="22"/>
              </w:rPr>
              <w:t>Call Accounts with the</w:t>
            </w:r>
            <w:r w:rsidR="0064222E" w:rsidRPr="008D4FF9">
              <w:rPr>
                <w:rFonts w:ascii="Calibri" w:eastAsia="Times New Roman" w:hAnsi="Calibri" w:cs="Calibri"/>
                <w:sz w:val="22"/>
                <w:szCs w:val="22"/>
              </w:rPr>
              <w:t xml:space="preserve"> Authority</w:t>
            </w:r>
            <w:r w:rsidRPr="008D4FF9">
              <w:rPr>
                <w:rFonts w:ascii="Calibri" w:eastAsia="Times New Roman" w:hAnsi="Calibri" w:cs="Calibri"/>
                <w:sz w:val="22"/>
                <w:szCs w:val="22"/>
              </w:rPr>
              <w:t>’s bankers</w:t>
            </w:r>
          </w:p>
        </w:tc>
        <w:tc>
          <w:tcPr>
            <w:tcW w:w="2409" w:type="dxa"/>
          </w:tcPr>
          <w:p w14:paraId="6E46F33A" w14:textId="77777777" w:rsidR="004D09CE" w:rsidRPr="008D4FF9" w:rsidRDefault="004D09CE" w:rsidP="0083443F">
            <w:pPr>
              <w:rPr>
                <w:rFonts w:ascii="Calibri" w:eastAsia="Times New Roman" w:hAnsi="Calibri" w:cs="Calibri"/>
                <w:sz w:val="22"/>
                <w:szCs w:val="22"/>
              </w:rPr>
            </w:pPr>
            <w:r w:rsidRPr="008D4FF9">
              <w:rPr>
                <w:rFonts w:ascii="Calibri" w:eastAsia="Times New Roman" w:hAnsi="Calibri" w:cs="Calibri"/>
                <w:sz w:val="22"/>
                <w:szCs w:val="22"/>
              </w:rPr>
              <w:t>-</w:t>
            </w:r>
          </w:p>
        </w:tc>
        <w:tc>
          <w:tcPr>
            <w:tcW w:w="2268" w:type="dxa"/>
          </w:tcPr>
          <w:p w14:paraId="32EDE697" w14:textId="77777777" w:rsidR="004D09CE" w:rsidRPr="008D4FF9" w:rsidRDefault="004D09CE" w:rsidP="0083443F">
            <w:pPr>
              <w:rPr>
                <w:rFonts w:ascii="Calibri" w:eastAsia="Times New Roman" w:hAnsi="Calibri" w:cs="Calibri"/>
                <w:sz w:val="22"/>
                <w:szCs w:val="22"/>
              </w:rPr>
            </w:pPr>
            <w:r w:rsidRPr="008D4FF9">
              <w:rPr>
                <w:rFonts w:ascii="Calibri" w:eastAsia="Times New Roman" w:hAnsi="Calibri" w:cs="Calibri"/>
                <w:sz w:val="22"/>
                <w:szCs w:val="22"/>
              </w:rPr>
              <w:t>No maximum</w:t>
            </w:r>
          </w:p>
        </w:tc>
      </w:tr>
      <w:tr w:rsidR="00647B78" w:rsidRPr="008D4FF9" w14:paraId="707D12E8" w14:textId="77777777" w:rsidTr="00647B78">
        <w:trPr>
          <w:trHeight w:val="694"/>
        </w:trPr>
        <w:tc>
          <w:tcPr>
            <w:tcW w:w="3783" w:type="dxa"/>
          </w:tcPr>
          <w:p w14:paraId="744B6B82" w14:textId="77777777" w:rsidR="00647B78" w:rsidRPr="008D4FF9" w:rsidRDefault="00647B78" w:rsidP="0083443F">
            <w:pPr>
              <w:spacing w:before="60" w:after="120"/>
              <w:ind w:left="34"/>
              <w:rPr>
                <w:rFonts w:ascii="Calibri" w:eastAsia="Times New Roman" w:hAnsi="Calibri" w:cs="Calibri"/>
                <w:sz w:val="22"/>
                <w:szCs w:val="22"/>
              </w:rPr>
            </w:pPr>
            <w:r w:rsidRPr="008D4FF9">
              <w:rPr>
                <w:rFonts w:ascii="Calibri" w:eastAsia="Times New Roman" w:hAnsi="Calibri" w:cs="Calibri"/>
                <w:sz w:val="22"/>
                <w:szCs w:val="22"/>
              </w:rPr>
              <w:t xml:space="preserve">Certificate of Deposits </w:t>
            </w:r>
          </w:p>
        </w:tc>
        <w:tc>
          <w:tcPr>
            <w:tcW w:w="2409" w:type="dxa"/>
          </w:tcPr>
          <w:p w14:paraId="0C683F29" w14:textId="77777777" w:rsidR="00647B78" w:rsidRPr="008D4FF9" w:rsidRDefault="00647B78" w:rsidP="0083443F">
            <w:pPr>
              <w:rPr>
                <w:rFonts w:ascii="Calibri" w:eastAsia="Times New Roman" w:hAnsi="Calibri" w:cs="Calibri"/>
                <w:sz w:val="22"/>
                <w:szCs w:val="22"/>
              </w:rPr>
            </w:pPr>
            <w:r w:rsidRPr="008D4FF9">
              <w:rPr>
                <w:rFonts w:ascii="Calibri" w:eastAsia="Times New Roman" w:hAnsi="Calibri" w:cs="Calibri"/>
                <w:sz w:val="22"/>
                <w:szCs w:val="22"/>
              </w:rPr>
              <w:t xml:space="preserve">A / A3 / A </w:t>
            </w:r>
          </w:p>
        </w:tc>
        <w:tc>
          <w:tcPr>
            <w:tcW w:w="2268" w:type="dxa"/>
          </w:tcPr>
          <w:p w14:paraId="164BAEC9" w14:textId="4A741F02" w:rsidR="00647B78" w:rsidRPr="008D4FF9" w:rsidRDefault="00647B78" w:rsidP="0083443F">
            <w:pPr>
              <w:rPr>
                <w:rFonts w:ascii="Calibri" w:eastAsia="Times New Roman" w:hAnsi="Calibri" w:cs="Calibri"/>
                <w:sz w:val="22"/>
                <w:szCs w:val="22"/>
              </w:rPr>
            </w:pPr>
            <w:r w:rsidRPr="008D4FF9">
              <w:rPr>
                <w:rFonts w:ascii="Calibri" w:eastAsia="Times New Roman" w:hAnsi="Calibri" w:cs="Calibri"/>
                <w:sz w:val="22"/>
                <w:szCs w:val="22"/>
              </w:rPr>
              <w:t>£2m for overseas and £5m for UK government guaranteed bodies (in total)</w:t>
            </w:r>
          </w:p>
        </w:tc>
      </w:tr>
      <w:tr w:rsidR="00647B78" w:rsidRPr="008D4FF9" w14:paraId="03CEB191" w14:textId="77777777" w:rsidTr="00647B78">
        <w:trPr>
          <w:trHeight w:val="740"/>
        </w:trPr>
        <w:tc>
          <w:tcPr>
            <w:tcW w:w="3783" w:type="dxa"/>
          </w:tcPr>
          <w:p w14:paraId="094B4FD6" w14:textId="77777777" w:rsidR="00647B78" w:rsidRPr="008D4FF9" w:rsidRDefault="00647B78" w:rsidP="00647B78">
            <w:pPr>
              <w:rPr>
                <w:rFonts w:ascii="Calibri" w:eastAsia="Times New Roman" w:hAnsi="Calibri" w:cs="Calibri"/>
                <w:sz w:val="22"/>
                <w:szCs w:val="22"/>
              </w:rPr>
            </w:pPr>
            <w:r w:rsidRPr="008D4FF9">
              <w:rPr>
                <w:rFonts w:ascii="Calibri" w:eastAsia="Times New Roman" w:hAnsi="Calibri" w:cs="Calibri"/>
                <w:sz w:val="22"/>
                <w:szCs w:val="22"/>
              </w:rPr>
              <w:t>Term Deposits - Banks and Building Societies</w:t>
            </w:r>
          </w:p>
        </w:tc>
        <w:tc>
          <w:tcPr>
            <w:tcW w:w="2409" w:type="dxa"/>
          </w:tcPr>
          <w:p w14:paraId="29427A78" w14:textId="63D6746E" w:rsidR="00647B78" w:rsidRPr="008D4FF9" w:rsidRDefault="00647B78" w:rsidP="00647B78">
            <w:pPr>
              <w:rPr>
                <w:rFonts w:ascii="Calibri" w:eastAsia="Times New Roman" w:hAnsi="Calibri" w:cs="Calibri"/>
                <w:sz w:val="22"/>
                <w:szCs w:val="22"/>
              </w:rPr>
            </w:pPr>
            <w:r w:rsidRPr="008D4FF9">
              <w:rPr>
                <w:rFonts w:ascii="Calibri" w:eastAsia="Times New Roman" w:hAnsi="Calibri" w:cs="Calibri"/>
                <w:sz w:val="22"/>
                <w:szCs w:val="22"/>
              </w:rPr>
              <w:t>A / A3 / A</w:t>
            </w:r>
          </w:p>
        </w:tc>
        <w:tc>
          <w:tcPr>
            <w:tcW w:w="2268" w:type="dxa"/>
          </w:tcPr>
          <w:p w14:paraId="76610A22" w14:textId="1579DCAB" w:rsidR="00647B78" w:rsidRPr="008D4FF9" w:rsidRDefault="00647B78" w:rsidP="00647B78">
            <w:pPr>
              <w:rPr>
                <w:rFonts w:ascii="Calibri" w:eastAsia="Times New Roman" w:hAnsi="Calibri" w:cs="Calibri"/>
                <w:sz w:val="22"/>
                <w:szCs w:val="22"/>
              </w:rPr>
            </w:pPr>
            <w:r w:rsidRPr="008D4FF9">
              <w:rPr>
                <w:rFonts w:ascii="Calibri" w:eastAsia="Times New Roman" w:hAnsi="Calibri" w:cs="Calibri"/>
                <w:sz w:val="22"/>
                <w:szCs w:val="22"/>
              </w:rPr>
              <w:t>£2m for overseas and £5m for UK government guaranteed bodies (in total)</w:t>
            </w:r>
          </w:p>
        </w:tc>
      </w:tr>
      <w:tr w:rsidR="00647B78" w:rsidRPr="008D4FF9" w14:paraId="39D11A8D" w14:textId="77777777" w:rsidTr="00647B78">
        <w:trPr>
          <w:trHeight w:val="708"/>
        </w:trPr>
        <w:tc>
          <w:tcPr>
            <w:tcW w:w="3783" w:type="dxa"/>
          </w:tcPr>
          <w:p w14:paraId="2B7EBADA" w14:textId="77777777" w:rsidR="00647B78" w:rsidRPr="008D4FF9" w:rsidRDefault="00647B78" w:rsidP="00647B78">
            <w:pPr>
              <w:rPr>
                <w:rFonts w:ascii="Calibri" w:eastAsia="Times New Roman" w:hAnsi="Calibri" w:cs="Calibri"/>
                <w:sz w:val="22"/>
                <w:szCs w:val="22"/>
              </w:rPr>
            </w:pPr>
            <w:r w:rsidRPr="008D4FF9">
              <w:rPr>
                <w:rFonts w:ascii="Calibri" w:eastAsia="Times New Roman" w:hAnsi="Calibri" w:cs="Calibri"/>
                <w:sz w:val="22"/>
                <w:szCs w:val="22"/>
              </w:rPr>
              <w:t>Term Deposits - Local Authorities and Housing Associations</w:t>
            </w:r>
          </w:p>
        </w:tc>
        <w:tc>
          <w:tcPr>
            <w:tcW w:w="2409" w:type="dxa"/>
          </w:tcPr>
          <w:p w14:paraId="37D3195C" w14:textId="77777777" w:rsidR="00647B78" w:rsidRPr="008D4FF9" w:rsidRDefault="00647B78" w:rsidP="00647B78">
            <w:pPr>
              <w:rPr>
                <w:rFonts w:ascii="Calibri" w:eastAsia="Times New Roman" w:hAnsi="Calibri" w:cs="Calibri"/>
                <w:sz w:val="22"/>
                <w:szCs w:val="22"/>
              </w:rPr>
            </w:pPr>
            <w:r w:rsidRPr="008D4FF9">
              <w:rPr>
                <w:rFonts w:ascii="Calibri" w:eastAsia="Times New Roman" w:hAnsi="Calibri" w:cs="Calibri"/>
                <w:sz w:val="22"/>
                <w:szCs w:val="22"/>
              </w:rPr>
              <w:t>Considered on an individual basis</w:t>
            </w:r>
          </w:p>
        </w:tc>
        <w:tc>
          <w:tcPr>
            <w:tcW w:w="2268" w:type="dxa"/>
          </w:tcPr>
          <w:p w14:paraId="3880A1EF" w14:textId="1D7C8BEC" w:rsidR="00647B78" w:rsidRPr="008D4FF9" w:rsidRDefault="00647B78" w:rsidP="00647B78">
            <w:pPr>
              <w:rPr>
                <w:rFonts w:ascii="Calibri" w:eastAsia="Times New Roman" w:hAnsi="Calibri" w:cs="Calibri"/>
                <w:sz w:val="22"/>
                <w:szCs w:val="22"/>
              </w:rPr>
            </w:pPr>
            <w:r w:rsidRPr="008D4FF9">
              <w:rPr>
                <w:rFonts w:ascii="Calibri" w:eastAsia="Times New Roman" w:hAnsi="Calibri" w:cs="Calibri"/>
                <w:sz w:val="22"/>
                <w:szCs w:val="22"/>
              </w:rPr>
              <w:t>£2m for overseas and £5m for UK government guaranteed bodies (in total)</w:t>
            </w:r>
          </w:p>
        </w:tc>
      </w:tr>
      <w:tr w:rsidR="00647B78" w:rsidRPr="008D4FF9" w14:paraId="2D08D07C" w14:textId="77777777" w:rsidTr="00647B78">
        <w:trPr>
          <w:trHeight w:val="684"/>
        </w:trPr>
        <w:tc>
          <w:tcPr>
            <w:tcW w:w="8460" w:type="dxa"/>
            <w:gridSpan w:val="3"/>
          </w:tcPr>
          <w:p w14:paraId="25F46D10" w14:textId="0803FB17" w:rsidR="00647B78" w:rsidRPr="008D4FF9" w:rsidRDefault="00647B78" w:rsidP="00647B78">
            <w:pPr>
              <w:rPr>
                <w:rFonts w:ascii="Calibri" w:eastAsia="Times New Roman" w:hAnsi="Calibri" w:cs="Calibri"/>
                <w:b/>
                <w:sz w:val="22"/>
                <w:szCs w:val="22"/>
              </w:rPr>
            </w:pPr>
            <w:r w:rsidRPr="008D4FF9">
              <w:rPr>
                <w:rFonts w:ascii="Calibri" w:eastAsia="Times New Roman" w:hAnsi="Calibri" w:cs="Calibri"/>
                <w:b/>
                <w:sz w:val="22"/>
                <w:szCs w:val="22"/>
              </w:rPr>
              <w:t>Collective Investment Schemes structured as Open-Ended Investment Companies (OEICs):</w:t>
            </w:r>
          </w:p>
        </w:tc>
      </w:tr>
      <w:tr w:rsidR="00647B78" w:rsidRPr="008D4FF9" w14:paraId="319CACD1" w14:textId="77777777" w:rsidTr="00647B78">
        <w:trPr>
          <w:trHeight w:val="484"/>
        </w:trPr>
        <w:tc>
          <w:tcPr>
            <w:tcW w:w="3783" w:type="dxa"/>
          </w:tcPr>
          <w:p w14:paraId="4632FE70" w14:textId="194E610F" w:rsidR="00647B78" w:rsidRPr="008D4FF9" w:rsidRDefault="00647B78" w:rsidP="00647B78">
            <w:pPr>
              <w:rPr>
                <w:rFonts w:ascii="Calibri" w:eastAsia="Times New Roman" w:hAnsi="Calibri" w:cs="Calibri"/>
                <w:sz w:val="22"/>
                <w:szCs w:val="22"/>
              </w:rPr>
            </w:pPr>
            <w:r w:rsidRPr="008D4FF9">
              <w:rPr>
                <w:rFonts w:ascii="Calibri" w:eastAsia="Times New Roman" w:hAnsi="Calibri" w:cs="Calibri"/>
                <w:sz w:val="22"/>
                <w:szCs w:val="22"/>
              </w:rPr>
              <w:t>Money Market Funds (CNAV, LVNAV or VNAV)</w:t>
            </w:r>
          </w:p>
        </w:tc>
        <w:tc>
          <w:tcPr>
            <w:tcW w:w="2409" w:type="dxa"/>
          </w:tcPr>
          <w:p w14:paraId="2D57DCEA" w14:textId="77777777" w:rsidR="00647B78" w:rsidRPr="008D4FF9" w:rsidRDefault="00647B78" w:rsidP="00647B78">
            <w:pPr>
              <w:rPr>
                <w:rFonts w:ascii="Calibri" w:eastAsia="Times New Roman" w:hAnsi="Calibri" w:cs="Calibri"/>
                <w:sz w:val="22"/>
                <w:szCs w:val="22"/>
              </w:rPr>
            </w:pPr>
            <w:r w:rsidRPr="008D4FF9">
              <w:rPr>
                <w:rFonts w:ascii="Calibri" w:eastAsia="Times New Roman" w:hAnsi="Calibri" w:cs="Calibri"/>
                <w:sz w:val="22"/>
                <w:szCs w:val="22"/>
              </w:rPr>
              <w:t>AAA MMF rating</w:t>
            </w:r>
          </w:p>
        </w:tc>
        <w:tc>
          <w:tcPr>
            <w:tcW w:w="2268" w:type="dxa"/>
          </w:tcPr>
          <w:p w14:paraId="1EC2C8C3" w14:textId="0BF0276A" w:rsidR="00647B78" w:rsidRPr="008D4FF9" w:rsidRDefault="00647B78" w:rsidP="00647B78">
            <w:pPr>
              <w:rPr>
                <w:rFonts w:ascii="Calibri" w:eastAsia="Times New Roman" w:hAnsi="Calibri" w:cs="Calibri"/>
                <w:sz w:val="22"/>
                <w:szCs w:val="22"/>
              </w:rPr>
            </w:pPr>
            <w:r w:rsidRPr="008D4FF9">
              <w:rPr>
                <w:rFonts w:ascii="Calibri" w:eastAsia="Times New Roman" w:hAnsi="Calibri" w:cs="Calibri"/>
                <w:sz w:val="22"/>
                <w:szCs w:val="22"/>
              </w:rPr>
              <w:t>£2m per individual/ group in total</w:t>
            </w:r>
          </w:p>
        </w:tc>
      </w:tr>
    </w:tbl>
    <w:p w14:paraId="0A5ED083" w14:textId="77777777" w:rsidR="007B66C2" w:rsidRDefault="007B66C2" w:rsidP="007B66C2">
      <w:pPr>
        <w:tabs>
          <w:tab w:val="num" w:pos="1000"/>
          <w:tab w:val="num" w:pos="1440"/>
        </w:tabs>
        <w:ind w:left="709"/>
        <w:jc w:val="both"/>
        <w:rPr>
          <w:rFonts w:ascii="Calibri" w:eastAsia="Times New Roman" w:hAnsi="Calibri" w:cs="Calibri"/>
        </w:rPr>
      </w:pPr>
    </w:p>
    <w:p w14:paraId="7CA50FB7" w14:textId="422B18AF" w:rsidR="004D09CE" w:rsidRPr="005B0195" w:rsidRDefault="004D09CE" w:rsidP="004D09CE">
      <w:pPr>
        <w:numPr>
          <w:ilvl w:val="1"/>
          <w:numId w:val="3"/>
        </w:numPr>
        <w:tabs>
          <w:tab w:val="num" w:pos="720"/>
          <w:tab w:val="num" w:pos="1440"/>
        </w:tabs>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may enter into forward agreements up to 1 months in advance of the investment commencing. </w:t>
      </w:r>
      <w:r w:rsidR="00433242" w:rsidRPr="005B0195">
        <w:rPr>
          <w:rFonts w:ascii="Calibri" w:eastAsia="Times New Roman" w:hAnsi="Calibri" w:cs="Calibri"/>
        </w:rPr>
        <w:t xml:space="preserve"> </w:t>
      </w:r>
      <w:r w:rsidRPr="005B0195">
        <w:rPr>
          <w:rFonts w:ascii="Calibri" w:eastAsia="Times New Roman" w:hAnsi="Calibri" w:cs="Calibri"/>
        </w:rPr>
        <w:t>If forward agreements are made, the forward period plus the deal period should not exceed the 1 year to be classified as a specified investment.</w:t>
      </w:r>
    </w:p>
    <w:p w14:paraId="6358DB7C" w14:textId="77777777" w:rsidR="004D09CE" w:rsidRPr="005B0195" w:rsidRDefault="004D09CE" w:rsidP="004D09CE">
      <w:pPr>
        <w:tabs>
          <w:tab w:val="num" w:pos="1440"/>
        </w:tabs>
        <w:ind w:left="709"/>
        <w:jc w:val="both"/>
        <w:rPr>
          <w:rFonts w:ascii="Calibri" w:eastAsia="Times New Roman" w:hAnsi="Calibri" w:cs="Calibri"/>
        </w:rPr>
      </w:pPr>
    </w:p>
    <w:p w14:paraId="22ED1646" w14:textId="519E43BD" w:rsidR="004D09CE" w:rsidRPr="005B0195" w:rsidRDefault="004D09CE" w:rsidP="004D09CE">
      <w:pPr>
        <w:numPr>
          <w:ilvl w:val="1"/>
          <w:numId w:val="3"/>
        </w:numPr>
        <w:tabs>
          <w:tab w:val="num" w:pos="720"/>
          <w:tab w:val="num" w:pos="1440"/>
        </w:tabs>
        <w:ind w:left="709" w:hanging="709"/>
        <w:jc w:val="both"/>
        <w:rPr>
          <w:rFonts w:ascii="Calibri" w:eastAsia="Times New Roman" w:hAnsi="Calibri" w:cs="Calibri"/>
        </w:rPr>
      </w:pPr>
      <w:r w:rsidRPr="005B0195">
        <w:rPr>
          <w:rFonts w:ascii="Calibri" w:eastAsia="Times New Roman" w:hAnsi="Calibri" w:cs="Calibri"/>
        </w:rPr>
        <w:t>Maximum counterparty limits may be temporarily exceeded by small amounts and for very short periods where interest is compounded by the counterparty to the principal investment amount. In such instances the interest amounts will be withdrawn as soon as reasonably practicable.</w:t>
      </w:r>
    </w:p>
    <w:p w14:paraId="7C7C308D" w14:textId="77777777" w:rsidR="004D09CE" w:rsidRPr="005B0195" w:rsidRDefault="004D09CE" w:rsidP="004D09CE">
      <w:pPr>
        <w:tabs>
          <w:tab w:val="num" w:pos="1440"/>
        </w:tabs>
        <w:jc w:val="both"/>
        <w:rPr>
          <w:rFonts w:ascii="Calibri" w:eastAsia="Times New Roman" w:hAnsi="Calibri" w:cs="Calibri"/>
        </w:rPr>
      </w:pPr>
    </w:p>
    <w:p w14:paraId="435F891C" w14:textId="77777777" w:rsidR="004D09CE" w:rsidRPr="005B0195" w:rsidRDefault="004D09CE" w:rsidP="00433242">
      <w:pPr>
        <w:numPr>
          <w:ilvl w:val="0"/>
          <w:numId w:val="3"/>
        </w:numPr>
        <w:tabs>
          <w:tab w:val="num" w:pos="720"/>
        </w:tabs>
        <w:ind w:hanging="720"/>
        <w:jc w:val="both"/>
        <w:rPr>
          <w:rFonts w:ascii="Calibri" w:eastAsia="Times New Roman" w:hAnsi="Calibri" w:cs="Calibri"/>
        </w:rPr>
      </w:pPr>
      <w:r w:rsidRPr="005B0195">
        <w:rPr>
          <w:rFonts w:ascii="Calibri" w:eastAsia="Times New Roman" w:hAnsi="Calibri" w:cs="Calibri"/>
          <w:b/>
        </w:rPr>
        <w:t>Non-specified investments</w:t>
      </w:r>
    </w:p>
    <w:p w14:paraId="431BC2A0" w14:textId="77777777" w:rsidR="004D09CE" w:rsidRPr="005B0195" w:rsidRDefault="004D09CE" w:rsidP="004D09CE">
      <w:pPr>
        <w:ind w:left="709"/>
        <w:jc w:val="both"/>
        <w:rPr>
          <w:rFonts w:ascii="Calibri" w:eastAsia="Times New Roman" w:hAnsi="Calibri" w:cs="Calibri"/>
        </w:rPr>
      </w:pPr>
    </w:p>
    <w:p w14:paraId="1B064A98" w14:textId="77777777"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Non-specified investments are defined as those not meeting the specified investment criteria above (including investments exceeding 1 year).</w:t>
      </w:r>
    </w:p>
    <w:p w14:paraId="5B687438" w14:textId="77777777" w:rsidR="004D09CE" w:rsidRPr="005B0195" w:rsidRDefault="004D09CE" w:rsidP="004D09CE">
      <w:pPr>
        <w:ind w:left="709"/>
        <w:jc w:val="both"/>
        <w:rPr>
          <w:rFonts w:ascii="Calibri" w:eastAsia="Times New Roman" w:hAnsi="Calibri" w:cs="Calibri"/>
        </w:rPr>
      </w:pPr>
    </w:p>
    <w:p w14:paraId="513F81BA" w14:textId="0EB4E634"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At this point in time, 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has no plans to invest in any </w:t>
      </w:r>
      <w:r w:rsidR="00D4345D">
        <w:rPr>
          <w:rFonts w:ascii="Calibri" w:eastAsia="Times New Roman" w:hAnsi="Calibri" w:cs="Calibri"/>
        </w:rPr>
        <w:t>n</w:t>
      </w:r>
      <w:r w:rsidRPr="005B0195">
        <w:rPr>
          <w:rFonts w:ascii="Calibri" w:eastAsia="Times New Roman" w:hAnsi="Calibri" w:cs="Calibri"/>
        </w:rPr>
        <w:t>on-specified investments.</w:t>
      </w:r>
    </w:p>
    <w:p w14:paraId="0C60A04E" w14:textId="77777777" w:rsidR="004D09CE" w:rsidRPr="005B0195" w:rsidRDefault="004D09CE" w:rsidP="004D09CE">
      <w:pPr>
        <w:ind w:left="720"/>
        <w:jc w:val="both"/>
        <w:rPr>
          <w:rFonts w:ascii="Calibri" w:eastAsia="Times New Roman" w:hAnsi="Calibri" w:cs="Calibri"/>
          <w:b/>
        </w:rPr>
      </w:pPr>
    </w:p>
    <w:p w14:paraId="71F27ABE"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Investments Defined as Capital Expenditure</w:t>
      </w:r>
    </w:p>
    <w:p w14:paraId="7E5BC3E1" w14:textId="77777777" w:rsidR="004D09CE" w:rsidRPr="005B0195" w:rsidRDefault="004D09CE" w:rsidP="004D09CE">
      <w:pPr>
        <w:jc w:val="both"/>
        <w:rPr>
          <w:rFonts w:ascii="Calibri" w:eastAsia="Times New Roman" w:hAnsi="Calibri" w:cs="Calibri"/>
          <w:b/>
        </w:rPr>
      </w:pPr>
    </w:p>
    <w:p w14:paraId="21768E7E" w14:textId="3F998479"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 xml:space="preserve">The acquisition of share capital or loan capital in any corporate body is defined as capital expenditure under Regulation 25(1)(d) of the Local Authorities (Capital Finance and Accounting) (England) Regulations 2003. </w:t>
      </w:r>
      <w:r w:rsidR="00433242" w:rsidRPr="005B0195">
        <w:rPr>
          <w:rFonts w:ascii="Calibri" w:eastAsia="Times New Roman" w:hAnsi="Calibri" w:cs="Calibri"/>
        </w:rPr>
        <w:t xml:space="preserve"> </w:t>
      </w:r>
      <w:r w:rsidRPr="005B0195">
        <w:rPr>
          <w:rFonts w:ascii="Calibri" w:eastAsia="Times New Roman" w:hAnsi="Calibri" w:cs="Calibri"/>
        </w:rPr>
        <w:t xml:space="preserve">Such investments will have to be funded from capital or revenue resources and will be classified as ‘non-specified investments’. </w:t>
      </w:r>
    </w:p>
    <w:p w14:paraId="5C454612" w14:textId="77777777" w:rsidR="004D09CE" w:rsidRPr="005B0195" w:rsidRDefault="004D09CE" w:rsidP="004D09CE">
      <w:pPr>
        <w:jc w:val="both"/>
        <w:rPr>
          <w:rFonts w:ascii="Calibri" w:eastAsia="Times New Roman" w:hAnsi="Calibri" w:cs="Calibri"/>
          <w:b/>
        </w:rPr>
      </w:pPr>
    </w:p>
    <w:p w14:paraId="689E199F" w14:textId="77777777"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 xml:space="preserve">Investments in “money market funds” which are collective investment schemes and bonds issued by “multilateral development banks” – both defined in SI 2004 No 534 – will not be treated as capital expenditure. </w:t>
      </w:r>
    </w:p>
    <w:p w14:paraId="1449D6FC" w14:textId="77777777" w:rsidR="004D09CE" w:rsidRPr="005B0195" w:rsidRDefault="004D09CE" w:rsidP="004D09CE">
      <w:pPr>
        <w:jc w:val="both"/>
        <w:rPr>
          <w:rFonts w:ascii="Calibri" w:eastAsia="Times New Roman" w:hAnsi="Calibri" w:cs="Calibri"/>
        </w:rPr>
      </w:pPr>
    </w:p>
    <w:p w14:paraId="6FC93C70" w14:textId="437ADBE2" w:rsidR="004D09CE" w:rsidRPr="005B0195" w:rsidRDefault="004D09CE" w:rsidP="004D09CE">
      <w:pPr>
        <w:numPr>
          <w:ilvl w:val="1"/>
          <w:numId w:val="3"/>
        </w:numPr>
        <w:ind w:left="709" w:hanging="709"/>
        <w:jc w:val="both"/>
        <w:rPr>
          <w:rFonts w:ascii="Calibri" w:eastAsia="Times New Roman" w:hAnsi="Calibri" w:cs="Calibri"/>
          <w:b/>
        </w:rPr>
      </w:pPr>
      <w:r w:rsidRPr="005B0195">
        <w:rPr>
          <w:rFonts w:ascii="Calibri" w:eastAsia="Times New Roman" w:hAnsi="Calibri" w:cs="Calibri"/>
        </w:rPr>
        <w:t>A loan, grant or financial assistance provided by this</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to another body will be treated as capital expenditure if 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would define the other bodies use of those funds as capital had it undertaken the expenditure itself.</w:t>
      </w:r>
    </w:p>
    <w:p w14:paraId="16208C0D" w14:textId="77777777" w:rsidR="004D09CE" w:rsidRPr="005B0195" w:rsidRDefault="004D09CE" w:rsidP="004D09CE">
      <w:pPr>
        <w:ind w:left="720"/>
        <w:jc w:val="both"/>
        <w:rPr>
          <w:rFonts w:ascii="Calibri" w:eastAsia="Times New Roman" w:hAnsi="Calibri" w:cs="Calibri"/>
          <w:b/>
        </w:rPr>
      </w:pPr>
    </w:p>
    <w:p w14:paraId="79A98FD5"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Provisions for Credit Related Losses</w:t>
      </w:r>
    </w:p>
    <w:p w14:paraId="78FFD8A9" w14:textId="77777777" w:rsidR="004D09CE" w:rsidRPr="005B0195" w:rsidRDefault="004D09CE" w:rsidP="004D09CE">
      <w:pPr>
        <w:jc w:val="both"/>
        <w:rPr>
          <w:rFonts w:ascii="Calibri" w:eastAsia="Times New Roman" w:hAnsi="Calibri" w:cs="Calibri"/>
          <w:b/>
        </w:rPr>
      </w:pPr>
    </w:p>
    <w:p w14:paraId="307EA393" w14:textId="4CF00612"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bCs/>
        </w:rPr>
        <w:t>If any of the</w:t>
      </w:r>
      <w:r w:rsidR="0064222E" w:rsidRPr="005B0195">
        <w:rPr>
          <w:rFonts w:ascii="Calibri" w:eastAsia="Times New Roman" w:hAnsi="Calibri" w:cs="Calibri"/>
          <w:bCs/>
        </w:rPr>
        <w:t xml:space="preserve"> Authority</w:t>
      </w:r>
      <w:r w:rsidRPr="005B0195">
        <w:rPr>
          <w:rFonts w:ascii="Calibri" w:eastAsia="Times New Roman" w:hAnsi="Calibri" w:cs="Calibri"/>
          <w:bCs/>
        </w:rPr>
        <w:t>’s investments appear at risk of loss due to default (</w:t>
      </w:r>
      <w:proofErr w:type="spellStart"/>
      <w:r w:rsidRPr="005B0195">
        <w:rPr>
          <w:rFonts w:ascii="Calibri" w:eastAsia="Times New Roman" w:hAnsi="Calibri" w:cs="Calibri"/>
          <w:bCs/>
        </w:rPr>
        <w:t>ie</w:t>
      </w:r>
      <w:proofErr w:type="spellEnd"/>
      <w:r w:rsidRPr="005B0195">
        <w:rPr>
          <w:rFonts w:ascii="Calibri" w:eastAsia="Times New Roman" w:hAnsi="Calibri" w:cs="Calibri"/>
          <w:bCs/>
        </w:rPr>
        <w:t>. this is a credit-related loss and not one resulting from a fall in price due to movements in interest rates) the</w:t>
      </w:r>
      <w:r w:rsidR="0064222E" w:rsidRPr="005B0195">
        <w:rPr>
          <w:rFonts w:ascii="Calibri" w:eastAsia="Times New Roman" w:hAnsi="Calibri" w:cs="Calibri"/>
          <w:bCs/>
        </w:rPr>
        <w:t xml:space="preserve"> Authority</w:t>
      </w:r>
      <w:r w:rsidRPr="005B0195">
        <w:rPr>
          <w:rFonts w:ascii="Calibri" w:eastAsia="Times New Roman" w:hAnsi="Calibri" w:cs="Calibri"/>
          <w:bCs/>
        </w:rPr>
        <w:t xml:space="preserve"> will make revenue provision of an appropriate amount. </w:t>
      </w:r>
    </w:p>
    <w:p w14:paraId="33BFD6CE" w14:textId="77777777" w:rsidR="00671668" w:rsidRPr="005B0195" w:rsidRDefault="00671668" w:rsidP="004D09CE">
      <w:pPr>
        <w:jc w:val="both"/>
        <w:rPr>
          <w:rFonts w:ascii="Calibri" w:eastAsia="Times New Roman" w:hAnsi="Calibri" w:cs="Calibri"/>
          <w:bCs/>
        </w:rPr>
      </w:pPr>
    </w:p>
    <w:p w14:paraId="05561C5E"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End of Year Investment Report</w:t>
      </w:r>
    </w:p>
    <w:p w14:paraId="538AED15" w14:textId="77777777" w:rsidR="004D09CE" w:rsidRPr="005B0195" w:rsidRDefault="004D09CE" w:rsidP="004D09CE">
      <w:pPr>
        <w:jc w:val="both"/>
        <w:rPr>
          <w:rFonts w:ascii="Calibri" w:eastAsia="Times New Roman" w:hAnsi="Calibri" w:cs="Calibri"/>
          <w:b/>
        </w:rPr>
      </w:pPr>
    </w:p>
    <w:p w14:paraId="13B61B8B" w14:textId="0BA47487"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At the end of the financial year, 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will report on its investment activity as part of its Annual Treasury </w:t>
      </w:r>
      <w:r w:rsidR="00D4345D">
        <w:rPr>
          <w:rFonts w:ascii="Calibri" w:eastAsia="Times New Roman" w:hAnsi="Calibri" w:cs="Calibri"/>
        </w:rPr>
        <w:t xml:space="preserve">Outturn </w:t>
      </w:r>
      <w:r w:rsidRPr="005B0195">
        <w:rPr>
          <w:rFonts w:ascii="Calibri" w:eastAsia="Times New Roman" w:hAnsi="Calibri" w:cs="Calibri"/>
        </w:rPr>
        <w:t xml:space="preserve">Report. </w:t>
      </w:r>
    </w:p>
    <w:p w14:paraId="4C4B5FF6" w14:textId="3FE4AD9B" w:rsidR="004D09CE" w:rsidRDefault="004D09CE" w:rsidP="004D09CE">
      <w:pPr>
        <w:jc w:val="both"/>
        <w:rPr>
          <w:rFonts w:ascii="Calibri" w:eastAsia="Times New Roman" w:hAnsi="Calibri" w:cs="Calibri"/>
          <w:b/>
          <w:highlight w:val="yellow"/>
        </w:rPr>
      </w:pPr>
    </w:p>
    <w:p w14:paraId="42E4E0DC" w14:textId="77777777" w:rsidR="00EE04F9" w:rsidRPr="005B0195" w:rsidRDefault="00EE04F9" w:rsidP="004D09CE">
      <w:pPr>
        <w:jc w:val="both"/>
        <w:rPr>
          <w:rFonts w:ascii="Calibri" w:eastAsia="Times New Roman" w:hAnsi="Calibri" w:cs="Calibri"/>
          <w:b/>
          <w:highlight w:val="yellow"/>
        </w:rPr>
      </w:pPr>
    </w:p>
    <w:p w14:paraId="02AD509D"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Governance Arrangements</w:t>
      </w:r>
    </w:p>
    <w:p w14:paraId="4DFA4E42" w14:textId="77777777" w:rsidR="004D09CE" w:rsidRPr="005B0195" w:rsidRDefault="004D09CE" w:rsidP="004D09CE">
      <w:pPr>
        <w:ind w:left="709"/>
        <w:jc w:val="both"/>
        <w:rPr>
          <w:rFonts w:ascii="Calibri" w:eastAsia="Times New Roman" w:hAnsi="Calibri" w:cs="Calibri"/>
          <w:b/>
        </w:rPr>
      </w:pPr>
    </w:p>
    <w:p w14:paraId="16990ECD" w14:textId="6BDAA1AE"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lastRenderedPageBreak/>
        <w:t>By approving this strategy, 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is setting the framework from which treasury activity will be conducted and reported. </w:t>
      </w:r>
    </w:p>
    <w:p w14:paraId="08D98A45" w14:textId="77777777" w:rsidR="004D09CE" w:rsidRPr="005B0195" w:rsidRDefault="004D09CE" w:rsidP="004D09CE">
      <w:pPr>
        <w:ind w:left="709"/>
        <w:jc w:val="both"/>
        <w:rPr>
          <w:rFonts w:ascii="Calibri" w:eastAsia="Times New Roman" w:hAnsi="Calibri" w:cs="Calibri"/>
        </w:rPr>
      </w:pPr>
    </w:p>
    <w:p w14:paraId="1C9A2A99" w14:textId="7F7BF57D"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 xml:space="preserve">The Chief Finance Officer has delegated powers through approval of this strategy to take the most appropriate form of borrowing from approved sources, and to make the most appropriate form of investments in approved instruments. </w:t>
      </w:r>
      <w:r w:rsidR="00433242" w:rsidRPr="005B0195">
        <w:rPr>
          <w:rFonts w:ascii="Calibri" w:eastAsia="Times New Roman" w:hAnsi="Calibri" w:cs="Calibri"/>
        </w:rPr>
        <w:t xml:space="preserve"> </w:t>
      </w:r>
      <w:r w:rsidRPr="005B0195">
        <w:rPr>
          <w:rFonts w:ascii="Calibri" w:eastAsia="Times New Roman" w:hAnsi="Calibri" w:cs="Calibri"/>
        </w:rPr>
        <w:t xml:space="preserve">Paragraph 2.7 above delegates powers to the Chief Finance Officer giving discretion during the year to lift or increase the restrictions on the counterparty lending list and/or to adjust the associated lending limits on values and durations should it become necessary, to enable the effective management of risk in relation to its investments. </w:t>
      </w:r>
    </w:p>
    <w:p w14:paraId="6160E587" w14:textId="77777777" w:rsidR="004D09CE" w:rsidRPr="005B0195" w:rsidRDefault="004D09CE" w:rsidP="004D09CE">
      <w:pPr>
        <w:ind w:left="709"/>
        <w:jc w:val="both"/>
        <w:rPr>
          <w:rFonts w:ascii="Calibri" w:eastAsia="Times New Roman" w:hAnsi="Calibri" w:cs="Calibri"/>
        </w:rPr>
      </w:pPr>
    </w:p>
    <w:p w14:paraId="5D5263DA" w14:textId="56C1D9BC"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 xml:space="preserve">The Chief Finance Officer may delegate powers to borrow and invest within the confines of this strategy to members of the Joint Finance </w:t>
      </w:r>
      <w:r w:rsidR="00433242" w:rsidRPr="005B0195">
        <w:rPr>
          <w:rFonts w:ascii="Calibri" w:eastAsia="Times New Roman" w:hAnsi="Calibri" w:cs="Calibri"/>
        </w:rPr>
        <w:t>T</w:t>
      </w:r>
      <w:r w:rsidRPr="005B0195">
        <w:rPr>
          <w:rFonts w:ascii="Calibri" w:eastAsia="Times New Roman" w:hAnsi="Calibri" w:cs="Calibri"/>
        </w:rPr>
        <w:t>eam, who will provide regular updates on treasury activity.</w:t>
      </w:r>
    </w:p>
    <w:p w14:paraId="3CCD8D0B" w14:textId="77777777" w:rsidR="004D09CE" w:rsidRPr="005B0195" w:rsidRDefault="004D09CE" w:rsidP="004D09CE">
      <w:pPr>
        <w:ind w:left="709"/>
        <w:jc w:val="both"/>
        <w:rPr>
          <w:rFonts w:ascii="Calibri" w:eastAsia="Times New Roman" w:hAnsi="Calibri" w:cs="Calibri"/>
        </w:rPr>
      </w:pPr>
    </w:p>
    <w:p w14:paraId="0D72B862" w14:textId="76845F6E" w:rsidR="00250ED3" w:rsidRPr="005B0195" w:rsidRDefault="004D09CE" w:rsidP="00027BEB">
      <w:pPr>
        <w:numPr>
          <w:ilvl w:val="1"/>
          <w:numId w:val="3"/>
        </w:numPr>
        <w:ind w:left="709" w:hanging="709"/>
        <w:jc w:val="both"/>
        <w:rPr>
          <w:rFonts w:ascii="Calibri" w:eastAsia="Times New Roman" w:hAnsi="Calibri" w:cs="Calibri"/>
        </w:rPr>
      </w:pPr>
      <w:r w:rsidRPr="005B0195">
        <w:rPr>
          <w:rFonts w:ascii="Calibri" w:eastAsia="Times New Roman" w:hAnsi="Calibri" w:cs="Calibri"/>
        </w:rPr>
        <w:t>Any other amendments to this strategy must be approved in line with the</w:t>
      </w:r>
      <w:r w:rsidR="0064222E" w:rsidRPr="005B0195">
        <w:rPr>
          <w:rFonts w:ascii="Calibri" w:eastAsia="Times New Roman" w:hAnsi="Calibri" w:cs="Calibri"/>
        </w:rPr>
        <w:t xml:space="preserve"> Authority</w:t>
      </w:r>
      <w:r w:rsidRPr="005B0195">
        <w:rPr>
          <w:rFonts w:ascii="Calibri" w:eastAsia="Times New Roman" w:hAnsi="Calibri" w:cs="Calibri"/>
        </w:rPr>
        <w:t xml:space="preserve">’s </w:t>
      </w:r>
      <w:r w:rsidRPr="005B0195">
        <w:rPr>
          <w:rFonts w:ascii="Calibri" w:eastAsia="Times New Roman" w:hAnsi="Calibri" w:cs="Calibri"/>
          <w:bCs/>
          <w:iCs/>
        </w:rPr>
        <w:t>Corporate Governance Framework</w:t>
      </w:r>
      <w:r w:rsidRPr="005B0195">
        <w:rPr>
          <w:rFonts w:ascii="Calibri" w:eastAsia="Times New Roman" w:hAnsi="Calibri" w:cs="Calibri"/>
        </w:rPr>
        <w:t>.</w:t>
      </w:r>
    </w:p>
    <w:sectPr w:rsidR="00250ED3" w:rsidRPr="005B0195" w:rsidSect="00D8766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FF01" w14:textId="77777777" w:rsidR="00C165AD" w:rsidRDefault="00C165AD" w:rsidP="00027BEB">
      <w:r>
        <w:separator/>
      </w:r>
    </w:p>
  </w:endnote>
  <w:endnote w:type="continuationSeparator" w:id="0">
    <w:p w14:paraId="40A348C2" w14:textId="77777777" w:rsidR="00C165AD" w:rsidRDefault="00C165AD" w:rsidP="0002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3A9" w14:textId="77777777" w:rsidR="00062A5F" w:rsidRDefault="00062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A8A6" w14:textId="0DF774D3" w:rsidR="0083443F" w:rsidRDefault="00062A5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9497EBE" wp14:editId="375AD0D7">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D246EE" id="Rectangle 452" o:spid="_x0000_s1026" alt="&quot;&quot;"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7C4A" w14:textId="77777777" w:rsidR="00062A5F" w:rsidRDefault="0006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D3D1" w14:textId="77777777" w:rsidR="00C165AD" w:rsidRDefault="00C165AD" w:rsidP="00027BEB">
      <w:r>
        <w:separator/>
      </w:r>
    </w:p>
  </w:footnote>
  <w:footnote w:type="continuationSeparator" w:id="0">
    <w:p w14:paraId="3C33EC10" w14:textId="77777777" w:rsidR="00C165AD" w:rsidRDefault="00C165AD" w:rsidP="0002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B467" w14:textId="77777777" w:rsidR="00062A5F" w:rsidRDefault="0006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77F1" w14:textId="77777777" w:rsidR="00062A5F" w:rsidRDefault="0006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6088" w14:textId="77777777" w:rsidR="00062A5F" w:rsidRDefault="00062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1B8"/>
    <w:multiLevelType w:val="multilevel"/>
    <w:tmpl w:val="8F7AAAFA"/>
    <w:lvl w:ilvl="0">
      <w:start w:val="1"/>
      <w:numFmt w:val="decimal"/>
      <w:pStyle w:val="TM1"/>
      <w:lvlText w:val="%1."/>
      <w:lvlJc w:val="left"/>
      <w:pPr>
        <w:ind w:left="360" w:hanging="360"/>
      </w:pPr>
    </w:lvl>
    <w:lvl w:ilvl="1">
      <w:start w:val="1"/>
      <w:numFmt w:val="decimal"/>
      <w:pStyle w:val="TM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5A46D0"/>
    <w:multiLevelType w:val="hybridMultilevel"/>
    <w:tmpl w:val="E01C0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7C3FDE"/>
    <w:multiLevelType w:val="hybridMultilevel"/>
    <w:tmpl w:val="BD26F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040FF2"/>
    <w:multiLevelType w:val="hybridMultilevel"/>
    <w:tmpl w:val="B84E3A66"/>
    <w:lvl w:ilvl="0" w:tplc="08090001">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FB1283"/>
    <w:multiLevelType w:val="multilevel"/>
    <w:tmpl w:val="C30C41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D576E4E"/>
    <w:multiLevelType w:val="multilevel"/>
    <w:tmpl w:val="621E9FEE"/>
    <w:lvl w:ilvl="0">
      <w:start w:val="1"/>
      <w:numFmt w:val="decimal"/>
      <w:pStyle w:val="AppendixHeading"/>
      <w:lvlText w:val="%1"/>
      <w:lvlJc w:val="left"/>
      <w:pPr>
        <w:tabs>
          <w:tab w:val="num" w:pos="360"/>
        </w:tabs>
        <w:ind w:left="360" w:hanging="360"/>
      </w:pPr>
      <w:rPr>
        <w:rFonts w:hint="default"/>
        <w:sz w:val="24"/>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2206CC2"/>
    <w:multiLevelType w:val="multilevel"/>
    <w:tmpl w:val="49B2AF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0532788"/>
    <w:multiLevelType w:val="hybridMultilevel"/>
    <w:tmpl w:val="4FDE46F0"/>
    <w:lvl w:ilvl="0" w:tplc="16B6BE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220CC3"/>
    <w:multiLevelType w:val="hybridMultilevel"/>
    <w:tmpl w:val="6DF6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A00D63"/>
    <w:multiLevelType w:val="hybridMultilevel"/>
    <w:tmpl w:val="9D925724"/>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10" w15:restartNumberingAfterBreak="0">
    <w:nsid w:val="6DDA2305"/>
    <w:multiLevelType w:val="hybridMultilevel"/>
    <w:tmpl w:val="DEEA5DC0"/>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6EBC00B3"/>
    <w:multiLevelType w:val="hybridMultilevel"/>
    <w:tmpl w:val="F6442A12"/>
    <w:lvl w:ilvl="0" w:tplc="597449F8">
      <w:start w:val="1"/>
      <w:numFmt w:val="bullet"/>
      <w:pStyle w:val="TMBullets"/>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A9B2C362">
      <w:numFmt w:val="bullet"/>
      <w:lvlText w:val="•"/>
      <w:lvlJc w:val="left"/>
      <w:pPr>
        <w:ind w:left="2520" w:hanging="720"/>
      </w:pPr>
      <w:rPr>
        <w:rFonts w:ascii="Arial" w:eastAsia="Calibri" w:hAnsi="Arial" w:cs="Arial" w:hint="default"/>
        <w:b/>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16cid:durableId="175391322">
    <w:abstractNumId w:val="5"/>
  </w:num>
  <w:num w:numId="2" w16cid:durableId="1247036917">
    <w:abstractNumId w:val="4"/>
  </w:num>
  <w:num w:numId="3" w16cid:durableId="2111512482">
    <w:abstractNumId w:val="6"/>
  </w:num>
  <w:num w:numId="4" w16cid:durableId="1082606903">
    <w:abstractNumId w:val="11"/>
  </w:num>
  <w:num w:numId="5" w16cid:durableId="493569768">
    <w:abstractNumId w:val="3"/>
  </w:num>
  <w:num w:numId="6" w16cid:durableId="81344616">
    <w:abstractNumId w:val="10"/>
  </w:num>
  <w:num w:numId="7" w16cid:durableId="626739030">
    <w:abstractNumId w:val="1"/>
  </w:num>
  <w:num w:numId="8" w16cid:durableId="240871766">
    <w:abstractNumId w:val="8"/>
  </w:num>
  <w:num w:numId="9" w16cid:durableId="1674604857">
    <w:abstractNumId w:val="2"/>
  </w:num>
  <w:num w:numId="10" w16cid:durableId="1898516237">
    <w:abstractNumId w:val="7"/>
  </w:num>
  <w:num w:numId="11" w16cid:durableId="477040322">
    <w:abstractNumId w:val="0"/>
  </w:num>
  <w:num w:numId="12" w16cid:durableId="694353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CE"/>
    <w:rsid w:val="00027BEB"/>
    <w:rsid w:val="0003584A"/>
    <w:rsid w:val="00037C75"/>
    <w:rsid w:val="00062A5F"/>
    <w:rsid w:val="000935D9"/>
    <w:rsid w:val="000C6825"/>
    <w:rsid w:val="000D1131"/>
    <w:rsid w:val="00132CE6"/>
    <w:rsid w:val="001A4DC4"/>
    <w:rsid w:val="001B6F50"/>
    <w:rsid w:val="00250ED3"/>
    <w:rsid w:val="0025303E"/>
    <w:rsid w:val="002834E5"/>
    <w:rsid w:val="00287EDE"/>
    <w:rsid w:val="002D2305"/>
    <w:rsid w:val="002E6BFC"/>
    <w:rsid w:val="003319DB"/>
    <w:rsid w:val="003B367F"/>
    <w:rsid w:val="003D739F"/>
    <w:rsid w:val="004020CB"/>
    <w:rsid w:val="00433242"/>
    <w:rsid w:val="004463F9"/>
    <w:rsid w:val="004719E7"/>
    <w:rsid w:val="004A3C14"/>
    <w:rsid w:val="004A6B38"/>
    <w:rsid w:val="004B3B74"/>
    <w:rsid w:val="004D09CE"/>
    <w:rsid w:val="00517369"/>
    <w:rsid w:val="00520C7D"/>
    <w:rsid w:val="00530EB4"/>
    <w:rsid w:val="005311D5"/>
    <w:rsid w:val="005478B9"/>
    <w:rsid w:val="0055051E"/>
    <w:rsid w:val="005B0195"/>
    <w:rsid w:val="005B7FCC"/>
    <w:rsid w:val="005C153E"/>
    <w:rsid w:val="005D2422"/>
    <w:rsid w:val="005F307C"/>
    <w:rsid w:val="00611CA9"/>
    <w:rsid w:val="0064222E"/>
    <w:rsid w:val="00647B78"/>
    <w:rsid w:val="0065576B"/>
    <w:rsid w:val="00671668"/>
    <w:rsid w:val="006C55FA"/>
    <w:rsid w:val="007011CE"/>
    <w:rsid w:val="0075583C"/>
    <w:rsid w:val="0076270B"/>
    <w:rsid w:val="007B66C2"/>
    <w:rsid w:val="007E64A4"/>
    <w:rsid w:val="0083443F"/>
    <w:rsid w:val="00841CA4"/>
    <w:rsid w:val="00867135"/>
    <w:rsid w:val="008D4FF9"/>
    <w:rsid w:val="009305BD"/>
    <w:rsid w:val="00987C0A"/>
    <w:rsid w:val="009D4613"/>
    <w:rsid w:val="00A16D1B"/>
    <w:rsid w:val="00A51A19"/>
    <w:rsid w:val="00AA1789"/>
    <w:rsid w:val="00AA3CD7"/>
    <w:rsid w:val="00AE6A32"/>
    <w:rsid w:val="00B17608"/>
    <w:rsid w:val="00B60D14"/>
    <w:rsid w:val="00B70116"/>
    <w:rsid w:val="00BB3420"/>
    <w:rsid w:val="00BD08B4"/>
    <w:rsid w:val="00C023AE"/>
    <w:rsid w:val="00C11E97"/>
    <w:rsid w:val="00C1309C"/>
    <w:rsid w:val="00C165AD"/>
    <w:rsid w:val="00C26F4A"/>
    <w:rsid w:val="00C375A6"/>
    <w:rsid w:val="00CB7FCF"/>
    <w:rsid w:val="00CF51A3"/>
    <w:rsid w:val="00D0562D"/>
    <w:rsid w:val="00D24AED"/>
    <w:rsid w:val="00D4345D"/>
    <w:rsid w:val="00D55938"/>
    <w:rsid w:val="00D75E47"/>
    <w:rsid w:val="00D87668"/>
    <w:rsid w:val="00D87CA1"/>
    <w:rsid w:val="00DA50DD"/>
    <w:rsid w:val="00DB61BD"/>
    <w:rsid w:val="00DC4DD0"/>
    <w:rsid w:val="00DF7C16"/>
    <w:rsid w:val="00E0250E"/>
    <w:rsid w:val="00E533F8"/>
    <w:rsid w:val="00EB6A9B"/>
    <w:rsid w:val="00ED37F7"/>
    <w:rsid w:val="00EE04F9"/>
    <w:rsid w:val="00EE2EA5"/>
    <w:rsid w:val="00F0151B"/>
    <w:rsid w:val="00F018DD"/>
    <w:rsid w:val="00F0306E"/>
    <w:rsid w:val="00F65BA0"/>
    <w:rsid w:val="00F86814"/>
    <w:rsid w:val="00F86B44"/>
    <w:rsid w:val="00FA655E"/>
    <w:rsid w:val="00FF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4D37"/>
  <w15:chartTrackingRefBased/>
  <w15:docId w15:val="{DE9FBF2E-04ED-4773-AB67-532D5F44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68"/>
    <w:rPr>
      <w:rFonts w:eastAsiaTheme="minorEastAsia"/>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BEB"/>
    <w:rPr>
      <w:color w:val="0563C1" w:themeColor="hyperlink"/>
      <w:u w:val="single"/>
    </w:rPr>
  </w:style>
  <w:style w:type="character" w:styleId="UnresolvedMention">
    <w:name w:val="Unresolved Mention"/>
    <w:basedOn w:val="DefaultParagraphFont"/>
    <w:uiPriority w:val="99"/>
    <w:semiHidden/>
    <w:unhideWhenUsed/>
    <w:rsid w:val="00027BEB"/>
    <w:rPr>
      <w:color w:val="605E5C"/>
      <w:shd w:val="clear" w:color="auto" w:fill="E1DFDD"/>
    </w:rPr>
  </w:style>
  <w:style w:type="paragraph" w:styleId="Header">
    <w:name w:val="header"/>
    <w:basedOn w:val="Normal"/>
    <w:link w:val="HeaderChar"/>
    <w:uiPriority w:val="99"/>
    <w:unhideWhenUsed/>
    <w:rsid w:val="00D87668"/>
    <w:pPr>
      <w:tabs>
        <w:tab w:val="center" w:pos="4513"/>
        <w:tab w:val="right" w:pos="9026"/>
      </w:tabs>
    </w:pPr>
    <w:rPr>
      <w:rFonts w:eastAsiaTheme="minorHAnsi"/>
      <w:bCs/>
    </w:rPr>
  </w:style>
  <w:style w:type="character" w:customStyle="1" w:styleId="HeaderChar">
    <w:name w:val="Header Char"/>
    <w:basedOn w:val="DefaultParagraphFont"/>
    <w:link w:val="Header"/>
    <w:uiPriority w:val="99"/>
    <w:rsid w:val="00D87668"/>
  </w:style>
  <w:style w:type="paragraph" w:styleId="Footer">
    <w:name w:val="footer"/>
    <w:basedOn w:val="Normal"/>
    <w:link w:val="FooterChar"/>
    <w:uiPriority w:val="99"/>
    <w:unhideWhenUsed/>
    <w:rsid w:val="00D87668"/>
    <w:pPr>
      <w:tabs>
        <w:tab w:val="center" w:pos="4513"/>
        <w:tab w:val="right" w:pos="9026"/>
      </w:tabs>
    </w:pPr>
    <w:rPr>
      <w:rFonts w:eastAsiaTheme="minorHAnsi"/>
      <w:bCs/>
    </w:rPr>
  </w:style>
  <w:style w:type="character" w:customStyle="1" w:styleId="FooterChar">
    <w:name w:val="Footer Char"/>
    <w:basedOn w:val="DefaultParagraphFont"/>
    <w:link w:val="Footer"/>
    <w:uiPriority w:val="99"/>
    <w:rsid w:val="00D87668"/>
  </w:style>
  <w:style w:type="paragraph" w:styleId="ListParagraph">
    <w:name w:val="List Paragraph"/>
    <w:basedOn w:val="Normal"/>
    <w:link w:val="ListParagraphChar"/>
    <w:uiPriority w:val="34"/>
    <w:qFormat/>
    <w:rsid w:val="004D09CE"/>
    <w:pPr>
      <w:spacing w:after="160" w:line="259" w:lineRule="auto"/>
      <w:ind w:left="720"/>
      <w:contextualSpacing/>
    </w:pPr>
    <w:rPr>
      <w:rFonts w:eastAsiaTheme="minorHAnsi"/>
      <w:sz w:val="22"/>
      <w:szCs w:val="22"/>
    </w:rPr>
  </w:style>
  <w:style w:type="paragraph" w:customStyle="1" w:styleId="AppendixHeading">
    <w:name w:val="Appendix Heading"/>
    <w:basedOn w:val="Normal"/>
    <w:link w:val="AppendixHeadingChar"/>
    <w:qFormat/>
    <w:rsid w:val="004D09CE"/>
    <w:pPr>
      <w:numPr>
        <w:numId w:val="1"/>
      </w:numPr>
      <w:tabs>
        <w:tab w:val="clear" w:pos="360"/>
        <w:tab w:val="num" w:pos="720"/>
      </w:tabs>
      <w:ind w:left="720" w:hanging="720"/>
      <w:jc w:val="both"/>
    </w:pPr>
    <w:rPr>
      <w:rFonts w:ascii="Arial" w:eastAsia="Times New Roman" w:hAnsi="Arial" w:cs="Times New Roman"/>
      <w:b/>
      <w:noProof/>
      <w:sz w:val="28"/>
      <w:szCs w:val="28"/>
    </w:rPr>
  </w:style>
  <w:style w:type="character" w:customStyle="1" w:styleId="AppendixHeadingChar">
    <w:name w:val="Appendix Heading Char"/>
    <w:link w:val="AppendixHeading"/>
    <w:rsid w:val="004D09CE"/>
    <w:rPr>
      <w:rFonts w:ascii="Arial" w:eastAsia="Times New Roman" w:hAnsi="Arial" w:cs="Times New Roman"/>
      <w:b/>
      <w:bCs w:val="0"/>
      <w:noProof/>
      <w:sz w:val="28"/>
      <w:szCs w:val="28"/>
    </w:rPr>
  </w:style>
  <w:style w:type="paragraph" w:customStyle="1" w:styleId="TM1">
    <w:name w:val="TM 1"/>
    <w:basedOn w:val="ListParagraph"/>
    <w:link w:val="TM1Char"/>
    <w:qFormat/>
    <w:rsid w:val="004D09CE"/>
    <w:pPr>
      <w:numPr>
        <w:numId w:val="11"/>
      </w:numPr>
      <w:spacing w:before="360" w:after="240" w:line="240" w:lineRule="auto"/>
      <w:ind w:left="709" w:hanging="709"/>
      <w:jc w:val="both"/>
    </w:pPr>
    <w:rPr>
      <w:rFonts w:ascii="Verdana" w:eastAsia="Times New Roman" w:hAnsi="Verdana" w:cs="Arial"/>
      <w:b/>
    </w:rPr>
  </w:style>
  <w:style w:type="paragraph" w:customStyle="1" w:styleId="TM2">
    <w:name w:val="TM 2"/>
    <w:basedOn w:val="Normal"/>
    <w:link w:val="TM2Char"/>
    <w:qFormat/>
    <w:rsid w:val="004D09CE"/>
    <w:pPr>
      <w:numPr>
        <w:ilvl w:val="1"/>
        <w:numId w:val="11"/>
      </w:numPr>
      <w:spacing w:before="120" w:after="240"/>
      <w:ind w:left="709" w:hanging="709"/>
      <w:jc w:val="both"/>
    </w:pPr>
    <w:rPr>
      <w:rFonts w:ascii="Verdana" w:eastAsia="Times New Roman" w:hAnsi="Verdana" w:cs="Arial"/>
      <w:bCs/>
      <w:noProof/>
      <w:sz w:val="22"/>
      <w:szCs w:val="22"/>
    </w:rPr>
  </w:style>
  <w:style w:type="character" w:customStyle="1" w:styleId="ListParagraphChar">
    <w:name w:val="List Paragraph Char"/>
    <w:basedOn w:val="DefaultParagraphFont"/>
    <w:link w:val="ListParagraph"/>
    <w:uiPriority w:val="34"/>
    <w:rsid w:val="004D09CE"/>
    <w:rPr>
      <w:bCs w:val="0"/>
      <w:sz w:val="22"/>
      <w:szCs w:val="22"/>
    </w:rPr>
  </w:style>
  <w:style w:type="character" w:customStyle="1" w:styleId="TM1Char">
    <w:name w:val="TM 1 Char"/>
    <w:basedOn w:val="ListParagraphChar"/>
    <w:link w:val="TM1"/>
    <w:rsid w:val="004D09CE"/>
    <w:rPr>
      <w:rFonts w:ascii="Verdana" w:eastAsia="Times New Roman" w:hAnsi="Verdana" w:cs="Arial"/>
      <w:b/>
      <w:bCs w:val="0"/>
      <w:sz w:val="22"/>
      <w:szCs w:val="22"/>
    </w:rPr>
  </w:style>
  <w:style w:type="paragraph" w:customStyle="1" w:styleId="TM1A">
    <w:name w:val="TM 1A"/>
    <w:basedOn w:val="Normal"/>
    <w:link w:val="TM1AChar"/>
    <w:qFormat/>
    <w:rsid w:val="004D09CE"/>
    <w:pPr>
      <w:spacing w:after="240"/>
      <w:ind w:left="709"/>
      <w:jc w:val="both"/>
      <w:outlineLvl w:val="0"/>
    </w:pPr>
    <w:rPr>
      <w:rFonts w:ascii="Verdana" w:eastAsia="Times New Roman" w:hAnsi="Verdana" w:cs="Arial"/>
      <w:b/>
      <w:bCs/>
      <w:iCs/>
      <w:sz w:val="22"/>
      <w:szCs w:val="22"/>
    </w:rPr>
  </w:style>
  <w:style w:type="character" w:customStyle="1" w:styleId="TM2Char">
    <w:name w:val="TM 2 Char"/>
    <w:basedOn w:val="DefaultParagraphFont"/>
    <w:link w:val="TM2"/>
    <w:rsid w:val="004D09CE"/>
    <w:rPr>
      <w:rFonts w:ascii="Verdana" w:eastAsia="Times New Roman" w:hAnsi="Verdana" w:cs="Arial"/>
      <w:noProof/>
      <w:sz w:val="22"/>
      <w:szCs w:val="22"/>
    </w:rPr>
  </w:style>
  <w:style w:type="paragraph" w:customStyle="1" w:styleId="TMBullets">
    <w:name w:val="TM Bullets"/>
    <w:basedOn w:val="Normal"/>
    <w:link w:val="TMBulletsChar"/>
    <w:qFormat/>
    <w:rsid w:val="004D09CE"/>
    <w:pPr>
      <w:numPr>
        <w:numId w:val="4"/>
      </w:numPr>
      <w:tabs>
        <w:tab w:val="left" w:pos="1135"/>
      </w:tabs>
      <w:autoSpaceDE w:val="0"/>
      <w:autoSpaceDN w:val="0"/>
      <w:adjustRightInd w:val="0"/>
      <w:spacing w:before="120"/>
      <w:ind w:left="993" w:hanging="283"/>
      <w:jc w:val="both"/>
    </w:pPr>
    <w:rPr>
      <w:rFonts w:ascii="Verdana" w:eastAsia="Times New Roman" w:hAnsi="Verdana" w:cs="Arial"/>
      <w:bCs/>
      <w:sz w:val="22"/>
      <w:szCs w:val="22"/>
    </w:rPr>
  </w:style>
  <w:style w:type="character" w:customStyle="1" w:styleId="TM1AChar">
    <w:name w:val="TM 1A Char"/>
    <w:basedOn w:val="DefaultParagraphFont"/>
    <w:link w:val="TM1A"/>
    <w:rsid w:val="004D09CE"/>
    <w:rPr>
      <w:rFonts w:ascii="Verdana" w:eastAsia="Times New Roman" w:hAnsi="Verdana" w:cs="Arial"/>
      <w:b/>
      <w:iCs/>
      <w:sz w:val="22"/>
      <w:szCs w:val="22"/>
    </w:rPr>
  </w:style>
  <w:style w:type="character" w:customStyle="1" w:styleId="TMBulletsChar">
    <w:name w:val="TM Bullets Char"/>
    <w:basedOn w:val="DefaultParagraphFont"/>
    <w:link w:val="TMBullets"/>
    <w:rsid w:val="004D09CE"/>
    <w:rPr>
      <w:rFonts w:ascii="Verdana" w:eastAsia="Times New Roman" w:hAnsi="Verdana" w:cs="Arial"/>
      <w:sz w:val="22"/>
      <w:szCs w:val="22"/>
    </w:rPr>
  </w:style>
  <w:style w:type="character" w:styleId="CommentReference">
    <w:name w:val="annotation reference"/>
    <w:basedOn w:val="DefaultParagraphFont"/>
    <w:uiPriority w:val="99"/>
    <w:semiHidden/>
    <w:unhideWhenUsed/>
    <w:rsid w:val="00AE6A32"/>
    <w:rPr>
      <w:sz w:val="16"/>
      <w:szCs w:val="16"/>
    </w:rPr>
  </w:style>
  <w:style w:type="paragraph" w:styleId="CommentText">
    <w:name w:val="annotation text"/>
    <w:basedOn w:val="Normal"/>
    <w:link w:val="CommentTextChar"/>
    <w:uiPriority w:val="99"/>
    <w:semiHidden/>
    <w:unhideWhenUsed/>
    <w:rsid w:val="00AE6A32"/>
    <w:rPr>
      <w:sz w:val="20"/>
      <w:szCs w:val="20"/>
    </w:rPr>
  </w:style>
  <w:style w:type="character" w:customStyle="1" w:styleId="CommentTextChar">
    <w:name w:val="Comment Text Char"/>
    <w:basedOn w:val="DefaultParagraphFont"/>
    <w:link w:val="CommentText"/>
    <w:uiPriority w:val="99"/>
    <w:semiHidden/>
    <w:rsid w:val="00AE6A32"/>
    <w:rPr>
      <w:rFonts w:eastAsiaTheme="minorEastAsia"/>
      <w:bCs w:val="0"/>
      <w:sz w:val="20"/>
      <w:szCs w:val="20"/>
    </w:rPr>
  </w:style>
  <w:style w:type="paragraph" w:styleId="CommentSubject">
    <w:name w:val="annotation subject"/>
    <w:basedOn w:val="CommentText"/>
    <w:next w:val="CommentText"/>
    <w:link w:val="CommentSubjectChar"/>
    <w:uiPriority w:val="99"/>
    <w:semiHidden/>
    <w:unhideWhenUsed/>
    <w:rsid w:val="00AE6A32"/>
    <w:rPr>
      <w:b/>
      <w:bCs/>
    </w:rPr>
  </w:style>
  <w:style w:type="character" w:customStyle="1" w:styleId="CommentSubjectChar">
    <w:name w:val="Comment Subject Char"/>
    <w:basedOn w:val="CommentTextChar"/>
    <w:link w:val="CommentSubject"/>
    <w:uiPriority w:val="99"/>
    <w:semiHidden/>
    <w:rsid w:val="00AE6A32"/>
    <w:rPr>
      <w:rFonts w:eastAsiaTheme="minorEastAsia"/>
      <w:b/>
      <w:bCs/>
      <w:sz w:val="20"/>
      <w:szCs w:val="20"/>
    </w:rPr>
  </w:style>
  <w:style w:type="table" w:styleId="TableGrid">
    <w:name w:val="Table Grid"/>
    <w:basedOn w:val="TableNormal"/>
    <w:uiPriority w:val="39"/>
    <w:rsid w:val="00647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66540">
      <w:bodyDiv w:val="1"/>
      <w:marLeft w:val="0"/>
      <w:marRight w:val="0"/>
      <w:marTop w:val="0"/>
      <w:marBottom w:val="0"/>
      <w:divBdr>
        <w:top w:val="none" w:sz="0" w:space="0" w:color="auto"/>
        <w:left w:val="none" w:sz="0" w:space="0" w:color="auto"/>
        <w:bottom w:val="none" w:sz="0" w:space="0" w:color="auto"/>
        <w:right w:val="none" w:sz="0" w:space="0" w:color="auto"/>
      </w:divBdr>
    </w:div>
    <w:div w:id="475076885">
      <w:bodyDiv w:val="1"/>
      <w:marLeft w:val="0"/>
      <w:marRight w:val="0"/>
      <w:marTop w:val="0"/>
      <w:marBottom w:val="0"/>
      <w:divBdr>
        <w:top w:val="none" w:sz="0" w:space="0" w:color="auto"/>
        <w:left w:val="none" w:sz="0" w:space="0" w:color="auto"/>
        <w:bottom w:val="none" w:sz="0" w:space="0" w:color="auto"/>
        <w:right w:val="none" w:sz="0" w:space="0" w:color="auto"/>
      </w:divBdr>
    </w:div>
    <w:div w:id="478037702">
      <w:bodyDiv w:val="1"/>
      <w:marLeft w:val="0"/>
      <w:marRight w:val="0"/>
      <w:marTop w:val="0"/>
      <w:marBottom w:val="0"/>
      <w:divBdr>
        <w:top w:val="none" w:sz="0" w:space="0" w:color="auto"/>
        <w:left w:val="none" w:sz="0" w:space="0" w:color="auto"/>
        <w:bottom w:val="none" w:sz="0" w:space="0" w:color="auto"/>
        <w:right w:val="none" w:sz="0" w:space="0" w:color="auto"/>
      </w:divBdr>
    </w:div>
    <w:div w:id="504513053">
      <w:bodyDiv w:val="1"/>
      <w:marLeft w:val="0"/>
      <w:marRight w:val="0"/>
      <w:marTop w:val="0"/>
      <w:marBottom w:val="0"/>
      <w:divBdr>
        <w:top w:val="none" w:sz="0" w:space="0" w:color="auto"/>
        <w:left w:val="none" w:sz="0" w:space="0" w:color="auto"/>
        <w:bottom w:val="none" w:sz="0" w:space="0" w:color="auto"/>
        <w:right w:val="none" w:sz="0" w:space="0" w:color="auto"/>
      </w:divBdr>
    </w:div>
    <w:div w:id="555698741">
      <w:bodyDiv w:val="1"/>
      <w:marLeft w:val="0"/>
      <w:marRight w:val="0"/>
      <w:marTop w:val="0"/>
      <w:marBottom w:val="0"/>
      <w:divBdr>
        <w:top w:val="none" w:sz="0" w:space="0" w:color="auto"/>
        <w:left w:val="none" w:sz="0" w:space="0" w:color="auto"/>
        <w:bottom w:val="none" w:sz="0" w:space="0" w:color="auto"/>
        <w:right w:val="none" w:sz="0" w:space="0" w:color="auto"/>
      </w:divBdr>
    </w:div>
    <w:div w:id="639383728">
      <w:bodyDiv w:val="1"/>
      <w:marLeft w:val="0"/>
      <w:marRight w:val="0"/>
      <w:marTop w:val="0"/>
      <w:marBottom w:val="0"/>
      <w:divBdr>
        <w:top w:val="none" w:sz="0" w:space="0" w:color="auto"/>
        <w:left w:val="none" w:sz="0" w:space="0" w:color="auto"/>
        <w:bottom w:val="none" w:sz="0" w:space="0" w:color="auto"/>
        <w:right w:val="none" w:sz="0" w:space="0" w:color="auto"/>
      </w:divBdr>
    </w:div>
    <w:div w:id="646667761">
      <w:bodyDiv w:val="1"/>
      <w:marLeft w:val="0"/>
      <w:marRight w:val="0"/>
      <w:marTop w:val="0"/>
      <w:marBottom w:val="0"/>
      <w:divBdr>
        <w:top w:val="none" w:sz="0" w:space="0" w:color="auto"/>
        <w:left w:val="none" w:sz="0" w:space="0" w:color="auto"/>
        <w:bottom w:val="none" w:sz="0" w:space="0" w:color="auto"/>
        <w:right w:val="none" w:sz="0" w:space="0" w:color="auto"/>
      </w:divBdr>
    </w:div>
    <w:div w:id="688876341">
      <w:bodyDiv w:val="1"/>
      <w:marLeft w:val="0"/>
      <w:marRight w:val="0"/>
      <w:marTop w:val="0"/>
      <w:marBottom w:val="0"/>
      <w:divBdr>
        <w:top w:val="none" w:sz="0" w:space="0" w:color="auto"/>
        <w:left w:val="none" w:sz="0" w:space="0" w:color="auto"/>
        <w:bottom w:val="none" w:sz="0" w:space="0" w:color="auto"/>
        <w:right w:val="none" w:sz="0" w:space="0" w:color="auto"/>
      </w:divBdr>
    </w:div>
    <w:div w:id="716052618">
      <w:bodyDiv w:val="1"/>
      <w:marLeft w:val="0"/>
      <w:marRight w:val="0"/>
      <w:marTop w:val="0"/>
      <w:marBottom w:val="0"/>
      <w:divBdr>
        <w:top w:val="none" w:sz="0" w:space="0" w:color="auto"/>
        <w:left w:val="none" w:sz="0" w:space="0" w:color="auto"/>
        <w:bottom w:val="none" w:sz="0" w:space="0" w:color="auto"/>
        <w:right w:val="none" w:sz="0" w:space="0" w:color="auto"/>
      </w:divBdr>
    </w:div>
    <w:div w:id="822624937">
      <w:bodyDiv w:val="1"/>
      <w:marLeft w:val="0"/>
      <w:marRight w:val="0"/>
      <w:marTop w:val="0"/>
      <w:marBottom w:val="0"/>
      <w:divBdr>
        <w:top w:val="none" w:sz="0" w:space="0" w:color="auto"/>
        <w:left w:val="none" w:sz="0" w:space="0" w:color="auto"/>
        <w:bottom w:val="none" w:sz="0" w:space="0" w:color="auto"/>
        <w:right w:val="none" w:sz="0" w:space="0" w:color="auto"/>
      </w:divBdr>
    </w:div>
    <w:div w:id="906501088">
      <w:bodyDiv w:val="1"/>
      <w:marLeft w:val="0"/>
      <w:marRight w:val="0"/>
      <w:marTop w:val="0"/>
      <w:marBottom w:val="0"/>
      <w:divBdr>
        <w:top w:val="none" w:sz="0" w:space="0" w:color="auto"/>
        <w:left w:val="none" w:sz="0" w:space="0" w:color="auto"/>
        <w:bottom w:val="none" w:sz="0" w:space="0" w:color="auto"/>
        <w:right w:val="none" w:sz="0" w:space="0" w:color="auto"/>
      </w:divBdr>
    </w:div>
    <w:div w:id="921724547">
      <w:bodyDiv w:val="1"/>
      <w:marLeft w:val="0"/>
      <w:marRight w:val="0"/>
      <w:marTop w:val="0"/>
      <w:marBottom w:val="0"/>
      <w:divBdr>
        <w:top w:val="none" w:sz="0" w:space="0" w:color="auto"/>
        <w:left w:val="none" w:sz="0" w:space="0" w:color="auto"/>
        <w:bottom w:val="none" w:sz="0" w:space="0" w:color="auto"/>
        <w:right w:val="none" w:sz="0" w:space="0" w:color="auto"/>
      </w:divBdr>
    </w:div>
    <w:div w:id="959145121">
      <w:bodyDiv w:val="1"/>
      <w:marLeft w:val="0"/>
      <w:marRight w:val="0"/>
      <w:marTop w:val="0"/>
      <w:marBottom w:val="0"/>
      <w:divBdr>
        <w:top w:val="none" w:sz="0" w:space="0" w:color="auto"/>
        <w:left w:val="none" w:sz="0" w:space="0" w:color="auto"/>
        <w:bottom w:val="none" w:sz="0" w:space="0" w:color="auto"/>
        <w:right w:val="none" w:sz="0" w:space="0" w:color="auto"/>
      </w:divBdr>
    </w:div>
    <w:div w:id="975448537">
      <w:bodyDiv w:val="1"/>
      <w:marLeft w:val="0"/>
      <w:marRight w:val="0"/>
      <w:marTop w:val="0"/>
      <w:marBottom w:val="0"/>
      <w:divBdr>
        <w:top w:val="none" w:sz="0" w:space="0" w:color="auto"/>
        <w:left w:val="none" w:sz="0" w:space="0" w:color="auto"/>
        <w:bottom w:val="none" w:sz="0" w:space="0" w:color="auto"/>
        <w:right w:val="none" w:sz="0" w:space="0" w:color="auto"/>
      </w:divBdr>
    </w:div>
    <w:div w:id="986590931">
      <w:bodyDiv w:val="1"/>
      <w:marLeft w:val="0"/>
      <w:marRight w:val="0"/>
      <w:marTop w:val="0"/>
      <w:marBottom w:val="0"/>
      <w:divBdr>
        <w:top w:val="none" w:sz="0" w:space="0" w:color="auto"/>
        <w:left w:val="none" w:sz="0" w:space="0" w:color="auto"/>
        <w:bottom w:val="none" w:sz="0" w:space="0" w:color="auto"/>
        <w:right w:val="none" w:sz="0" w:space="0" w:color="auto"/>
      </w:divBdr>
    </w:div>
    <w:div w:id="1098910833">
      <w:bodyDiv w:val="1"/>
      <w:marLeft w:val="0"/>
      <w:marRight w:val="0"/>
      <w:marTop w:val="0"/>
      <w:marBottom w:val="0"/>
      <w:divBdr>
        <w:top w:val="none" w:sz="0" w:space="0" w:color="auto"/>
        <w:left w:val="none" w:sz="0" w:space="0" w:color="auto"/>
        <w:bottom w:val="none" w:sz="0" w:space="0" w:color="auto"/>
        <w:right w:val="none" w:sz="0" w:space="0" w:color="auto"/>
      </w:divBdr>
    </w:div>
    <w:div w:id="1144152628">
      <w:bodyDiv w:val="1"/>
      <w:marLeft w:val="0"/>
      <w:marRight w:val="0"/>
      <w:marTop w:val="0"/>
      <w:marBottom w:val="0"/>
      <w:divBdr>
        <w:top w:val="none" w:sz="0" w:space="0" w:color="auto"/>
        <w:left w:val="none" w:sz="0" w:space="0" w:color="auto"/>
        <w:bottom w:val="none" w:sz="0" w:space="0" w:color="auto"/>
        <w:right w:val="none" w:sz="0" w:space="0" w:color="auto"/>
      </w:divBdr>
    </w:div>
    <w:div w:id="1203321580">
      <w:bodyDiv w:val="1"/>
      <w:marLeft w:val="0"/>
      <w:marRight w:val="0"/>
      <w:marTop w:val="0"/>
      <w:marBottom w:val="0"/>
      <w:divBdr>
        <w:top w:val="none" w:sz="0" w:space="0" w:color="auto"/>
        <w:left w:val="none" w:sz="0" w:space="0" w:color="auto"/>
        <w:bottom w:val="none" w:sz="0" w:space="0" w:color="auto"/>
        <w:right w:val="none" w:sz="0" w:space="0" w:color="auto"/>
      </w:divBdr>
    </w:div>
    <w:div w:id="1218708743">
      <w:bodyDiv w:val="1"/>
      <w:marLeft w:val="0"/>
      <w:marRight w:val="0"/>
      <w:marTop w:val="0"/>
      <w:marBottom w:val="0"/>
      <w:divBdr>
        <w:top w:val="none" w:sz="0" w:space="0" w:color="auto"/>
        <w:left w:val="none" w:sz="0" w:space="0" w:color="auto"/>
        <w:bottom w:val="none" w:sz="0" w:space="0" w:color="auto"/>
        <w:right w:val="none" w:sz="0" w:space="0" w:color="auto"/>
      </w:divBdr>
    </w:div>
    <w:div w:id="1219632728">
      <w:bodyDiv w:val="1"/>
      <w:marLeft w:val="0"/>
      <w:marRight w:val="0"/>
      <w:marTop w:val="0"/>
      <w:marBottom w:val="0"/>
      <w:divBdr>
        <w:top w:val="none" w:sz="0" w:space="0" w:color="auto"/>
        <w:left w:val="none" w:sz="0" w:space="0" w:color="auto"/>
        <w:bottom w:val="none" w:sz="0" w:space="0" w:color="auto"/>
        <w:right w:val="none" w:sz="0" w:space="0" w:color="auto"/>
      </w:divBdr>
    </w:div>
    <w:div w:id="1258095870">
      <w:bodyDiv w:val="1"/>
      <w:marLeft w:val="0"/>
      <w:marRight w:val="0"/>
      <w:marTop w:val="0"/>
      <w:marBottom w:val="0"/>
      <w:divBdr>
        <w:top w:val="none" w:sz="0" w:space="0" w:color="auto"/>
        <w:left w:val="none" w:sz="0" w:space="0" w:color="auto"/>
        <w:bottom w:val="none" w:sz="0" w:space="0" w:color="auto"/>
        <w:right w:val="none" w:sz="0" w:space="0" w:color="auto"/>
      </w:divBdr>
    </w:div>
    <w:div w:id="1295058918">
      <w:bodyDiv w:val="1"/>
      <w:marLeft w:val="0"/>
      <w:marRight w:val="0"/>
      <w:marTop w:val="0"/>
      <w:marBottom w:val="0"/>
      <w:divBdr>
        <w:top w:val="none" w:sz="0" w:space="0" w:color="auto"/>
        <w:left w:val="none" w:sz="0" w:space="0" w:color="auto"/>
        <w:bottom w:val="none" w:sz="0" w:space="0" w:color="auto"/>
        <w:right w:val="none" w:sz="0" w:space="0" w:color="auto"/>
      </w:divBdr>
    </w:div>
    <w:div w:id="1524128341">
      <w:bodyDiv w:val="1"/>
      <w:marLeft w:val="0"/>
      <w:marRight w:val="0"/>
      <w:marTop w:val="0"/>
      <w:marBottom w:val="0"/>
      <w:divBdr>
        <w:top w:val="none" w:sz="0" w:space="0" w:color="auto"/>
        <w:left w:val="none" w:sz="0" w:space="0" w:color="auto"/>
        <w:bottom w:val="none" w:sz="0" w:space="0" w:color="auto"/>
        <w:right w:val="none" w:sz="0" w:space="0" w:color="auto"/>
      </w:divBdr>
    </w:div>
    <w:div w:id="1573806281">
      <w:bodyDiv w:val="1"/>
      <w:marLeft w:val="0"/>
      <w:marRight w:val="0"/>
      <w:marTop w:val="0"/>
      <w:marBottom w:val="0"/>
      <w:divBdr>
        <w:top w:val="none" w:sz="0" w:space="0" w:color="auto"/>
        <w:left w:val="none" w:sz="0" w:space="0" w:color="auto"/>
        <w:bottom w:val="none" w:sz="0" w:space="0" w:color="auto"/>
        <w:right w:val="none" w:sz="0" w:space="0" w:color="auto"/>
      </w:divBdr>
    </w:div>
    <w:div w:id="1619291101">
      <w:bodyDiv w:val="1"/>
      <w:marLeft w:val="0"/>
      <w:marRight w:val="0"/>
      <w:marTop w:val="0"/>
      <w:marBottom w:val="0"/>
      <w:divBdr>
        <w:top w:val="none" w:sz="0" w:space="0" w:color="auto"/>
        <w:left w:val="none" w:sz="0" w:space="0" w:color="auto"/>
        <w:bottom w:val="none" w:sz="0" w:space="0" w:color="auto"/>
        <w:right w:val="none" w:sz="0" w:space="0" w:color="auto"/>
      </w:divBdr>
    </w:div>
    <w:div w:id="1629319718">
      <w:bodyDiv w:val="1"/>
      <w:marLeft w:val="0"/>
      <w:marRight w:val="0"/>
      <w:marTop w:val="0"/>
      <w:marBottom w:val="0"/>
      <w:divBdr>
        <w:top w:val="none" w:sz="0" w:space="0" w:color="auto"/>
        <w:left w:val="none" w:sz="0" w:space="0" w:color="auto"/>
        <w:bottom w:val="none" w:sz="0" w:space="0" w:color="auto"/>
        <w:right w:val="none" w:sz="0" w:space="0" w:color="auto"/>
      </w:divBdr>
    </w:div>
    <w:div w:id="1652368750">
      <w:bodyDiv w:val="1"/>
      <w:marLeft w:val="0"/>
      <w:marRight w:val="0"/>
      <w:marTop w:val="0"/>
      <w:marBottom w:val="0"/>
      <w:divBdr>
        <w:top w:val="none" w:sz="0" w:space="0" w:color="auto"/>
        <w:left w:val="none" w:sz="0" w:space="0" w:color="auto"/>
        <w:bottom w:val="none" w:sz="0" w:space="0" w:color="auto"/>
        <w:right w:val="none" w:sz="0" w:space="0" w:color="auto"/>
      </w:divBdr>
    </w:div>
    <w:div w:id="1772238970">
      <w:bodyDiv w:val="1"/>
      <w:marLeft w:val="0"/>
      <w:marRight w:val="0"/>
      <w:marTop w:val="0"/>
      <w:marBottom w:val="0"/>
      <w:divBdr>
        <w:top w:val="none" w:sz="0" w:space="0" w:color="auto"/>
        <w:left w:val="none" w:sz="0" w:space="0" w:color="auto"/>
        <w:bottom w:val="none" w:sz="0" w:space="0" w:color="auto"/>
        <w:right w:val="none" w:sz="0" w:space="0" w:color="auto"/>
      </w:divBdr>
    </w:div>
    <w:div w:id="1814907810">
      <w:bodyDiv w:val="1"/>
      <w:marLeft w:val="0"/>
      <w:marRight w:val="0"/>
      <w:marTop w:val="0"/>
      <w:marBottom w:val="0"/>
      <w:divBdr>
        <w:top w:val="none" w:sz="0" w:space="0" w:color="auto"/>
        <w:left w:val="none" w:sz="0" w:space="0" w:color="auto"/>
        <w:bottom w:val="none" w:sz="0" w:space="0" w:color="auto"/>
        <w:right w:val="none" w:sz="0" w:space="0" w:color="auto"/>
      </w:divBdr>
    </w:div>
    <w:div w:id="2008635269">
      <w:bodyDiv w:val="1"/>
      <w:marLeft w:val="0"/>
      <w:marRight w:val="0"/>
      <w:marTop w:val="0"/>
      <w:marBottom w:val="0"/>
      <w:divBdr>
        <w:top w:val="none" w:sz="0" w:space="0" w:color="auto"/>
        <w:left w:val="none" w:sz="0" w:space="0" w:color="auto"/>
        <w:bottom w:val="none" w:sz="0" w:space="0" w:color="auto"/>
        <w:right w:val="none" w:sz="0" w:space="0" w:color="auto"/>
      </w:divBdr>
    </w:div>
    <w:div w:id="21189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55BC-2788-4025-8437-8A356BCB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6084</Words>
  <Characters>34685</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Ashcroft Vaughan</dc:creator>
  <cp:keywords/>
  <dc:description/>
  <cp:lastModifiedBy>Osborne Kate</cp:lastModifiedBy>
  <cp:revision>2</cp:revision>
  <cp:lastPrinted>2023-02-28T11:32:00Z</cp:lastPrinted>
  <dcterms:created xsi:type="dcterms:W3CDTF">2023-06-08T09:18:00Z</dcterms:created>
  <dcterms:modified xsi:type="dcterms:W3CDTF">2023-06-08T09:18:00Z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Denise.Langford@northants.police.uk</vt:lpwstr>
  </property>
  <property fmtid="{D5CDD505-2E9C-101B-9397-08002B2CF9AE}" pid="5" name="MSIP_Label_d9cd4a6a-7014-48d6-b119-9b8b87129a7e_SetDate">
    <vt:lpwstr>2021-12-21T14:58:21.5352645Z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