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7AFE" w14:textId="4C6C471E" w:rsidR="00103626" w:rsidRPr="00267106" w:rsidRDefault="00103626" w:rsidP="0079406E">
      <w:pPr>
        <w:pStyle w:val="Default"/>
        <w:jc w:val="center"/>
        <w:rPr>
          <w:rFonts w:asciiTheme="minorHAnsi" w:hAnsiTheme="minorHAnsi"/>
        </w:rPr>
      </w:pPr>
    </w:p>
    <w:p w14:paraId="61F347F3" w14:textId="77777777" w:rsidR="00103626" w:rsidRDefault="00103626" w:rsidP="0079406E">
      <w:pPr>
        <w:pStyle w:val="Default"/>
        <w:jc w:val="center"/>
        <w:rPr>
          <w:rFonts w:asciiTheme="minorHAnsi" w:hAnsiTheme="minorHAnsi"/>
          <w:b/>
          <w:bCs/>
          <w:sz w:val="48"/>
          <w:szCs w:val="48"/>
        </w:rPr>
      </w:pPr>
      <w:r w:rsidRPr="007F07C2">
        <w:rPr>
          <w:rFonts w:asciiTheme="minorHAnsi" w:hAnsiTheme="minorHAnsi"/>
          <w:b/>
          <w:bCs/>
          <w:sz w:val="48"/>
          <w:szCs w:val="48"/>
        </w:rPr>
        <w:t>NORTHAMPTONSHIRE COMMISSIONER FIRE AND RESCUE AUTHORITY</w:t>
      </w:r>
    </w:p>
    <w:p w14:paraId="4D1C21C6" w14:textId="77777777" w:rsidR="00676C02" w:rsidRDefault="00676C02" w:rsidP="0079406E">
      <w:pPr>
        <w:pStyle w:val="Default"/>
        <w:jc w:val="center"/>
        <w:rPr>
          <w:rFonts w:asciiTheme="minorHAnsi" w:hAnsiTheme="minorHAnsi"/>
          <w:b/>
          <w:bCs/>
          <w:sz w:val="48"/>
          <w:szCs w:val="48"/>
        </w:rPr>
      </w:pPr>
    </w:p>
    <w:p w14:paraId="4B48835E" w14:textId="07232A05" w:rsidR="00676C02" w:rsidRPr="007F07C2" w:rsidRDefault="00676C02" w:rsidP="0079406E">
      <w:pPr>
        <w:pStyle w:val="Default"/>
        <w:jc w:val="center"/>
        <w:rPr>
          <w:rFonts w:asciiTheme="minorHAnsi" w:hAnsiTheme="minorHAnsi"/>
          <w:sz w:val="48"/>
          <w:szCs w:val="48"/>
        </w:rPr>
      </w:pPr>
    </w:p>
    <w:p w14:paraId="37E49034" w14:textId="2811E3C5" w:rsidR="00103626" w:rsidRPr="007F07C2" w:rsidRDefault="00103626" w:rsidP="0079406E">
      <w:pPr>
        <w:pStyle w:val="Default"/>
        <w:jc w:val="center"/>
        <w:rPr>
          <w:rFonts w:asciiTheme="minorHAnsi" w:hAnsiTheme="minorHAnsi"/>
          <w:sz w:val="48"/>
          <w:szCs w:val="48"/>
        </w:rPr>
      </w:pPr>
      <w:r w:rsidRPr="007F07C2">
        <w:rPr>
          <w:rFonts w:asciiTheme="minorHAnsi" w:hAnsiTheme="minorHAnsi"/>
          <w:b/>
          <w:bCs/>
          <w:sz w:val="48"/>
          <w:szCs w:val="48"/>
        </w:rPr>
        <w:t>20</w:t>
      </w:r>
      <w:r w:rsidR="004F5BD2" w:rsidRPr="007F07C2">
        <w:rPr>
          <w:rFonts w:asciiTheme="minorHAnsi" w:hAnsiTheme="minorHAnsi"/>
          <w:b/>
          <w:bCs/>
          <w:sz w:val="48"/>
          <w:szCs w:val="48"/>
        </w:rPr>
        <w:t>2</w:t>
      </w:r>
      <w:r w:rsidR="00636147">
        <w:rPr>
          <w:rFonts w:asciiTheme="minorHAnsi" w:hAnsiTheme="minorHAnsi"/>
          <w:b/>
          <w:bCs/>
          <w:sz w:val="48"/>
          <w:szCs w:val="48"/>
        </w:rPr>
        <w:t>1</w:t>
      </w:r>
      <w:r w:rsidR="000E0E5A" w:rsidRPr="007F07C2">
        <w:rPr>
          <w:rFonts w:asciiTheme="minorHAnsi" w:hAnsiTheme="minorHAnsi"/>
          <w:b/>
          <w:bCs/>
          <w:sz w:val="48"/>
          <w:szCs w:val="48"/>
        </w:rPr>
        <w:t>/2</w:t>
      </w:r>
      <w:r w:rsidR="00636147">
        <w:rPr>
          <w:rFonts w:asciiTheme="minorHAnsi" w:hAnsiTheme="minorHAnsi"/>
          <w:b/>
          <w:bCs/>
          <w:sz w:val="48"/>
          <w:szCs w:val="48"/>
        </w:rPr>
        <w:t>2</w:t>
      </w:r>
      <w:r w:rsidRPr="007F07C2">
        <w:rPr>
          <w:rFonts w:asciiTheme="minorHAnsi" w:hAnsiTheme="minorHAnsi"/>
          <w:b/>
          <w:bCs/>
          <w:sz w:val="48"/>
          <w:szCs w:val="48"/>
        </w:rPr>
        <w:t xml:space="preserve"> </w:t>
      </w:r>
      <w:r w:rsidR="00E47CA9" w:rsidRPr="007F07C2">
        <w:rPr>
          <w:rFonts w:asciiTheme="minorHAnsi" w:hAnsiTheme="minorHAnsi"/>
          <w:b/>
          <w:bCs/>
          <w:sz w:val="48"/>
          <w:szCs w:val="48"/>
        </w:rPr>
        <w:t xml:space="preserve">STATEMENT OF </w:t>
      </w:r>
      <w:r w:rsidRPr="007F07C2">
        <w:rPr>
          <w:rFonts w:asciiTheme="minorHAnsi" w:hAnsiTheme="minorHAnsi"/>
          <w:b/>
          <w:bCs/>
          <w:sz w:val="48"/>
          <w:szCs w:val="48"/>
        </w:rPr>
        <w:t>ACCOUNTS</w:t>
      </w:r>
    </w:p>
    <w:p w14:paraId="567CF9AD" w14:textId="77777777" w:rsidR="00D10E3A" w:rsidRPr="007F07C2" w:rsidRDefault="00D10E3A" w:rsidP="0079406E">
      <w:pPr>
        <w:pStyle w:val="Default"/>
        <w:jc w:val="center"/>
        <w:rPr>
          <w:rFonts w:asciiTheme="minorHAnsi" w:hAnsiTheme="minorHAnsi"/>
          <w:b/>
          <w:bCs/>
          <w:sz w:val="22"/>
          <w:szCs w:val="22"/>
        </w:rPr>
      </w:pPr>
    </w:p>
    <w:p w14:paraId="1547836B" w14:textId="77777777" w:rsidR="00EA06C9" w:rsidRDefault="00EA06C9" w:rsidP="00EA06C9">
      <w:pPr>
        <w:pStyle w:val="Default"/>
        <w:jc w:val="center"/>
        <w:rPr>
          <w:noProof/>
          <w:lang w:eastAsia="en-GB"/>
        </w:rPr>
      </w:pPr>
    </w:p>
    <w:p w14:paraId="3526DEB8" w14:textId="72F38F27" w:rsidR="00D10E3A" w:rsidRPr="007F07C2" w:rsidRDefault="00EA06C9" w:rsidP="00EA06C9">
      <w:pPr>
        <w:pStyle w:val="Default"/>
        <w:jc w:val="center"/>
        <w:rPr>
          <w:rFonts w:asciiTheme="minorHAnsi" w:hAnsiTheme="minorHAnsi"/>
          <w:b/>
          <w:bCs/>
          <w:sz w:val="22"/>
          <w:szCs w:val="22"/>
        </w:rPr>
      </w:pPr>
      <w:r>
        <w:rPr>
          <w:noProof/>
        </w:rPr>
        <w:drawing>
          <wp:inline distT="0" distB="0" distL="0" distR="0" wp14:anchorId="2EE90CC2" wp14:editId="775A5E8D">
            <wp:extent cx="2473960" cy="24739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960" cy="2473960"/>
                    </a:xfrm>
                    <a:prstGeom prst="rect">
                      <a:avLst/>
                    </a:prstGeom>
                    <a:noFill/>
                    <a:ln>
                      <a:noFill/>
                    </a:ln>
                  </pic:spPr>
                </pic:pic>
              </a:graphicData>
            </a:graphic>
          </wp:inline>
        </w:drawing>
      </w:r>
      <w:r>
        <w:rPr>
          <w:noProof/>
          <w:lang w:eastAsia="en-GB"/>
        </w:rPr>
        <w:t xml:space="preserve">                                       </w:t>
      </w:r>
    </w:p>
    <w:p w14:paraId="2F3B1A07" w14:textId="685A9C4C" w:rsidR="00D10E3A" w:rsidRPr="007F07C2" w:rsidRDefault="00EA06C9" w:rsidP="0079406E">
      <w:pPr>
        <w:pStyle w:val="Default"/>
        <w:jc w:val="center"/>
        <w:rPr>
          <w:rFonts w:asciiTheme="minorHAnsi" w:hAnsiTheme="minorHAnsi"/>
          <w:b/>
          <w:bCs/>
          <w:sz w:val="22"/>
          <w:szCs w:val="22"/>
        </w:rPr>
      </w:pPr>
      <w:r w:rsidRPr="007F07C2">
        <w:rPr>
          <w:noProof/>
          <w:lang w:eastAsia="en-GB"/>
        </w:rPr>
        <w:drawing>
          <wp:inline distT="0" distB="0" distL="0" distR="0" wp14:anchorId="772B0C83" wp14:editId="498BF5ED">
            <wp:extent cx="2219325" cy="1952625"/>
            <wp:effectExtent l="0" t="0" r="9525" b="9525"/>
            <wp:docPr id="6" name="Picture 6" descr="C:\Users\ddovey\Desktop\NFRS full name service logo EDITED.png"/>
            <wp:cNvGraphicFramePr/>
            <a:graphic xmlns:a="http://schemas.openxmlformats.org/drawingml/2006/main">
              <a:graphicData uri="http://schemas.openxmlformats.org/drawingml/2006/picture">
                <pic:pic xmlns:pic="http://schemas.openxmlformats.org/drawingml/2006/picture">
                  <pic:nvPicPr>
                    <pic:cNvPr id="1" name="Picture 1" descr="C:\Users\ddovey\Desktop\NFRS full name service logo EDITED.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952625"/>
                    </a:xfrm>
                    <a:prstGeom prst="rect">
                      <a:avLst/>
                    </a:prstGeom>
                    <a:noFill/>
                    <a:ln>
                      <a:noFill/>
                    </a:ln>
                  </pic:spPr>
                </pic:pic>
              </a:graphicData>
            </a:graphic>
          </wp:inline>
        </w:drawing>
      </w:r>
    </w:p>
    <w:p w14:paraId="09624893" w14:textId="51D0AB7D" w:rsidR="00D10E3A" w:rsidRDefault="00D10E3A" w:rsidP="0079406E">
      <w:pPr>
        <w:pStyle w:val="Default"/>
        <w:jc w:val="center"/>
        <w:rPr>
          <w:rFonts w:asciiTheme="minorHAnsi" w:hAnsiTheme="minorHAnsi"/>
          <w:b/>
          <w:bCs/>
          <w:sz w:val="22"/>
          <w:szCs w:val="22"/>
        </w:rPr>
      </w:pPr>
    </w:p>
    <w:p w14:paraId="4D4FB227" w14:textId="77777777" w:rsidR="00EA06C9" w:rsidRPr="007F07C2" w:rsidRDefault="00EA06C9" w:rsidP="0079406E">
      <w:pPr>
        <w:pStyle w:val="Default"/>
        <w:jc w:val="center"/>
        <w:rPr>
          <w:rFonts w:asciiTheme="minorHAnsi" w:hAnsiTheme="minorHAnsi"/>
          <w:b/>
          <w:bCs/>
          <w:sz w:val="22"/>
          <w:szCs w:val="22"/>
        </w:rPr>
      </w:pPr>
    </w:p>
    <w:p w14:paraId="1A86F490" w14:textId="77777777" w:rsidR="00D10E3A" w:rsidRPr="007F07C2" w:rsidRDefault="00D10E3A" w:rsidP="0079406E">
      <w:pPr>
        <w:pStyle w:val="Default"/>
        <w:jc w:val="center"/>
        <w:rPr>
          <w:rFonts w:asciiTheme="minorHAnsi" w:hAnsiTheme="minorHAnsi"/>
          <w:b/>
          <w:bCs/>
          <w:sz w:val="22"/>
          <w:szCs w:val="22"/>
        </w:rPr>
      </w:pPr>
    </w:p>
    <w:p w14:paraId="466104E4" w14:textId="77777777" w:rsidR="00D10E3A" w:rsidRPr="007F07C2" w:rsidRDefault="00D10E3A" w:rsidP="0079406E">
      <w:pPr>
        <w:pStyle w:val="Default"/>
        <w:jc w:val="center"/>
        <w:rPr>
          <w:rFonts w:asciiTheme="minorHAnsi" w:hAnsiTheme="minorHAnsi"/>
          <w:b/>
          <w:bCs/>
          <w:sz w:val="22"/>
          <w:szCs w:val="22"/>
        </w:rPr>
      </w:pPr>
    </w:p>
    <w:p w14:paraId="13056ABC" w14:textId="77777777" w:rsidR="005064C1" w:rsidRPr="007F07C2" w:rsidRDefault="005064C1" w:rsidP="0079406E">
      <w:pPr>
        <w:pStyle w:val="Default"/>
        <w:jc w:val="center"/>
        <w:rPr>
          <w:rFonts w:asciiTheme="minorHAnsi" w:hAnsiTheme="minorHAnsi"/>
          <w:b/>
          <w:bCs/>
          <w:sz w:val="22"/>
          <w:szCs w:val="22"/>
        </w:rPr>
      </w:pPr>
    </w:p>
    <w:p w14:paraId="51DC61D9" w14:textId="77777777" w:rsidR="005064C1" w:rsidRPr="007F07C2" w:rsidRDefault="005064C1" w:rsidP="0079406E">
      <w:pPr>
        <w:pStyle w:val="Default"/>
        <w:jc w:val="center"/>
        <w:rPr>
          <w:rFonts w:asciiTheme="minorHAnsi" w:hAnsiTheme="minorHAnsi"/>
          <w:b/>
          <w:bCs/>
          <w:sz w:val="22"/>
          <w:szCs w:val="22"/>
        </w:rPr>
      </w:pPr>
    </w:p>
    <w:p w14:paraId="0EA29A7A" w14:textId="77777777" w:rsidR="005064C1" w:rsidRPr="007F07C2" w:rsidRDefault="005064C1" w:rsidP="0079406E">
      <w:pPr>
        <w:pStyle w:val="Default"/>
        <w:jc w:val="center"/>
        <w:rPr>
          <w:rFonts w:asciiTheme="minorHAnsi" w:hAnsiTheme="minorHAnsi"/>
          <w:b/>
          <w:bCs/>
          <w:sz w:val="22"/>
          <w:szCs w:val="22"/>
        </w:rPr>
      </w:pPr>
    </w:p>
    <w:p w14:paraId="0F0CE93B" w14:textId="77777777" w:rsidR="005064C1" w:rsidRPr="007F07C2" w:rsidRDefault="005064C1" w:rsidP="0079406E">
      <w:pPr>
        <w:pStyle w:val="Default"/>
        <w:jc w:val="center"/>
        <w:rPr>
          <w:rFonts w:asciiTheme="minorHAnsi" w:hAnsiTheme="minorHAnsi"/>
          <w:b/>
          <w:bCs/>
          <w:sz w:val="22"/>
          <w:szCs w:val="22"/>
        </w:rPr>
      </w:pPr>
    </w:p>
    <w:p w14:paraId="7D5C24AB" w14:textId="77777777" w:rsidR="005064C1" w:rsidRPr="007F07C2" w:rsidRDefault="005064C1" w:rsidP="0079406E">
      <w:pPr>
        <w:pStyle w:val="Default"/>
        <w:jc w:val="center"/>
        <w:rPr>
          <w:rFonts w:asciiTheme="minorHAnsi" w:hAnsiTheme="minorHAnsi"/>
          <w:b/>
          <w:bCs/>
          <w:sz w:val="22"/>
          <w:szCs w:val="22"/>
        </w:rPr>
      </w:pPr>
    </w:p>
    <w:p w14:paraId="52F7A2B7" w14:textId="77777777" w:rsidR="005C4182" w:rsidRPr="007F07C2" w:rsidRDefault="005C4182" w:rsidP="0079406E">
      <w:pPr>
        <w:pStyle w:val="Default"/>
        <w:jc w:val="center"/>
        <w:rPr>
          <w:rFonts w:asciiTheme="minorHAnsi" w:hAnsiTheme="minorHAnsi"/>
          <w:b/>
          <w:bCs/>
          <w:sz w:val="22"/>
          <w:szCs w:val="22"/>
        </w:rPr>
      </w:pPr>
    </w:p>
    <w:p w14:paraId="012A2438" w14:textId="77777777" w:rsidR="005C4182" w:rsidRPr="007F07C2" w:rsidRDefault="005C4182" w:rsidP="0079406E">
      <w:pPr>
        <w:pStyle w:val="Default"/>
        <w:jc w:val="center"/>
        <w:rPr>
          <w:rFonts w:asciiTheme="minorHAnsi" w:hAnsiTheme="minorHAnsi"/>
          <w:b/>
          <w:bCs/>
          <w:sz w:val="22"/>
          <w:szCs w:val="22"/>
        </w:rPr>
      </w:pPr>
    </w:p>
    <w:p w14:paraId="773FF992" w14:textId="77777777" w:rsidR="005C4182" w:rsidRPr="007F07C2" w:rsidRDefault="005C4182" w:rsidP="0079406E">
      <w:pPr>
        <w:pStyle w:val="Default"/>
        <w:jc w:val="center"/>
        <w:rPr>
          <w:rFonts w:asciiTheme="minorHAnsi" w:hAnsiTheme="minorHAnsi"/>
          <w:b/>
          <w:bCs/>
          <w:sz w:val="22"/>
          <w:szCs w:val="22"/>
        </w:rPr>
      </w:pPr>
    </w:p>
    <w:p w14:paraId="6C564335" w14:textId="77777777" w:rsidR="005064C1" w:rsidRPr="007F07C2" w:rsidRDefault="005064C1" w:rsidP="0079406E">
      <w:pPr>
        <w:pStyle w:val="Default"/>
        <w:jc w:val="center"/>
        <w:rPr>
          <w:rFonts w:asciiTheme="minorHAnsi" w:hAnsiTheme="minorHAnsi"/>
          <w:b/>
          <w:bCs/>
          <w:sz w:val="22"/>
          <w:szCs w:val="22"/>
        </w:rPr>
      </w:pPr>
    </w:p>
    <w:p w14:paraId="445D3B1E" w14:textId="77777777" w:rsidR="005064C1" w:rsidRPr="007F07C2" w:rsidRDefault="005064C1" w:rsidP="0079406E">
      <w:pPr>
        <w:pStyle w:val="Default"/>
        <w:jc w:val="center"/>
        <w:rPr>
          <w:rFonts w:asciiTheme="minorHAnsi" w:hAnsiTheme="minorHAnsi"/>
          <w:b/>
          <w:bCs/>
          <w:sz w:val="22"/>
          <w:szCs w:val="22"/>
        </w:rPr>
      </w:pPr>
    </w:p>
    <w:p w14:paraId="47B1D945" w14:textId="77777777" w:rsidR="006408FD" w:rsidRPr="007F07C2" w:rsidRDefault="006408FD" w:rsidP="0079406E">
      <w:pPr>
        <w:pStyle w:val="Default"/>
        <w:jc w:val="center"/>
        <w:rPr>
          <w:rFonts w:asciiTheme="minorHAnsi" w:hAnsiTheme="minorHAnsi"/>
          <w:b/>
          <w:bCs/>
          <w:sz w:val="22"/>
          <w:szCs w:val="22"/>
        </w:rPr>
      </w:pPr>
    </w:p>
    <w:p w14:paraId="0CE91113" w14:textId="77777777" w:rsidR="006408FD" w:rsidRPr="007F07C2" w:rsidRDefault="006408FD" w:rsidP="0079406E">
      <w:pPr>
        <w:pStyle w:val="Default"/>
        <w:jc w:val="center"/>
        <w:rPr>
          <w:rFonts w:asciiTheme="minorHAnsi" w:hAnsiTheme="minorHAnsi"/>
          <w:b/>
          <w:bCs/>
          <w:sz w:val="22"/>
          <w:szCs w:val="22"/>
        </w:rPr>
      </w:pPr>
    </w:p>
    <w:tbl>
      <w:tblPr>
        <w:tblW w:w="9377" w:type="dxa"/>
        <w:jc w:val="center"/>
        <w:tblLook w:val="04A0" w:firstRow="1" w:lastRow="0" w:firstColumn="1" w:lastColumn="0" w:noHBand="0" w:noVBand="1"/>
      </w:tblPr>
      <w:tblGrid>
        <w:gridCol w:w="8417"/>
        <w:gridCol w:w="960"/>
      </w:tblGrid>
      <w:tr w:rsidR="004E6AB2" w:rsidRPr="007F07C2" w14:paraId="560B6B7D" w14:textId="77777777" w:rsidTr="008F07FE">
        <w:trPr>
          <w:trHeight w:val="300"/>
          <w:jc w:val="center"/>
        </w:trPr>
        <w:tc>
          <w:tcPr>
            <w:tcW w:w="8417" w:type="dxa"/>
            <w:tcBorders>
              <w:top w:val="nil"/>
              <w:left w:val="nil"/>
              <w:bottom w:val="nil"/>
              <w:right w:val="nil"/>
            </w:tcBorders>
            <w:shd w:val="clear" w:color="000000" w:fill="FFFFFF"/>
            <w:noWrap/>
            <w:vAlign w:val="bottom"/>
            <w:hideMark/>
          </w:tcPr>
          <w:p w14:paraId="50E0BD03" w14:textId="58C0B70E" w:rsidR="004E6AB2" w:rsidRPr="007F07C2" w:rsidRDefault="004E6AB2" w:rsidP="004E6AB2">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000000" w:fill="FFFFFF"/>
            <w:noWrap/>
            <w:vAlign w:val="bottom"/>
            <w:hideMark/>
          </w:tcPr>
          <w:p w14:paraId="58BFED9C"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7601760A"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0F2770E1" w14:textId="77777777" w:rsidR="004E6AB2" w:rsidRPr="00642B12" w:rsidRDefault="004E6AB2" w:rsidP="004E6AB2">
            <w:pPr>
              <w:spacing w:after="0" w:line="240" w:lineRule="auto"/>
              <w:rPr>
                <w:rFonts w:eastAsia="Times New Roman" w:cstheme="minorHAnsi"/>
                <w:b/>
                <w:bCs/>
                <w:color w:val="000000"/>
                <w:sz w:val="28"/>
                <w:szCs w:val="28"/>
                <w:lang w:eastAsia="en-GB"/>
              </w:rPr>
            </w:pPr>
            <w:r w:rsidRPr="00642B12">
              <w:rPr>
                <w:rFonts w:eastAsia="Times New Roman" w:cstheme="minorHAnsi"/>
                <w:b/>
                <w:bCs/>
                <w:color w:val="000000"/>
                <w:sz w:val="28"/>
                <w:szCs w:val="28"/>
                <w:lang w:eastAsia="en-GB"/>
              </w:rPr>
              <w:t>Table of Contents</w:t>
            </w:r>
          </w:p>
        </w:tc>
        <w:tc>
          <w:tcPr>
            <w:tcW w:w="960" w:type="dxa"/>
            <w:tcBorders>
              <w:top w:val="nil"/>
              <w:left w:val="nil"/>
              <w:bottom w:val="nil"/>
              <w:right w:val="nil"/>
            </w:tcBorders>
            <w:shd w:val="clear" w:color="000000" w:fill="FFFFFF"/>
            <w:noWrap/>
            <w:vAlign w:val="bottom"/>
            <w:hideMark/>
          </w:tcPr>
          <w:p w14:paraId="772232BD"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67CAB155"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311A67BA" w14:textId="77777777" w:rsidR="004E6AB2" w:rsidRPr="007F07C2" w:rsidRDefault="004E6AB2" w:rsidP="004E6AB2">
            <w:pPr>
              <w:spacing w:after="0" w:line="240" w:lineRule="auto"/>
              <w:rPr>
                <w:rFonts w:ascii="Calibri" w:eastAsia="Times New Roman" w:hAnsi="Calibri" w:cs="Times New Roman"/>
                <w:b/>
                <w:bCs/>
                <w:color w:val="000000"/>
                <w:sz w:val="28"/>
                <w:szCs w:val="28"/>
                <w:lang w:eastAsia="en-GB"/>
              </w:rPr>
            </w:pPr>
            <w:r w:rsidRPr="007F07C2">
              <w:rPr>
                <w:rFonts w:ascii="Calibri" w:eastAsia="Times New Roman" w:hAnsi="Calibri" w:cs="Times New Roman"/>
                <w:b/>
                <w:bCs/>
                <w:color w:val="000000"/>
                <w:sz w:val="28"/>
                <w:szCs w:val="28"/>
                <w:lang w:eastAsia="en-GB"/>
              </w:rPr>
              <w:t> </w:t>
            </w:r>
          </w:p>
        </w:tc>
        <w:tc>
          <w:tcPr>
            <w:tcW w:w="960" w:type="dxa"/>
            <w:tcBorders>
              <w:top w:val="nil"/>
              <w:left w:val="nil"/>
              <w:bottom w:val="nil"/>
              <w:right w:val="nil"/>
            </w:tcBorders>
            <w:shd w:val="clear" w:color="000000" w:fill="FFFFFF"/>
            <w:noWrap/>
            <w:vAlign w:val="bottom"/>
            <w:hideMark/>
          </w:tcPr>
          <w:p w14:paraId="5D0A1B6B"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642B12" w14:paraId="287D5325" w14:textId="77777777" w:rsidTr="008F07FE">
        <w:trPr>
          <w:trHeight w:val="375"/>
          <w:jc w:val="center"/>
        </w:trPr>
        <w:tc>
          <w:tcPr>
            <w:tcW w:w="8417" w:type="dxa"/>
            <w:tcBorders>
              <w:top w:val="single" w:sz="4" w:space="0" w:color="auto"/>
              <w:left w:val="single" w:sz="4" w:space="0" w:color="auto"/>
              <w:bottom w:val="single" w:sz="4" w:space="0" w:color="auto"/>
              <w:right w:val="nil"/>
            </w:tcBorders>
            <w:shd w:val="clear" w:color="000000" w:fill="C00000"/>
            <w:noWrap/>
            <w:vAlign w:val="bottom"/>
            <w:hideMark/>
          </w:tcPr>
          <w:p w14:paraId="6602056F" w14:textId="77777777" w:rsidR="004E6AB2" w:rsidRPr="00642B12" w:rsidRDefault="004E6AB2" w:rsidP="004E6AB2">
            <w:pPr>
              <w:spacing w:after="0" w:line="240" w:lineRule="auto"/>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Section</w:t>
            </w:r>
          </w:p>
        </w:tc>
        <w:tc>
          <w:tcPr>
            <w:tcW w:w="9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6976151" w14:textId="77777777" w:rsidR="004E6AB2" w:rsidRPr="00642B12" w:rsidRDefault="004E6AB2" w:rsidP="004E6AB2">
            <w:pPr>
              <w:spacing w:after="0" w:line="240" w:lineRule="auto"/>
              <w:jc w:val="right"/>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Page</w:t>
            </w:r>
          </w:p>
        </w:tc>
      </w:tr>
      <w:tr w:rsidR="00F82411" w:rsidRPr="00642B12" w14:paraId="616EEC49" w14:textId="77777777" w:rsidTr="008F07FE">
        <w:trPr>
          <w:trHeight w:val="600"/>
          <w:jc w:val="center"/>
        </w:trPr>
        <w:tc>
          <w:tcPr>
            <w:tcW w:w="8417" w:type="dxa"/>
            <w:tcBorders>
              <w:top w:val="nil"/>
              <w:left w:val="single" w:sz="4" w:space="0" w:color="auto"/>
              <w:bottom w:val="nil"/>
              <w:right w:val="nil"/>
            </w:tcBorders>
            <w:shd w:val="clear" w:color="000000" w:fill="FFFFFF"/>
            <w:vAlign w:val="center"/>
            <w:hideMark/>
          </w:tcPr>
          <w:p w14:paraId="6AEB6983"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Narrative Report</w:t>
            </w:r>
          </w:p>
        </w:tc>
        <w:tc>
          <w:tcPr>
            <w:tcW w:w="960" w:type="dxa"/>
            <w:tcBorders>
              <w:top w:val="nil"/>
              <w:left w:val="single" w:sz="4" w:space="0" w:color="auto"/>
              <w:bottom w:val="nil"/>
              <w:right w:val="single" w:sz="4" w:space="0" w:color="auto"/>
            </w:tcBorders>
            <w:shd w:val="clear" w:color="000000" w:fill="FFFFFF"/>
            <w:noWrap/>
            <w:vAlign w:val="center"/>
            <w:hideMark/>
          </w:tcPr>
          <w:p w14:paraId="643BB3D5" w14:textId="77777777" w:rsidR="00F82411" w:rsidRPr="00642B12" w:rsidRDefault="00F82411" w:rsidP="00F82411">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3 </w:t>
            </w:r>
          </w:p>
        </w:tc>
      </w:tr>
      <w:tr w:rsidR="00F82411" w:rsidRPr="00642B12" w14:paraId="42A10F8E" w14:textId="77777777" w:rsidTr="008F07FE">
        <w:trPr>
          <w:trHeight w:val="600"/>
          <w:jc w:val="center"/>
        </w:trPr>
        <w:tc>
          <w:tcPr>
            <w:tcW w:w="8417" w:type="dxa"/>
            <w:tcBorders>
              <w:top w:val="nil"/>
              <w:left w:val="single" w:sz="4" w:space="0" w:color="auto"/>
              <w:bottom w:val="nil"/>
              <w:right w:val="nil"/>
            </w:tcBorders>
            <w:shd w:val="clear" w:color="000000" w:fill="FFE1E1"/>
            <w:vAlign w:val="center"/>
            <w:hideMark/>
          </w:tcPr>
          <w:p w14:paraId="776B9AA9"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Statement of responsibilities for the Statement of Accounts</w:t>
            </w:r>
          </w:p>
        </w:tc>
        <w:tc>
          <w:tcPr>
            <w:tcW w:w="960" w:type="dxa"/>
            <w:tcBorders>
              <w:top w:val="nil"/>
              <w:left w:val="single" w:sz="4" w:space="0" w:color="auto"/>
              <w:bottom w:val="nil"/>
              <w:right w:val="single" w:sz="4" w:space="0" w:color="auto"/>
            </w:tcBorders>
            <w:shd w:val="clear" w:color="000000" w:fill="FFE1E1"/>
            <w:noWrap/>
            <w:vAlign w:val="center"/>
            <w:hideMark/>
          </w:tcPr>
          <w:p w14:paraId="7619460B" w14:textId="6A7D8BDC" w:rsidR="00F82411" w:rsidRPr="00642B12" w:rsidRDefault="00C31654" w:rsidP="003D233C">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 xml:space="preserve"> </w:t>
            </w:r>
            <w:r w:rsidR="005D747F" w:rsidRPr="00642B12">
              <w:rPr>
                <w:rFonts w:eastAsia="Times New Roman" w:cstheme="minorHAnsi"/>
                <w:b/>
                <w:color w:val="000000"/>
                <w:lang w:eastAsia="en-GB"/>
              </w:rPr>
              <w:t>1</w:t>
            </w:r>
            <w:r w:rsidR="00490BDE">
              <w:rPr>
                <w:rFonts w:eastAsia="Times New Roman" w:cstheme="minorHAnsi"/>
                <w:b/>
                <w:color w:val="000000"/>
                <w:lang w:eastAsia="en-GB"/>
              </w:rPr>
              <w:t>4</w:t>
            </w:r>
          </w:p>
        </w:tc>
      </w:tr>
      <w:tr w:rsidR="00623F5D" w:rsidRPr="00642B12" w14:paraId="26EE75EB"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7DE824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Statement of Accounting Policies</w:t>
            </w:r>
          </w:p>
        </w:tc>
        <w:tc>
          <w:tcPr>
            <w:tcW w:w="960" w:type="dxa"/>
            <w:tcBorders>
              <w:top w:val="nil"/>
              <w:left w:val="single" w:sz="4" w:space="0" w:color="auto"/>
              <w:bottom w:val="nil"/>
              <w:right w:val="single" w:sz="4" w:space="0" w:color="auto"/>
            </w:tcBorders>
            <w:shd w:val="clear" w:color="000000" w:fill="FFFFFF"/>
            <w:noWrap/>
            <w:vAlign w:val="center"/>
          </w:tcPr>
          <w:p w14:paraId="6E394A90" w14:textId="4BE039AA" w:rsidR="00623F5D" w:rsidRPr="00642B12" w:rsidRDefault="00107E32"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1</w:t>
            </w:r>
            <w:r w:rsidR="00490BDE">
              <w:rPr>
                <w:rFonts w:eastAsia="Times New Roman" w:cstheme="minorHAnsi"/>
                <w:b/>
                <w:color w:val="000000"/>
                <w:lang w:eastAsia="en-GB"/>
              </w:rPr>
              <w:t>5</w:t>
            </w:r>
          </w:p>
        </w:tc>
      </w:tr>
      <w:tr w:rsidR="00623F5D" w:rsidRPr="00642B12" w14:paraId="181C947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252E78BD"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Accounting Statements</w:t>
            </w:r>
          </w:p>
        </w:tc>
        <w:tc>
          <w:tcPr>
            <w:tcW w:w="960" w:type="dxa"/>
            <w:tcBorders>
              <w:top w:val="nil"/>
              <w:left w:val="single" w:sz="4" w:space="0" w:color="auto"/>
              <w:bottom w:val="nil"/>
              <w:right w:val="single" w:sz="4" w:space="0" w:color="auto"/>
            </w:tcBorders>
            <w:shd w:val="clear" w:color="000000" w:fill="FFE1E1"/>
            <w:noWrap/>
            <w:vAlign w:val="center"/>
          </w:tcPr>
          <w:p w14:paraId="02DA9F44" w14:textId="4ACEBAE9"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2</w:t>
            </w:r>
          </w:p>
        </w:tc>
      </w:tr>
      <w:tr w:rsidR="00623F5D" w:rsidRPr="00642B12" w14:paraId="6F2E951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B77C1B8"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Comprehensive Income and Expenditure Statement</w:t>
            </w:r>
          </w:p>
        </w:tc>
        <w:tc>
          <w:tcPr>
            <w:tcW w:w="960" w:type="dxa"/>
            <w:tcBorders>
              <w:top w:val="nil"/>
              <w:left w:val="single" w:sz="4" w:space="0" w:color="auto"/>
              <w:bottom w:val="nil"/>
              <w:right w:val="single" w:sz="4" w:space="0" w:color="auto"/>
            </w:tcBorders>
            <w:shd w:val="clear" w:color="000000" w:fill="FFFFFF"/>
            <w:noWrap/>
            <w:vAlign w:val="center"/>
          </w:tcPr>
          <w:p w14:paraId="5C4F7454" w14:textId="360B0F83"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2</w:t>
            </w:r>
          </w:p>
        </w:tc>
      </w:tr>
      <w:tr w:rsidR="00623F5D" w:rsidRPr="00642B12" w14:paraId="11F95B69"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691AF76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Movement in Reserves Statement</w:t>
            </w:r>
          </w:p>
        </w:tc>
        <w:tc>
          <w:tcPr>
            <w:tcW w:w="960" w:type="dxa"/>
            <w:tcBorders>
              <w:top w:val="nil"/>
              <w:left w:val="single" w:sz="4" w:space="0" w:color="auto"/>
              <w:bottom w:val="nil"/>
              <w:right w:val="single" w:sz="4" w:space="0" w:color="auto"/>
            </w:tcBorders>
            <w:shd w:val="clear" w:color="000000" w:fill="FFE1E1"/>
            <w:noWrap/>
            <w:vAlign w:val="center"/>
          </w:tcPr>
          <w:p w14:paraId="4A935A3B" w14:textId="0E55ED05"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3</w:t>
            </w:r>
          </w:p>
        </w:tc>
      </w:tr>
      <w:tr w:rsidR="00623F5D" w:rsidRPr="00642B12" w14:paraId="45FFF6AD"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263473A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Balance Sheet</w:t>
            </w:r>
          </w:p>
        </w:tc>
        <w:tc>
          <w:tcPr>
            <w:tcW w:w="960" w:type="dxa"/>
            <w:tcBorders>
              <w:top w:val="nil"/>
              <w:left w:val="single" w:sz="4" w:space="0" w:color="auto"/>
              <w:bottom w:val="nil"/>
              <w:right w:val="single" w:sz="4" w:space="0" w:color="auto"/>
            </w:tcBorders>
            <w:shd w:val="clear" w:color="000000" w:fill="FFFFFF"/>
            <w:noWrap/>
            <w:vAlign w:val="center"/>
          </w:tcPr>
          <w:p w14:paraId="4546BE51" w14:textId="749392DC"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4</w:t>
            </w:r>
          </w:p>
        </w:tc>
      </w:tr>
      <w:tr w:rsidR="00623F5D" w:rsidRPr="00642B12" w14:paraId="6DB1C9DC"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07A72F1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Cashflow Statement</w:t>
            </w:r>
          </w:p>
        </w:tc>
        <w:tc>
          <w:tcPr>
            <w:tcW w:w="960" w:type="dxa"/>
            <w:tcBorders>
              <w:top w:val="nil"/>
              <w:left w:val="single" w:sz="4" w:space="0" w:color="auto"/>
              <w:bottom w:val="nil"/>
              <w:right w:val="single" w:sz="4" w:space="0" w:color="auto"/>
            </w:tcBorders>
            <w:shd w:val="clear" w:color="000000" w:fill="FFE1E1"/>
            <w:noWrap/>
            <w:vAlign w:val="center"/>
          </w:tcPr>
          <w:p w14:paraId="33C6D3A2" w14:textId="3647D6DB"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5</w:t>
            </w:r>
          </w:p>
        </w:tc>
      </w:tr>
      <w:tr w:rsidR="00623F5D" w:rsidRPr="00642B12" w14:paraId="21335F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5899FF39"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Notes to the Accounts</w:t>
            </w:r>
          </w:p>
        </w:tc>
        <w:tc>
          <w:tcPr>
            <w:tcW w:w="960" w:type="dxa"/>
            <w:tcBorders>
              <w:top w:val="nil"/>
              <w:left w:val="single" w:sz="4" w:space="0" w:color="auto"/>
              <w:bottom w:val="nil"/>
              <w:right w:val="single" w:sz="4" w:space="0" w:color="auto"/>
            </w:tcBorders>
            <w:shd w:val="clear" w:color="000000" w:fill="FFFFFF"/>
            <w:noWrap/>
            <w:vAlign w:val="center"/>
          </w:tcPr>
          <w:p w14:paraId="26E102C1" w14:textId="11FBF0EE" w:rsidR="00623F5D" w:rsidRPr="00642B12" w:rsidRDefault="005E0A8A"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490BDE">
              <w:rPr>
                <w:rFonts w:eastAsia="Times New Roman" w:cstheme="minorHAnsi"/>
                <w:b/>
                <w:color w:val="000000"/>
                <w:lang w:eastAsia="en-GB"/>
              </w:rPr>
              <w:t>6</w:t>
            </w:r>
          </w:p>
        </w:tc>
      </w:tr>
      <w:tr w:rsidR="00623F5D" w:rsidRPr="00642B12" w14:paraId="175EF462"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AEF5CC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Firefighters Pension Fund Account</w:t>
            </w:r>
          </w:p>
        </w:tc>
        <w:tc>
          <w:tcPr>
            <w:tcW w:w="960" w:type="dxa"/>
            <w:tcBorders>
              <w:top w:val="nil"/>
              <w:left w:val="single" w:sz="4" w:space="0" w:color="auto"/>
              <w:bottom w:val="nil"/>
              <w:right w:val="single" w:sz="4" w:space="0" w:color="auto"/>
            </w:tcBorders>
            <w:shd w:val="clear" w:color="000000" w:fill="FFE1E1"/>
            <w:noWrap/>
            <w:vAlign w:val="center"/>
          </w:tcPr>
          <w:p w14:paraId="5BC7B45B" w14:textId="79C12A09" w:rsidR="00623F5D" w:rsidRPr="00642B12" w:rsidRDefault="0032018A" w:rsidP="00623F5D">
            <w:pPr>
              <w:spacing w:after="0" w:line="240" w:lineRule="auto"/>
              <w:jc w:val="right"/>
              <w:rPr>
                <w:rFonts w:eastAsia="Times New Roman" w:cstheme="minorHAnsi"/>
                <w:b/>
                <w:color w:val="000000"/>
                <w:lang w:eastAsia="en-GB"/>
              </w:rPr>
            </w:pPr>
            <w:r>
              <w:rPr>
                <w:rFonts w:eastAsia="Times New Roman" w:cstheme="minorHAnsi"/>
                <w:b/>
                <w:color w:val="000000"/>
                <w:lang w:eastAsia="en-GB"/>
              </w:rPr>
              <w:t>49</w:t>
            </w:r>
          </w:p>
        </w:tc>
      </w:tr>
      <w:tr w:rsidR="009C08F4" w:rsidRPr="00642B12" w14:paraId="69CEC4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0D2079A" w14:textId="77777777" w:rsidR="009C08F4" w:rsidRPr="00642B12" w:rsidRDefault="009C08F4" w:rsidP="009C08F4">
            <w:pPr>
              <w:spacing w:after="0" w:line="240" w:lineRule="auto"/>
              <w:rPr>
                <w:rFonts w:eastAsia="Times New Roman" w:cstheme="minorHAnsi"/>
                <w:b/>
                <w:bCs/>
                <w:lang w:eastAsia="en-GB"/>
              </w:rPr>
            </w:pPr>
            <w:r w:rsidRPr="00642B12">
              <w:rPr>
                <w:rFonts w:eastAsia="Times New Roman" w:cstheme="minorHAnsi"/>
                <w:b/>
                <w:bCs/>
                <w:lang w:eastAsia="en-GB"/>
              </w:rPr>
              <w:t>Notes to Firefighters Pension Fund Account</w:t>
            </w:r>
          </w:p>
        </w:tc>
        <w:tc>
          <w:tcPr>
            <w:tcW w:w="960" w:type="dxa"/>
            <w:tcBorders>
              <w:top w:val="nil"/>
              <w:left w:val="single" w:sz="4" w:space="0" w:color="auto"/>
              <w:bottom w:val="nil"/>
              <w:right w:val="single" w:sz="4" w:space="0" w:color="auto"/>
            </w:tcBorders>
            <w:shd w:val="clear" w:color="000000" w:fill="FFFFFF"/>
            <w:noWrap/>
            <w:vAlign w:val="center"/>
          </w:tcPr>
          <w:p w14:paraId="047A7B09" w14:textId="19996C42" w:rsidR="009C08F4" w:rsidRPr="00642B12" w:rsidRDefault="00B658F9" w:rsidP="009C08F4">
            <w:pPr>
              <w:spacing w:after="0" w:line="240" w:lineRule="auto"/>
              <w:jc w:val="right"/>
              <w:rPr>
                <w:rFonts w:eastAsia="Times New Roman" w:cstheme="minorHAnsi"/>
                <w:b/>
                <w:color w:val="000000"/>
                <w:lang w:eastAsia="en-GB"/>
              </w:rPr>
            </w:pPr>
            <w:r>
              <w:rPr>
                <w:rFonts w:eastAsia="Times New Roman" w:cstheme="minorHAnsi"/>
                <w:b/>
                <w:color w:val="000000"/>
                <w:lang w:eastAsia="en-GB"/>
              </w:rPr>
              <w:t>5</w:t>
            </w:r>
            <w:r w:rsidR="0032018A">
              <w:rPr>
                <w:rFonts w:eastAsia="Times New Roman" w:cstheme="minorHAnsi"/>
                <w:b/>
                <w:color w:val="000000"/>
                <w:lang w:eastAsia="en-GB"/>
              </w:rPr>
              <w:t>0</w:t>
            </w:r>
          </w:p>
        </w:tc>
      </w:tr>
      <w:tr w:rsidR="009C08F4" w:rsidRPr="00642B12" w14:paraId="2B6306DE"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3C613069" w14:textId="77777777" w:rsidR="009C08F4" w:rsidRPr="00642B12" w:rsidRDefault="009C08F4" w:rsidP="009C08F4">
            <w:pPr>
              <w:spacing w:after="0" w:line="240" w:lineRule="auto"/>
              <w:rPr>
                <w:rFonts w:eastAsia="Times New Roman" w:cstheme="minorHAnsi"/>
                <w:b/>
                <w:bCs/>
                <w:lang w:eastAsia="en-GB"/>
              </w:rPr>
            </w:pPr>
            <w:r w:rsidRPr="00642B12">
              <w:rPr>
                <w:rFonts w:eastAsia="Times New Roman" w:cstheme="minorHAnsi"/>
                <w:b/>
                <w:bCs/>
                <w:lang w:eastAsia="en-GB"/>
              </w:rPr>
              <w:t>Governance Statement</w:t>
            </w:r>
          </w:p>
        </w:tc>
        <w:tc>
          <w:tcPr>
            <w:tcW w:w="960" w:type="dxa"/>
            <w:tcBorders>
              <w:top w:val="nil"/>
              <w:left w:val="single" w:sz="4" w:space="0" w:color="auto"/>
              <w:bottom w:val="nil"/>
              <w:right w:val="single" w:sz="4" w:space="0" w:color="auto"/>
            </w:tcBorders>
            <w:shd w:val="clear" w:color="000000" w:fill="FFE1E1"/>
            <w:noWrap/>
            <w:vAlign w:val="center"/>
          </w:tcPr>
          <w:p w14:paraId="778B059B" w14:textId="4033C334" w:rsidR="009C08F4" w:rsidRPr="00642B12" w:rsidRDefault="00B658F9"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5</w:t>
            </w:r>
            <w:r w:rsidR="0032018A">
              <w:rPr>
                <w:rFonts w:eastAsia="Times New Roman" w:cstheme="minorHAnsi"/>
                <w:b/>
                <w:color w:val="000000"/>
                <w:lang w:eastAsia="en-GB"/>
              </w:rPr>
              <w:t>1</w:t>
            </w:r>
          </w:p>
        </w:tc>
      </w:tr>
      <w:tr w:rsidR="009C08F4" w:rsidRPr="00642B12" w14:paraId="52DECA7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10B3A5C" w14:textId="306DC218" w:rsidR="009C08F4" w:rsidRPr="00642B12" w:rsidRDefault="00490BDE" w:rsidP="009C08F4">
            <w:pPr>
              <w:spacing w:after="0" w:line="240" w:lineRule="auto"/>
              <w:rPr>
                <w:rFonts w:eastAsia="Times New Roman" w:cstheme="minorHAnsi"/>
                <w:b/>
                <w:bCs/>
                <w:lang w:eastAsia="en-GB"/>
              </w:rPr>
            </w:pPr>
            <w:r>
              <w:rPr>
                <w:rFonts w:eastAsia="Times New Roman" w:cstheme="minorHAnsi"/>
                <w:b/>
                <w:bCs/>
                <w:lang w:eastAsia="en-GB"/>
              </w:rPr>
              <w:t>Glossary</w:t>
            </w:r>
          </w:p>
        </w:tc>
        <w:tc>
          <w:tcPr>
            <w:tcW w:w="960" w:type="dxa"/>
            <w:tcBorders>
              <w:top w:val="nil"/>
              <w:left w:val="single" w:sz="4" w:space="0" w:color="auto"/>
              <w:bottom w:val="nil"/>
              <w:right w:val="single" w:sz="4" w:space="0" w:color="auto"/>
            </w:tcBorders>
            <w:shd w:val="clear" w:color="000000" w:fill="FFFFFF"/>
            <w:noWrap/>
            <w:vAlign w:val="center"/>
          </w:tcPr>
          <w:p w14:paraId="76CA8860" w14:textId="1C626037" w:rsidR="009C08F4" w:rsidRPr="00642B12" w:rsidRDefault="00B658F9"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32018A">
              <w:rPr>
                <w:rFonts w:eastAsia="Times New Roman" w:cstheme="minorHAnsi"/>
                <w:b/>
                <w:color w:val="000000"/>
                <w:lang w:eastAsia="en-GB"/>
              </w:rPr>
              <w:t>1</w:t>
            </w:r>
          </w:p>
        </w:tc>
      </w:tr>
      <w:tr w:rsidR="009C08F4" w:rsidRPr="00642B12" w14:paraId="288EBB4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80A910C" w14:textId="52B2EAC9" w:rsidR="009C08F4" w:rsidRPr="00642B12" w:rsidRDefault="00490BDE" w:rsidP="009C08F4">
            <w:pPr>
              <w:spacing w:after="0" w:line="240" w:lineRule="auto"/>
              <w:rPr>
                <w:rFonts w:eastAsia="Times New Roman" w:cstheme="minorHAnsi"/>
                <w:b/>
                <w:bCs/>
                <w:lang w:eastAsia="en-GB"/>
              </w:rPr>
            </w:pPr>
            <w:r w:rsidRPr="00642B12">
              <w:rPr>
                <w:rFonts w:eastAsia="Times New Roman" w:cstheme="minorHAnsi"/>
                <w:b/>
                <w:bCs/>
                <w:lang w:eastAsia="en-GB"/>
              </w:rPr>
              <w:t>Independent Auditor's report to the Police, Fire and Crime Commissioner for Northamptonshire</w:t>
            </w:r>
          </w:p>
        </w:tc>
        <w:tc>
          <w:tcPr>
            <w:tcW w:w="960" w:type="dxa"/>
            <w:tcBorders>
              <w:top w:val="nil"/>
              <w:left w:val="single" w:sz="4" w:space="0" w:color="auto"/>
              <w:bottom w:val="nil"/>
              <w:right w:val="single" w:sz="4" w:space="0" w:color="auto"/>
            </w:tcBorders>
            <w:shd w:val="clear" w:color="000000" w:fill="FFE1E1"/>
            <w:noWrap/>
            <w:vAlign w:val="center"/>
          </w:tcPr>
          <w:p w14:paraId="586B5452" w14:textId="1918B61C" w:rsidR="009C08F4" w:rsidRPr="00642B12" w:rsidRDefault="00F6080C"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32018A">
              <w:rPr>
                <w:rFonts w:eastAsia="Times New Roman" w:cstheme="minorHAnsi"/>
                <w:b/>
                <w:color w:val="000000"/>
                <w:lang w:eastAsia="en-GB"/>
              </w:rPr>
              <w:t>7</w:t>
            </w:r>
          </w:p>
        </w:tc>
      </w:tr>
      <w:tr w:rsidR="009C08F4" w:rsidRPr="007F07C2" w14:paraId="29B95EDF" w14:textId="77777777" w:rsidTr="009C08F4">
        <w:trPr>
          <w:trHeight w:val="600"/>
          <w:jc w:val="center"/>
        </w:trPr>
        <w:tc>
          <w:tcPr>
            <w:tcW w:w="8417" w:type="dxa"/>
            <w:tcBorders>
              <w:top w:val="nil"/>
              <w:left w:val="single" w:sz="4" w:space="0" w:color="auto"/>
              <w:bottom w:val="single" w:sz="4" w:space="0" w:color="auto"/>
              <w:right w:val="nil"/>
            </w:tcBorders>
            <w:shd w:val="clear" w:color="000000" w:fill="FFFFFF"/>
            <w:vAlign w:val="center"/>
          </w:tcPr>
          <w:p w14:paraId="06B2BB48" w14:textId="77777777" w:rsidR="009C08F4" w:rsidRPr="007F07C2" w:rsidRDefault="009C08F4" w:rsidP="009C08F4">
            <w:pPr>
              <w:spacing w:after="0" w:line="240" w:lineRule="auto"/>
              <w:rPr>
                <w:rFonts w:ascii="Calibri" w:eastAsia="Times New Roman" w:hAnsi="Calibri" w:cs="Times New Roman"/>
                <w:b/>
                <w:bCs/>
                <w:lang w:eastAsia="en-GB"/>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11C766A4" w14:textId="77777777" w:rsidR="009C08F4" w:rsidRPr="007F07C2" w:rsidRDefault="009C08F4" w:rsidP="009C08F4">
            <w:pPr>
              <w:spacing w:after="0" w:line="240" w:lineRule="auto"/>
              <w:jc w:val="right"/>
              <w:rPr>
                <w:rFonts w:ascii="Calibri" w:eastAsia="Times New Roman" w:hAnsi="Calibri" w:cs="Times New Roman"/>
                <w:b/>
                <w:color w:val="000000"/>
                <w:lang w:eastAsia="en-GB"/>
              </w:rPr>
            </w:pPr>
          </w:p>
        </w:tc>
      </w:tr>
    </w:tbl>
    <w:p w14:paraId="47795AD1" w14:textId="77777777" w:rsidR="00103626" w:rsidRPr="007F07C2" w:rsidRDefault="00103626" w:rsidP="004E6AB2">
      <w:pPr>
        <w:pStyle w:val="Default"/>
        <w:rPr>
          <w:rFonts w:asciiTheme="minorHAnsi" w:hAnsiTheme="minorHAnsi"/>
          <w:b/>
          <w:color w:val="auto"/>
        </w:rPr>
      </w:pPr>
      <w:r w:rsidRPr="007F07C2">
        <w:rPr>
          <w:rFonts w:asciiTheme="minorHAnsi" w:hAnsiTheme="minorHAnsi"/>
          <w:color w:val="auto"/>
          <w:sz w:val="18"/>
          <w:szCs w:val="18"/>
        </w:rPr>
        <w:t xml:space="preserve"> </w:t>
      </w:r>
    </w:p>
    <w:p w14:paraId="159DDA8C" w14:textId="77777777" w:rsidR="00103626" w:rsidRPr="007F07C2" w:rsidRDefault="00103626" w:rsidP="004266A6">
      <w:pPr>
        <w:pStyle w:val="Default"/>
        <w:jc w:val="right"/>
        <w:rPr>
          <w:rFonts w:asciiTheme="minorHAnsi" w:hAnsiTheme="minorHAnsi"/>
          <w:color w:val="auto"/>
        </w:rPr>
      </w:pPr>
    </w:p>
    <w:p w14:paraId="63D5DF6F" w14:textId="77777777" w:rsidR="00124C7C" w:rsidRPr="007F07C2" w:rsidRDefault="00124C7C" w:rsidP="0079406E">
      <w:pPr>
        <w:pStyle w:val="Default"/>
        <w:rPr>
          <w:rFonts w:asciiTheme="minorHAnsi" w:hAnsiTheme="minorHAnsi"/>
          <w:color w:val="auto"/>
        </w:rPr>
      </w:pPr>
    </w:p>
    <w:p w14:paraId="1EE99678" w14:textId="77777777" w:rsidR="00124C7C" w:rsidRPr="007F07C2" w:rsidRDefault="00124C7C" w:rsidP="0079406E">
      <w:pPr>
        <w:pStyle w:val="Default"/>
        <w:rPr>
          <w:rFonts w:asciiTheme="minorHAnsi" w:hAnsiTheme="minorHAnsi"/>
          <w:b/>
          <w:bCs/>
          <w:color w:val="auto"/>
          <w:sz w:val="28"/>
          <w:szCs w:val="28"/>
        </w:rPr>
      </w:pPr>
    </w:p>
    <w:p w14:paraId="023E37B7" w14:textId="77777777" w:rsidR="00124C7C" w:rsidRPr="007F07C2" w:rsidRDefault="00124C7C" w:rsidP="0079406E">
      <w:pPr>
        <w:pStyle w:val="Default"/>
        <w:rPr>
          <w:rFonts w:asciiTheme="minorHAnsi" w:hAnsiTheme="minorHAnsi"/>
          <w:b/>
          <w:bCs/>
          <w:color w:val="auto"/>
          <w:sz w:val="28"/>
          <w:szCs w:val="28"/>
        </w:rPr>
      </w:pPr>
    </w:p>
    <w:p w14:paraId="27EC0AD9" w14:textId="77777777" w:rsidR="001F5EA1" w:rsidRPr="007F07C2" w:rsidRDefault="001F5EA1" w:rsidP="0079406E">
      <w:pPr>
        <w:pStyle w:val="Default"/>
        <w:rPr>
          <w:rFonts w:asciiTheme="minorHAnsi" w:hAnsiTheme="minorHAnsi"/>
          <w:b/>
          <w:bCs/>
          <w:color w:val="auto"/>
          <w:sz w:val="28"/>
          <w:szCs w:val="28"/>
        </w:rPr>
      </w:pPr>
    </w:p>
    <w:p w14:paraId="2568F67C" w14:textId="77777777" w:rsidR="001F5EA1" w:rsidRPr="007F07C2" w:rsidRDefault="001F5EA1" w:rsidP="0079406E">
      <w:pPr>
        <w:pStyle w:val="Default"/>
        <w:rPr>
          <w:rFonts w:asciiTheme="minorHAnsi" w:hAnsiTheme="minorHAnsi"/>
          <w:b/>
          <w:bCs/>
          <w:color w:val="auto"/>
          <w:sz w:val="28"/>
          <w:szCs w:val="28"/>
        </w:rPr>
      </w:pPr>
    </w:p>
    <w:p w14:paraId="46C4C0BF" w14:textId="77777777" w:rsidR="001F5EA1" w:rsidRPr="007F07C2" w:rsidRDefault="001F5EA1" w:rsidP="0079406E">
      <w:pPr>
        <w:pStyle w:val="Default"/>
        <w:rPr>
          <w:rFonts w:asciiTheme="minorHAnsi" w:hAnsiTheme="minorHAnsi"/>
          <w:b/>
          <w:bCs/>
          <w:color w:val="auto"/>
          <w:sz w:val="28"/>
          <w:szCs w:val="28"/>
        </w:rPr>
      </w:pPr>
    </w:p>
    <w:p w14:paraId="05234717" w14:textId="77777777" w:rsidR="001F5EA1" w:rsidRPr="007F07C2" w:rsidRDefault="001F5EA1" w:rsidP="0079406E">
      <w:pPr>
        <w:pStyle w:val="Default"/>
        <w:rPr>
          <w:rFonts w:asciiTheme="minorHAnsi" w:hAnsiTheme="minorHAnsi"/>
          <w:b/>
          <w:bCs/>
          <w:color w:val="auto"/>
          <w:sz w:val="28"/>
          <w:szCs w:val="28"/>
        </w:rPr>
      </w:pPr>
    </w:p>
    <w:p w14:paraId="356AFFD1" w14:textId="77777777" w:rsidR="001F5EA1" w:rsidRPr="007F07C2" w:rsidRDefault="001F5EA1" w:rsidP="0079406E">
      <w:pPr>
        <w:pStyle w:val="Default"/>
        <w:rPr>
          <w:rFonts w:asciiTheme="minorHAnsi" w:hAnsiTheme="minorHAnsi"/>
          <w:b/>
          <w:bCs/>
          <w:color w:val="auto"/>
          <w:sz w:val="28"/>
          <w:szCs w:val="28"/>
        </w:rPr>
      </w:pPr>
    </w:p>
    <w:p w14:paraId="64E4D32F" w14:textId="77777777" w:rsidR="00124C7C" w:rsidRPr="007F07C2" w:rsidRDefault="00124C7C" w:rsidP="0079406E">
      <w:pPr>
        <w:pStyle w:val="Default"/>
        <w:rPr>
          <w:rFonts w:asciiTheme="minorHAnsi" w:hAnsiTheme="minorHAnsi"/>
          <w:b/>
          <w:bCs/>
          <w:color w:val="auto"/>
          <w:sz w:val="28"/>
          <w:szCs w:val="28"/>
        </w:rPr>
      </w:pPr>
    </w:p>
    <w:p w14:paraId="39869F3F" w14:textId="77777777" w:rsidR="005C4182" w:rsidRPr="007F07C2" w:rsidRDefault="005C4182" w:rsidP="0079406E">
      <w:pPr>
        <w:pStyle w:val="Default"/>
        <w:rPr>
          <w:rFonts w:asciiTheme="minorHAnsi" w:hAnsiTheme="minorHAnsi"/>
          <w:b/>
          <w:bCs/>
          <w:color w:val="auto"/>
          <w:sz w:val="28"/>
          <w:szCs w:val="28"/>
        </w:rPr>
      </w:pPr>
    </w:p>
    <w:p w14:paraId="7C98004F" w14:textId="77777777" w:rsidR="005C4182" w:rsidRPr="007F07C2" w:rsidRDefault="005C4182" w:rsidP="0079406E">
      <w:pPr>
        <w:pStyle w:val="Default"/>
        <w:rPr>
          <w:rFonts w:asciiTheme="minorHAnsi" w:hAnsiTheme="minorHAnsi"/>
          <w:b/>
          <w:bCs/>
          <w:color w:val="auto"/>
          <w:sz w:val="28"/>
          <w:szCs w:val="28"/>
        </w:rPr>
      </w:pPr>
    </w:p>
    <w:p w14:paraId="6E50E164" w14:textId="77777777" w:rsidR="006408FD" w:rsidRPr="007F07C2" w:rsidRDefault="006408FD" w:rsidP="0079406E">
      <w:pPr>
        <w:pStyle w:val="Default"/>
        <w:rPr>
          <w:rFonts w:asciiTheme="minorHAnsi" w:hAnsiTheme="minorHAnsi"/>
          <w:b/>
          <w:bCs/>
          <w:color w:val="auto"/>
          <w:sz w:val="28"/>
          <w:szCs w:val="28"/>
        </w:rPr>
      </w:pPr>
    </w:p>
    <w:p w14:paraId="281FCE0D" w14:textId="73750847" w:rsidR="00B566EA" w:rsidRPr="004A0F0B" w:rsidRDefault="00B566EA" w:rsidP="00B566EA">
      <w:pPr>
        <w:pStyle w:val="Default"/>
        <w:rPr>
          <w:rFonts w:asciiTheme="minorHAnsi" w:hAnsiTheme="minorHAnsi"/>
          <w:b/>
          <w:bCs/>
          <w:color w:val="auto"/>
          <w:sz w:val="28"/>
          <w:szCs w:val="28"/>
        </w:rPr>
      </w:pPr>
      <w:r w:rsidRPr="004A0F0B">
        <w:rPr>
          <w:rFonts w:asciiTheme="minorHAnsi" w:hAnsiTheme="minorHAnsi"/>
          <w:b/>
          <w:bCs/>
          <w:color w:val="auto"/>
          <w:sz w:val="28"/>
          <w:szCs w:val="28"/>
        </w:rPr>
        <w:lastRenderedPageBreak/>
        <w:t xml:space="preserve">NARRATIVE REPORT </w:t>
      </w:r>
    </w:p>
    <w:p w14:paraId="67308E41" w14:textId="77777777" w:rsidR="00B566EA" w:rsidRPr="004A0F0B" w:rsidRDefault="00B566EA" w:rsidP="00B566EA">
      <w:pPr>
        <w:pStyle w:val="Default"/>
        <w:rPr>
          <w:rFonts w:asciiTheme="minorHAnsi" w:hAnsiTheme="minorHAnsi"/>
          <w:color w:val="auto"/>
          <w:sz w:val="16"/>
          <w:szCs w:val="28"/>
        </w:rPr>
      </w:pPr>
    </w:p>
    <w:p w14:paraId="1FEE6792" w14:textId="3D1A2CF3" w:rsidR="00B566EA" w:rsidRDefault="00B566EA" w:rsidP="00B566EA">
      <w:pPr>
        <w:pStyle w:val="Default"/>
        <w:rPr>
          <w:rFonts w:asciiTheme="minorHAnsi" w:hAnsiTheme="minorHAnsi"/>
          <w:b/>
          <w:bCs/>
          <w:color w:val="auto"/>
          <w:sz w:val="22"/>
          <w:szCs w:val="22"/>
        </w:rPr>
      </w:pPr>
      <w:r w:rsidRPr="004A0F0B">
        <w:rPr>
          <w:rFonts w:asciiTheme="minorHAnsi" w:hAnsiTheme="minorHAnsi"/>
          <w:b/>
          <w:bCs/>
          <w:color w:val="auto"/>
          <w:sz w:val="22"/>
          <w:szCs w:val="22"/>
        </w:rPr>
        <w:t xml:space="preserve">BY THE CHIEF FINANCE OFFICER </w:t>
      </w:r>
    </w:p>
    <w:p w14:paraId="303B4BCE" w14:textId="06467C11" w:rsidR="00B566EA" w:rsidRDefault="00B566EA" w:rsidP="00B566EA">
      <w:pPr>
        <w:pStyle w:val="Default"/>
        <w:rPr>
          <w:rFonts w:asciiTheme="minorHAnsi" w:hAnsiTheme="minorHAnsi"/>
          <w:b/>
          <w:bCs/>
          <w:color w:val="auto"/>
          <w:sz w:val="6"/>
          <w:szCs w:val="6"/>
        </w:rPr>
      </w:pPr>
    </w:p>
    <w:p w14:paraId="59125D8F" w14:textId="77777777" w:rsidR="00B566EA" w:rsidRPr="00B566EA" w:rsidRDefault="00B566EA" w:rsidP="00B566EA">
      <w:pPr>
        <w:pStyle w:val="Default"/>
        <w:rPr>
          <w:rFonts w:asciiTheme="minorHAnsi" w:hAnsiTheme="minorHAnsi"/>
          <w:b/>
          <w:bCs/>
          <w:color w:val="auto"/>
          <w:sz w:val="6"/>
          <w:szCs w:val="6"/>
        </w:rPr>
      </w:pPr>
    </w:p>
    <w:p w14:paraId="18080177"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 xml:space="preserve">Introduction </w:t>
      </w:r>
    </w:p>
    <w:p w14:paraId="062CF944" w14:textId="49042AB9"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Authority’s financial performance for the full year ended in 31 March 2022 is as set out in the Comprehensive Income &amp; Expenditure Statement and its financial position is as set out in the Balance Sheet and Cash Flow Statement. These financial statements have been prepared in line with the Code of Practice on Local Authority Accounting United Kingdom 2021</w:t>
      </w:r>
      <w:r w:rsidR="00ED2A06">
        <w:rPr>
          <w:rFonts w:asciiTheme="minorHAnsi" w:hAnsiTheme="minorHAnsi" w:cstheme="minorHAnsi"/>
          <w:color w:val="auto"/>
          <w:sz w:val="22"/>
          <w:szCs w:val="22"/>
        </w:rPr>
        <w:t>/</w:t>
      </w:r>
      <w:r w:rsidRPr="00642B12">
        <w:rPr>
          <w:rFonts w:asciiTheme="minorHAnsi" w:hAnsiTheme="minorHAnsi" w:cstheme="minorHAnsi"/>
          <w:color w:val="auto"/>
          <w:sz w:val="22"/>
          <w:szCs w:val="22"/>
        </w:rPr>
        <w:t xml:space="preserve">22. It is the purpose of this report to explain, in an easily understandable way, the financial facts in relation to the Authority. </w:t>
      </w:r>
    </w:p>
    <w:p w14:paraId="066360AD" w14:textId="77777777" w:rsidR="00B566EA" w:rsidRPr="004A0F0B" w:rsidRDefault="00B566EA" w:rsidP="00B566EA">
      <w:pPr>
        <w:pStyle w:val="Default"/>
        <w:rPr>
          <w:rFonts w:asciiTheme="minorHAnsi" w:hAnsiTheme="minorHAnsi"/>
          <w:color w:val="auto"/>
          <w:sz w:val="22"/>
          <w:szCs w:val="22"/>
          <w:highlight w:val="yellow"/>
        </w:rPr>
      </w:pPr>
    </w:p>
    <w:p w14:paraId="2D807E7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Northamptonshire</w:t>
      </w:r>
    </w:p>
    <w:p w14:paraId="357FE50F" w14:textId="77777777" w:rsidR="00B566EA" w:rsidRPr="00642B12" w:rsidRDefault="00B566EA" w:rsidP="00B566EA">
      <w:pPr>
        <w:rPr>
          <w:rFonts w:cstheme="minorHAnsi"/>
        </w:rPr>
      </w:pPr>
      <w:r w:rsidRPr="00642B12">
        <w:rPr>
          <w:rFonts w:cstheme="minorHAnsi"/>
        </w:rPr>
        <w:t>The county of Northamptonshire covers an area of 913 square miles and has an estimated population of almost 755,000 people (source: Office of National Statistics mid 2019 population).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06833DC7" w14:textId="3B46E625" w:rsidR="00B566EA" w:rsidRPr="00642B12" w:rsidRDefault="00B566EA" w:rsidP="00B566EA">
      <w:pPr>
        <w:rPr>
          <w:rFonts w:cstheme="minorHAnsi"/>
        </w:rPr>
      </w:pPr>
      <w:r w:rsidRPr="00642B12">
        <w:rPr>
          <w:rFonts w:cstheme="minorHAnsi"/>
        </w:rPr>
        <w:t>Prior to 2021</w:t>
      </w:r>
      <w:r w:rsidR="00ED2A06">
        <w:rPr>
          <w:rFonts w:cstheme="minorHAnsi"/>
        </w:rPr>
        <w:t>/</w:t>
      </w:r>
      <w:r w:rsidRPr="00642B12">
        <w:rPr>
          <w:rFonts w:cstheme="minorHAnsi"/>
        </w:rPr>
        <w:t>22, the county was serviced by seven borough/district councils. On 1 April 2021, these were consolidated into two unitary authorities (North and West Northamptonshire) through the reorganisation of local government in Northamptonshire as directed by Central Government.  Fire and Rescue Services provided by Northamptonshire Commissioner Fire and Rescue Authority continue to service the whole of Northamptonshire.</w:t>
      </w:r>
    </w:p>
    <w:p w14:paraId="73E5C026" w14:textId="77777777" w:rsidR="00B566EA" w:rsidRPr="004A0F0B" w:rsidRDefault="00B566EA" w:rsidP="00B566EA">
      <w:pPr>
        <w:pStyle w:val="NewSoAHeading"/>
        <w:jc w:val="center"/>
        <w:rPr>
          <w:rFonts w:asciiTheme="minorHAnsi" w:hAnsiTheme="minorHAnsi"/>
          <w:sz w:val="22"/>
          <w:szCs w:val="22"/>
          <w:highlight w:val="yellow"/>
        </w:rPr>
      </w:pPr>
      <w:r w:rsidRPr="004A0F0B">
        <w:rPr>
          <w:rFonts w:asciiTheme="minorHAnsi" w:hAnsiTheme="minorHAnsi"/>
          <w:noProof/>
          <w:sz w:val="22"/>
          <w:szCs w:val="22"/>
          <w:highlight w:val="yellow"/>
        </w:rPr>
        <w:drawing>
          <wp:inline distT="0" distB="0" distL="0" distR="0" wp14:anchorId="3BA32C4D" wp14:editId="0C7A1A82">
            <wp:extent cx="3317875"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C44BE.tmp"/>
                    <pic:cNvPicPr/>
                  </pic:nvPicPr>
                  <pic:blipFill>
                    <a:blip r:embed="rId10">
                      <a:extLst>
                        <a:ext uri="{28A0092B-C50C-407E-A947-70E740481C1C}">
                          <a14:useLocalDpi xmlns:a14="http://schemas.microsoft.com/office/drawing/2010/main" val="0"/>
                        </a:ext>
                      </a:extLst>
                    </a:blip>
                    <a:stretch>
                      <a:fillRect/>
                    </a:stretch>
                  </pic:blipFill>
                  <pic:spPr>
                    <a:xfrm>
                      <a:off x="0" y="0"/>
                      <a:ext cx="3384027" cy="3283640"/>
                    </a:xfrm>
                    <a:prstGeom prst="rect">
                      <a:avLst/>
                    </a:prstGeom>
                  </pic:spPr>
                </pic:pic>
              </a:graphicData>
            </a:graphic>
          </wp:inline>
        </w:drawing>
      </w:r>
    </w:p>
    <w:p w14:paraId="50096F3C" w14:textId="47749859" w:rsidR="00B566EA" w:rsidRPr="00642B12" w:rsidRDefault="00B566EA" w:rsidP="00B566EA">
      <w:pPr>
        <w:rPr>
          <w:rFonts w:cstheme="minorHAnsi"/>
        </w:rPr>
      </w:pPr>
      <w:r w:rsidRPr="00642B12">
        <w:rPr>
          <w:rFonts w:cstheme="minorHAnsi"/>
        </w:rPr>
        <w:t xml:space="preserve">Northamptonshire is a very fast growing county and the Joint Strategic Needs Assessment (JSNA) Demography Insight Pack 2020 described latest estimates put Northamptonshire’s population at 753,278 people (all ages) in 2019, up from 747,622 in 2018. The county has had above (national) average population growth in recent decades. In the past 10 years the population of Northamptonshire has grown by an estimated 10.2% versus a 7.84% England average. </w:t>
      </w:r>
      <w:r w:rsidR="00D82121">
        <w:rPr>
          <w:rFonts w:cstheme="minorHAnsi"/>
        </w:rPr>
        <w:t>L</w:t>
      </w:r>
      <w:r w:rsidRPr="00642B12">
        <w:rPr>
          <w:rFonts w:cstheme="minorHAnsi"/>
        </w:rPr>
        <w:t>ooking back over the past 30 years the growth gap is even greater</w:t>
      </w:r>
      <w:r w:rsidR="00D82121">
        <w:rPr>
          <w:rFonts w:cstheme="minorHAnsi"/>
        </w:rPr>
        <w:t>,</w:t>
      </w:r>
      <w:r w:rsidRPr="00642B12">
        <w:rPr>
          <w:rFonts w:cstheme="minorHAnsi"/>
        </w:rPr>
        <w:t xml:space="preserve"> with an estimated increase of 30.9% between 1989 and 2019 in Northamptonshire compared with 18.4% across England.</w:t>
      </w:r>
    </w:p>
    <w:p w14:paraId="14FD2D56" w14:textId="77777777" w:rsidR="00B566EA" w:rsidRPr="00FF3FFB" w:rsidRDefault="00B566EA" w:rsidP="00B566EA">
      <w:pPr>
        <w:pStyle w:val="Default"/>
        <w:rPr>
          <w:rFonts w:asciiTheme="minorHAnsi" w:hAnsiTheme="minorHAnsi"/>
          <w:b/>
          <w:bCs/>
          <w:color w:val="auto"/>
          <w:sz w:val="22"/>
          <w:szCs w:val="22"/>
        </w:rPr>
      </w:pPr>
    </w:p>
    <w:p w14:paraId="4FC0FC3B"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 xml:space="preserve">Northamptonshire Commissioner Fire and Rescue Authority (NCFRA) </w:t>
      </w:r>
    </w:p>
    <w:p w14:paraId="399941EB" w14:textId="77777777" w:rsidR="00B566EA" w:rsidRPr="00642B12" w:rsidRDefault="00B566EA" w:rsidP="00B566EA">
      <w:pPr>
        <w:rPr>
          <w:rFonts w:cstheme="minorHAnsi"/>
        </w:rPr>
      </w:pPr>
      <w:r w:rsidRPr="00642B12">
        <w:rPr>
          <w:rFonts w:cstheme="minorHAnsi"/>
        </w:rPr>
        <w:t>The Police and Crime Act 2017 enabled Police and Crime Commissioners to have a say in the oversight of fire and rescue services within their area, subject to the approval of a business case by the Home Secretary. The aim of this legislation was to “enable fire and rescue services to work more closely together and develop the role of elected and accountable Police and Crime Commissioners.”</w:t>
      </w:r>
    </w:p>
    <w:p w14:paraId="4782B015" w14:textId="77777777" w:rsidR="00B566EA" w:rsidRPr="00642B12" w:rsidRDefault="00B566EA" w:rsidP="00B566EA">
      <w:pPr>
        <w:rPr>
          <w:rFonts w:cstheme="minorHAnsi"/>
        </w:rPr>
      </w:pPr>
      <w:r w:rsidRPr="00642B12">
        <w:rPr>
          <w:rFonts w:cstheme="minorHAnsi"/>
        </w:rPr>
        <w:lastRenderedPageBreak/>
        <w:t xml:space="preserve">On 1 January 2019, the Police and Crime Commissioner for Northamptonshire (PCC) became the </w:t>
      </w:r>
      <w:r w:rsidRPr="00C21638">
        <w:rPr>
          <w:rFonts w:cstheme="minorHAnsi"/>
        </w:rPr>
        <w:t>Police, Fire and Crime Commissioner for Northamptonshire (PFCC). On that date Northamptonshire became the first and remains the only county Fire and Rescue Service to transfer Governance arrangements in this way.</w:t>
      </w:r>
    </w:p>
    <w:p w14:paraId="7BA9FC0D" w14:textId="27A489AF" w:rsidR="00B566EA" w:rsidRPr="00642B12" w:rsidRDefault="00B566EA" w:rsidP="00B566EA">
      <w:pPr>
        <w:rPr>
          <w:rFonts w:cstheme="minorHAnsi"/>
        </w:rPr>
      </w:pPr>
      <w:r w:rsidRPr="00642B12">
        <w:rPr>
          <w:rFonts w:cstheme="minorHAnsi"/>
        </w:rPr>
        <w:t>Whilst the governance of Northamptonshire Commissioner Fire and Rescue Authority (NCFRA) is undertaken by the PFCC and his statutory officers, it is a separate corporation sole, therefore separate budgets are allocated, separate precepts are set and the funding and accounts for NCFRA are produced separately to the PFCC accounts for policing. The 2021</w:t>
      </w:r>
      <w:r w:rsidR="00ED2A06">
        <w:rPr>
          <w:rFonts w:cstheme="minorHAnsi"/>
        </w:rPr>
        <w:t>/</w:t>
      </w:r>
      <w:r w:rsidRPr="00642B12">
        <w:rPr>
          <w:rFonts w:cstheme="minorHAnsi"/>
        </w:rPr>
        <w:t>22 Statement of Accounts are the third full year set of accounts for NCFRA.</w:t>
      </w:r>
    </w:p>
    <w:p w14:paraId="43378A8A" w14:textId="77777777" w:rsidR="00B566EA" w:rsidRPr="00642B12" w:rsidRDefault="00B566EA" w:rsidP="00B566EA">
      <w:pPr>
        <w:spacing w:line="240" w:lineRule="auto"/>
        <w:rPr>
          <w:rFonts w:cstheme="minorHAnsi"/>
        </w:rPr>
      </w:pPr>
      <w:r w:rsidRPr="00642B12">
        <w:rPr>
          <w:rFonts w:cstheme="minorHAnsi"/>
        </w:rPr>
        <w:t xml:space="preserve">The Policing and Crime Act 2017 stipulates that a Fire and Rescue Plan must be prepared and published by a relevant Fire and Rescue Authority in accordance with the Fire and Rescue National Framework and that it should set out the Authority’s priorities and objectives, for the period covered by the document, in connection with the discharge of the Authority’s functions. </w:t>
      </w:r>
    </w:p>
    <w:p w14:paraId="44CAA7E0" w14:textId="77777777" w:rsidR="00B566EA" w:rsidRPr="00C652B2" w:rsidRDefault="00B566EA" w:rsidP="00B566EA">
      <w:pPr>
        <w:spacing w:after="0"/>
        <w:rPr>
          <w:rFonts w:cs="Arial"/>
        </w:rPr>
      </w:pPr>
      <w:r w:rsidRPr="00C652B2">
        <w:rPr>
          <w:rFonts w:cs="Arial"/>
          <w:b/>
          <w:bCs/>
          <w:sz w:val="28"/>
          <w:szCs w:val="28"/>
        </w:rPr>
        <w:t>Group Boundary</w:t>
      </w:r>
    </w:p>
    <w:p w14:paraId="2D970AC0" w14:textId="77777777" w:rsidR="00B566EA" w:rsidRPr="00642B12" w:rsidRDefault="00B566EA" w:rsidP="00B566EA">
      <w:pPr>
        <w:rPr>
          <w:rFonts w:cstheme="minorHAnsi"/>
        </w:rPr>
      </w:pPr>
      <w:r w:rsidRPr="00642B12">
        <w:rPr>
          <w:rFonts w:cstheme="minorHAnsi"/>
        </w:rPr>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16844171" w14:textId="77777777" w:rsidR="00B566EA" w:rsidRPr="00642B12" w:rsidRDefault="00B566EA" w:rsidP="00B566EA">
      <w:pPr>
        <w:rPr>
          <w:rFonts w:cstheme="minorHAnsi"/>
        </w:rPr>
      </w:pPr>
      <w:r w:rsidRPr="00642B12">
        <w:rPr>
          <w:rFonts w:cstheme="minorHAnsi"/>
        </w:rPr>
        <w:t>This reflects that the government provides funding to NCFRA and is ultimately responsible for the NCFRA.  As such, the NCFRA Accounts are included within the Whole of Government Accounts, which is the consolidation of over 9,000 public sector bodies, including central and local government and public corporations such as the Bank of England, to provide the most complete and accurate picture of the UK's public finances.</w:t>
      </w:r>
    </w:p>
    <w:p w14:paraId="6ACF4FC9" w14:textId="77777777" w:rsidR="00B566EA" w:rsidRPr="00642B12" w:rsidRDefault="00B566EA" w:rsidP="00B566EA">
      <w:pPr>
        <w:rPr>
          <w:rFonts w:cstheme="minorHAnsi"/>
        </w:rPr>
      </w:pPr>
      <w:r w:rsidRPr="00642B12">
        <w:rPr>
          <w:rFonts w:cstheme="minorHAnsi"/>
        </w:rPr>
        <w:t>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vire funds between them. As set out by CIPFA, there is not a requirement for the NCFRA Accounts to be included within the OPFCC group accounts.</w:t>
      </w:r>
    </w:p>
    <w:p w14:paraId="2E34B3A7" w14:textId="77777777" w:rsidR="00B566EA" w:rsidRPr="00642B12" w:rsidRDefault="00B566EA" w:rsidP="00B566EA">
      <w:pPr>
        <w:rPr>
          <w:rFonts w:cstheme="minorHAnsi"/>
        </w:rPr>
      </w:pPr>
      <w:r w:rsidRPr="00642B12">
        <w:rPr>
          <w:rFonts w:cstheme="minorHAnsi"/>
        </w:rPr>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36DCDB38" w14:textId="1FB592A6" w:rsidR="00B566EA" w:rsidRPr="00642B12" w:rsidRDefault="00B566EA" w:rsidP="00B566EA">
      <w:pPr>
        <w:rPr>
          <w:rFonts w:cstheme="minorHAnsi"/>
        </w:rPr>
      </w:pPr>
      <w:r w:rsidRPr="00642B12">
        <w:rPr>
          <w:rFonts w:cstheme="minorHAnsi"/>
        </w:rPr>
        <w:t>In line with the Home Office Financial Management Code of Practice, a collaboration agreement has been set out between the three separate organisations of</w:t>
      </w:r>
      <w:r w:rsidR="00C21638">
        <w:rPr>
          <w:rFonts w:cstheme="minorHAnsi"/>
        </w:rPr>
        <w:t xml:space="preserve"> the</w:t>
      </w:r>
      <w:r w:rsidRPr="00642B12">
        <w:rPr>
          <w:rFonts w:cstheme="minorHAnsi"/>
        </w:rPr>
        <w:t xml:space="preserve"> Northamptonshire Police, Fire and Crime Commissioner to set out the arrangements for working together where it would be advantageous to the parties to do so, mirroring such collaboration arrangements that Northamptonshire Police have with other Police forces.</w:t>
      </w:r>
    </w:p>
    <w:p w14:paraId="51D2CD1B" w14:textId="77777777" w:rsidR="00B566EA" w:rsidRPr="00642B12" w:rsidRDefault="00B566EA" w:rsidP="00B566EA">
      <w:pPr>
        <w:rPr>
          <w:rFonts w:cstheme="minorHAnsi"/>
        </w:rPr>
      </w:pPr>
      <w:r w:rsidRPr="00642B12">
        <w:rPr>
          <w:rFonts w:cstheme="minorHAnsi"/>
        </w:rPr>
        <w:t xml:space="preserve">The arrangements outlined in the legislation result in the PFCC having some influence over some policing relationships with NCFRA, and therefore there is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  </w:t>
      </w:r>
    </w:p>
    <w:p w14:paraId="326F3C07" w14:textId="77777777" w:rsidR="00770360" w:rsidRDefault="00770360">
      <w:pPr>
        <w:rPr>
          <w:b/>
          <w:bCs/>
          <w:sz w:val="28"/>
          <w:szCs w:val="28"/>
        </w:rPr>
      </w:pPr>
      <w:r>
        <w:rPr>
          <w:b/>
          <w:bCs/>
          <w:sz w:val="28"/>
          <w:szCs w:val="28"/>
        </w:rPr>
        <w:br w:type="page"/>
      </w:r>
    </w:p>
    <w:p w14:paraId="1F1375E1" w14:textId="73E1A476" w:rsidR="00B566EA" w:rsidRDefault="00B566EA" w:rsidP="00B566EA">
      <w:pPr>
        <w:spacing w:after="0"/>
        <w:rPr>
          <w:b/>
          <w:bCs/>
          <w:sz w:val="28"/>
          <w:szCs w:val="28"/>
        </w:rPr>
      </w:pPr>
      <w:r w:rsidRPr="00C652B2">
        <w:rPr>
          <w:b/>
          <w:bCs/>
          <w:sz w:val="28"/>
          <w:szCs w:val="28"/>
        </w:rPr>
        <w:lastRenderedPageBreak/>
        <w:t>Police, Fire and Crime Plan 2021-2026</w:t>
      </w:r>
    </w:p>
    <w:p w14:paraId="489DEFE3" w14:textId="77777777" w:rsidR="00B566EA" w:rsidRPr="00642B12" w:rsidRDefault="00B566EA" w:rsidP="00B566EA">
      <w:pPr>
        <w:spacing w:after="0"/>
        <w:rPr>
          <w:rFonts w:cstheme="minorHAnsi"/>
        </w:rPr>
      </w:pPr>
      <w:r w:rsidRPr="00642B12">
        <w:rPr>
          <w:rFonts w:cstheme="minorHAnsi"/>
        </w:rPr>
        <w:t>The first Fire and Rescue Plan covered the period from January 2019 to 2021. A new Police, Fire and Crime Plan was published in early 2022, following consultation and consideration by the Police, Fire and Crime Panel at their meeting in December 2021. The previous Fire Integrated Risk Management Plan (IRMP) also covered the period January 2019 to 2021 and a new Community Risk Management Plan (CRMP) which aligns to the Police, Fire and Crime Plan will be published in the near future.</w:t>
      </w:r>
    </w:p>
    <w:p w14:paraId="6E08A550" w14:textId="309C186F" w:rsidR="00B566EA" w:rsidRDefault="00B566EA" w:rsidP="00B566EA">
      <w:pPr>
        <w:spacing w:after="0"/>
      </w:pPr>
    </w:p>
    <w:p w14:paraId="5CBAE3B3" w14:textId="77777777" w:rsidR="00B566EA" w:rsidRPr="0083554E" w:rsidRDefault="00B566EA" w:rsidP="00B566EA">
      <w:pPr>
        <w:pStyle w:val="Default"/>
        <w:rPr>
          <w:rFonts w:asciiTheme="minorHAnsi" w:hAnsiTheme="minorHAnsi"/>
          <w:b/>
          <w:bCs/>
          <w:color w:val="auto"/>
          <w:sz w:val="28"/>
          <w:szCs w:val="28"/>
        </w:rPr>
      </w:pPr>
      <w:r w:rsidRPr="0083554E">
        <w:rPr>
          <w:rFonts w:asciiTheme="minorHAnsi" w:hAnsiTheme="minorHAnsi"/>
          <w:b/>
          <w:bCs/>
          <w:color w:val="auto"/>
          <w:sz w:val="28"/>
          <w:szCs w:val="28"/>
        </w:rPr>
        <w:t>Vision and Values</w:t>
      </w:r>
    </w:p>
    <w:p w14:paraId="08BE2AC3"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PFCC Vision as set out in the Police, Fire and Crime Plan is:</w:t>
      </w:r>
    </w:p>
    <w:p w14:paraId="027B416D" w14:textId="77777777" w:rsidR="00B566EA" w:rsidRPr="00642B12" w:rsidRDefault="00B566EA" w:rsidP="00B566EA">
      <w:pPr>
        <w:pStyle w:val="Default"/>
        <w:rPr>
          <w:rFonts w:asciiTheme="minorHAnsi" w:hAnsiTheme="minorHAnsi" w:cstheme="minorHAnsi"/>
          <w:color w:val="auto"/>
          <w:sz w:val="22"/>
          <w:szCs w:val="22"/>
        </w:rPr>
      </w:pPr>
    </w:p>
    <w:p w14:paraId="4D89AA1E" w14:textId="77777777" w:rsidR="00B566EA" w:rsidRPr="00642B12" w:rsidRDefault="00B566EA" w:rsidP="00B566EA">
      <w:pPr>
        <w:pStyle w:val="Default"/>
        <w:rPr>
          <w:rFonts w:asciiTheme="minorHAnsi" w:hAnsiTheme="minorHAnsi" w:cstheme="minorHAnsi"/>
          <w:b/>
          <w:bCs/>
          <w:i/>
          <w:iCs/>
          <w:color w:val="auto"/>
          <w:sz w:val="22"/>
          <w:szCs w:val="22"/>
        </w:rPr>
      </w:pPr>
      <w:r w:rsidRPr="00642B12">
        <w:rPr>
          <w:rFonts w:asciiTheme="minorHAnsi" w:hAnsiTheme="minorHAnsi" w:cstheme="minorHAnsi"/>
          <w:b/>
          <w:bCs/>
          <w:i/>
          <w:iCs/>
          <w:color w:val="auto"/>
          <w:sz w:val="22"/>
          <w:szCs w:val="22"/>
        </w:rPr>
        <w:t>“Working with Communities to make Northamptonshire safer.”</w:t>
      </w:r>
    </w:p>
    <w:p w14:paraId="35503198" w14:textId="77777777" w:rsidR="00B566EA" w:rsidRPr="00642B12" w:rsidRDefault="00B566EA" w:rsidP="00B566EA">
      <w:pPr>
        <w:pStyle w:val="Default"/>
        <w:rPr>
          <w:rFonts w:asciiTheme="minorHAnsi" w:hAnsiTheme="minorHAnsi" w:cstheme="minorHAnsi"/>
          <w:b/>
          <w:bCs/>
          <w:color w:val="auto"/>
          <w:sz w:val="22"/>
          <w:szCs w:val="22"/>
        </w:rPr>
      </w:pPr>
    </w:p>
    <w:p w14:paraId="608B65E4"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PFCC also set out the values:</w:t>
      </w:r>
    </w:p>
    <w:p w14:paraId="5ED0B537" w14:textId="77777777" w:rsidR="00B566EA" w:rsidRPr="00642B12" w:rsidRDefault="00B566EA" w:rsidP="00B566EA">
      <w:pPr>
        <w:pStyle w:val="Default"/>
        <w:rPr>
          <w:rFonts w:asciiTheme="minorHAnsi" w:hAnsiTheme="minorHAnsi" w:cstheme="minorHAnsi"/>
          <w:b/>
          <w:bCs/>
          <w:color w:val="auto"/>
          <w:sz w:val="22"/>
          <w:szCs w:val="22"/>
        </w:rPr>
      </w:pPr>
    </w:p>
    <w:p w14:paraId="07C4F393" w14:textId="77777777" w:rsidR="00B566EA" w:rsidRPr="00642B12" w:rsidRDefault="00B566EA" w:rsidP="00B566EA">
      <w:pPr>
        <w:pStyle w:val="Default"/>
        <w:rPr>
          <w:rFonts w:asciiTheme="minorHAnsi" w:hAnsiTheme="minorHAnsi" w:cstheme="minorHAnsi"/>
          <w:b/>
          <w:bCs/>
          <w:i/>
          <w:iCs/>
          <w:sz w:val="22"/>
          <w:szCs w:val="22"/>
        </w:rPr>
      </w:pPr>
      <w:r w:rsidRPr="00642B12">
        <w:rPr>
          <w:rFonts w:asciiTheme="minorHAnsi" w:hAnsiTheme="minorHAnsi" w:cstheme="minorHAnsi"/>
          <w:b/>
          <w:bCs/>
          <w:i/>
          <w:iCs/>
          <w:color w:val="auto"/>
          <w:sz w:val="22"/>
          <w:szCs w:val="22"/>
        </w:rPr>
        <w:t>“</w:t>
      </w:r>
      <w:r w:rsidRPr="00642B12">
        <w:rPr>
          <w:rFonts w:asciiTheme="minorHAnsi" w:hAnsiTheme="minorHAnsi" w:cstheme="minorHAnsi"/>
          <w:b/>
          <w:bCs/>
          <w:i/>
          <w:iCs/>
          <w:sz w:val="22"/>
          <w:szCs w:val="22"/>
        </w:rPr>
        <w:t>It is more important than ever that our emergency services are seen to embody the highest ethical standards as we work to make a difference for our communities.”</w:t>
      </w:r>
    </w:p>
    <w:p w14:paraId="29C0F3CB" w14:textId="77777777" w:rsidR="00B566EA" w:rsidRPr="0083554E" w:rsidRDefault="00B566EA" w:rsidP="00B566EA">
      <w:pPr>
        <w:pStyle w:val="Default"/>
        <w:rPr>
          <w:rFonts w:asciiTheme="minorHAnsi" w:hAnsiTheme="minorHAnsi" w:cstheme="minorHAnsi"/>
          <w:b/>
          <w:bCs/>
          <w:i/>
          <w:iCs/>
          <w:sz w:val="22"/>
          <w:szCs w:val="22"/>
        </w:rPr>
      </w:pPr>
    </w:p>
    <w:p w14:paraId="6A557EB9" w14:textId="77777777" w:rsidR="00B566EA" w:rsidRDefault="00B566EA" w:rsidP="00B566EA">
      <w:pPr>
        <w:spacing w:after="0"/>
        <w:jc w:val="center"/>
        <w:rPr>
          <w:rFonts w:cs="Arial"/>
          <w:b/>
          <w:bCs/>
          <w:sz w:val="28"/>
          <w:szCs w:val="28"/>
          <w:highlight w:val="yellow"/>
        </w:rPr>
      </w:pPr>
      <w:r w:rsidRPr="0083554E">
        <w:rPr>
          <w:noProof/>
        </w:rPr>
        <w:drawing>
          <wp:inline distT="0" distB="0" distL="0" distR="0" wp14:anchorId="2FF78460" wp14:editId="43F1C99D">
            <wp:extent cx="3636335" cy="1516013"/>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233" cy="1542236"/>
                    </a:xfrm>
                    <a:prstGeom prst="rect">
                      <a:avLst/>
                    </a:prstGeom>
                  </pic:spPr>
                </pic:pic>
              </a:graphicData>
            </a:graphic>
          </wp:inline>
        </w:drawing>
      </w:r>
    </w:p>
    <w:p w14:paraId="6CEB6016" w14:textId="77777777" w:rsidR="00B566EA" w:rsidRPr="00FF3FFB" w:rsidRDefault="00B566EA" w:rsidP="00B566EA">
      <w:pPr>
        <w:spacing w:after="0"/>
        <w:rPr>
          <w:rFonts w:cs="Arial"/>
          <w:b/>
          <w:bCs/>
          <w:highlight w:val="yellow"/>
        </w:rPr>
      </w:pPr>
    </w:p>
    <w:p w14:paraId="452A3505" w14:textId="77777777" w:rsidR="00B566EA" w:rsidRPr="00FF3FFB" w:rsidRDefault="00B566EA" w:rsidP="00B566EA">
      <w:pPr>
        <w:spacing w:after="0"/>
        <w:rPr>
          <w:rFonts w:cs="Arial"/>
        </w:rPr>
      </w:pPr>
      <w:r w:rsidRPr="00642B12">
        <w:rPr>
          <w:rFonts w:cs="Arial"/>
        </w:rPr>
        <w:t>The Police, Fire and Crime Plan sets out the following priorities:</w:t>
      </w:r>
    </w:p>
    <w:p w14:paraId="7F40CBE4" w14:textId="3F2559D1" w:rsidR="00B566EA" w:rsidRDefault="00B566EA" w:rsidP="00B566EA">
      <w:pPr>
        <w:spacing w:after="0"/>
        <w:jc w:val="center"/>
        <w:rPr>
          <w:rFonts w:cs="Arial"/>
          <w:b/>
          <w:bCs/>
          <w:sz w:val="28"/>
          <w:szCs w:val="28"/>
          <w:highlight w:val="yellow"/>
        </w:rPr>
      </w:pPr>
      <w:r>
        <w:rPr>
          <w:noProof/>
        </w:rPr>
        <w:drawing>
          <wp:inline distT="0" distB="0" distL="0" distR="0" wp14:anchorId="5D7853EA" wp14:editId="423D1AFC">
            <wp:extent cx="2479602" cy="1018928"/>
            <wp:effectExtent l="19050" t="19050" r="165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6215" cy="1038082"/>
                    </a:xfrm>
                    <a:prstGeom prst="rect">
                      <a:avLst/>
                    </a:prstGeom>
                    <a:ln>
                      <a:solidFill>
                        <a:srgbClr val="C00000"/>
                      </a:solidFill>
                    </a:ln>
                  </pic:spPr>
                </pic:pic>
              </a:graphicData>
            </a:graphic>
          </wp:inline>
        </w:drawing>
      </w:r>
    </w:p>
    <w:p w14:paraId="16F386C3" w14:textId="77777777" w:rsidR="00FB309D" w:rsidRDefault="00FB309D" w:rsidP="00B566EA">
      <w:pPr>
        <w:spacing w:after="0"/>
        <w:jc w:val="center"/>
        <w:rPr>
          <w:rFonts w:cs="Arial"/>
          <w:b/>
          <w:bCs/>
          <w:sz w:val="28"/>
          <w:szCs w:val="28"/>
          <w:highlight w:val="yellow"/>
        </w:rPr>
      </w:pPr>
    </w:p>
    <w:p w14:paraId="73DAEA2D" w14:textId="77777777" w:rsidR="00B566EA" w:rsidRDefault="00B566EA" w:rsidP="00B566EA">
      <w:pPr>
        <w:spacing w:after="0"/>
        <w:rPr>
          <w:rFonts w:cs="Arial"/>
          <w:b/>
          <w:bCs/>
          <w:sz w:val="28"/>
          <w:szCs w:val="28"/>
        </w:rPr>
      </w:pPr>
      <w:r w:rsidRPr="00E13CB6">
        <w:rPr>
          <w:rFonts w:cs="Arial"/>
          <w:b/>
          <w:bCs/>
          <w:sz w:val="28"/>
          <w:szCs w:val="28"/>
        </w:rPr>
        <w:t>Community Risk Management Plan</w:t>
      </w:r>
    </w:p>
    <w:p w14:paraId="3056C665" w14:textId="77777777" w:rsidR="00B566EA" w:rsidRDefault="00B566EA" w:rsidP="00B566EA">
      <w:pPr>
        <w:spacing w:after="0"/>
        <w:rPr>
          <w:rFonts w:cs="Arial"/>
        </w:rPr>
      </w:pPr>
      <w:r w:rsidRPr="00E13CB6">
        <w:rPr>
          <w:rFonts w:cs="Arial"/>
        </w:rPr>
        <w:t xml:space="preserve">The Community Risk Management Plan forms part of Northamptonshire Fire and Rescue Service’s (NFRS) three key strategic documents, sitting alongside the Police, Fire and Crime Plan and the Chief Fire Officer’s Vision 25. These strategic documents are designed to deliver the </w:t>
      </w:r>
      <w:r>
        <w:rPr>
          <w:rFonts w:cs="Arial"/>
        </w:rPr>
        <w:t xml:space="preserve">NFRS </w:t>
      </w:r>
      <w:r w:rsidRPr="00E13CB6">
        <w:rPr>
          <w:rFonts w:cs="Arial"/>
        </w:rPr>
        <w:t>vision of:</w:t>
      </w:r>
    </w:p>
    <w:p w14:paraId="0C05E8E3" w14:textId="77777777" w:rsidR="00B566EA" w:rsidRPr="00E13CB6" w:rsidRDefault="00B566EA" w:rsidP="00B566EA">
      <w:pPr>
        <w:spacing w:after="0"/>
        <w:rPr>
          <w:rFonts w:cs="Arial"/>
        </w:rPr>
      </w:pPr>
    </w:p>
    <w:p w14:paraId="59C3F7EC" w14:textId="77777777" w:rsidR="00B566EA" w:rsidRDefault="00B566EA" w:rsidP="00B566EA">
      <w:pPr>
        <w:spacing w:after="0"/>
        <w:rPr>
          <w:rFonts w:cs="Arial"/>
          <w:b/>
          <w:bCs/>
        </w:rPr>
      </w:pPr>
      <w:r w:rsidRPr="00E13CB6">
        <w:rPr>
          <w:rFonts w:cs="Arial"/>
          <w:b/>
          <w:bCs/>
        </w:rPr>
        <w:t>“Making Northamptonshire Safer.”</w:t>
      </w:r>
    </w:p>
    <w:p w14:paraId="4E0B000F" w14:textId="77777777" w:rsidR="00B566EA" w:rsidRDefault="00B566EA" w:rsidP="00B566EA">
      <w:pPr>
        <w:spacing w:after="0"/>
        <w:rPr>
          <w:rFonts w:cs="Arial"/>
          <w:b/>
          <w:bCs/>
        </w:rPr>
      </w:pPr>
    </w:p>
    <w:p w14:paraId="15B2FD9D" w14:textId="12A7D5CD" w:rsidR="00B566EA" w:rsidRDefault="00B566EA" w:rsidP="00B566EA">
      <w:pPr>
        <w:spacing w:after="0"/>
        <w:rPr>
          <w:rFonts w:cs="Arial"/>
        </w:rPr>
      </w:pPr>
      <w:r>
        <w:rPr>
          <w:rFonts w:cs="Arial"/>
        </w:rPr>
        <w:t xml:space="preserve">The </w:t>
      </w:r>
      <w:r w:rsidRPr="00E13CB6">
        <w:rPr>
          <w:rFonts w:cs="Arial"/>
        </w:rPr>
        <w:t xml:space="preserve">NFRS </w:t>
      </w:r>
      <w:r>
        <w:rPr>
          <w:rFonts w:cs="Arial"/>
        </w:rPr>
        <w:t>strategic objectives</w:t>
      </w:r>
      <w:r w:rsidRPr="00E13CB6">
        <w:rPr>
          <w:rFonts w:cs="Arial"/>
        </w:rPr>
        <w:t xml:space="preserve"> </w:t>
      </w:r>
      <w:r>
        <w:rPr>
          <w:rFonts w:cs="Arial"/>
        </w:rPr>
        <w:t xml:space="preserve">and priorities </w:t>
      </w:r>
      <w:r w:rsidRPr="00E13CB6">
        <w:rPr>
          <w:rFonts w:cs="Arial"/>
        </w:rPr>
        <w:t xml:space="preserve">set out in the CRMP </w:t>
      </w:r>
      <w:r>
        <w:rPr>
          <w:rFonts w:cs="Arial"/>
        </w:rPr>
        <w:t xml:space="preserve">are </w:t>
      </w:r>
      <w:r w:rsidRPr="00E13CB6">
        <w:rPr>
          <w:rFonts w:cs="Arial"/>
        </w:rPr>
        <w:t>as follows:</w:t>
      </w:r>
    </w:p>
    <w:p w14:paraId="4BC1CE99" w14:textId="77777777" w:rsidR="00DE2F2C" w:rsidRPr="00FF3FFB" w:rsidRDefault="00DE2F2C" w:rsidP="00B566EA">
      <w:pPr>
        <w:spacing w:after="0"/>
        <w:rPr>
          <w:rFonts w:cs="Arial"/>
        </w:rPr>
      </w:pPr>
    </w:p>
    <w:p w14:paraId="4BD4EC21" w14:textId="4744DDB9" w:rsidR="00B566EA" w:rsidRDefault="00B566EA" w:rsidP="00FF3FFB">
      <w:pPr>
        <w:spacing w:after="0"/>
        <w:jc w:val="center"/>
        <w:rPr>
          <w:rFonts w:cs="Arial"/>
          <w:b/>
          <w:bCs/>
        </w:rPr>
      </w:pPr>
      <w:r>
        <w:rPr>
          <w:noProof/>
        </w:rPr>
        <w:lastRenderedPageBreak/>
        <w:drawing>
          <wp:inline distT="0" distB="0" distL="0" distR="0" wp14:anchorId="401CABF8" wp14:editId="7F76FBD3">
            <wp:extent cx="3301860" cy="2822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5825" cy="2842759"/>
                    </a:xfrm>
                    <a:prstGeom prst="rect">
                      <a:avLst/>
                    </a:prstGeom>
                  </pic:spPr>
                </pic:pic>
              </a:graphicData>
            </a:graphic>
          </wp:inline>
        </w:drawing>
      </w:r>
    </w:p>
    <w:p w14:paraId="42738641" w14:textId="77777777" w:rsidR="00B566EA" w:rsidRPr="00E13CB6" w:rsidRDefault="00B566EA" w:rsidP="00B566EA">
      <w:pPr>
        <w:spacing w:after="0"/>
        <w:rPr>
          <w:b/>
          <w:bCs/>
          <w:sz w:val="28"/>
          <w:szCs w:val="28"/>
        </w:rPr>
      </w:pPr>
      <w:r w:rsidRPr="00E13CB6">
        <w:rPr>
          <w:b/>
          <w:bCs/>
          <w:sz w:val="28"/>
          <w:szCs w:val="28"/>
        </w:rPr>
        <w:t xml:space="preserve">Economic climate </w:t>
      </w:r>
    </w:p>
    <w:p w14:paraId="64F24467"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 xml:space="preserve">NCFRA was established on 1 January 2019 without any reserves being transferred, therefore, the priority for the Authority was to build a stable financial platform and a three year financial stability plan was taken forward to ensure an appropriate level of reserves were established; with a financial base that was understood and supported by internal controls.  </w:t>
      </w:r>
    </w:p>
    <w:p w14:paraId="3D3706A0" w14:textId="77777777" w:rsidR="00B566EA" w:rsidRPr="00642B12" w:rsidRDefault="00B566EA" w:rsidP="00B566EA">
      <w:pPr>
        <w:pStyle w:val="Default"/>
        <w:rPr>
          <w:rFonts w:asciiTheme="minorHAnsi" w:hAnsiTheme="minorHAnsi" w:cstheme="minorHAnsi"/>
          <w:bCs/>
          <w:color w:val="auto"/>
          <w:sz w:val="22"/>
          <w:szCs w:val="22"/>
          <w:highlight w:val="yellow"/>
        </w:rPr>
      </w:pPr>
    </w:p>
    <w:p w14:paraId="0305EE7D" w14:textId="13A0A143"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Good progress has been achieved and at the end of the year, the level of reserves as set out in the financial stability plan had been exceeded. Whilst challenges to the Medium Term Financial position have been mitigated by the ability to levy a one off £5 increase to the precept in 2022</w:t>
      </w:r>
      <w:r w:rsidR="00ED2A06">
        <w:rPr>
          <w:rFonts w:asciiTheme="minorHAnsi" w:hAnsiTheme="minorHAnsi" w:cstheme="minorHAnsi"/>
          <w:bCs/>
          <w:color w:val="auto"/>
          <w:sz w:val="22"/>
          <w:szCs w:val="22"/>
        </w:rPr>
        <w:t>/</w:t>
      </w:r>
      <w:r w:rsidRPr="00642B12">
        <w:rPr>
          <w:rFonts w:asciiTheme="minorHAnsi" w:hAnsiTheme="minorHAnsi" w:cstheme="minorHAnsi"/>
          <w:bCs/>
          <w:color w:val="auto"/>
          <w:sz w:val="22"/>
          <w:szCs w:val="22"/>
        </w:rPr>
        <w:t xml:space="preserve">23, efficiencies are still required and a plan is in place to ensure a balanced budget can be achieved each year. </w:t>
      </w:r>
    </w:p>
    <w:p w14:paraId="159AD408" w14:textId="77777777" w:rsidR="00B566EA" w:rsidRPr="00642B12" w:rsidRDefault="00B566EA" w:rsidP="00B566EA">
      <w:pPr>
        <w:pStyle w:val="Default"/>
        <w:rPr>
          <w:rFonts w:asciiTheme="minorHAnsi" w:hAnsiTheme="minorHAnsi" w:cstheme="minorHAnsi"/>
          <w:bCs/>
          <w:color w:val="auto"/>
          <w:sz w:val="22"/>
          <w:szCs w:val="22"/>
        </w:rPr>
      </w:pPr>
    </w:p>
    <w:p w14:paraId="6FC4E73C"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However, the cost of living remains a challenge and the revenue budget is already feeling the pressure of increased fuel and utility costs. The impact of these on the MTFP will continue to be kept under review and measures put in place to address them.</w:t>
      </w:r>
    </w:p>
    <w:p w14:paraId="6FE7DFB5" w14:textId="77777777" w:rsidR="00B566EA" w:rsidRPr="00642B12" w:rsidRDefault="00B566EA" w:rsidP="00B566EA">
      <w:pPr>
        <w:pStyle w:val="Default"/>
        <w:rPr>
          <w:rFonts w:asciiTheme="minorHAnsi" w:hAnsiTheme="minorHAnsi" w:cstheme="minorHAnsi"/>
          <w:bCs/>
          <w:color w:val="auto"/>
          <w:sz w:val="22"/>
          <w:szCs w:val="22"/>
          <w:highlight w:val="yellow"/>
        </w:rPr>
      </w:pPr>
    </w:p>
    <w:p w14:paraId="2D7E06C9"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The capital programme is underway to enable investment in key operational requirements including investment in new fire tenders, replacement of essential operational equipment and delivery of the joint estates strategy with Police. In 2021, as part of the joint estates strategy, Fire relocated to the Police Darby House building in Wellingborough where they have established their Fire HQ and are continuing to work with Police to integrate essential support services and arrangements where appropriate, building capacity and resilience and releasing efficiencies over the medium term.</w:t>
      </w:r>
    </w:p>
    <w:p w14:paraId="56D71360" w14:textId="77777777" w:rsidR="00B566EA" w:rsidRPr="00642B12" w:rsidRDefault="00B566EA" w:rsidP="00B566EA">
      <w:pPr>
        <w:pStyle w:val="Default"/>
        <w:rPr>
          <w:rFonts w:asciiTheme="minorHAnsi" w:hAnsiTheme="minorHAnsi" w:cstheme="minorHAnsi"/>
          <w:bCs/>
          <w:color w:val="auto"/>
          <w:sz w:val="22"/>
          <w:szCs w:val="22"/>
        </w:rPr>
      </w:pPr>
    </w:p>
    <w:p w14:paraId="140F3939" w14:textId="77777777"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As part of the joint estate strategy, Fire purchased a building in March 2021 to develop a new joint workshop facility for Fire and Police. The previous Fire HQ and workshop will be disposed of in the coming years and the business case was supported by repurposed transformation funding from the Home Office. In time, the Joint Police and Fire Fleet Team will operate from this workshop and take forward the joint service approach which it is anticipated will derive benefits for both services.</w:t>
      </w:r>
    </w:p>
    <w:p w14:paraId="2712F00A" w14:textId="77777777" w:rsidR="00B566EA" w:rsidRPr="00642B12" w:rsidRDefault="00B566EA" w:rsidP="00B566EA">
      <w:pPr>
        <w:pStyle w:val="Default"/>
        <w:rPr>
          <w:rFonts w:asciiTheme="minorHAnsi" w:hAnsiTheme="minorHAnsi" w:cstheme="minorHAnsi"/>
          <w:bCs/>
          <w:color w:val="auto"/>
          <w:sz w:val="22"/>
          <w:szCs w:val="22"/>
        </w:rPr>
      </w:pPr>
    </w:p>
    <w:p w14:paraId="1C8F692E" w14:textId="77777777" w:rsidR="00B566EA" w:rsidRPr="00642B12" w:rsidRDefault="00B566EA" w:rsidP="00B566EA">
      <w:pPr>
        <w:pStyle w:val="Default"/>
        <w:rPr>
          <w:rFonts w:asciiTheme="minorHAnsi" w:hAnsiTheme="minorHAnsi" w:cstheme="minorHAnsi"/>
          <w:bCs/>
          <w:sz w:val="22"/>
          <w:szCs w:val="22"/>
        </w:rPr>
      </w:pPr>
      <w:r w:rsidRPr="00642B12">
        <w:rPr>
          <w:rFonts w:asciiTheme="minorHAnsi" w:hAnsiTheme="minorHAnsi" w:cstheme="minorHAnsi"/>
          <w:bCs/>
          <w:sz w:val="22"/>
          <w:szCs w:val="22"/>
        </w:rPr>
        <w:t xml:space="preserve">Whilst the PFCC has been successful in obtaining further funding for NCFRA since the governance transfer, he will continue to ensure all opportunities are taken to identify and realise savings and efficiencies.  </w:t>
      </w:r>
    </w:p>
    <w:p w14:paraId="23238FD4" w14:textId="77777777" w:rsidR="00B566EA" w:rsidRDefault="00B566EA" w:rsidP="00B566EA">
      <w:pPr>
        <w:pStyle w:val="Default"/>
        <w:rPr>
          <w:rFonts w:asciiTheme="minorHAnsi" w:hAnsiTheme="minorHAnsi"/>
          <w:b/>
          <w:bCs/>
          <w:color w:val="auto"/>
          <w:sz w:val="28"/>
          <w:szCs w:val="28"/>
          <w:highlight w:val="yellow"/>
        </w:rPr>
      </w:pPr>
    </w:p>
    <w:p w14:paraId="7A4A7E27" w14:textId="77777777" w:rsidR="00770360" w:rsidRDefault="00770360">
      <w:pPr>
        <w:rPr>
          <w:rFonts w:cs="Arial"/>
          <w:b/>
          <w:bCs/>
          <w:sz w:val="28"/>
          <w:szCs w:val="28"/>
        </w:rPr>
      </w:pPr>
      <w:r>
        <w:rPr>
          <w:b/>
          <w:bCs/>
          <w:sz w:val="28"/>
          <w:szCs w:val="28"/>
        </w:rPr>
        <w:br w:type="page"/>
      </w:r>
    </w:p>
    <w:p w14:paraId="71E2760E" w14:textId="705EA771" w:rsidR="0041448C" w:rsidRPr="00F55059" w:rsidRDefault="0041448C" w:rsidP="0041448C">
      <w:pPr>
        <w:pStyle w:val="Default"/>
        <w:rPr>
          <w:rFonts w:asciiTheme="minorHAnsi" w:hAnsiTheme="minorHAnsi"/>
          <w:b/>
          <w:bCs/>
          <w:color w:val="FF0000"/>
          <w:sz w:val="28"/>
          <w:szCs w:val="28"/>
        </w:rPr>
      </w:pPr>
      <w:r w:rsidRPr="00F55059">
        <w:rPr>
          <w:rFonts w:asciiTheme="minorHAnsi" w:hAnsiTheme="minorHAnsi"/>
          <w:b/>
          <w:bCs/>
          <w:color w:val="auto"/>
          <w:sz w:val="28"/>
          <w:szCs w:val="28"/>
        </w:rPr>
        <w:lastRenderedPageBreak/>
        <w:t>Our People</w:t>
      </w:r>
    </w:p>
    <w:p w14:paraId="25B44BE2" w14:textId="77777777" w:rsidR="0041448C" w:rsidRPr="00642B12" w:rsidRDefault="0041448C" w:rsidP="0041448C">
      <w:pPr>
        <w:rPr>
          <w:rFonts w:cstheme="minorHAnsi"/>
        </w:rPr>
      </w:pPr>
      <w:r w:rsidRPr="00642B12">
        <w:rPr>
          <w:rFonts w:cstheme="minorHAnsi"/>
        </w:rPr>
        <w:t>At 31</w:t>
      </w:r>
      <w:r w:rsidRPr="00642B12">
        <w:rPr>
          <w:rFonts w:cstheme="minorHAnsi"/>
          <w:vertAlign w:val="superscript"/>
        </w:rPr>
        <w:t>st</w:t>
      </w:r>
      <w:r w:rsidRPr="00642B12">
        <w:rPr>
          <w:rFonts w:cstheme="minorHAnsi"/>
        </w:rPr>
        <w:t xml:space="preserve"> March 2022 NCFRA budgeted establishment was 536 and comprised as follows: </w:t>
      </w:r>
    </w:p>
    <w:p w14:paraId="4CA8A172" w14:textId="2CA3DF25" w:rsidR="00B566EA" w:rsidRPr="004A0F0B" w:rsidRDefault="0041448C" w:rsidP="0041448C">
      <w:pPr>
        <w:jc w:val="center"/>
        <w:rPr>
          <w:noProof/>
          <w:highlight w:val="yellow"/>
          <w:lang w:eastAsia="en-GB"/>
        </w:rPr>
      </w:pPr>
      <w:r>
        <w:rPr>
          <w:noProof/>
          <w:lang w:eastAsia="en-GB"/>
        </w:rPr>
        <w:drawing>
          <wp:inline distT="0" distB="0" distL="0" distR="0" wp14:anchorId="78698604" wp14:editId="034747BC">
            <wp:extent cx="3448050" cy="19033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2148" cy="1911110"/>
                    </a:xfrm>
                    <a:prstGeom prst="rect">
                      <a:avLst/>
                    </a:prstGeom>
                    <a:noFill/>
                  </pic:spPr>
                </pic:pic>
              </a:graphicData>
            </a:graphic>
          </wp:inline>
        </w:drawing>
      </w:r>
    </w:p>
    <w:p w14:paraId="7C467CE2" w14:textId="77777777" w:rsidR="00B566EA" w:rsidRPr="004675A2" w:rsidRDefault="00B566EA" w:rsidP="00B566EA">
      <w:pPr>
        <w:pStyle w:val="Default"/>
        <w:rPr>
          <w:rFonts w:asciiTheme="minorHAnsi" w:hAnsiTheme="minorHAnsi"/>
          <w:b/>
          <w:bCs/>
          <w:color w:val="auto"/>
          <w:sz w:val="28"/>
          <w:szCs w:val="28"/>
        </w:rPr>
      </w:pPr>
      <w:r w:rsidRPr="004675A2">
        <w:rPr>
          <w:rFonts w:asciiTheme="minorHAnsi" w:hAnsiTheme="minorHAnsi"/>
          <w:b/>
          <w:bCs/>
          <w:color w:val="auto"/>
          <w:sz w:val="28"/>
          <w:szCs w:val="28"/>
        </w:rPr>
        <w:t>Gender Pay Gap</w:t>
      </w:r>
    </w:p>
    <w:p w14:paraId="3731EE93" w14:textId="77777777" w:rsidR="00B566EA" w:rsidRPr="00642B12" w:rsidRDefault="00B566EA" w:rsidP="00B566EA">
      <w:pPr>
        <w:ind w:right="310"/>
        <w:rPr>
          <w:rFonts w:cstheme="minorHAnsi"/>
        </w:rPr>
      </w:pPr>
      <w:r w:rsidRPr="00642B12">
        <w:rPr>
          <w:rFonts w:cstheme="minorHAnsi"/>
        </w:rPr>
        <w:t>The NCFRA Gender pay Gap Report was published in August 2021 and key elements are set out below:</w:t>
      </w:r>
    </w:p>
    <w:p w14:paraId="119A5CA4" w14:textId="77777777" w:rsidR="00B566EA" w:rsidRPr="00642B12" w:rsidRDefault="00B566EA" w:rsidP="00B566EA">
      <w:pPr>
        <w:ind w:right="310"/>
        <w:rPr>
          <w:rFonts w:cstheme="minorHAnsi"/>
          <w:color w:val="000000" w:themeColor="text1"/>
        </w:rPr>
      </w:pPr>
      <w:r w:rsidRPr="00642B12">
        <w:rPr>
          <w:rFonts w:cstheme="minorHAnsi"/>
          <w:color w:val="000000" w:themeColor="text1"/>
        </w:rPr>
        <w:t xml:space="preserve">The Northamptonshire Fire &amp; Rescue Service is required by law to carry out Gender Pay Reporting under the </w:t>
      </w:r>
      <w:r w:rsidRPr="00642B12">
        <w:rPr>
          <w:rFonts w:cstheme="minorHAnsi"/>
        </w:rPr>
        <w:t>Equality Act 2010 (Gender Pay Gap Information) Regulations 2017. This involves carrying out calculations that show the difference between the average earnings of men and women in the organisation; it does not involve publishing individual employees’ data. The data used for the calculations is the Fire &amp; Rescue Service’s pay data as of 31</w:t>
      </w:r>
      <w:r w:rsidRPr="00642B12">
        <w:rPr>
          <w:rFonts w:cstheme="minorHAnsi"/>
          <w:vertAlign w:val="superscript"/>
        </w:rPr>
        <w:t>st</w:t>
      </w:r>
      <w:r w:rsidRPr="00642B12">
        <w:rPr>
          <w:rFonts w:cstheme="minorHAnsi"/>
        </w:rPr>
        <w:t xml:space="preserve"> March 2021.</w:t>
      </w:r>
    </w:p>
    <w:p w14:paraId="69E0ADE2" w14:textId="77777777" w:rsidR="00B566EA" w:rsidRPr="00642B12" w:rsidRDefault="00B566EA" w:rsidP="00B566EA">
      <w:pPr>
        <w:ind w:right="310"/>
        <w:rPr>
          <w:rFonts w:cstheme="minorHAnsi"/>
          <w:color w:val="000000"/>
          <w:lang w:eastAsia="en-GB"/>
        </w:rPr>
      </w:pPr>
      <w:r w:rsidRPr="00642B12">
        <w:rPr>
          <w:rFonts w:cstheme="minorHAnsi"/>
          <w:color w:val="000000"/>
          <w:lang w:eastAsia="en-GB"/>
        </w:rPr>
        <w:t>NCFRA are required to publish the results on a government gender pay gap website, and in addition it is advisable to publish the high level results on the Northamptonshire Fire &amp; Rescue Services website alongside pay and transparency data.</w:t>
      </w:r>
    </w:p>
    <w:p w14:paraId="6B7B9AAE" w14:textId="77777777" w:rsidR="00B566EA" w:rsidRPr="00642B12" w:rsidRDefault="00B566EA" w:rsidP="00B566EA">
      <w:pPr>
        <w:spacing w:after="120"/>
        <w:ind w:right="312"/>
        <w:rPr>
          <w:rFonts w:cstheme="minorHAnsi"/>
          <w:color w:val="000000" w:themeColor="text1"/>
        </w:rPr>
      </w:pPr>
      <w:r w:rsidRPr="00642B12">
        <w:rPr>
          <w:rFonts w:cstheme="minorHAnsi"/>
          <w:color w:val="000000"/>
          <w:lang w:eastAsia="en-GB"/>
        </w:rPr>
        <w:t>Gender pay reporting is used to assess:</w:t>
      </w:r>
    </w:p>
    <w:p w14:paraId="7FE9EE68" w14:textId="77777777" w:rsidR="00B566EA" w:rsidRPr="00642B12" w:rsidRDefault="00B566EA" w:rsidP="00B566EA">
      <w:pPr>
        <w:pStyle w:val="Bullet"/>
        <w:ind w:left="0" w:right="310" w:firstLine="0"/>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levels of gender equality in the workplace</w:t>
      </w:r>
    </w:p>
    <w:p w14:paraId="4C6C0CE2" w14:textId="77777777" w:rsidR="00B566EA" w:rsidRPr="00642B12" w:rsidRDefault="00B566EA" w:rsidP="00B566EA">
      <w:pPr>
        <w:pStyle w:val="Bullet"/>
        <w:ind w:left="0" w:right="310" w:firstLine="0"/>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balance of male and female employees at different levels</w:t>
      </w:r>
    </w:p>
    <w:p w14:paraId="53055874" w14:textId="77777777" w:rsidR="00F03CA0" w:rsidRPr="00642B12" w:rsidRDefault="00F03CA0" w:rsidP="00B566EA">
      <w:pPr>
        <w:pStyle w:val="Bullet"/>
        <w:numPr>
          <w:ilvl w:val="0"/>
          <w:numId w:val="0"/>
        </w:numPr>
        <w:rPr>
          <w:rFonts w:asciiTheme="minorHAnsi" w:hAnsiTheme="minorHAnsi" w:cstheme="minorHAnsi"/>
          <w:sz w:val="22"/>
          <w:szCs w:val="22"/>
        </w:rPr>
      </w:pPr>
    </w:p>
    <w:p w14:paraId="6DB2E40F" w14:textId="77777777" w:rsidR="00B566EA" w:rsidRPr="00642B12" w:rsidRDefault="00B566EA" w:rsidP="00B566EA">
      <w:pPr>
        <w:spacing w:after="0"/>
        <w:ind w:right="312"/>
        <w:rPr>
          <w:rFonts w:cstheme="minorHAnsi"/>
          <w:b/>
        </w:rPr>
      </w:pPr>
      <w:r w:rsidRPr="00642B12">
        <w:rPr>
          <w:rFonts w:cstheme="minorHAnsi"/>
          <w:b/>
        </w:rPr>
        <w:t>Workforce Profile</w:t>
      </w:r>
    </w:p>
    <w:p w14:paraId="02E4178D" w14:textId="76CD876E" w:rsidR="00B566EA" w:rsidRDefault="00B566EA" w:rsidP="00B566EA">
      <w:pPr>
        <w:spacing w:after="0"/>
        <w:ind w:right="312"/>
        <w:rPr>
          <w:rFonts w:cstheme="minorHAnsi"/>
          <w:bCs/>
        </w:rPr>
      </w:pPr>
      <w:r w:rsidRPr="00642B12">
        <w:rPr>
          <w:rFonts w:cstheme="minorHAnsi"/>
          <w:bCs/>
          <w:color w:val="000000" w:themeColor="text1"/>
        </w:rPr>
        <w:t xml:space="preserve">Total headcount as of the 31st March 2021 </w:t>
      </w:r>
      <w:r w:rsidRPr="00642B12">
        <w:rPr>
          <w:rFonts w:cstheme="minorHAnsi"/>
          <w:bCs/>
        </w:rPr>
        <w:t>was 510 with 15.69</w:t>
      </w:r>
      <w:r w:rsidRPr="00642B12">
        <w:rPr>
          <w:rFonts w:cstheme="minorHAnsi"/>
          <w:b/>
          <w:bCs/>
        </w:rPr>
        <w:t>%</w:t>
      </w:r>
      <w:r w:rsidRPr="00642B12">
        <w:rPr>
          <w:rFonts w:cstheme="minorHAnsi"/>
          <w:bCs/>
        </w:rPr>
        <w:t xml:space="preserve"> of these employees being female. </w:t>
      </w:r>
    </w:p>
    <w:p w14:paraId="45D18F7B" w14:textId="77777777" w:rsidR="00F03CA0" w:rsidRPr="00642B12" w:rsidRDefault="00F03CA0" w:rsidP="00B566EA">
      <w:pPr>
        <w:spacing w:after="0"/>
        <w:ind w:right="312"/>
        <w:rPr>
          <w:rFonts w:cstheme="minorHAnsi"/>
          <w:bCs/>
          <w:color w:val="000000" w:themeColor="text1"/>
        </w:rPr>
      </w:pPr>
    </w:p>
    <w:p w14:paraId="3DF88C31" w14:textId="37FADF32" w:rsidR="0041448C" w:rsidRPr="00FF3FFB" w:rsidRDefault="00B566EA" w:rsidP="00FF3FFB">
      <w:pPr>
        <w:ind w:left="426" w:right="310"/>
        <w:jc w:val="center"/>
        <w:rPr>
          <w:b/>
          <w:color w:val="002060"/>
          <w:sz w:val="24"/>
        </w:rPr>
      </w:pPr>
      <w:r>
        <w:rPr>
          <w:noProof/>
        </w:rPr>
        <w:drawing>
          <wp:inline distT="0" distB="0" distL="0" distR="0" wp14:anchorId="6D9167F2" wp14:editId="3D896538">
            <wp:extent cx="2264734" cy="1386292"/>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9429" cy="1407530"/>
                    </a:xfrm>
                    <a:prstGeom prst="rect">
                      <a:avLst/>
                    </a:prstGeom>
                  </pic:spPr>
                </pic:pic>
              </a:graphicData>
            </a:graphic>
          </wp:inline>
        </w:drawing>
      </w:r>
    </w:p>
    <w:p w14:paraId="5053A82F" w14:textId="7149F994" w:rsidR="00B566EA" w:rsidRPr="0060672C" w:rsidRDefault="00B566EA" w:rsidP="00B566EA">
      <w:pPr>
        <w:ind w:right="310"/>
        <w:rPr>
          <w:b/>
        </w:rPr>
      </w:pPr>
      <w:r w:rsidRPr="0060672C">
        <w:rPr>
          <w:b/>
        </w:rPr>
        <w:t>Mean Gender Pay Gap in Hourly Pay</w:t>
      </w:r>
    </w:p>
    <w:p w14:paraId="3467E14B" w14:textId="77EC5E83" w:rsidR="00B566EA" w:rsidRDefault="009508D4" w:rsidP="009508D4">
      <w:pPr>
        <w:ind w:left="720" w:right="310"/>
        <w:rPr>
          <w:b/>
          <w:sz w:val="24"/>
        </w:rPr>
      </w:pPr>
      <w:r>
        <w:rPr>
          <w:b/>
          <w:sz w:val="24"/>
        </w:rPr>
        <w:t xml:space="preserve">   </w:t>
      </w:r>
      <w:r w:rsidR="00B566EA">
        <w:rPr>
          <w:noProof/>
        </w:rPr>
        <w:drawing>
          <wp:inline distT="0" distB="0" distL="0" distR="0" wp14:anchorId="00F6F51B" wp14:editId="1D25C562">
            <wp:extent cx="4632960" cy="126834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6120" cy="1271944"/>
                    </a:xfrm>
                    <a:prstGeom prst="rect">
                      <a:avLst/>
                    </a:prstGeom>
                  </pic:spPr>
                </pic:pic>
              </a:graphicData>
            </a:graphic>
          </wp:inline>
        </w:drawing>
      </w:r>
    </w:p>
    <w:p w14:paraId="62B95BF4" w14:textId="77777777" w:rsidR="00770360" w:rsidRDefault="00770360">
      <w:pPr>
        <w:rPr>
          <w:b/>
        </w:rPr>
      </w:pPr>
      <w:r>
        <w:rPr>
          <w:b/>
        </w:rPr>
        <w:br w:type="page"/>
      </w:r>
    </w:p>
    <w:p w14:paraId="103AB6B7" w14:textId="3DF45DA5" w:rsidR="00B566EA" w:rsidRDefault="00B566EA" w:rsidP="00B566EA">
      <w:pPr>
        <w:ind w:right="310"/>
        <w:rPr>
          <w:b/>
        </w:rPr>
      </w:pPr>
      <w:r w:rsidRPr="0060672C">
        <w:rPr>
          <w:b/>
        </w:rPr>
        <w:lastRenderedPageBreak/>
        <w:t>Median Gender Pay Gap in Hourly Pay</w:t>
      </w:r>
    </w:p>
    <w:p w14:paraId="6CA64CCF" w14:textId="359BFFCD" w:rsidR="00B4212F" w:rsidRPr="0060672C" w:rsidRDefault="00B4212F" w:rsidP="00B4212F">
      <w:pPr>
        <w:ind w:left="720" w:right="310"/>
        <w:rPr>
          <w:b/>
          <w:color w:val="002060"/>
        </w:rPr>
      </w:pPr>
      <w:r>
        <w:rPr>
          <w:b/>
          <w:color w:val="002060"/>
        </w:rPr>
        <w:t xml:space="preserve">    </w:t>
      </w:r>
      <w:r>
        <w:rPr>
          <w:noProof/>
        </w:rPr>
        <w:drawing>
          <wp:inline distT="0" distB="0" distL="0" distR="0" wp14:anchorId="2312EB30" wp14:editId="460C3654">
            <wp:extent cx="4586583" cy="124152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2436" cy="1259349"/>
                    </a:xfrm>
                    <a:prstGeom prst="rect">
                      <a:avLst/>
                    </a:prstGeom>
                  </pic:spPr>
                </pic:pic>
              </a:graphicData>
            </a:graphic>
          </wp:inline>
        </w:drawing>
      </w:r>
    </w:p>
    <w:p w14:paraId="51312B02" w14:textId="77777777" w:rsidR="00B566EA" w:rsidRPr="00642B12" w:rsidRDefault="00B566EA" w:rsidP="00B566EA">
      <w:r w:rsidRPr="00642B12">
        <w:rPr>
          <w:rFonts w:cs="Arial"/>
        </w:rPr>
        <w:t xml:space="preserve">The pay gap is </w:t>
      </w:r>
      <w:r w:rsidRPr="00642B12">
        <w:t xml:space="preserve">a snapshot in time, reflecting organisational structure and individuals in post as of 31 March 2021. </w:t>
      </w:r>
    </w:p>
    <w:p w14:paraId="664BC08B" w14:textId="77777777" w:rsidR="00B566EA" w:rsidRPr="00642B12" w:rsidRDefault="00B566EA" w:rsidP="00B566EA">
      <w:r w:rsidRPr="00642B12">
        <w:t>The national data is taken as an average of Fire &amp; Rescue Services with 500-999 employees covering 15 authorities, it shows that the mean and median gender pay gap is currently lower than the national average.</w:t>
      </w:r>
    </w:p>
    <w:p w14:paraId="0326860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Appointments</w:t>
      </w:r>
    </w:p>
    <w:p w14:paraId="77F0020B" w14:textId="7458147D" w:rsidR="00B566EA" w:rsidRPr="00642B12" w:rsidRDefault="00B566EA" w:rsidP="00B566EA">
      <w:pPr>
        <w:rPr>
          <w:rFonts w:cs="Arial"/>
        </w:rPr>
      </w:pPr>
      <w:r w:rsidRPr="00642B12">
        <w:rPr>
          <w:rFonts w:cs="Arial"/>
        </w:rPr>
        <w:t>The following statutory officers continued in role during 2021</w:t>
      </w:r>
      <w:r w:rsidR="00ED2A06">
        <w:rPr>
          <w:rFonts w:cs="Arial"/>
        </w:rPr>
        <w:t>/</w:t>
      </w:r>
      <w:r w:rsidRPr="00642B12">
        <w:rPr>
          <w:rFonts w:cs="Arial"/>
        </w:rPr>
        <w:t>22:</w:t>
      </w:r>
    </w:p>
    <w:p w14:paraId="4D8B61D9" w14:textId="77777777" w:rsidR="00B566EA" w:rsidRPr="00642B12" w:rsidRDefault="00B566EA" w:rsidP="00B566EA">
      <w:pPr>
        <w:pStyle w:val="ListParagraph"/>
        <w:numPr>
          <w:ilvl w:val="0"/>
          <w:numId w:val="20"/>
        </w:numPr>
        <w:rPr>
          <w:rFonts w:cs="Arial"/>
        </w:rPr>
      </w:pPr>
      <w:r w:rsidRPr="00642B12">
        <w:rPr>
          <w:rFonts w:cs="Arial"/>
        </w:rPr>
        <w:t xml:space="preserve">Darren Dovey, Chief Fire Officer and Head of Paid Staff.  </w:t>
      </w:r>
    </w:p>
    <w:p w14:paraId="7735AA5B" w14:textId="77777777" w:rsidR="00B566EA" w:rsidRPr="00642B12" w:rsidRDefault="00B566EA" w:rsidP="00B566EA">
      <w:pPr>
        <w:pStyle w:val="ListParagraph"/>
        <w:numPr>
          <w:ilvl w:val="0"/>
          <w:numId w:val="20"/>
        </w:numPr>
        <w:rPr>
          <w:rFonts w:cs="Arial"/>
        </w:rPr>
      </w:pPr>
      <w:r w:rsidRPr="00642B12">
        <w:rPr>
          <w:rFonts w:cs="Arial"/>
        </w:rPr>
        <w:t xml:space="preserve">Helen King, Chief Finance Officer for the PFCC and NCFRA.  </w:t>
      </w:r>
    </w:p>
    <w:p w14:paraId="60D54DCF" w14:textId="77777777" w:rsidR="00B566EA" w:rsidRPr="00642B12" w:rsidRDefault="00B566EA" w:rsidP="00B566EA">
      <w:pPr>
        <w:pStyle w:val="ListParagraph"/>
        <w:numPr>
          <w:ilvl w:val="0"/>
          <w:numId w:val="20"/>
        </w:numPr>
        <w:rPr>
          <w:rFonts w:cs="Arial"/>
        </w:rPr>
      </w:pPr>
      <w:r w:rsidRPr="00642B12">
        <w:rPr>
          <w:rFonts w:cs="Arial"/>
        </w:rPr>
        <w:t>Nicci Marzec, Director of Early Intervention and Monitoring Officer for the PFCC and NCFRA.</w:t>
      </w:r>
    </w:p>
    <w:p w14:paraId="720C2FCD" w14:textId="77777777" w:rsidR="00FB309D" w:rsidRDefault="00B566EA" w:rsidP="00FB309D">
      <w:pPr>
        <w:rPr>
          <w:b/>
          <w:bCs/>
          <w:sz w:val="28"/>
          <w:szCs w:val="28"/>
        </w:rPr>
      </w:pPr>
      <w:r w:rsidRPr="00642B12">
        <w:rPr>
          <w:rFonts w:cs="Arial"/>
        </w:rPr>
        <w:t>In February 2022 the Chief Fire Officer, Darren Dovey announced his intention to retire and the recruitment process is underway to appoint a new Chief Fire Officer for the county.</w:t>
      </w:r>
    </w:p>
    <w:p w14:paraId="5FEC525F" w14:textId="116554F6" w:rsidR="00B566EA" w:rsidRPr="00FB309D" w:rsidRDefault="00B566EA" w:rsidP="00770360">
      <w:pPr>
        <w:rPr>
          <w:rFonts w:cs="Arial"/>
        </w:rPr>
      </w:pPr>
      <w:r w:rsidRPr="00642B12">
        <w:rPr>
          <w:rFonts w:cstheme="minorHAnsi"/>
          <w:b/>
          <w:bCs/>
          <w:sz w:val="28"/>
          <w:szCs w:val="28"/>
        </w:rPr>
        <w:t>NCFRA 2021</w:t>
      </w:r>
      <w:r w:rsidR="00ED2A06">
        <w:rPr>
          <w:rFonts w:cstheme="minorHAnsi"/>
          <w:b/>
          <w:bCs/>
          <w:sz w:val="28"/>
          <w:szCs w:val="28"/>
        </w:rPr>
        <w:t>/</w:t>
      </w:r>
      <w:r w:rsidRPr="00642B12">
        <w:rPr>
          <w:rFonts w:cstheme="minorHAnsi"/>
          <w:b/>
          <w:bCs/>
          <w:sz w:val="28"/>
          <w:szCs w:val="28"/>
        </w:rPr>
        <w:t>22 Performance</w:t>
      </w:r>
    </w:p>
    <w:p w14:paraId="0820FD20" w14:textId="77777777" w:rsidR="00B566EA" w:rsidRPr="00642B12" w:rsidRDefault="00B566EA" w:rsidP="00B566EA">
      <w:pPr>
        <w:pStyle w:val="NewSoABody"/>
        <w:jc w:val="both"/>
        <w:rPr>
          <w:rFonts w:asciiTheme="minorHAnsi" w:hAnsiTheme="minorHAnsi" w:cstheme="minorHAnsi"/>
          <w:szCs w:val="22"/>
        </w:rPr>
      </w:pPr>
      <w:r w:rsidRPr="00642B12">
        <w:rPr>
          <w:rFonts w:asciiTheme="minorHAnsi" w:hAnsiTheme="minorHAnsi" w:cstheme="minorHAnsi"/>
          <w:szCs w:val="22"/>
        </w:rPr>
        <w:t>The Police Fire and Crime Commissioner produces an Annual Report for consideration by the Police, Fire and Crime Panel at their meeting in summer 2022. This report sets out delivery against priorities and once published, a full copy will be available on the Police, Fire and Crime Panel website.</w:t>
      </w:r>
    </w:p>
    <w:p w14:paraId="749B7CB4" w14:textId="77777777" w:rsidR="00B566EA" w:rsidRPr="00642B12" w:rsidRDefault="00B566EA" w:rsidP="00B566EA">
      <w:pPr>
        <w:pStyle w:val="NewSoABody"/>
        <w:jc w:val="both"/>
        <w:rPr>
          <w:rFonts w:asciiTheme="minorHAnsi" w:hAnsiTheme="minorHAnsi" w:cstheme="minorHAnsi"/>
          <w:szCs w:val="22"/>
        </w:rPr>
      </w:pPr>
      <w:r w:rsidRPr="00642B12">
        <w:rPr>
          <w:rFonts w:asciiTheme="minorHAnsi" w:hAnsiTheme="minorHAnsi" w:cstheme="minorHAnsi"/>
          <w:szCs w:val="22"/>
        </w:rPr>
        <w:t xml:space="preserve">Accountability for Fire and Rescue performance and service delivery is undertaken through the Accountability Board. Members of the Board are the Commissioner (the Chair), the Monitoring Officer, the Chief Fire Officer and other Chief Officers. There is a formal agenda which has a schedule of assurance in the form of standard agenda items.  </w:t>
      </w:r>
    </w:p>
    <w:p w14:paraId="0C0BFB8E" w14:textId="77777777" w:rsidR="00B566EA" w:rsidRPr="00642B12" w:rsidRDefault="00B566EA" w:rsidP="00B566EA">
      <w:pPr>
        <w:rPr>
          <w:rFonts w:cstheme="minorHAnsi"/>
        </w:rPr>
      </w:pPr>
      <w:r w:rsidRPr="00642B12">
        <w:rPr>
          <w:rFonts w:cstheme="minorHAnsi"/>
        </w:rPr>
        <w:t xml:space="preserve">The minutes of the Accountability Board are published on the OPFCC website. </w:t>
      </w:r>
    </w:p>
    <w:p w14:paraId="42BE3B4C" w14:textId="17331031" w:rsidR="00B566EA" w:rsidRPr="00642B12" w:rsidRDefault="00B566EA" w:rsidP="00B566EA">
      <w:pPr>
        <w:rPr>
          <w:rFonts w:cstheme="minorHAnsi"/>
          <w:color w:val="FF0000"/>
        </w:rPr>
      </w:pPr>
      <w:r w:rsidRPr="00642B12">
        <w:rPr>
          <w:rFonts w:cstheme="minorHAnsi"/>
        </w:rPr>
        <w:t>Performance for the year is summarised in the table below</w:t>
      </w:r>
    </w:p>
    <w:p w14:paraId="16F59BBE" w14:textId="5DA4009B" w:rsidR="00B566EA" w:rsidRPr="004A0F0B" w:rsidRDefault="00A52D02" w:rsidP="00B566EA">
      <w:pPr>
        <w:jc w:val="center"/>
        <w:rPr>
          <w:rFonts w:cs="Arial"/>
          <w:highlight w:val="yellow"/>
        </w:rPr>
      </w:pPr>
      <w:r w:rsidRPr="00A52D02">
        <w:rPr>
          <w:noProof/>
        </w:rPr>
        <w:drawing>
          <wp:inline distT="0" distB="0" distL="0" distR="0" wp14:anchorId="77B81006" wp14:editId="6245359D">
            <wp:extent cx="5543550" cy="3224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8846" cy="3233633"/>
                    </a:xfrm>
                    <a:prstGeom prst="rect">
                      <a:avLst/>
                    </a:prstGeom>
                  </pic:spPr>
                </pic:pic>
              </a:graphicData>
            </a:graphic>
          </wp:inline>
        </w:drawing>
      </w:r>
    </w:p>
    <w:p w14:paraId="67648649" w14:textId="421A04A9" w:rsidR="00B566EA" w:rsidRPr="00642B12" w:rsidRDefault="00B566EA" w:rsidP="00770360">
      <w:pPr>
        <w:rPr>
          <w:rFonts w:cstheme="minorHAnsi"/>
          <w:b/>
          <w:sz w:val="28"/>
          <w:szCs w:val="28"/>
        </w:rPr>
      </w:pPr>
      <w:r w:rsidRPr="00642B12">
        <w:rPr>
          <w:rFonts w:cstheme="minorHAnsi"/>
          <w:b/>
          <w:sz w:val="28"/>
          <w:szCs w:val="28"/>
        </w:rPr>
        <w:lastRenderedPageBreak/>
        <w:t xml:space="preserve">Her Majesty's Inspectorate of Constabulary and Fire &amp; Rescue Services (HMICFRS) Inspection </w:t>
      </w:r>
    </w:p>
    <w:p w14:paraId="16809C8D" w14:textId="77777777" w:rsidR="00B566EA" w:rsidRPr="00642B12" w:rsidRDefault="00B566EA" w:rsidP="00B566EA">
      <w:pPr>
        <w:rPr>
          <w:rFonts w:cstheme="minorHAnsi"/>
        </w:rPr>
      </w:pPr>
      <w:r w:rsidRPr="00642B12">
        <w:rPr>
          <w:rFonts w:cstheme="minorHAnsi"/>
        </w:rPr>
        <w:t xml:space="preserve">In November 2018, prior to the governance transfer, the Fire and Rescue service were subject to a HMICFRS inspection. The report was received in June 2019 and is available on the PFCC website. </w:t>
      </w:r>
    </w:p>
    <w:p w14:paraId="5F0294A1" w14:textId="77777777" w:rsidR="00B566EA" w:rsidRPr="00642B12" w:rsidRDefault="00B566EA" w:rsidP="00B566EA">
      <w:pPr>
        <w:rPr>
          <w:rFonts w:cstheme="minorHAnsi"/>
        </w:rPr>
      </w:pPr>
      <w:r w:rsidRPr="00642B12">
        <w:rPr>
          <w:rFonts w:cstheme="minorHAnsi"/>
        </w:rPr>
        <w:t xml:space="preserve">The Chief Fire Officer reviewed the findings and recommendations from the first HMICFRS inspection and prepared an improvement plan. Regular updates were considered by the PFCC through the Accountability Board during the year. </w:t>
      </w:r>
    </w:p>
    <w:p w14:paraId="010CC24D" w14:textId="77777777" w:rsidR="00B566EA" w:rsidRPr="00642B12" w:rsidRDefault="00B566EA" w:rsidP="00B566EA">
      <w:pPr>
        <w:rPr>
          <w:rFonts w:eastAsia="Times New Roman" w:cstheme="minorHAnsi"/>
        </w:rPr>
      </w:pPr>
      <w:r w:rsidRPr="00642B12">
        <w:rPr>
          <w:rFonts w:eastAsia="Times New Roman" w:cstheme="minorHAnsi"/>
        </w:rPr>
        <w:t>A re-visit by Inspectors in June 2019 showed that NFRS had made significant improvement and between 2nd and 5th March 2020, the Inspectors visited again to check progress against the improvement plan. The Inspectors found that NFRS had prioritised improvement and that there was no longer a cause for concern about their performance</w:t>
      </w:r>
    </w:p>
    <w:p w14:paraId="6186C755" w14:textId="77777777" w:rsidR="00B566EA" w:rsidRPr="00642B12" w:rsidRDefault="00B566EA" w:rsidP="00B566EA">
      <w:pPr>
        <w:rPr>
          <w:rFonts w:eastAsia="Times New Roman" w:cstheme="minorHAnsi"/>
        </w:rPr>
      </w:pPr>
      <w:r w:rsidRPr="00642B12">
        <w:rPr>
          <w:rFonts w:eastAsia="Times New Roman" w:cstheme="minorHAnsi"/>
        </w:rPr>
        <w:t>In Winter 2021/Spring 2022 the second HMICFRS Inspection of Northamptonshire Fire and Rescue took place. The report is expected in Summer 2022 and it is anticipated that NFRS will have made progress since the last inspection.</w:t>
      </w:r>
    </w:p>
    <w:p w14:paraId="0A99ED09" w14:textId="5892B439" w:rsidR="00B566EA"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The report will be available on both the HMICFRS and OPFCC websites when published.</w:t>
      </w:r>
    </w:p>
    <w:p w14:paraId="6AB36E11" w14:textId="77777777" w:rsidR="00770360" w:rsidRDefault="00770360" w:rsidP="00B566EA">
      <w:pPr>
        <w:pStyle w:val="Default"/>
        <w:rPr>
          <w:rFonts w:asciiTheme="minorHAnsi" w:hAnsiTheme="minorHAnsi" w:cstheme="minorHAnsi"/>
          <w:b/>
          <w:bCs/>
          <w:color w:val="auto"/>
          <w:sz w:val="28"/>
          <w:szCs w:val="28"/>
        </w:rPr>
      </w:pPr>
    </w:p>
    <w:p w14:paraId="4E273973" w14:textId="7CD0A0BD"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Financial Performance</w:t>
      </w:r>
    </w:p>
    <w:p w14:paraId="51D3E00C" w14:textId="77777777" w:rsidR="00B566EA" w:rsidRPr="00642B12" w:rsidRDefault="00B566EA" w:rsidP="00B566EA">
      <w:pPr>
        <w:spacing w:after="0" w:line="240" w:lineRule="auto"/>
        <w:rPr>
          <w:rFonts w:cstheme="minorHAnsi"/>
        </w:rPr>
      </w:pPr>
      <w:r w:rsidRPr="00642B12">
        <w:rPr>
          <w:rFonts w:cstheme="minorHAnsi"/>
        </w:rPr>
        <w:t xml:space="preserve">As at year end, NCFRA underspent by £323k on the budget of £25.260m after planned transfers to reserves. </w:t>
      </w:r>
    </w:p>
    <w:p w14:paraId="4846FC15" w14:textId="77777777" w:rsidR="00B566EA" w:rsidRPr="00642B12" w:rsidRDefault="00B566EA" w:rsidP="00B566EA">
      <w:pPr>
        <w:spacing w:after="0" w:line="240" w:lineRule="auto"/>
        <w:rPr>
          <w:rFonts w:cstheme="minorHAnsi"/>
        </w:rPr>
      </w:pPr>
    </w:p>
    <w:p w14:paraId="664195A8" w14:textId="20E91661" w:rsidR="00B566EA" w:rsidRPr="00642B12" w:rsidRDefault="00B566EA" w:rsidP="00B566EA">
      <w:pPr>
        <w:spacing w:after="0" w:line="240" w:lineRule="auto"/>
        <w:rPr>
          <w:rFonts w:cstheme="minorHAnsi"/>
          <w:bCs/>
        </w:rPr>
      </w:pPr>
      <w:r w:rsidRPr="00642B12">
        <w:rPr>
          <w:rFonts w:cstheme="minorHAnsi"/>
        </w:rPr>
        <w:t xml:space="preserve">The year to 31 March 2022 is the end of the three year stability plan period set out in the governance proposal to the Home Secretary. Whilst NCFRA are still one of the lowest funded Fire and Rescue Authorities nationally, reserves are now deemed to be at an adequate level, a capital programme is in place and a Medium Term Financial Plan is in place with a balanced budget for three years. </w:t>
      </w:r>
      <w:r w:rsidRPr="00642B12">
        <w:rPr>
          <w:rFonts w:cstheme="minorHAnsi"/>
          <w:bCs/>
        </w:rPr>
        <w:t>The outturn for 2021</w:t>
      </w:r>
      <w:r w:rsidR="00ED2A06">
        <w:rPr>
          <w:rFonts w:cstheme="minorHAnsi"/>
          <w:bCs/>
        </w:rPr>
        <w:t>/</w:t>
      </w:r>
      <w:r w:rsidRPr="00642B12">
        <w:rPr>
          <w:rFonts w:cstheme="minorHAnsi"/>
          <w:bCs/>
        </w:rPr>
        <w:t>22 was as follows:</w:t>
      </w:r>
    </w:p>
    <w:p w14:paraId="7D173AAD" w14:textId="711D461B" w:rsidR="00B566EA" w:rsidRDefault="00B566EA" w:rsidP="00B566EA">
      <w:pPr>
        <w:spacing w:after="0" w:line="240" w:lineRule="auto"/>
        <w:rPr>
          <w:rFonts w:cstheme="minorHAnsi"/>
        </w:rPr>
      </w:pPr>
    </w:p>
    <w:p w14:paraId="0B177059" w14:textId="1D3DC799" w:rsidR="00A40CD4" w:rsidRDefault="00A40CD4" w:rsidP="00B566EA">
      <w:pPr>
        <w:spacing w:after="0" w:line="240" w:lineRule="auto"/>
        <w:rPr>
          <w:rFonts w:cstheme="minorHAnsi"/>
        </w:rPr>
      </w:pPr>
    </w:p>
    <w:p w14:paraId="661EF413" w14:textId="580290CA" w:rsidR="00A40CD4" w:rsidRDefault="00A40CD4" w:rsidP="00A40CD4">
      <w:pPr>
        <w:spacing w:after="0" w:line="240" w:lineRule="auto"/>
        <w:jc w:val="center"/>
        <w:rPr>
          <w:rFonts w:cstheme="minorHAnsi"/>
        </w:rPr>
      </w:pPr>
      <w:r w:rsidRPr="00A40CD4">
        <w:rPr>
          <w:noProof/>
        </w:rPr>
        <w:drawing>
          <wp:inline distT="0" distB="0" distL="0" distR="0" wp14:anchorId="61CB2D52" wp14:editId="297DBE84">
            <wp:extent cx="2381250" cy="2482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482850"/>
                    </a:xfrm>
                    <a:prstGeom prst="rect">
                      <a:avLst/>
                    </a:prstGeom>
                    <a:noFill/>
                    <a:ln>
                      <a:noFill/>
                    </a:ln>
                  </pic:spPr>
                </pic:pic>
              </a:graphicData>
            </a:graphic>
          </wp:inline>
        </w:drawing>
      </w:r>
    </w:p>
    <w:p w14:paraId="7F32E738" w14:textId="7579701E" w:rsidR="00B566EA" w:rsidRDefault="00B566EA" w:rsidP="00B566EA">
      <w:pPr>
        <w:spacing w:after="0" w:line="240" w:lineRule="auto"/>
        <w:jc w:val="center"/>
        <w:rPr>
          <w:rFonts w:cstheme="minorHAnsi"/>
        </w:rPr>
      </w:pPr>
    </w:p>
    <w:p w14:paraId="6B69BDCB" w14:textId="77777777" w:rsidR="00B566EA" w:rsidRPr="00642B12" w:rsidRDefault="00B566EA" w:rsidP="00B566EA">
      <w:pPr>
        <w:spacing w:after="0" w:line="240" w:lineRule="auto"/>
        <w:rPr>
          <w:rFonts w:cstheme="minorHAnsi"/>
        </w:rPr>
      </w:pPr>
      <w:r w:rsidRPr="00642B12">
        <w:rPr>
          <w:rFonts w:cstheme="minorHAnsi"/>
        </w:rPr>
        <w:t xml:space="preserve">Whilst further progress has been made in building internal controls during the year, work continues with budget managers to take forward and embed internal controls particularly in the areas of asset management, training, property, commercial and procurement. </w:t>
      </w:r>
    </w:p>
    <w:p w14:paraId="52A30823" w14:textId="77777777" w:rsidR="00B566EA" w:rsidRPr="00642B12" w:rsidRDefault="00B566EA" w:rsidP="00B566EA">
      <w:pPr>
        <w:spacing w:after="0" w:line="240" w:lineRule="auto"/>
        <w:rPr>
          <w:rFonts w:cstheme="minorHAnsi"/>
        </w:rPr>
      </w:pPr>
    </w:p>
    <w:p w14:paraId="537BF610" w14:textId="77777777" w:rsidR="00B566EA" w:rsidRPr="00642B12" w:rsidRDefault="00B566EA" w:rsidP="00B566EA">
      <w:pPr>
        <w:spacing w:after="0" w:line="240" w:lineRule="auto"/>
        <w:rPr>
          <w:rFonts w:cstheme="minorHAnsi"/>
        </w:rPr>
      </w:pPr>
      <w:r w:rsidRPr="00642B12">
        <w:rPr>
          <w:rFonts w:cstheme="minorHAnsi"/>
        </w:rPr>
        <w:t>Key variances include:</w:t>
      </w:r>
    </w:p>
    <w:p w14:paraId="559BAB5D" w14:textId="77777777" w:rsidR="00B566EA" w:rsidRDefault="00B566EA" w:rsidP="00B566EA">
      <w:pPr>
        <w:spacing w:after="0" w:line="240" w:lineRule="auto"/>
        <w:rPr>
          <w:rFonts w:cstheme="minorHAnsi"/>
        </w:rPr>
      </w:pPr>
    </w:p>
    <w:p w14:paraId="5009E9AC"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 xml:space="preserve">The impact of COVID, the unbudgeted 1.75% pay award and vacancies in retained staff resulted in additional costs for wholetime firefighters.  </w:t>
      </w:r>
    </w:p>
    <w:p w14:paraId="275651FD" w14:textId="77777777" w:rsidR="00B566EA" w:rsidRPr="00642B12" w:rsidRDefault="00B566EA" w:rsidP="00B566EA">
      <w:pPr>
        <w:pStyle w:val="ListParagraph"/>
        <w:spacing w:after="0" w:line="240" w:lineRule="auto"/>
        <w:ind w:left="360"/>
        <w:rPr>
          <w:rFonts w:cstheme="minorHAnsi"/>
        </w:rPr>
      </w:pPr>
    </w:p>
    <w:p w14:paraId="35941CF8"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Commercial received additional income in the year and training underspends were as a result of plans not being delivered by year end.</w:t>
      </w:r>
    </w:p>
    <w:p w14:paraId="0E282991" w14:textId="77777777" w:rsidR="00B566EA" w:rsidRPr="00642B12" w:rsidRDefault="00B566EA" w:rsidP="00B566EA">
      <w:pPr>
        <w:pStyle w:val="ListParagraph"/>
        <w:spacing w:after="0" w:line="240" w:lineRule="auto"/>
        <w:ind w:left="360"/>
        <w:rPr>
          <w:rFonts w:cstheme="minorHAnsi"/>
        </w:rPr>
      </w:pPr>
    </w:p>
    <w:p w14:paraId="35CF607D"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lastRenderedPageBreak/>
        <w:t>Engineering, fleet and stores were impacted by higher inflationary costs particularly for fuel.</w:t>
      </w:r>
    </w:p>
    <w:p w14:paraId="6FB579D1" w14:textId="77777777" w:rsidR="00B566EA" w:rsidRPr="00642B12" w:rsidRDefault="00B566EA" w:rsidP="00B566EA">
      <w:pPr>
        <w:pStyle w:val="ListParagraph"/>
        <w:spacing w:after="0" w:line="240" w:lineRule="auto"/>
        <w:ind w:left="360"/>
        <w:rPr>
          <w:rFonts w:cstheme="minorHAnsi"/>
        </w:rPr>
      </w:pPr>
    </w:p>
    <w:p w14:paraId="200F4209" w14:textId="77777777" w:rsidR="00B566EA" w:rsidRPr="00642B12" w:rsidRDefault="00B566EA" w:rsidP="00B566EA">
      <w:pPr>
        <w:pStyle w:val="ListParagraph"/>
        <w:numPr>
          <w:ilvl w:val="0"/>
          <w:numId w:val="29"/>
        </w:numPr>
        <w:spacing w:after="0" w:line="240" w:lineRule="auto"/>
        <w:ind w:left="360"/>
        <w:rPr>
          <w:rFonts w:cstheme="minorHAnsi"/>
        </w:rPr>
      </w:pPr>
      <w:r w:rsidRPr="00642B12">
        <w:rPr>
          <w:rFonts w:cstheme="minorHAnsi"/>
        </w:rPr>
        <w:t>Corporate budgets underspends arose from lower than anticipated capital financing and shared services costs. Furthermore, the Home Office provided a number of one off grants (e.g. transformation and audit fees) which increased the underspend in this area.</w:t>
      </w:r>
    </w:p>
    <w:p w14:paraId="04651788" w14:textId="77777777" w:rsidR="00B566EA" w:rsidRPr="00642B12" w:rsidRDefault="00B566EA" w:rsidP="00B566EA">
      <w:pPr>
        <w:pStyle w:val="ListParagraph"/>
        <w:spacing w:after="0" w:line="240" w:lineRule="auto"/>
        <w:ind w:left="360"/>
        <w:rPr>
          <w:rFonts w:cstheme="minorHAnsi"/>
        </w:rPr>
      </w:pPr>
    </w:p>
    <w:p w14:paraId="35448217" w14:textId="011D062F" w:rsidR="00B566EA" w:rsidRDefault="00B566EA" w:rsidP="00B566EA">
      <w:pPr>
        <w:pStyle w:val="ListParagraph"/>
        <w:numPr>
          <w:ilvl w:val="0"/>
          <w:numId w:val="29"/>
        </w:numPr>
        <w:spacing w:after="0" w:line="240" w:lineRule="auto"/>
        <w:ind w:left="360"/>
        <w:rPr>
          <w:rFonts w:cstheme="minorHAnsi"/>
        </w:rPr>
      </w:pPr>
      <w:r w:rsidRPr="00642B12">
        <w:rPr>
          <w:rFonts w:cstheme="minorHAnsi"/>
        </w:rPr>
        <w:t>Property underspends arose from savings arising from revaluations of business rates and slippage to some of the property enhancements to 2022</w:t>
      </w:r>
      <w:r w:rsidR="00ED2A06">
        <w:rPr>
          <w:rFonts w:cstheme="minorHAnsi"/>
        </w:rPr>
        <w:t>/</w:t>
      </w:r>
      <w:r w:rsidRPr="00642B12">
        <w:rPr>
          <w:rFonts w:cstheme="minorHAnsi"/>
        </w:rPr>
        <w:t>23.</w:t>
      </w:r>
    </w:p>
    <w:p w14:paraId="5182FA30" w14:textId="77777777" w:rsidR="00FB309D" w:rsidRPr="00FB309D" w:rsidRDefault="00FB309D" w:rsidP="00FB309D">
      <w:pPr>
        <w:spacing w:after="0" w:line="240" w:lineRule="auto"/>
        <w:rPr>
          <w:rFonts w:cstheme="minorHAnsi"/>
        </w:rPr>
      </w:pPr>
    </w:p>
    <w:p w14:paraId="6571460A" w14:textId="4A00E2AD" w:rsidR="00770360" w:rsidRPr="00770360" w:rsidRDefault="00B566EA" w:rsidP="00C30F65">
      <w:pPr>
        <w:pStyle w:val="ListParagraph"/>
        <w:numPr>
          <w:ilvl w:val="0"/>
          <w:numId w:val="29"/>
        </w:numPr>
        <w:spacing w:after="0" w:line="240" w:lineRule="auto"/>
        <w:ind w:left="360"/>
        <w:rPr>
          <w:rFonts w:cstheme="minorHAnsi"/>
          <w:b/>
          <w:bCs/>
          <w:sz w:val="28"/>
          <w:szCs w:val="28"/>
        </w:rPr>
      </w:pPr>
      <w:r w:rsidRPr="00770360">
        <w:rPr>
          <w:rFonts w:cstheme="minorHAnsi"/>
        </w:rPr>
        <w:t>Other budgets include the PFCC contingency of £120</w:t>
      </w:r>
      <w:r w:rsidR="00DE1FD3" w:rsidRPr="00770360">
        <w:rPr>
          <w:rFonts w:cstheme="minorHAnsi"/>
        </w:rPr>
        <w:t>k</w:t>
      </w:r>
      <w:r w:rsidRPr="00770360">
        <w:rPr>
          <w:rFonts w:cstheme="minorHAnsi"/>
        </w:rPr>
        <w:t xml:space="preserve"> held to mitigate the cost of the pay award; £52</w:t>
      </w:r>
      <w:r w:rsidR="00DE1FD3" w:rsidRPr="00770360">
        <w:rPr>
          <w:rFonts w:cstheme="minorHAnsi"/>
        </w:rPr>
        <w:t>k</w:t>
      </w:r>
      <w:r w:rsidRPr="00770360">
        <w:rPr>
          <w:rFonts w:cstheme="minorHAnsi"/>
        </w:rPr>
        <w:t xml:space="preserve"> savings from ICT contracts and underspends in Business Planning, Senior Leadership and Service Information Teams, often as a result of staff vacancies. </w:t>
      </w:r>
    </w:p>
    <w:p w14:paraId="40C47ED5" w14:textId="77777777" w:rsidR="00770360" w:rsidRDefault="00770360" w:rsidP="00B566EA">
      <w:pPr>
        <w:pStyle w:val="Default"/>
        <w:rPr>
          <w:rFonts w:asciiTheme="minorHAnsi" w:hAnsiTheme="minorHAnsi" w:cstheme="minorHAnsi"/>
          <w:b/>
          <w:bCs/>
          <w:color w:val="auto"/>
          <w:sz w:val="28"/>
          <w:szCs w:val="28"/>
        </w:rPr>
      </w:pPr>
    </w:p>
    <w:p w14:paraId="0E2402E0" w14:textId="0AD24C44"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Capital</w:t>
      </w:r>
    </w:p>
    <w:p w14:paraId="168F0380" w14:textId="3A4578DD"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color w:val="auto"/>
          <w:sz w:val="22"/>
          <w:szCs w:val="22"/>
        </w:rPr>
        <w:t>NCFRA have a significant capital programme following many years of under investment. The programme is continually reviewed to ensure that it is affordable. In 2021</w:t>
      </w:r>
      <w:r w:rsidR="00ED2A06">
        <w:rPr>
          <w:rFonts w:asciiTheme="minorHAnsi" w:hAnsiTheme="minorHAnsi" w:cstheme="minorHAnsi"/>
          <w:color w:val="auto"/>
          <w:sz w:val="22"/>
          <w:szCs w:val="22"/>
        </w:rPr>
        <w:t>/</w:t>
      </w:r>
      <w:r w:rsidRPr="00642B12">
        <w:rPr>
          <w:rFonts w:asciiTheme="minorHAnsi" w:hAnsiTheme="minorHAnsi" w:cstheme="minorHAnsi"/>
          <w:color w:val="auto"/>
          <w:sz w:val="22"/>
          <w:szCs w:val="22"/>
        </w:rPr>
        <w:t>22, a capital programme of £3m had been approved and expenditure totalled £2.8m as set out below:</w:t>
      </w:r>
    </w:p>
    <w:p w14:paraId="0785FADA" w14:textId="77777777" w:rsidR="00B566EA" w:rsidRPr="00A907EA" w:rsidRDefault="00B566EA" w:rsidP="00B566EA">
      <w:pPr>
        <w:pStyle w:val="Default"/>
        <w:rPr>
          <w:rFonts w:asciiTheme="minorHAnsi" w:hAnsiTheme="minorHAnsi"/>
          <w:b/>
          <w:bCs/>
          <w:color w:val="auto"/>
          <w:sz w:val="28"/>
          <w:szCs w:val="28"/>
        </w:rPr>
      </w:pPr>
    </w:p>
    <w:p w14:paraId="39F53D42" w14:textId="3B39CBD0" w:rsidR="00B566EA" w:rsidRPr="00A907EA" w:rsidRDefault="00A40CD4" w:rsidP="00B566EA">
      <w:pPr>
        <w:pStyle w:val="Default"/>
        <w:jc w:val="center"/>
        <w:rPr>
          <w:rFonts w:asciiTheme="minorHAnsi" w:hAnsiTheme="minorHAnsi"/>
          <w:b/>
          <w:bCs/>
          <w:color w:val="auto"/>
          <w:sz w:val="28"/>
          <w:szCs w:val="28"/>
        </w:rPr>
      </w:pPr>
      <w:r w:rsidRPr="00A40CD4">
        <w:rPr>
          <w:noProof/>
        </w:rPr>
        <w:drawing>
          <wp:inline distT="0" distB="0" distL="0" distR="0" wp14:anchorId="6704F6D3" wp14:editId="21A46816">
            <wp:extent cx="2755900" cy="2305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p w14:paraId="103BF26F" w14:textId="77777777" w:rsidR="00B566EA" w:rsidRPr="00A907EA" w:rsidRDefault="00B566EA" w:rsidP="00B566EA">
      <w:pPr>
        <w:pStyle w:val="Default"/>
        <w:rPr>
          <w:rFonts w:asciiTheme="minorHAnsi" w:hAnsiTheme="minorHAnsi"/>
          <w:b/>
          <w:bCs/>
          <w:color w:val="auto"/>
          <w:sz w:val="28"/>
          <w:szCs w:val="28"/>
        </w:rPr>
      </w:pPr>
    </w:p>
    <w:p w14:paraId="66D03D8D" w14:textId="2A6BE243"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Most expenditure related to the purchase of the four new fire tenders. Internal borrowing of £2.5m was used for these and capital receipts, grants and revenue contributions comprised the balance.</w:t>
      </w:r>
    </w:p>
    <w:p w14:paraId="5DD63106" w14:textId="77777777" w:rsidR="00B566EA" w:rsidRPr="00A907EA" w:rsidRDefault="00B566EA" w:rsidP="00B566EA">
      <w:pPr>
        <w:pStyle w:val="Default"/>
        <w:rPr>
          <w:rFonts w:asciiTheme="minorHAnsi" w:hAnsiTheme="minorHAnsi"/>
          <w:color w:val="auto"/>
          <w:sz w:val="22"/>
          <w:szCs w:val="22"/>
        </w:rPr>
      </w:pPr>
    </w:p>
    <w:p w14:paraId="7D23951C"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Balance Sheet</w:t>
      </w:r>
    </w:p>
    <w:p w14:paraId="591C3C85" w14:textId="2727DD0E"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The Balance Sheet as at 31 March 2021 is the closing balance for the 2020</w:t>
      </w:r>
      <w:r w:rsidR="00ED2A06">
        <w:rPr>
          <w:rFonts w:asciiTheme="minorHAnsi" w:hAnsiTheme="minorHAnsi" w:cstheme="minorHAnsi"/>
          <w:szCs w:val="22"/>
        </w:rPr>
        <w:t>/</w:t>
      </w:r>
      <w:r w:rsidRPr="00642B12">
        <w:rPr>
          <w:rFonts w:asciiTheme="minorHAnsi" w:hAnsiTheme="minorHAnsi" w:cstheme="minorHAnsi"/>
          <w:szCs w:val="22"/>
        </w:rPr>
        <w:t>21 accounts</w:t>
      </w:r>
      <w:r w:rsidR="00B4212F">
        <w:rPr>
          <w:rFonts w:asciiTheme="minorHAnsi" w:hAnsiTheme="minorHAnsi" w:cstheme="minorHAnsi"/>
          <w:szCs w:val="22"/>
        </w:rPr>
        <w:t xml:space="preserve"> and the opening balance for the 2021/22 accounts.</w:t>
      </w:r>
      <w:r w:rsidRPr="00642B12">
        <w:rPr>
          <w:rFonts w:asciiTheme="minorHAnsi" w:hAnsiTheme="minorHAnsi" w:cstheme="minorHAnsi"/>
          <w:szCs w:val="22"/>
        </w:rPr>
        <w:t xml:space="preserve">. </w:t>
      </w:r>
    </w:p>
    <w:p w14:paraId="2B4AA325"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Fixed Assets</w:t>
      </w:r>
    </w:p>
    <w:p w14:paraId="69617A56" w14:textId="77777777"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NCFRA owns twenty four properties across Northamptonshire, of which all but one are freehold.</w:t>
      </w:r>
    </w:p>
    <w:p w14:paraId="5B9F2269"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Borrowing</w:t>
      </w:r>
    </w:p>
    <w:p w14:paraId="02F808F0" w14:textId="567D8EDE" w:rsidR="00B566EA" w:rsidRPr="00642B12" w:rsidRDefault="00B566EA" w:rsidP="00B566EA">
      <w:pPr>
        <w:pStyle w:val="NewSoABody"/>
        <w:shd w:val="clear" w:color="auto" w:fill="FFFFFF" w:themeFill="background1"/>
        <w:jc w:val="both"/>
        <w:rPr>
          <w:rFonts w:asciiTheme="minorHAnsi" w:hAnsiTheme="minorHAnsi" w:cstheme="minorHAnsi"/>
          <w:szCs w:val="22"/>
        </w:rPr>
      </w:pPr>
      <w:r w:rsidRPr="00642B12">
        <w:rPr>
          <w:rFonts w:asciiTheme="minorHAnsi" w:hAnsiTheme="minorHAnsi" w:cstheme="minorHAnsi"/>
          <w:szCs w:val="22"/>
        </w:rPr>
        <w:t>Only internal borrowing took place in 2021</w:t>
      </w:r>
      <w:r w:rsidR="00ED2A06">
        <w:rPr>
          <w:rFonts w:asciiTheme="minorHAnsi" w:hAnsiTheme="minorHAnsi" w:cstheme="minorHAnsi"/>
          <w:szCs w:val="22"/>
        </w:rPr>
        <w:t>/</w:t>
      </w:r>
      <w:r w:rsidRPr="00642B12">
        <w:rPr>
          <w:rFonts w:asciiTheme="minorHAnsi" w:hAnsiTheme="minorHAnsi" w:cstheme="minorHAnsi"/>
          <w:szCs w:val="22"/>
        </w:rPr>
        <w:t>22. NCFRA undertook borrowing of 40 years in 2020</w:t>
      </w:r>
      <w:r w:rsidR="00ED2A06">
        <w:rPr>
          <w:rFonts w:asciiTheme="minorHAnsi" w:hAnsiTheme="minorHAnsi" w:cstheme="minorHAnsi"/>
          <w:szCs w:val="22"/>
        </w:rPr>
        <w:t>/</w:t>
      </w:r>
      <w:r w:rsidRPr="00642B12">
        <w:rPr>
          <w:rFonts w:asciiTheme="minorHAnsi" w:hAnsiTheme="minorHAnsi" w:cstheme="minorHAnsi"/>
          <w:szCs w:val="22"/>
        </w:rPr>
        <w:t>21 and there is a balance of £3.2m remaining. NCFRA does not hold any short term loans.</w:t>
      </w:r>
    </w:p>
    <w:p w14:paraId="0BD6F113" w14:textId="77777777" w:rsidR="00770360" w:rsidRDefault="00770360">
      <w:pPr>
        <w:rPr>
          <w:rFonts w:cstheme="minorHAnsi"/>
          <w:b/>
          <w:bCs/>
          <w:sz w:val="28"/>
          <w:szCs w:val="28"/>
        </w:rPr>
      </w:pPr>
      <w:r>
        <w:rPr>
          <w:rFonts w:cstheme="minorHAnsi"/>
          <w:b/>
          <w:bCs/>
          <w:sz w:val="28"/>
          <w:szCs w:val="28"/>
        </w:rPr>
        <w:br w:type="page"/>
      </w:r>
    </w:p>
    <w:p w14:paraId="007B9D28" w14:textId="4D428436" w:rsidR="00B566EA" w:rsidRPr="00642B12" w:rsidRDefault="00B566EA" w:rsidP="00770360">
      <w:pPr>
        <w:rPr>
          <w:rFonts w:cstheme="minorHAnsi"/>
          <w:b/>
          <w:bCs/>
          <w:sz w:val="28"/>
          <w:szCs w:val="28"/>
        </w:rPr>
      </w:pPr>
      <w:r w:rsidRPr="00642B12">
        <w:rPr>
          <w:rFonts w:cstheme="minorHAnsi"/>
          <w:b/>
          <w:bCs/>
          <w:sz w:val="28"/>
          <w:szCs w:val="28"/>
        </w:rPr>
        <w:lastRenderedPageBreak/>
        <w:t>Reserves</w:t>
      </w:r>
    </w:p>
    <w:p w14:paraId="2148C354" w14:textId="77777777" w:rsidR="00B566EA" w:rsidRPr="00642B12" w:rsidRDefault="00B566EA" w:rsidP="00B566EA">
      <w:pPr>
        <w:pStyle w:val="Default"/>
        <w:rPr>
          <w:rFonts w:asciiTheme="minorHAnsi" w:hAnsiTheme="minorHAnsi" w:cstheme="minorHAnsi"/>
          <w:sz w:val="22"/>
          <w:szCs w:val="22"/>
        </w:rPr>
      </w:pPr>
      <w:r w:rsidRPr="00642B12">
        <w:rPr>
          <w:rFonts w:asciiTheme="minorHAnsi" w:hAnsiTheme="minorHAnsi" w:cstheme="minorHAnsi"/>
          <w:sz w:val="22"/>
          <w:szCs w:val="22"/>
        </w:rPr>
        <w:t>As at 31 March 2022, NCFRA hold £5.7m in reserves as follows:</w:t>
      </w:r>
    </w:p>
    <w:p w14:paraId="7F7A3609" w14:textId="77777777" w:rsidR="00B566EA" w:rsidRDefault="00B566EA" w:rsidP="00B566EA">
      <w:pPr>
        <w:pStyle w:val="Default"/>
        <w:rPr>
          <w:rFonts w:asciiTheme="minorHAnsi" w:hAnsiTheme="minorHAnsi"/>
          <w:sz w:val="22"/>
          <w:szCs w:val="22"/>
        </w:rPr>
      </w:pPr>
    </w:p>
    <w:p w14:paraId="0E78041A" w14:textId="46C2ADED" w:rsidR="00B566EA" w:rsidRDefault="00A40CD4" w:rsidP="00B566EA">
      <w:pPr>
        <w:pStyle w:val="Default"/>
        <w:jc w:val="center"/>
        <w:rPr>
          <w:rFonts w:asciiTheme="minorHAnsi" w:hAnsiTheme="minorHAnsi"/>
          <w:sz w:val="22"/>
          <w:szCs w:val="22"/>
        </w:rPr>
      </w:pPr>
      <w:r w:rsidRPr="00A40CD4">
        <w:rPr>
          <w:noProof/>
        </w:rPr>
        <w:drawing>
          <wp:inline distT="0" distB="0" distL="0" distR="0" wp14:anchorId="18920D49" wp14:editId="1B23C82A">
            <wp:extent cx="2520950" cy="105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950" cy="1054100"/>
                    </a:xfrm>
                    <a:prstGeom prst="rect">
                      <a:avLst/>
                    </a:prstGeom>
                    <a:noFill/>
                    <a:ln>
                      <a:noFill/>
                    </a:ln>
                  </pic:spPr>
                </pic:pic>
              </a:graphicData>
            </a:graphic>
          </wp:inline>
        </w:drawing>
      </w:r>
    </w:p>
    <w:p w14:paraId="2D4208E0" w14:textId="77777777" w:rsidR="00B566EA" w:rsidRDefault="00B566EA" w:rsidP="00B566EA">
      <w:pPr>
        <w:pStyle w:val="Default"/>
        <w:rPr>
          <w:rFonts w:asciiTheme="minorHAnsi" w:hAnsiTheme="minorHAnsi"/>
          <w:sz w:val="22"/>
          <w:szCs w:val="22"/>
        </w:rPr>
      </w:pPr>
    </w:p>
    <w:p w14:paraId="595B5263" w14:textId="77777777"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b/>
          <w:bCs/>
          <w:color w:val="auto"/>
          <w:sz w:val="22"/>
          <w:szCs w:val="22"/>
        </w:rPr>
        <w:t>General Reserve</w:t>
      </w:r>
    </w:p>
    <w:p w14:paraId="1F749814" w14:textId="036A2D1C" w:rsidR="00B566EA" w:rsidRPr="00642B12" w:rsidRDefault="00B566EA" w:rsidP="00B566EA">
      <w:pPr>
        <w:pStyle w:val="Default"/>
        <w:rPr>
          <w:rFonts w:asciiTheme="minorHAnsi" w:hAnsiTheme="minorHAnsi" w:cstheme="minorHAnsi"/>
          <w:sz w:val="22"/>
          <w:szCs w:val="22"/>
        </w:rPr>
      </w:pPr>
      <w:r w:rsidRPr="00642B12">
        <w:rPr>
          <w:rFonts w:asciiTheme="minorHAnsi" w:hAnsiTheme="minorHAnsi" w:cstheme="minorHAnsi"/>
          <w:sz w:val="22"/>
          <w:szCs w:val="22"/>
        </w:rPr>
        <w:t>In 2020</w:t>
      </w:r>
      <w:r w:rsidR="00ED2A06">
        <w:rPr>
          <w:rFonts w:asciiTheme="minorHAnsi" w:hAnsiTheme="minorHAnsi" w:cstheme="minorHAnsi"/>
          <w:sz w:val="22"/>
          <w:szCs w:val="22"/>
        </w:rPr>
        <w:t>/</w:t>
      </w:r>
      <w:r w:rsidRPr="00642B12">
        <w:rPr>
          <w:rFonts w:asciiTheme="minorHAnsi" w:hAnsiTheme="minorHAnsi" w:cstheme="minorHAnsi"/>
          <w:sz w:val="22"/>
          <w:szCs w:val="22"/>
        </w:rPr>
        <w:t>21 the Home Office provided £2m to NCFRA, of which £1m was ring fenced and used to support the 2021</w:t>
      </w:r>
      <w:r w:rsidR="00ED2A06">
        <w:rPr>
          <w:rFonts w:asciiTheme="minorHAnsi" w:hAnsiTheme="minorHAnsi" w:cstheme="minorHAnsi"/>
          <w:sz w:val="22"/>
          <w:szCs w:val="22"/>
        </w:rPr>
        <w:t>/</w:t>
      </w:r>
      <w:r w:rsidRPr="00642B12">
        <w:rPr>
          <w:rFonts w:asciiTheme="minorHAnsi" w:hAnsiTheme="minorHAnsi" w:cstheme="minorHAnsi"/>
          <w:sz w:val="22"/>
          <w:szCs w:val="22"/>
        </w:rPr>
        <w:t>22 revenue budget. Mindful of government policy to maintain reasonable but not excessive reserve levels, NCFRA set a reserve strategy to maintain general reserves at a minimum level of £2m of 5% (whichever is higher). As at 31 March 2022, general reserves are 7.4% of the 2022</w:t>
      </w:r>
      <w:r w:rsidR="00ED2A06">
        <w:rPr>
          <w:rFonts w:asciiTheme="minorHAnsi" w:hAnsiTheme="minorHAnsi" w:cstheme="minorHAnsi"/>
          <w:sz w:val="22"/>
          <w:szCs w:val="22"/>
        </w:rPr>
        <w:t>/</w:t>
      </w:r>
      <w:r w:rsidRPr="00642B12">
        <w:rPr>
          <w:rFonts w:asciiTheme="minorHAnsi" w:hAnsiTheme="minorHAnsi" w:cstheme="minorHAnsi"/>
          <w:sz w:val="22"/>
          <w:szCs w:val="22"/>
        </w:rPr>
        <w:t>23 revenue budget.</w:t>
      </w:r>
    </w:p>
    <w:p w14:paraId="5C7635A2" w14:textId="77777777" w:rsidR="00770360" w:rsidRDefault="00770360" w:rsidP="00B566EA">
      <w:pPr>
        <w:pStyle w:val="Default"/>
        <w:rPr>
          <w:rFonts w:asciiTheme="minorHAnsi" w:hAnsiTheme="minorHAnsi" w:cstheme="minorHAnsi"/>
          <w:b/>
          <w:bCs/>
          <w:color w:val="auto"/>
          <w:sz w:val="22"/>
          <w:szCs w:val="22"/>
        </w:rPr>
      </w:pPr>
    </w:p>
    <w:p w14:paraId="33D51E8B" w14:textId="08E333CB" w:rsidR="00B566EA" w:rsidRPr="00642B12" w:rsidRDefault="00B566EA" w:rsidP="00770360">
      <w:pPr>
        <w:rPr>
          <w:rFonts w:cstheme="minorHAnsi"/>
          <w:b/>
          <w:bCs/>
        </w:rPr>
      </w:pPr>
      <w:r w:rsidRPr="00642B12">
        <w:rPr>
          <w:rFonts w:cstheme="minorHAnsi"/>
          <w:b/>
          <w:bCs/>
        </w:rPr>
        <w:t>Capital Reserves</w:t>
      </w:r>
    </w:p>
    <w:p w14:paraId="120182F4" w14:textId="1713D586" w:rsidR="00B566EA" w:rsidRPr="00642B12" w:rsidRDefault="00B566EA" w:rsidP="00B566EA">
      <w:pPr>
        <w:pStyle w:val="Default"/>
        <w:rPr>
          <w:rFonts w:asciiTheme="minorHAnsi" w:hAnsiTheme="minorHAnsi" w:cstheme="minorHAnsi"/>
          <w:bCs/>
          <w:color w:val="auto"/>
          <w:sz w:val="22"/>
          <w:szCs w:val="22"/>
        </w:rPr>
      </w:pPr>
      <w:r w:rsidRPr="00642B12">
        <w:rPr>
          <w:rFonts w:asciiTheme="minorHAnsi" w:hAnsiTheme="minorHAnsi" w:cstheme="minorHAnsi"/>
          <w:bCs/>
          <w:color w:val="auto"/>
          <w:sz w:val="22"/>
          <w:szCs w:val="22"/>
        </w:rPr>
        <w:t>NCFRA hold a number of reserves and S106 developer contributions set aside to meet capital expenditure with a view to minimising future capital financing costs on the revenue budget. Given the legacy capital requirements inherited by NCFRA, during 2021</w:t>
      </w:r>
      <w:r w:rsidR="00ED2A06">
        <w:rPr>
          <w:rFonts w:asciiTheme="minorHAnsi" w:hAnsiTheme="minorHAnsi" w:cstheme="minorHAnsi"/>
          <w:bCs/>
          <w:color w:val="auto"/>
          <w:sz w:val="22"/>
          <w:szCs w:val="22"/>
        </w:rPr>
        <w:t>/</w:t>
      </w:r>
      <w:r w:rsidRPr="00642B12">
        <w:rPr>
          <w:rFonts w:asciiTheme="minorHAnsi" w:hAnsiTheme="minorHAnsi" w:cstheme="minorHAnsi"/>
          <w:bCs/>
          <w:color w:val="auto"/>
          <w:sz w:val="22"/>
          <w:szCs w:val="22"/>
        </w:rPr>
        <w:t>22, the Home Office provided a one off capital grant of £0.5m. These reserves will be utilised in accordance with the requirements of the conditions and applied to finance expenditure with a view to minimising future capital financing costs on the revenue budget.</w:t>
      </w:r>
    </w:p>
    <w:p w14:paraId="5F0996EB" w14:textId="77777777" w:rsidR="00B566EA" w:rsidRPr="00642B12" w:rsidRDefault="00B566EA" w:rsidP="00B566EA">
      <w:pPr>
        <w:pStyle w:val="Default"/>
        <w:rPr>
          <w:rFonts w:asciiTheme="minorHAnsi" w:hAnsiTheme="minorHAnsi" w:cstheme="minorHAnsi"/>
          <w:b/>
          <w:bCs/>
          <w:color w:val="auto"/>
          <w:sz w:val="22"/>
          <w:szCs w:val="22"/>
        </w:rPr>
      </w:pPr>
    </w:p>
    <w:p w14:paraId="0DEF8BC4" w14:textId="77777777" w:rsidR="00B566EA" w:rsidRPr="00642B12" w:rsidRDefault="00B566EA" w:rsidP="00B566EA">
      <w:pPr>
        <w:pStyle w:val="Default"/>
        <w:rPr>
          <w:rFonts w:asciiTheme="minorHAnsi" w:hAnsiTheme="minorHAnsi" w:cstheme="minorHAnsi"/>
          <w:b/>
          <w:bCs/>
          <w:color w:val="auto"/>
          <w:sz w:val="22"/>
          <w:szCs w:val="22"/>
        </w:rPr>
      </w:pPr>
      <w:r w:rsidRPr="00642B12">
        <w:rPr>
          <w:rFonts w:asciiTheme="minorHAnsi" w:hAnsiTheme="minorHAnsi" w:cstheme="minorHAnsi"/>
          <w:b/>
          <w:bCs/>
          <w:color w:val="auto"/>
          <w:sz w:val="22"/>
          <w:szCs w:val="22"/>
        </w:rPr>
        <w:t>Earmarked Revenue Reserves</w:t>
      </w:r>
    </w:p>
    <w:p w14:paraId="39D1A23D" w14:textId="77777777" w:rsidR="00B566EA" w:rsidRPr="00642B12" w:rsidRDefault="00B566EA" w:rsidP="00B566EA">
      <w:pPr>
        <w:pStyle w:val="Default"/>
        <w:rPr>
          <w:rFonts w:asciiTheme="minorHAnsi" w:hAnsiTheme="minorHAnsi" w:cstheme="minorHAnsi"/>
          <w:color w:val="auto"/>
          <w:sz w:val="22"/>
          <w:szCs w:val="22"/>
        </w:rPr>
      </w:pPr>
      <w:r w:rsidRPr="00642B12">
        <w:rPr>
          <w:rFonts w:asciiTheme="minorHAnsi" w:hAnsiTheme="minorHAnsi" w:cstheme="minorHAnsi"/>
          <w:color w:val="auto"/>
          <w:sz w:val="22"/>
          <w:szCs w:val="22"/>
        </w:rPr>
        <w:t>NCFRA hold a number of earmarked revenue reserves which are used to mitigate funding variations on the revenue budget, support one off revenue costs and transformation initiatives.</w:t>
      </w:r>
    </w:p>
    <w:p w14:paraId="3A49D54D" w14:textId="77777777" w:rsidR="00B566EA" w:rsidRPr="004A0F0B" w:rsidRDefault="00B566EA" w:rsidP="00B566EA">
      <w:pPr>
        <w:pStyle w:val="Default"/>
        <w:rPr>
          <w:rFonts w:asciiTheme="minorHAnsi" w:hAnsiTheme="minorHAnsi"/>
          <w:b/>
          <w:bCs/>
          <w:color w:val="auto"/>
          <w:sz w:val="28"/>
          <w:szCs w:val="28"/>
          <w:highlight w:val="yellow"/>
        </w:rPr>
      </w:pPr>
    </w:p>
    <w:p w14:paraId="3D88CE54" w14:textId="77777777" w:rsidR="00B566EA" w:rsidRPr="00541C84" w:rsidRDefault="00B566EA" w:rsidP="00B566EA">
      <w:pPr>
        <w:pStyle w:val="Default"/>
        <w:rPr>
          <w:rFonts w:asciiTheme="minorHAnsi" w:hAnsiTheme="minorHAnsi"/>
          <w:b/>
          <w:bCs/>
          <w:color w:val="auto"/>
          <w:sz w:val="28"/>
          <w:szCs w:val="28"/>
        </w:rPr>
      </w:pPr>
      <w:r w:rsidRPr="00541C84">
        <w:rPr>
          <w:rFonts w:asciiTheme="minorHAnsi" w:hAnsiTheme="minorHAnsi"/>
          <w:b/>
          <w:bCs/>
          <w:color w:val="auto"/>
          <w:sz w:val="28"/>
          <w:szCs w:val="28"/>
        </w:rPr>
        <w:t>Events after the Balance Sheet Date</w:t>
      </w:r>
    </w:p>
    <w:p w14:paraId="446040CF" w14:textId="77777777" w:rsidR="00B566EA" w:rsidRPr="00541C84" w:rsidRDefault="00B566EA" w:rsidP="00B566EA">
      <w:pPr>
        <w:pStyle w:val="Default"/>
        <w:rPr>
          <w:rFonts w:asciiTheme="minorHAnsi" w:hAnsiTheme="minorHAnsi"/>
          <w:sz w:val="22"/>
          <w:szCs w:val="22"/>
        </w:rPr>
      </w:pPr>
      <w:r w:rsidRPr="00541C84">
        <w:rPr>
          <w:rFonts w:asciiTheme="minorHAnsi" w:hAnsiTheme="minorHAnsi"/>
          <w:sz w:val="22"/>
          <w:szCs w:val="22"/>
        </w:rPr>
        <w:t>There were no events highlighted after the Balance Sheet date.</w:t>
      </w:r>
    </w:p>
    <w:p w14:paraId="59A040F3" w14:textId="77777777" w:rsidR="005D747F" w:rsidRPr="007F07C2" w:rsidRDefault="005D747F" w:rsidP="005D747F">
      <w:pPr>
        <w:pStyle w:val="Default"/>
        <w:rPr>
          <w:rFonts w:asciiTheme="minorHAnsi" w:hAnsiTheme="minorHAnsi"/>
          <w:sz w:val="22"/>
          <w:szCs w:val="22"/>
        </w:rPr>
      </w:pPr>
    </w:p>
    <w:p w14:paraId="73E88C22" w14:textId="6C02B3C7" w:rsidR="005D747F" w:rsidRPr="007F07C2" w:rsidRDefault="005D747F" w:rsidP="005D747F">
      <w:pPr>
        <w:pStyle w:val="Default"/>
        <w:rPr>
          <w:rFonts w:asciiTheme="minorHAnsi" w:hAnsiTheme="minorHAnsi"/>
          <w:b/>
          <w:bCs/>
          <w:color w:val="auto"/>
          <w:sz w:val="28"/>
          <w:szCs w:val="28"/>
        </w:rPr>
      </w:pPr>
      <w:r w:rsidRPr="007F07C2">
        <w:rPr>
          <w:rFonts w:asciiTheme="minorHAnsi" w:hAnsiTheme="minorHAnsi"/>
          <w:b/>
          <w:bCs/>
          <w:color w:val="auto"/>
          <w:sz w:val="28"/>
          <w:szCs w:val="28"/>
        </w:rPr>
        <w:t>The 202</w:t>
      </w:r>
      <w:r w:rsidR="00A16074">
        <w:rPr>
          <w:rFonts w:asciiTheme="minorHAnsi" w:hAnsiTheme="minorHAnsi"/>
          <w:b/>
          <w:bCs/>
          <w:color w:val="auto"/>
          <w:sz w:val="28"/>
          <w:szCs w:val="28"/>
        </w:rPr>
        <w:t>1</w:t>
      </w:r>
      <w:r w:rsidR="00ED2A06">
        <w:rPr>
          <w:rFonts w:asciiTheme="minorHAnsi" w:hAnsiTheme="minorHAnsi"/>
          <w:b/>
          <w:bCs/>
          <w:color w:val="auto"/>
          <w:sz w:val="28"/>
          <w:szCs w:val="28"/>
        </w:rPr>
        <w:t>/</w:t>
      </w:r>
      <w:r w:rsidRPr="007F07C2">
        <w:rPr>
          <w:rFonts w:asciiTheme="minorHAnsi" w:hAnsiTheme="minorHAnsi"/>
          <w:b/>
          <w:bCs/>
          <w:color w:val="auto"/>
          <w:sz w:val="28"/>
          <w:szCs w:val="28"/>
        </w:rPr>
        <w:t>2</w:t>
      </w:r>
      <w:r w:rsidR="00A16074">
        <w:rPr>
          <w:rFonts w:asciiTheme="minorHAnsi" w:hAnsiTheme="minorHAnsi"/>
          <w:b/>
          <w:bCs/>
          <w:color w:val="auto"/>
          <w:sz w:val="28"/>
          <w:szCs w:val="28"/>
        </w:rPr>
        <w:t>2</w:t>
      </w:r>
      <w:r w:rsidRPr="007F07C2">
        <w:rPr>
          <w:rFonts w:asciiTheme="minorHAnsi" w:hAnsiTheme="minorHAnsi"/>
          <w:b/>
          <w:bCs/>
          <w:color w:val="auto"/>
          <w:sz w:val="28"/>
          <w:szCs w:val="28"/>
        </w:rPr>
        <w:t xml:space="preserve"> Statement of Accounts </w:t>
      </w:r>
    </w:p>
    <w:p w14:paraId="3B54EDBC" w14:textId="5AAFAF1B" w:rsidR="005D747F" w:rsidRPr="007F07C2" w:rsidRDefault="005D747F" w:rsidP="005D747F">
      <w:pPr>
        <w:autoSpaceDE w:val="0"/>
        <w:autoSpaceDN w:val="0"/>
        <w:adjustRightInd w:val="0"/>
        <w:rPr>
          <w:rFonts w:eastAsia="Calibri" w:cs="Arial"/>
        </w:rPr>
      </w:pPr>
      <w:bookmarkStart w:id="0" w:name="_Hlk107309324"/>
      <w:r w:rsidRPr="007F07C2">
        <w:rPr>
          <w:rFonts w:eastAsia="Calibri" w:cs="Arial"/>
        </w:rPr>
        <w:t>Each year NCFRA publishes a Statement of Accounts that incorporates all the financial statements and disclosure notes required by statute. This is the third set of Accounts for NCFRA</w:t>
      </w:r>
      <w:r w:rsidR="00B64428" w:rsidRPr="007F07C2">
        <w:rPr>
          <w:rFonts w:eastAsia="Calibri" w:cs="Arial"/>
        </w:rPr>
        <w:t xml:space="preserve"> (second full year)</w:t>
      </w:r>
      <w:r w:rsidRPr="007F07C2">
        <w:rPr>
          <w:rFonts w:eastAsia="Calibri" w:cs="Arial"/>
        </w:rPr>
        <w:t xml:space="preserve"> and these accounts relate to the year ended 31 March 202</w:t>
      </w:r>
      <w:r w:rsidR="007F28B2">
        <w:rPr>
          <w:rFonts w:eastAsia="Calibri" w:cs="Arial"/>
        </w:rPr>
        <w:t>2</w:t>
      </w:r>
      <w:r w:rsidRPr="007F07C2">
        <w:rPr>
          <w:rFonts w:eastAsia="Calibri" w:cs="Arial"/>
        </w:rPr>
        <w:t>.</w:t>
      </w:r>
    </w:p>
    <w:p w14:paraId="44312907" w14:textId="2A1D7D21" w:rsidR="005D747F" w:rsidRPr="007F07C2" w:rsidRDefault="005D747F" w:rsidP="005D747F">
      <w:pPr>
        <w:autoSpaceDE w:val="0"/>
        <w:autoSpaceDN w:val="0"/>
        <w:adjustRightInd w:val="0"/>
        <w:rPr>
          <w:rFonts w:eastAsia="Calibri" w:cs="Arial"/>
        </w:rPr>
      </w:pPr>
      <w:r w:rsidRPr="007F07C2">
        <w:rPr>
          <w:rFonts w:eastAsia="Calibri" w:cs="Arial"/>
        </w:rPr>
        <w:t>The Statements of Accounts for 202</w:t>
      </w:r>
      <w:r w:rsidR="00A16074">
        <w:rPr>
          <w:rFonts w:eastAsia="Calibri" w:cs="Arial"/>
        </w:rPr>
        <w:t>1</w:t>
      </w:r>
      <w:r w:rsidR="00ED2A06">
        <w:rPr>
          <w:rFonts w:eastAsia="Calibri" w:cs="Arial"/>
        </w:rPr>
        <w:t>/</w:t>
      </w:r>
      <w:r w:rsidRPr="007F07C2">
        <w:rPr>
          <w:rFonts w:eastAsia="Calibri" w:cs="Arial"/>
        </w:rPr>
        <w:t>2</w:t>
      </w:r>
      <w:r w:rsidR="00A16074">
        <w:rPr>
          <w:rFonts w:eastAsia="Calibri" w:cs="Arial"/>
        </w:rPr>
        <w:t>2</w:t>
      </w:r>
      <w:r w:rsidRPr="007F07C2">
        <w:rPr>
          <w:rFonts w:eastAsia="Calibri" w:cs="Arial"/>
        </w:rPr>
        <w:t xml:space="preserve"> has been prepared in accordance with the ‘Code of Practice on Local Authority Accounting in the United Kingdom’. This sets out the accounting principles and practices required to present a true and fair view of the financial position of a local Council and is based on International Financial Reporting Standards (IFRS). </w:t>
      </w:r>
    </w:p>
    <w:p w14:paraId="2CFFC251" w14:textId="77777777" w:rsidR="005D747F" w:rsidRPr="007F07C2" w:rsidRDefault="005D747F" w:rsidP="00DF12F4">
      <w:pPr>
        <w:pStyle w:val="SoANormal"/>
        <w:spacing w:after="180"/>
        <w:rPr>
          <w:rFonts w:asciiTheme="minorHAnsi" w:eastAsia="Calibri" w:hAnsiTheme="minorHAnsi" w:cs="Arial"/>
          <w:szCs w:val="22"/>
        </w:rPr>
      </w:pPr>
      <w:r w:rsidRPr="007F07C2">
        <w:rPr>
          <w:rFonts w:asciiTheme="minorHAnsi" w:eastAsia="Calibri" w:hAnsiTheme="minorHAnsi" w:cs="Arial"/>
          <w:szCs w:val="22"/>
        </w:rPr>
        <w:t xml:space="preserve">Accounts drawn up under the Code assume, for example, that a Fire Authority local authority will continue to operate for the foreseeable future. This assumption is made because Fire Authorities carry out functions essential to the local community and receive council tax, business rates and grants. </w:t>
      </w:r>
    </w:p>
    <w:p w14:paraId="6ACE6FEB" w14:textId="5ACD981C" w:rsidR="005D747F" w:rsidRPr="00FC7324" w:rsidRDefault="005D747F" w:rsidP="005D747F">
      <w:pPr>
        <w:pStyle w:val="SoANormal"/>
        <w:spacing w:after="180"/>
        <w:jc w:val="both"/>
        <w:rPr>
          <w:rFonts w:asciiTheme="minorHAnsi" w:hAnsiTheme="minorHAnsi" w:cs="Arial"/>
          <w:szCs w:val="22"/>
        </w:rPr>
      </w:pPr>
      <w:r w:rsidRPr="007F07C2">
        <w:rPr>
          <w:rFonts w:asciiTheme="minorHAnsi" w:hAnsiTheme="minorHAnsi" w:cs="Arial"/>
          <w:szCs w:val="22"/>
        </w:rPr>
        <w:t xml:space="preserve">The Core Financial Statements are set out </w:t>
      </w:r>
      <w:r w:rsidRPr="00042421">
        <w:rPr>
          <w:rFonts w:asciiTheme="minorHAnsi" w:hAnsiTheme="minorHAnsi" w:cs="Arial"/>
          <w:szCs w:val="22"/>
        </w:rPr>
        <w:t xml:space="preserve">on </w:t>
      </w:r>
      <w:r w:rsidRPr="00042421">
        <w:rPr>
          <w:rFonts w:asciiTheme="minorHAnsi" w:hAnsiTheme="minorHAnsi" w:cs="Arial"/>
          <w:b/>
          <w:szCs w:val="22"/>
        </w:rPr>
        <w:t xml:space="preserve">pages </w:t>
      </w:r>
      <w:r w:rsidR="005E0A8A" w:rsidRPr="00042421">
        <w:rPr>
          <w:rFonts w:asciiTheme="minorHAnsi" w:hAnsiTheme="minorHAnsi" w:cs="Arial"/>
          <w:b/>
          <w:szCs w:val="22"/>
        </w:rPr>
        <w:t>2</w:t>
      </w:r>
      <w:r w:rsidR="00A40CD4">
        <w:rPr>
          <w:rFonts w:asciiTheme="minorHAnsi" w:hAnsiTheme="minorHAnsi" w:cs="Arial"/>
          <w:b/>
          <w:szCs w:val="22"/>
        </w:rPr>
        <w:t>2</w:t>
      </w:r>
      <w:r w:rsidRPr="00042421">
        <w:rPr>
          <w:rFonts w:asciiTheme="minorHAnsi" w:hAnsiTheme="minorHAnsi" w:cs="Arial"/>
          <w:b/>
          <w:szCs w:val="22"/>
        </w:rPr>
        <w:t xml:space="preserve"> to </w:t>
      </w:r>
      <w:r w:rsidR="005E0A8A" w:rsidRPr="00042421">
        <w:rPr>
          <w:rFonts w:asciiTheme="minorHAnsi" w:hAnsiTheme="minorHAnsi" w:cs="Arial"/>
          <w:b/>
          <w:szCs w:val="22"/>
        </w:rPr>
        <w:t>2</w:t>
      </w:r>
      <w:r w:rsidR="00A40CD4">
        <w:rPr>
          <w:rFonts w:asciiTheme="minorHAnsi" w:hAnsiTheme="minorHAnsi" w:cs="Arial"/>
          <w:b/>
          <w:szCs w:val="22"/>
        </w:rPr>
        <w:t>5</w:t>
      </w:r>
      <w:r w:rsidRPr="00042421">
        <w:rPr>
          <w:rFonts w:asciiTheme="minorHAnsi" w:hAnsiTheme="minorHAnsi" w:cs="Arial"/>
          <w:szCs w:val="22"/>
        </w:rPr>
        <w:t xml:space="preserve"> and consist of</w:t>
      </w:r>
      <w:r w:rsidRPr="007F07C2">
        <w:rPr>
          <w:rFonts w:asciiTheme="minorHAnsi" w:hAnsiTheme="minorHAnsi" w:cs="Arial"/>
          <w:szCs w:val="22"/>
        </w:rPr>
        <w:t xml:space="preserve"> the following, which are explained in more detail in the notes to the </w:t>
      </w:r>
      <w:r w:rsidRPr="00FC7324">
        <w:rPr>
          <w:rFonts w:asciiTheme="minorHAnsi" w:hAnsiTheme="minorHAnsi" w:cs="Arial"/>
          <w:szCs w:val="22"/>
        </w:rPr>
        <w:t>accounts:</w:t>
      </w:r>
    </w:p>
    <w:p w14:paraId="0CA88A0D" w14:textId="77777777" w:rsidR="005D747F" w:rsidRPr="00FC7324" w:rsidRDefault="005D747F" w:rsidP="005D747F">
      <w:pPr>
        <w:pStyle w:val="SoANormal"/>
        <w:numPr>
          <w:ilvl w:val="0"/>
          <w:numId w:val="9"/>
        </w:numPr>
        <w:spacing w:after="120"/>
        <w:ind w:left="357" w:hanging="357"/>
        <w:rPr>
          <w:rFonts w:asciiTheme="minorHAnsi" w:hAnsiTheme="minorHAnsi" w:cs="Arial"/>
          <w:szCs w:val="22"/>
        </w:rPr>
      </w:pPr>
      <w:r w:rsidRPr="00FC7324">
        <w:rPr>
          <w:rFonts w:asciiTheme="minorHAnsi" w:hAnsiTheme="minorHAnsi" w:cs="Arial"/>
          <w:b/>
          <w:szCs w:val="22"/>
        </w:rPr>
        <w:t>Comprehensive Income and Expenditure Statement</w:t>
      </w:r>
      <w:r w:rsidRPr="00FC7324">
        <w:rPr>
          <w:rFonts w:asciiTheme="minorHAnsi" w:hAnsiTheme="minorHAnsi" w:cs="Arial"/>
          <w:szCs w:val="22"/>
        </w:rPr>
        <w:t xml:space="preserve"> – this statement provides a summary of the resources which have been applied and generated in providing services and managing the Authority during the year;</w:t>
      </w:r>
    </w:p>
    <w:p w14:paraId="38C4DBFB" w14:textId="2F12B8C0" w:rsidR="005D747F" w:rsidRPr="006150A9" w:rsidRDefault="005D747F" w:rsidP="005D747F">
      <w:pPr>
        <w:pStyle w:val="SoANormal"/>
        <w:spacing w:after="120"/>
        <w:ind w:left="357"/>
        <w:rPr>
          <w:rFonts w:asciiTheme="minorHAnsi" w:hAnsiTheme="minorHAnsi" w:cs="Arial"/>
          <w:szCs w:val="22"/>
        </w:rPr>
      </w:pPr>
      <w:r w:rsidRPr="00FC7324">
        <w:rPr>
          <w:rFonts w:asciiTheme="minorHAnsi" w:hAnsiTheme="minorHAnsi" w:cs="Arial"/>
          <w:szCs w:val="22"/>
        </w:rPr>
        <w:t xml:space="preserve">The headline figures and messages from this statement for </w:t>
      </w:r>
      <w:r w:rsidRPr="006150A9">
        <w:rPr>
          <w:rFonts w:asciiTheme="minorHAnsi" w:hAnsiTheme="minorHAnsi" w:cs="Arial"/>
          <w:szCs w:val="22"/>
        </w:rPr>
        <w:t xml:space="preserve">NCFRA </w:t>
      </w:r>
      <w:r w:rsidRPr="00FC7324">
        <w:rPr>
          <w:rFonts w:asciiTheme="minorHAnsi" w:hAnsiTheme="minorHAnsi" w:cs="Arial"/>
          <w:szCs w:val="22"/>
        </w:rPr>
        <w:t>are that the Total Comprehensive Inco</w:t>
      </w:r>
      <w:r w:rsidR="005E0A8A" w:rsidRPr="00FC7324">
        <w:rPr>
          <w:rFonts w:asciiTheme="minorHAnsi" w:hAnsiTheme="minorHAnsi" w:cs="Arial"/>
          <w:szCs w:val="22"/>
        </w:rPr>
        <w:t>me and Expenditure was a deficit</w:t>
      </w:r>
      <w:r w:rsidRPr="00FC7324">
        <w:rPr>
          <w:rFonts w:asciiTheme="minorHAnsi" w:hAnsiTheme="minorHAnsi" w:cs="Arial"/>
          <w:szCs w:val="22"/>
        </w:rPr>
        <w:t xml:space="preserve"> of £</w:t>
      </w:r>
      <w:r w:rsidR="00FC7324" w:rsidRPr="006150A9">
        <w:rPr>
          <w:rFonts w:asciiTheme="minorHAnsi" w:hAnsiTheme="minorHAnsi" w:cs="Arial"/>
          <w:szCs w:val="22"/>
        </w:rPr>
        <w:t>2.</w:t>
      </w:r>
      <w:r w:rsidR="00A40CD4">
        <w:rPr>
          <w:rFonts w:asciiTheme="minorHAnsi" w:hAnsiTheme="minorHAnsi" w:cs="Arial"/>
          <w:szCs w:val="22"/>
        </w:rPr>
        <w:t>761</w:t>
      </w:r>
      <w:r w:rsidR="00FC7324" w:rsidRPr="006150A9">
        <w:rPr>
          <w:rFonts w:asciiTheme="minorHAnsi" w:hAnsiTheme="minorHAnsi" w:cs="Arial"/>
          <w:szCs w:val="22"/>
        </w:rPr>
        <w:t>m</w:t>
      </w:r>
      <w:r w:rsidRPr="006150A9">
        <w:rPr>
          <w:rFonts w:asciiTheme="minorHAnsi" w:hAnsiTheme="minorHAnsi" w:cs="Arial"/>
          <w:szCs w:val="22"/>
        </w:rPr>
        <w:t xml:space="preserve">.  </w:t>
      </w:r>
      <w:r w:rsidR="00FC7324" w:rsidRPr="006150A9">
        <w:rPr>
          <w:rFonts w:asciiTheme="minorHAnsi" w:hAnsiTheme="minorHAnsi" w:cs="Arial"/>
          <w:szCs w:val="22"/>
        </w:rPr>
        <w:t xml:space="preserve">Due to the nature of the CIES this deficit included charges such pension interest cost (£6.6m) and Capital Charges which are offset by beneficial changes in pension actuarial </w:t>
      </w:r>
      <w:r w:rsidR="006150A9" w:rsidRPr="006150A9">
        <w:rPr>
          <w:rFonts w:asciiTheme="minorHAnsi" w:hAnsiTheme="minorHAnsi" w:cs="Arial"/>
          <w:szCs w:val="22"/>
        </w:rPr>
        <w:t xml:space="preserve">assumptions which explain the majority of this.  None of the listed items immediately impact on the budget </w:t>
      </w:r>
      <w:r w:rsidR="006150A9" w:rsidRPr="006150A9">
        <w:rPr>
          <w:rFonts w:asciiTheme="minorHAnsi" w:hAnsiTheme="minorHAnsi" w:cs="Arial"/>
          <w:szCs w:val="22"/>
        </w:rPr>
        <w:lastRenderedPageBreak/>
        <w:t>required for NCFRA each year but are required to ensure that NCFRA accounts for its assets and liabilities correctly</w:t>
      </w:r>
    </w:p>
    <w:p w14:paraId="7337FC0E" w14:textId="486FD6F2" w:rsidR="005D747F" w:rsidRPr="006150A9" w:rsidRDefault="005D747F" w:rsidP="005D747F">
      <w:pPr>
        <w:pStyle w:val="SoANormal"/>
        <w:numPr>
          <w:ilvl w:val="0"/>
          <w:numId w:val="9"/>
        </w:numPr>
        <w:spacing w:after="120"/>
        <w:ind w:left="357" w:hanging="357"/>
        <w:rPr>
          <w:rFonts w:asciiTheme="minorHAnsi" w:hAnsiTheme="minorHAnsi" w:cs="Arial"/>
        </w:rPr>
      </w:pPr>
      <w:r w:rsidRPr="006150A9">
        <w:rPr>
          <w:rFonts w:asciiTheme="minorHAnsi" w:hAnsiTheme="minorHAnsi" w:cs="Arial"/>
          <w:b/>
          <w:szCs w:val="22"/>
        </w:rPr>
        <w:t>Balance Sheet</w:t>
      </w:r>
      <w:r w:rsidRPr="006150A9">
        <w:rPr>
          <w:rFonts w:asciiTheme="minorHAnsi" w:hAnsiTheme="minorHAnsi" w:cs="Arial"/>
          <w:szCs w:val="22"/>
        </w:rPr>
        <w:t xml:space="preserve"> - </w:t>
      </w:r>
      <w:r w:rsidRPr="006150A9">
        <w:rPr>
          <w:rFonts w:asciiTheme="minorHAnsi" w:hAnsiTheme="minorHAnsi" w:cs="Arial"/>
        </w:rPr>
        <w:t>setting out the assets and liabilities recognised by NCFRA at the balance sheet date, the bottom line is effectively the net worth of the organisation</w:t>
      </w:r>
      <w:r w:rsidR="00B66CD8">
        <w:rPr>
          <w:rFonts w:asciiTheme="minorHAnsi" w:hAnsiTheme="minorHAnsi" w:cs="Arial"/>
        </w:rPr>
        <w:t>.</w:t>
      </w:r>
      <w:r w:rsidRPr="006150A9">
        <w:rPr>
          <w:rFonts w:asciiTheme="minorHAnsi" w:hAnsiTheme="minorHAnsi" w:cs="Arial"/>
        </w:rPr>
        <w:t xml:space="preserve"> The NCFRA holds sufficient current assets to discharge its current liabilities, however</w:t>
      </w:r>
      <w:r w:rsidR="00B66CD8">
        <w:rPr>
          <w:rFonts w:asciiTheme="minorHAnsi" w:hAnsiTheme="minorHAnsi" w:cs="Arial"/>
        </w:rPr>
        <w:t>,</w:t>
      </w:r>
      <w:r w:rsidRPr="006150A9">
        <w:rPr>
          <w:rFonts w:asciiTheme="minorHAnsi" w:hAnsiTheme="minorHAnsi" w:cs="Arial"/>
        </w:rPr>
        <w:t xml:space="preserve"> the long term liability which is the pension commitment is not able to be funded by the assets held and will be funded by revenue funding when the liability becomes payable.</w:t>
      </w:r>
    </w:p>
    <w:p w14:paraId="45CD970D" w14:textId="77777777" w:rsidR="005D747F" w:rsidRPr="006150A9" w:rsidRDefault="005D747F" w:rsidP="005D747F">
      <w:pPr>
        <w:pStyle w:val="ListParagraph"/>
        <w:numPr>
          <w:ilvl w:val="0"/>
          <w:numId w:val="9"/>
        </w:numPr>
        <w:spacing w:after="120" w:line="240" w:lineRule="auto"/>
        <w:ind w:left="357" w:hanging="357"/>
        <w:rPr>
          <w:rFonts w:cs="Arial"/>
        </w:rPr>
      </w:pPr>
      <w:r w:rsidRPr="006150A9">
        <w:rPr>
          <w:rFonts w:cs="Arial"/>
          <w:b/>
        </w:rPr>
        <w:t>Movement in Reserves Statement</w:t>
      </w:r>
      <w:r w:rsidRPr="006150A9">
        <w:rPr>
          <w:rFonts w:cs="Arial"/>
        </w:rPr>
        <w:t xml:space="preserve"> – shows the movement from the start of the year to the end on the different reserves held by the authority, analysed into ‘usable reserves’ (i.e. those that can be applied to fund expenditure or reduce local taxation) and other ‘unusable reserves’. This statement shows how the movements in year of the authority’s reserves are broken down between gains and losses incurred in accordance with generally accepted accounting practices and the statutory adjustments required to return to the amounts chargeable to council tax or rents for the year. The Net Increase/Decrease line shows the statutory General Fund Balance in the year following those adjustments. </w:t>
      </w:r>
    </w:p>
    <w:p w14:paraId="7B28B233" w14:textId="211DA5E1" w:rsidR="005D747F" w:rsidRDefault="005D747F" w:rsidP="005D747F">
      <w:pPr>
        <w:spacing w:after="120"/>
        <w:ind w:left="357"/>
        <w:rPr>
          <w:rFonts w:cs="Arial"/>
        </w:rPr>
      </w:pPr>
      <w:r w:rsidRPr="006150A9">
        <w:rPr>
          <w:rFonts w:cs="Arial"/>
        </w:rPr>
        <w:t xml:space="preserve">The headline figures and messages from this statement for </w:t>
      </w:r>
      <w:r w:rsidRPr="006150A9">
        <w:rPr>
          <w:rFonts w:cs="Arial"/>
          <w:b/>
        </w:rPr>
        <w:t>NCFRA</w:t>
      </w:r>
      <w:r w:rsidRPr="006150A9">
        <w:rPr>
          <w:rFonts w:cs="Arial"/>
        </w:rPr>
        <w:t xml:space="preserve"> are </w:t>
      </w:r>
      <w:r w:rsidR="00B66CD8">
        <w:rPr>
          <w:rFonts w:cs="Arial"/>
        </w:rPr>
        <w:t xml:space="preserve">that </w:t>
      </w:r>
      <w:r w:rsidR="00760379" w:rsidRPr="006150A9">
        <w:rPr>
          <w:rFonts w:cs="Arial"/>
        </w:rPr>
        <w:t>usable</w:t>
      </w:r>
      <w:r w:rsidRPr="006150A9">
        <w:rPr>
          <w:rFonts w:cs="Arial"/>
        </w:rPr>
        <w:t xml:space="preserve"> reserves have increased by £</w:t>
      </w:r>
      <w:r w:rsidR="006150A9">
        <w:rPr>
          <w:rFonts w:cs="Arial"/>
        </w:rPr>
        <w:t>0</w:t>
      </w:r>
      <w:r w:rsidR="005072B4" w:rsidRPr="006150A9">
        <w:rPr>
          <w:rFonts w:cs="Arial"/>
        </w:rPr>
        <w:t>.</w:t>
      </w:r>
      <w:r w:rsidR="006150A9">
        <w:rPr>
          <w:rFonts w:cs="Arial"/>
        </w:rPr>
        <w:t>2</w:t>
      </w:r>
      <w:r w:rsidRPr="006150A9">
        <w:rPr>
          <w:rFonts w:cs="Arial"/>
        </w:rPr>
        <w:t xml:space="preserve">m which will help improve the resilience of the organisation going forward.  </w:t>
      </w:r>
    </w:p>
    <w:p w14:paraId="63493E9E" w14:textId="77777777" w:rsidR="005D747F" w:rsidRPr="006150A9" w:rsidRDefault="005D747F" w:rsidP="005D747F">
      <w:pPr>
        <w:pStyle w:val="SoANormal"/>
        <w:numPr>
          <w:ilvl w:val="0"/>
          <w:numId w:val="9"/>
        </w:numPr>
        <w:spacing w:after="120"/>
        <w:ind w:left="357" w:hanging="357"/>
        <w:rPr>
          <w:rFonts w:asciiTheme="minorHAnsi" w:hAnsiTheme="minorHAnsi" w:cs="Arial"/>
          <w:szCs w:val="22"/>
        </w:rPr>
      </w:pPr>
      <w:r w:rsidRPr="006150A9">
        <w:rPr>
          <w:rFonts w:asciiTheme="minorHAnsi" w:hAnsiTheme="minorHAnsi" w:cs="Arial"/>
          <w:b/>
          <w:szCs w:val="22"/>
        </w:rPr>
        <w:t>Cash Flow Statement</w:t>
      </w:r>
      <w:r w:rsidRPr="006150A9">
        <w:rPr>
          <w:rFonts w:asciiTheme="minorHAnsi" w:hAnsiTheme="minorHAnsi" w:cs="Arial"/>
          <w:szCs w:val="22"/>
        </w:rPr>
        <w:t xml:space="preserve"> – outlines the changes in the cash and cash equivalents, for example, changes in debtor balances (those owing NCFRA money) and creditor balances (those which NCFRA owes money to) during the year. The statement shows how NCFRA generates and uses cash and cash equivalents by classifying cash flows as operating, investing and financing activities.</w:t>
      </w:r>
    </w:p>
    <w:p w14:paraId="0BF4296A" w14:textId="12A87176" w:rsidR="005D747F" w:rsidRDefault="005D747F" w:rsidP="00EA66C4">
      <w:pPr>
        <w:spacing w:after="120"/>
        <w:ind w:left="357"/>
        <w:rPr>
          <w:rFonts w:cs="Arial"/>
        </w:rPr>
      </w:pPr>
      <w:r w:rsidRPr="006150A9">
        <w:rPr>
          <w:rFonts w:cs="Arial"/>
        </w:rPr>
        <w:t xml:space="preserve">The headline figures and messages from this statement for </w:t>
      </w:r>
      <w:r w:rsidRPr="006150A9">
        <w:rPr>
          <w:rFonts w:cs="Arial"/>
          <w:b/>
        </w:rPr>
        <w:t>NCFRA</w:t>
      </w:r>
      <w:r w:rsidRPr="006150A9">
        <w:rPr>
          <w:rFonts w:cs="Arial"/>
        </w:rPr>
        <w:t xml:space="preserve"> are </w:t>
      </w:r>
      <w:r w:rsidR="004218F7" w:rsidRPr="006150A9">
        <w:rPr>
          <w:rFonts w:cs="Arial"/>
        </w:rPr>
        <w:t xml:space="preserve">that </w:t>
      </w:r>
      <w:r w:rsidR="006150A9">
        <w:rPr>
          <w:rFonts w:cs="Arial"/>
        </w:rPr>
        <w:t>at the balance sheet date NCFRA held a cash balance of £2.1m</w:t>
      </w:r>
      <w:r w:rsidR="004218F7" w:rsidRPr="006150A9">
        <w:rPr>
          <w:rFonts w:cs="Arial"/>
        </w:rPr>
        <w:t xml:space="preserve"> </w:t>
      </w:r>
      <w:r w:rsidR="00EA66C4" w:rsidRPr="006150A9">
        <w:rPr>
          <w:rFonts w:cs="Arial"/>
        </w:rPr>
        <w:t>which is suffici</w:t>
      </w:r>
      <w:r w:rsidR="00A11E18" w:rsidRPr="006150A9">
        <w:rPr>
          <w:rFonts w:cs="Arial"/>
        </w:rPr>
        <w:t>e</w:t>
      </w:r>
      <w:r w:rsidR="00EA66C4" w:rsidRPr="006150A9">
        <w:rPr>
          <w:rFonts w:cs="Arial"/>
        </w:rPr>
        <w:t>nt for the authority to fulfil their ongoing obligations.</w:t>
      </w:r>
    </w:p>
    <w:bookmarkEnd w:id="0"/>
    <w:p w14:paraId="33D14B50" w14:textId="77777777" w:rsidR="00B566EA" w:rsidRPr="00541C84" w:rsidRDefault="00B566EA" w:rsidP="00B566EA">
      <w:pPr>
        <w:spacing w:after="0"/>
        <w:ind w:left="357" w:hanging="357"/>
        <w:rPr>
          <w:b/>
          <w:bCs/>
          <w:sz w:val="28"/>
          <w:szCs w:val="28"/>
        </w:rPr>
      </w:pPr>
      <w:r w:rsidRPr="00541C84">
        <w:rPr>
          <w:b/>
          <w:bCs/>
          <w:sz w:val="28"/>
          <w:szCs w:val="28"/>
        </w:rPr>
        <w:t xml:space="preserve">Risk Management  </w:t>
      </w:r>
    </w:p>
    <w:p w14:paraId="7F430C75" w14:textId="77777777" w:rsidR="00B566EA" w:rsidRPr="00541C84" w:rsidRDefault="00B566EA" w:rsidP="00B566EA">
      <w:pPr>
        <w:spacing w:after="0"/>
        <w:rPr>
          <w:rFonts w:cs="Arial"/>
        </w:rPr>
      </w:pPr>
      <w:r w:rsidRPr="00541C84">
        <w:rPr>
          <w:rFonts w:cs="Arial"/>
        </w:rPr>
        <w:t>The manner in which NCFRA manages its response to various risks is part of a continuum of risk management that takes into account the National Security Strategy, the National Risk Register and the NCFRA risk registers. Risks are regularly considered at the Joint Independent Audit Committee (JIAC) and the last update was considered in March 2022.</w:t>
      </w:r>
    </w:p>
    <w:p w14:paraId="4A41E0E2" w14:textId="77777777" w:rsidR="00B566EA" w:rsidRPr="00541C84" w:rsidRDefault="00B566EA" w:rsidP="00B566EA">
      <w:pPr>
        <w:rPr>
          <w:rFonts w:cs="Arial"/>
        </w:rPr>
      </w:pPr>
      <w:r w:rsidRPr="00541C84">
        <w:rPr>
          <w:rFonts w:cs="Arial"/>
        </w:rPr>
        <w:t>Managing risk and business continuity arrangements are a key aspect of NCFRA’s governance arrangements. As a Category 1 responder under the Civil Contingencies Act 2004, the Authority is required to have in place business continuity arrangements to ensure that continuity of service can be provided for foreseeable events that may impact upon the delivery of services.</w:t>
      </w:r>
    </w:p>
    <w:p w14:paraId="5C5D2C05" w14:textId="77777777" w:rsidR="00B566EA" w:rsidRPr="00541C84" w:rsidRDefault="00B566EA" w:rsidP="00B566EA">
      <w:pPr>
        <w:autoSpaceDE w:val="0"/>
        <w:autoSpaceDN w:val="0"/>
        <w:adjustRightInd w:val="0"/>
        <w:rPr>
          <w:rFonts w:cs="Arial"/>
          <w:lang w:val="gsw-FR"/>
        </w:rPr>
      </w:pPr>
      <w:r w:rsidRPr="00541C84">
        <w:rPr>
          <w:rFonts w:cs="Arial"/>
          <w:lang w:val="gsw-FR"/>
        </w:rPr>
        <w:t xml:space="preserve">The most significant risks to NCFRA have related to the operational risks required following the HMICFRS inspection and ensuring sufficient level of reserves and funding levels over the medium term. </w:t>
      </w:r>
    </w:p>
    <w:p w14:paraId="7D6EA78F" w14:textId="2C7DAE7A" w:rsidR="00B566EA" w:rsidRPr="00541C84" w:rsidRDefault="00B566EA" w:rsidP="00B566EA">
      <w:pPr>
        <w:pStyle w:val="Default"/>
        <w:rPr>
          <w:rFonts w:asciiTheme="minorHAnsi" w:hAnsiTheme="minorHAnsi"/>
          <w:b/>
          <w:bCs/>
          <w:color w:val="auto"/>
          <w:sz w:val="28"/>
          <w:szCs w:val="28"/>
        </w:rPr>
      </w:pPr>
      <w:r w:rsidRPr="00541C84">
        <w:rPr>
          <w:rFonts w:asciiTheme="minorHAnsi" w:hAnsiTheme="minorHAnsi"/>
          <w:b/>
          <w:bCs/>
          <w:color w:val="auto"/>
          <w:sz w:val="28"/>
          <w:szCs w:val="28"/>
        </w:rPr>
        <w:t>The 2022</w:t>
      </w:r>
      <w:r w:rsidR="00ED2A06">
        <w:rPr>
          <w:rFonts w:asciiTheme="minorHAnsi" w:hAnsiTheme="minorHAnsi"/>
          <w:b/>
          <w:bCs/>
          <w:color w:val="auto"/>
          <w:sz w:val="28"/>
          <w:szCs w:val="28"/>
        </w:rPr>
        <w:t>/</w:t>
      </w:r>
      <w:r w:rsidRPr="00541C84">
        <w:rPr>
          <w:rFonts w:asciiTheme="minorHAnsi" w:hAnsiTheme="minorHAnsi"/>
          <w:b/>
          <w:bCs/>
          <w:color w:val="auto"/>
          <w:sz w:val="28"/>
          <w:szCs w:val="28"/>
        </w:rPr>
        <w:t xml:space="preserve">23 Budget and Medium Term Outlook </w:t>
      </w:r>
    </w:p>
    <w:p w14:paraId="191F20CC" w14:textId="77777777" w:rsidR="00B566EA" w:rsidRPr="00541C84" w:rsidRDefault="00B566EA" w:rsidP="00B566EA">
      <w:pPr>
        <w:rPr>
          <w:rFonts w:cs="Arial"/>
        </w:rPr>
      </w:pPr>
      <w:r w:rsidRPr="00541C84">
        <w:rPr>
          <w:rFonts w:cs="Arial"/>
        </w:rPr>
        <w:t xml:space="preserve">NCFRA has adopted a prudent approach to budgeting that is both affordable and sustainable over the medium term. </w:t>
      </w:r>
    </w:p>
    <w:p w14:paraId="5A39F1B9" w14:textId="1AF37075" w:rsidR="00B566EA" w:rsidRPr="00541C84" w:rsidRDefault="00B566EA" w:rsidP="00B566EA">
      <w:pPr>
        <w:spacing w:after="200" w:line="276" w:lineRule="auto"/>
        <w:rPr>
          <w:rFonts w:cstheme="minorHAnsi"/>
        </w:rPr>
      </w:pPr>
      <w:r w:rsidRPr="00541C84">
        <w:rPr>
          <w:rFonts w:eastAsia="Calibri" w:cs="Arial"/>
        </w:rPr>
        <w:t>The PFCC has set a balanced budget for Fire for 2022</w:t>
      </w:r>
      <w:r w:rsidR="00ED2A06">
        <w:rPr>
          <w:rFonts w:eastAsia="Calibri" w:cs="Arial"/>
        </w:rPr>
        <w:t>/</w:t>
      </w:r>
      <w:r w:rsidRPr="00541C84">
        <w:rPr>
          <w:rFonts w:eastAsia="Calibri" w:cs="Arial"/>
        </w:rPr>
        <w:t xml:space="preserve">23.  </w:t>
      </w:r>
      <w:r w:rsidRPr="00541C84">
        <w:rPr>
          <w:rFonts w:cs="Arial"/>
        </w:rPr>
        <w:t xml:space="preserve">The budget was approved by the PFCC in January 2022 and considered at the Police, Fire and Crime Panel in February 2022. Following intensive lobbying, the bottom quartile of Fire Authorities were given the opportunity to increase the precept by £5 and as the second lowest preceptor in the country, the </w:t>
      </w:r>
      <w:r w:rsidRPr="00541C84">
        <w:rPr>
          <w:rFonts w:cstheme="minorHAnsi"/>
        </w:rPr>
        <w:t xml:space="preserve">PFCC took this into account and the views of the public of Northamptonshire before levying this increase. </w:t>
      </w:r>
    </w:p>
    <w:p w14:paraId="7BFB2836" w14:textId="683DE5C3" w:rsidR="00B566EA" w:rsidRDefault="00B566EA" w:rsidP="00B566EA">
      <w:pPr>
        <w:spacing w:after="200" w:line="276" w:lineRule="auto"/>
        <w:rPr>
          <w:rFonts w:cstheme="minorHAnsi"/>
        </w:rPr>
      </w:pPr>
      <w:r w:rsidRPr="00541C84">
        <w:rPr>
          <w:rFonts w:cstheme="minorHAnsi"/>
        </w:rPr>
        <w:t xml:space="preserve">It was in this context that the PFCC lobbied the Government for increased funding and whilst a gap remains, the increase was successful in establishing a permanent increase of £1m in the base budget and a levy of £68.20 was set for a Band D </w:t>
      </w:r>
      <w:r w:rsidRPr="00541C84">
        <w:rPr>
          <w:rFonts w:cs="Arial"/>
        </w:rPr>
        <w:t>property for 2022</w:t>
      </w:r>
      <w:r w:rsidR="00ED2A06">
        <w:rPr>
          <w:rFonts w:cs="Arial"/>
        </w:rPr>
        <w:t>/</w:t>
      </w:r>
      <w:r w:rsidRPr="00541C84">
        <w:rPr>
          <w:rFonts w:cs="Arial"/>
        </w:rPr>
        <w:t xml:space="preserve">23, the maximum increase available. </w:t>
      </w:r>
      <w:r>
        <w:rPr>
          <w:rFonts w:cs="Arial"/>
        </w:rPr>
        <w:t xml:space="preserve"> </w:t>
      </w:r>
      <w:r w:rsidRPr="00541C84">
        <w:rPr>
          <w:rFonts w:cstheme="minorHAnsi"/>
        </w:rPr>
        <w:t>Even after this increase, N</w:t>
      </w:r>
      <w:r>
        <w:rPr>
          <w:rFonts w:cstheme="minorHAnsi"/>
        </w:rPr>
        <w:t xml:space="preserve">CFRA </w:t>
      </w:r>
      <w:r w:rsidRPr="00541C84">
        <w:rPr>
          <w:rFonts w:cstheme="minorHAnsi"/>
        </w:rPr>
        <w:t>is still funded second lowest of the 30 FRAs in England, and the third lowest funded FRA still receives £4m more in core spending power than Northamptonshire.</w:t>
      </w:r>
      <w:r>
        <w:rPr>
          <w:rFonts w:cstheme="minorHAnsi"/>
        </w:rPr>
        <w:t xml:space="preserve"> </w:t>
      </w:r>
    </w:p>
    <w:p w14:paraId="6D428FEF" w14:textId="77777777" w:rsidR="00B566EA" w:rsidRPr="00541C84" w:rsidRDefault="00B566EA" w:rsidP="00B566EA">
      <w:pPr>
        <w:rPr>
          <w:rFonts w:cs="Arial"/>
        </w:rPr>
      </w:pPr>
      <w:r w:rsidRPr="00541C84">
        <w:rPr>
          <w:rFonts w:cs="Arial"/>
        </w:rPr>
        <w:t xml:space="preserve">Whilst a balanced budget has been set for three years, it is dependent on efficiency savings being </w:t>
      </w:r>
      <w:r>
        <w:rPr>
          <w:rFonts w:cs="Arial"/>
        </w:rPr>
        <w:t>a</w:t>
      </w:r>
      <w:r w:rsidRPr="00541C84">
        <w:rPr>
          <w:rFonts w:cs="Arial"/>
        </w:rPr>
        <w:t>chieved. These savings were identified by the Fire service and the PFCC will monitor them closely throughout the year.</w:t>
      </w:r>
    </w:p>
    <w:p w14:paraId="2D98A874" w14:textId="77777777" w:rsidR="00B566EA" w:rsidRPr="00541C84" w:rsidRDefault="00B566EA" w:rsidP="00B566EA">
      <w:pPr>
        <w:rPr>
          <w:rFonts w:cs="Arial"/>
        </w:rPr>
      </w:pPr>
      <w:r w:rsidRPr="00541C84">
        <w:rPr>
          <w:rFonts w:cs="Arial"/>
        </w:rPr>
        <w:lastRenderedPageBreak/>
        <w:t xml:space="preserve">However, with the increase in inflation, the impact </w:t>
      </w:r>
      <w:r>
        <w:rPr>
          <w:rFonts w:cs="Arial"/>
        </w:rPr>
        <w:t xml:space="preserve">from </w:t>
      </w:r>
      <w:r w:rsidRPr="00541C84">
        <w:rPr>
          <w:rFonts w:cs="Arial"/>
        </w:rPr>
        <w:t>BREXIT, COVID and the Ukraine</w:t>
      </w:r>
      <w:r>
        <w:rPr>
          <w:rFonts w:cs="Arial"/>
        </w:rPr>
        <w:t xml:space="preserve"> conflict</w:t>
      </w:r>
      <w:r w:rsidRPr="00541C84">
        <w:rPr>
          <w:rFonts w:cs="Arial"/>
        </w:rPr>
        <w:t>, further pressures are anticipated</w:t>
      </w:r>
      <w:r>
        <w:rPr>
          <w:rFonts w:cs="Arial"/>
        </w:rPr>
        <w:t>. T</w:t>
      </w:r>
      <w:r w:rsidRPr="00541C84">
        <w:rPr>
          <w:rFonts w:cs="Arial"/>
        </w:rPr>
        <w:t xml:space="preserve">hese will continue to be identified and modelled </w:t>
      </w:r>
      <w:r>
        <w:rPr>
          <w:rFonts w:cs="Arial"/>
        </w:rPr>
        <w:t xml:space="preserve">in the Medium Term Financial Plan </w:t>
      </w:r>
      <w:r w:rsidRPr="00541C84">
        <w:rPr>
          <w:rFonts w:cs="Arial"/>
        </w:rPr>
        <w:t>and where appropriate further savings identified</w:t>
      </w:r>
      <w:r>
        <w:rPr>
          <w:rFonts w:cs="Arial"/>
        </w:rPr>
        <w:t>.</w:t>
      </w:r>
    </w:p>
    <w:p w14:paraId="548341E1" w14:textId="77777777" w:rsidR="00B566EA" w:rsidRPr="00541C84" w:rsidRDefault="00B566EA" w:rsidP="00B566EA">
      <w:pPr>
        <w:rPr>
          <w:rFonts w:eastAsia="Calibri" w:cs="Arial"/>
        </w:rPr>
      </w:pPr>
      <w:r w:rsidRPr="00541C84">
        <w:rPr>
          <w:rFonts w:cs="Arial"/>
        </w:rPr>
        <w:t>T</w:t>
      </w:r>
      <w:r w:rsidRPr="00541C84">
        <w:rPr>
          <w:rFonts w:eastAsia="Calibri" w:cs="Arial"/>
        </w:rPr>
        <w:t xml:space="preserve">he Fire budget and precept continues in taking forward the statutory duty to collaborate for the three emergency services. This means that the services should be actively seeking opportunities to work together to deliver more efficient and effective public services. </w:t>
      </w:r>
    </w:p>
    <w:p w14:paraId="4A83497A" w14:textId="09717D43" w:rsidR="00B566EA" w:rsidRDefault="00B566EA" w:rsidP="00B566EA">
      <w:pPr>
        <w:rPr>
          <w:rFonts w:cs="Arial"/>
        </w:rPr>
      </w:pPr>
      <w:r>
        <w:rPr>
          <w:rFonts w:cs="Arial"/>
        </w:rPr>
        <w:t>A</w:t>
      </w:r>
      <w:r w:rsidRPr="00541C84">
        <w:rPr>
          <w:rFonts w:cs="Arial"/>
        </w:rPr>
        <w:t xml:space="preserve"> number enabling services joint teams have already been established</w:t>
      </w:r>
      <w:r>
        <w:rPr>
          <w:rFonts w:cs="Arial"/>
        </w:rPr>
        <w:t xml:space="preserve"> and these, </w:t>
      </w:r>
      <w:r w:rsidRPr="00541C84">
        <w:rPr>
          <w:rFonts w:cs="Arial"/>
        </w:rPr>
        <w:t>together with interoperability proposals</w:t>
      </w:r>
      <w:r w:rsidR="00B66CD8">
        <w:rPr>
          <w:rFonts w:cs="Arial"/>
        </w:rPr>
        <w:t>,</w:t>
      </w:r>
      <w:r w:rsidRPr="00541C84">
        <w:rPr>
          <w:rFonts w:cs="Arial"/>
        </w:rPr>
        <w:t xml:space="preserve"> will provide opportunities for efficiencies and greater integration between police and fire and rescue to realise savings to meet financial challenges, increase capacity and resilience and reinvest where possible in frontline services. </w:t>
      </w:r>
    </w:p>
    <w:p w14:paraId="29A6A703" w14:textId="21B90E5D" w:rsidR="00B566EA" w:rsidRDefault="00B566EA" w:rsidP="00B566EA">
      <w:pPr>
        <w:rPr>
          <w:rFonts w:cs="Arial"/>
        </w:rPr>
      </w:pPr>
      <w:r w:rsidRPr="00C65BF8">
        <w:rPr>
          <w:rFonts w:cs="Arial"/>
        </w:rPr>
        <w:t>As set out in the Medium Term Financial Plan considered at the Police, Fire and Crime Panel in February 202</w:t>
      </w:r>
      <w:r>
        <w:rPr>
          <w:rFonts w:cs="Arial"/>
        </w:rPr>
        <w:t>2</w:t>
      </w:r>
      <w:r w:rsidRPr="00C65BF8">
        <w:rPr>
          <w:rFonts w:cs="Arial"/>
        </w:rPr>
        <w:t xml:space="preserve">, </w:t>
      </w:r>
      <w:r>
        <w:rPr>
          <w:rFonts w:cs="Arial"/>
        </w:rPr>
        <w:t>with identified savings, NCFRA have a balanced budget until 2025</w:t>
      </w:r>
      <w:r w:rsidR="00ED2A06">
        <w:rPr>
          <w:rFonts w:cs="Arial"/>
        </w:rPr>
        <w:t>/</w:t>
      </w:r>
      <w:r>
        <w:rPr>
          <w:rFonts w:cs="Arial"/>
        </w:rPr>
        <w:t>26 and whilst it is currently anticipated that further efficiencies will need to be made, reserves are sufficient if  required.</w:t>
      </w:r>
    </w:p>
    <w:p w14:paraId="7961E1D2" w14:textId="552762B6" w:rsidR="00B566EA" w:rsidRPr="00C65BF8" w:rsidRDefault="00A40CD4" w:rsidP="00B566EA">
      <w:pPr>
        <w:spacing w:after="0" w:line="240" w:lineRule="auto"/>
        <w:jc w:val="center"/>
        <w:rPr>
          <w:rFonts w:cs="Arial"/>
        </w:rPr>
      </w:pPr>
      <w:r w:rsidRPr="00A40CD4">
        <w:rPr>
          <w:noProof/>
        </w:rPr>
        <w:drawing>
          <wp:inline distT="0" distB="0" distL="0" distR="0" wp14:anchorId="3D9F8289" wp14:editId="0CC3F8AB">
            <wp:extent cx="362585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5850" cy="1333500"/>
                    </a:xfrm>
                    <a:prstGeom prst="rect">
                      <a:avLst/>
                    </a:prstGeom>
                    <a:noFill/>
                    <a:ln>
                      <a:noFill/>
                    </a:ln>
                  </pic:spPr>
                </pic:pic>
              </a:graphicData>
            </a:graphic>
          </wp:inline>
        </w:drawing>
      </w:r>
    </w:p>
    <w:p w14:paraId="3B213D49" w14:textId="77777777" w:rsidR="00B566EA" w:rsidRDefault="00B566EA" w:rsidP="00B566EA">
      <w:pPr>
        <w:rPr>
          <w:rFonts w:cs="Arial"/>
        </w:rPr>
      </w:pPr>
    </w:p>
    <w:p w14:paraId="0538E713" w14:textId="77777777" w:rsidR="00B566EA" w:rsidRPr="00541C84" w:rsidRDefault="00B566EA" w:rsidP="00B566EA">
      <w:pPr>
        <w:rPr>
          <w:rFonts w:cs="Arial"/>
        </w:rPr>
      </w:pPr>
      <w:r w:rsidRPr="00541C84">
        <w:rPr>
          <w:rFonts w:cs="Arial"/>
        </w:rPr>
        <w:t>For information on the accounts, in the first instance, please contact:</w:t>
      </w:r>
    </w:p>
    <w:p w14:paraId="7305774D" w14:textId="77777777" w:rsidR="00B566EA" w:rsidRPr="00541C84" w:rsidRDefault="00B566EA" w:rsidP="00B566EA">
      <w:pPr>
        <w:autoSpaceDE w:val="0"/>
        <w:autoSpaceDN w:val="0"/>
        <w:adjustRightInd w:val="0"/>
        <w:spacing w:before="240" w:after="0"/>
        <w:jc w:val="both"/>
        <w:rPr>
          <w:rFonts w:cs="Arial"/>
          <w:sz w:val="2"/>
        </w:rPr>
      </w:pPr>
    </w:p>
    <w:p w14:paraId="33BEB60A" w14:textId="6A43CA11" w:rsidR="00B566EA" w:rsidRPr="00541C84" w:rsidRDefault="00B566EA" w:rsidP="00B566EA">
      <w:pPr>
        <w:autoSpaceDE w:val="0"/>
        <w:autoSpaceDN w:val="0"/>
        <w:adjustRightInd w:val="0"/>
        <w:spacing w:after="0"/>
        <w:jc w:val="both"/>
        <w:rPr>
          <w:rStyle w:val="Hyperlink"/>
          <w:rFonts w:cs="Arial"/>
        </w:rPr>
      </w:pPr>
      <w:r w:rsidRPr="00541C84">
        <w:t xml:space="preserve">Deanna Sharratt, Finance Advisor:  </w:t>
      </w:r>
      <w:hyperlink r:id="rId23" w:history="1">
        <w:r w:rsidR="000C452E" w:rsidRPr="00B07818">
          <w:rPr>
            <w:rStyle w:val="Hyperlink"/>
            <w:rFonts w:cs="Arial"/>
          </w:rPr>
          <w:t>Deanna.Sharratt@northants.police.uk</w:t>
        </w:r>
      </w:hyperlink>
    </w:p>
    <w:p w14:paraId="365A7B38" w14:textId="77777777" w:rsidR="00B566EA" w:rsidRPr="00541C84" w:rsidRDefault="00B566EA" w:rsidP="00B566EA">
      <w:pPr>
        <w:autoSpaceDE w:val="0"/>
        <w:autoSpaceDN w:val="0"/>
        <w:adjustRightInd w:val="0"/>
        <w:spacing w:after="0"/>
        <w:jc w:val="both"/>
        <w:rPr>
          <w:rFonts w:cs="Arial"/>
          <w:sz w:val="14"/>
        </w:rPr>
      </w:pPr>
    </w:p>
    <w:p w14:paraId="4835E82A" w14:textId="77777777" w:rsidR="00B566EA" w:rsidRPr="007F07C2" w:rsidRDefault="00B566EA" w:rsidP="00B566EA">
      <w:pPr>
        <w:autoSpaceDE w:val="0"/>
        <w:autoSpaceDN w:val="0"/>
        <w:adjustRightInd w:val="0"/>
        <w:rPr>
          <w:rFonts w:cs="Arial"/>
        </w:rPr>
      </w:pPr>
      <w:r w:rsidRPr="00541C84">
        <w:rPr>
          <w:rFonts w:cs="Arial"/>
        </w:rPr>
        <w:t>You have the right to inspect our accounts each year before the external audit is completed. We advertise the dates during which you can inspect the accounts in the local press. Our accounts are audited by Ernst and Young, they are the auditors appointed by the PSAA.</w:t>
      </w:r>
      <w:r w:rsidRPr="007F07C2">
        <w:rPr>
          <w:rFonts w:cs="Arial"/>
        </w:rPr>
        <w:t xml:space="preserve">  </w:t>
      </w:r>
    </w:p>
    <w:p w14:paraId="57185E69" w14:textId="77777777" w:rsidR="00B566EA" w:rsidRDefault="00B566EA" w:rsidP="00B566EA"/>
    <w:p w14:paraId="63F3E169" w14:textId="77777777" w:rsidR="00B566EA" w:rsidRDefault="00B566EA" w:rsidP="00C31654">
      <w:pPr>
        <w:autoSpaceDE w:val="0"/>
        <w:autoSpaceDN w:val="0"/>
        <w:adjustRightInd w:val="0"/>
        <w:jc w:val="both"/>
        <w:rPr>
          <w:b/>
          <w:bCs/>
          <w:sz w:val="28"/>
          <w:szCs w:val="28"/>
        </w:rPr>
      </w:pPr>
    </w:p>
    <w:p w14:paraId="1E05943D" w14:textId="77777777" w:rsidR="00B566EA" w:rsidRDefault="00B566EA" w:rsidP="00C31654">
      <w:pPr>
        <w:autoSpaceDE w:val="0"/>
        <w:autoSpaceDN w:val="0"/>
        <w:adjustRightInd w:val="0"/>
        <w:jc w:val="both"/>
        <w:rPr>
          <w:b/>
          <w:bCs/>
          <w:sz w:val="28"/>
          <w:szCs w:val="28"/>
        </w:rPr>
      </w:pPr>
    </w:p>
    <w:p w14:paraId="4FD3E928" w14:textId="77777777" w:rsidR="00B566EA" w:rsidRDefault="00B566EA" w:rsidP="00C31654">
      <w:pPr>
        <w:autoSpaceDE w:val="0"/>
        <w:autoSpaceDN w:val="0"/>
        <w:adjustRightInd w:val="0"/>
        <w:jc w:val="both"/>
        <w:rPr>
          <w:b/>
          <w:bCs/>
          <w:sz w:val="28"/>
          <w:szCs w:val="28"/>
        </w:rPr>
      </w:pPr>
    </w:p>
    <w:p w14:paraId="372D975F" w14:textId="77777777" w:rsidR="00B566EA" w:rsidRDefault="00B566EA" w:rsidP="00C31654">
      <w:pPr>
        <w:autoSpaceDE w:val="0"/>
        <w:autoSpaceDN w:val="0"/>
        <w:adjustRightInd w:val="0"/>
        <w:jc w:val="both"/>
        <w:rPr>
          <w:b/>
          <w:bCs/>
          <w:sz w:val="28"/>
          <w:szCs w:val="28"/>
        </w:rPr>
      </w:pPr>
    </w:p>
    <w:p w14:paraId="1AF7F857" w14:textId="77777777" w:rsidR="00B566EA" w:rsidRDefault="00B566EA" w:rsidP="00C31654">
      <w:pPr>
        <w:autoSpaceDE w:val="0"/>
        <w:autoSpaceDN w:val="0"/>
        <w:adjustRightInd w:val="0"/>
        <w:jc w:val="both"/>
        <w:rPr>
          <w:b/>
          <w:bCs/>
          <w:sz w:val="28"/>
          <w:szCs w:val="28"/>
        </w:rPr>
      </w:pPr>
    </w:p>
    <w:p w14:paraId="0C91D4AF" w14:textId="77777777" w:rsidR="00B566EA" w:rsidRDefault="00B566EA" w:rsidP="00C31654">
      <w:pPr>
        <w:autoSpaceDE w:val="0"/>
        <w:autoSpaceDN w:val="0"/>
        <w:adjustRightInd w:val="0"/>
        <w:jc w:val="both"/>
        <w:rPr>
          <w:b/>
          <w:bCs/>
          <w:sz w:val="28"/>
          <w:szCs w:val="28"/>
        </w:rPr>
      </w:pPr>
    </w:p>
    <w:p w14:paraId="734792AF" w14:textId="77777777" w:rsidR="00B566EA" w:rsidRDefault="00B566EA" w:rsidP="00C31654">
      <w:pPr>
        <w:autoSpaceDE w:val="0"/>
        <w:autoSpaceDN w:val="0"/>
        <w:adjustRightInd w:val="0"/>
        <w:jc w:val="both"/>
        <w:rPr>
          <w:b/>
          <w:bCs/>
          <w:sz w:val="28"/>
          <w:szCs w:val="28"/>
        </w:rPr>
      </w:pPr>
    </w:p>
    <w:p w14:paraId="1337F6E8" w14:textId="77777777" w:rsidR="00B566EA" w:rsidRDefault="00B566EA" w:rsidP="00C31654">
      <w:pPr>
        <w:autoSpaceDE w:val="0"/>
        <w:autoSpaceDN w:val="0"/>
        <w:adjustRightInd w:val="0"/>
        <w:jc w:val="both"/>
        <w:rPr>
          <w:b/>
          <w:bCs/>
          <w:sz w:val="28"/>
          <w:szCs w:val="28"/>
        </w:rPr>
      </w:pPr>
    </w:p>
    <w:p w14:paraId="1DBB5871" w14:textId="77777777" w:rsidR="00B74525" w:rsidRDefault="00B74525">
      <w:pPr>
        <w:rPr>
          <w:b/>
          <w:bCs/>
          <w:sz w:val="28"/>
          <w:szCs w:val="28"/>
        </w:rPr>
      </w:pPr>
      <w:r>
        <w:rPr>
          <w:b/>
          <w:bCs/>
          <w:sz w:val="28"/>
          <w:szCs w:val="28"/>
        </w:rPr>
        <w:br w:type="page"/>
      </w:r>
    </w:p>
    <w:p w14:paraId="1546CCC8" w14:textId="50245AC7" w:rsidR="00103626" w:rsidRPr="007F07C2" w:rsidRDefault="00103626" w:rsidP="00C31654">
      <w:pPr>
        <w:autoSpaceDE w:val="0"/>
        <w:autoSpaceDN w:val="0"/>
        <w:adjustRightInd w:val="0"/>
        <w:jc w:val="both"/>
        <w:rPr>
          <w:rFonts w:cs="Arial"/>
        </w:rPr>
      </w:pPr>
      <w:r w:rsidRPr="007F07C2">
        <w:rPr>
          <w:b/>
          <w:bCs/>
          <w:sz w:val="28"/>
          <w:szCs w:val="28"/>
        </w:rPr>
        <w:lastRenderedPageBreak/>
        <w:t xml:space="preserve">STATEMENT OF RESPONSIBILITIES FOR THE STATEMENT OF ACCOUNTS </w:t>
      </w:r>
    </w:p>
    <w:p w14:paraId="582ABE77"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Police, Fire and Crime Commissioner’s responsibilities </w:t>
      </w:r>
    </w:p>
    <w:p w14:paraId="7AD9C2B4" w14:textId="77777777" w:rsidR="0017732C" w:rsidRPr="007F07C2" w:rsidRDefault="0017732C" w:rsidP="0079406E">
      <w:pPr>
        <w:pStyle w:val="Default"/>
        <w:rPr>
          <w:rFonts w:asciiTheme="minorHAnsi" w:hAnsiTheme="minorHAnsi"/>
          <w:color w:val="auto"/>
          <w:sz w:val="22"/>
          <w:szCs w:val="22"/>
        </w:rPr>
      </w:pPr>
    </w:p>
    <w:p w14:paraId="0F0F6DAD"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Police, Fire and Crime Commissioner is required to: </w:t>
      </w:r>
    </w:p>
    <w:p w14:paraId="5DEF4A1B" w14:textId="77777777" w:rsidR="0017732C" w:rsidRPr="007F07C2" w:rsidRDefault="0017732C" w:rsidP="0079406E">
      <w:pPr>
        <w:pStyle w:val="Default"/>
        <w:rPr>
          <w:rFonts w:asciiTheme="minorHAnsi" w:hAnsiTheme="minorHAnsi"/>
          <w:color w:val="auto"/>
          <w:sz w:val="22"/>
          <w:szCs w:val="22"/>
        </w:rPr>
      </w:pPr>
    </w:p>
    <w:p w14:paraId="3FFAD9DB"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Make arrangements for the proper administration of its financial affairs and to secure that one of its officers has the responsibility for the administration of those affairs. In this Authority, that officer is the Chief Finance Officer. </w:t>
      </w:r>
    </w:p>
    <w:p w14:paraId="15847D8E" w14:textId="77777777" w:rsidR="0017732C" w:rsidRPr="007F07C2" w:rsidRDefault="0017732C" w:rsidP="0079406E">
      <w:pPr>
        <w:pStyle w:val="Default"/>
        <w:rPr>
          <w:rFonts w:asciiTheme="minorHAnsi" w:hAnsiTheme="minorHAnsi"/>
          <w:color w:val="auto"/>
          <w:sz w:val="22"/>
          <w:szCs w:val="22"/>
        </w:rPr>
      </w:pPr>
    </w:p>
    <w:p w14:paraId="16D15FA5"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Manage its affairs to secure economic, efficient and effective use of resources and safeguard its assets. </w:t>
      </w:r>
    </w:p>
    <w:p w14:paraId="794EF31D" w14:textId="77777777" w:rsidR="0017732C" w:rsidRPr="007F07C2" w:rsidRDefault="0017732C" w:rsidP="0079406E">
      <w:pPr>
        <w:pStyle w:val="Default"/>
        <w:rPr>
          <w:rFonts w:asciiTheme="minorHAnsi" w:hAnsiTheme="minorHAnsi"/>
          <w:color w:val="auto"/>
          <w:sz w:val="22"/>
          <w:szCs w:val="22"/>
        </w:rPr>
      </w:pPr>
    </w:p>
    <w:p w14:paraId="64D185E3"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Approve the Statement of Accounts. </w:t>
      </w:r>
    </w:p>
    <w:p w14:paraId="550A3419" w14:textId="77777777" w:rsidR="00103626" w:rsidRPr="007F07C2" w:rsidRDefault="00103626" w:rsidP="0079406E">
      <w:pPr>
        <w:pStyle w:val="Default"/>
        <w:rPr>
          <w:rFonts w:asciiTheme="minorHAnsi" w:hAnsiTheme="minorHAnsi"/>
          <w:color w:val="auto"/>
          <w:sz w:val="22"/>
          <w:szCs w:val="22"/>
        </w:rPr>
      </w:pPr>
    </w:p>
    <w:p w14:paraId="037D8CBC"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these accounts were considered and approved</w:t>
      </w:r>
      <w:r w:rsidR="001B0E25" w:rsidRPr="007F07C2">
        <w:rPr>
          <w:rFonts w:asciiTheme="minorHAnsi" w:hAnsiTheme="minorHAnsi"/>
          <w:color w:val="auto"/>
          <w:sz w:val="22"/>
          <w:szCs w:val="22"/>
        </w:rPr>
        <w:t>.</w:t>
      </w:r>
    </w:p>
    <w:p w14:paraId="211BD93C" w14:textId="72DCD23E" w:rsidR="008A6037" w:rsidRPr="007F07C2" w:rsidRDefault="008A6037" w:rsidP="0079406E">
      <w:pPr>
        <w:pStyle w:val="Default"/>
        <w:rPr>
          <w:rFonts w:asciiTheme="minorHAnsi" w:hAnsiTheme="minorHAnsi"/>
          <w:color w:val="auto"/>
          <w:sz w:val="22"/>
          <w:szCs w:val="22"/>
        </w:rPr>
      </w:pPr>
    </w:p>
    <w:p w14:paraId="4469890C" w14:textId="09CF48F9" w:rsidR="008A6037" w:rsidRPr="007F07C2" w:rsidRDefault="00770360" w:rsidP="0079406E">
      <w:pPr>
        <w:pStyle w:val="Default"/>
        <w:rPr>
          <w:rFonts w:asciiTheme="minorHAnsi" w:hAnsiTheme="minorHAnsi"/>
          <w:color w:val="auto"/>
          <w:sz w:val="22"/>
          <w:szCs w:val="22"/>
        </w:rPr>
      </w:pPr>
      <w:r w:rsidRPr="00770360">
        <w:rPr>
          <w:rFonts w:asciiTheme="minorHAnsi" w:hAnsiTheme="minorHAnsi"/>
          <w:noProof/>
          <w:color w:val="auto"/>
          <w:sz w:val="22"/>
          <w:szCs w:val="22"/>
        </w:rPr>
        <w:drawing>
          <wp:inline distT="0" distB="0" distL="0" distR="0" wp14:anchorId="592A14DB" wp14:editId="7FC2267B">
            <wp:extent cx="1308100" cy="777050"/>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0496" cy="790354"/>
                    </a:xfrm>
                    <a:prstGeom prst="rect">
                      <a:avLst/>
                    </a:prstGeom>
                    <a:noFill/>
                    <a:ln>
                      <a:noFill/>
                    </a:ln>
                  </pic:spPr>
                </pic:pic>
              </a:graphicData>
            </a:graphic>
          </wp:inline>
        </w:drawing>
      </w:r>
    </w:p>
    <w:p w14:paraId="0ADD2279" w14:textId="25973FE0" w:rsidR="00103626"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S</w:t>
      </w:r>
      <w:r w:rsidR="00EE4504">
        <w:rPr>
          <w:rFonts w:asciiTheme="minorHAnsi" w:hAnsiTheme="minorHAnsi"/>
          <w:b/>
          <w:color w:val="auto"/>
          <w:sz w:val="22"/>
          <w:szCs w:val="22"/>
        </w:rPr>
        <w:t>tephen</w:t>
      </w:r>
      <w:r w:rsidRPr="007F07C2">
        <w:rPr>
          <w:rFonts w:asciiTheme="minorHAnsi" w:hAnsiTheme="minorHAnsi"/>
          <w:b/>
          <w:color w:val="auto"/>
          <w:sz w:val="22"/>
          <w:szCs w:val="22"/>
        </w:rPr>
        <w:t xml:space="preserve"> Mold</w:t>
      </w:r>
      <w:r w:rsidR="00103626" w:rsidRPr="007F07C2">
        <w:rPr>
          <w:rFonts w:asciiTheme="minorHAnsi" w:hAnsiTheme="minorHAnsi"/>
          <w:b/>
          <w:color w:val="auto"/>
          <w:sz w:val="22"/>
          <w:szCs w:val="22"/>
        </w:rPr>
        <w:t xml:space="preserve">, Police, Fire and Crime Commissioner for </w:t>
      </w:r>
      <w:r w:rsidR="004266A6" w:rsidRPr="007F07C2">
        <w:rPr>
          <w:rFonts w:asciiTheme="minorHAnsi" w:hAnsiTheme="minorHAnsi"/>
          <w:b/>
          <w:color w:val="auto"/>
          <w:sz w:val="22"/>
          <w:szCs w:val="22"/>
        </w:rPr>
        <w:t>Northamptonshire</w:t>
      </w:r>
    </w:p>
    <w:p w14:paraId="280206AE" w14:textId="77777777" w:rsidR="00EA06C9" w:rsidRDefault="00EA06C9" w:rsidP="0079406E">
      <w:pPr>
        <w:pStyle w:val="Default"/>
        <w:rPr>
          <w:rFonts w:asciiTheme="minorHAnsi" w:hAnsiTheme="minorHAnsi"/>
          <w:b/>
          <w:color w:val="auto"/>
          <w:sz w:val="22"/>
          <w:szCs w:val="22"/>
        </w:rPr>
      </w:pPr>
    </w:p>
    <w:p w14:paraId="60803893" w14:textId="7D0A63A0" w:rsidR="00C31654" w:rsidRPr="007F07C2" w:rsidRDefault="00C31654" w:rsidP="0079406E">
      <w:pPr>
        <w:pStyle w:val="Default"/>
        <w:rPr>
          <w:rFonts w:asciiTheme="minorHAnsi" w:hAnsiTheme="minorHAnsi"/>
          <w:b/>
          <w:color w:val="auto"/>
          <w:sz w:val="22"/>
          <w:szCs w:val="22"/>
        </w:rPr>
      </w:pPr>
      <w:r w:rsidRPr="007F07C2">
        <w:rPr>
          <w:rFonts w:asciiTheme="minorHAnsi" w:hAnsiTheme="minorHAnsi"/>
          <w:b/>
          <w:color w:val="auto"/>
          <w:sz w:val="22"/>
          <w:szCs w:val="22"/>
        </w:rPr>
        <w:t xml:space="preserve">Date: </w:t>
      </w:r>
      <w:r w:rsidR="00770360">
        <w:rPr>
          <w:rFonts w:asciiTheme="minorHAnsi" w:hAnsiTheme="minorHAnsi"/>
          <w:b/>
          <w:color w:val="auto"/>
          <w:sz w:val="22"/>
          <w:szCs w:val="22"/>
        </w:rPr>
        <w:t>1</w:t>
      </w:r>
      <w:r w:rsidR="00770360" w:rsidRPr="00770360">
        <w:rPr>
          <w:rFonts w:asciiTheme="minorHAnsi" w:hAnsiTheme="minorHAnsi"/>
          <w:b/>
          <w:color w:val="auto"/>
          <w:sz w:val="22"/>
          <w:szCs w:val="22"/>
          <w:vertAlign w:val="superscript"/>
        </w:rPr>
        <w:t>st</w:t>
      </w:r>
      <w:r w:rsidR="00770360">
        <w:rPr>
          <w:rFonts w:asciiTheme="minorHAnsi" w:hAnsiTheme="minorHAnsi"/>
          <w:b/>
          <w:color w:val="auto"/>
          <w:sz w:val="22"/>
          <w:szCs w:val="22"/>
        </w:rPr>
        <w:t xml:space="preserve"> June 2023</w:t>
      </w:r>
    </w:p>
    <w:p w14:paraId="32073738" w14:textId="77777777" w:rsidR="00773072" w:rsidRPr="007F07C2" w:rsidRDefault="00773072" w:rsidP="0079406E">
      <w:pPr>
        <w:pStyle w:val="Default"/>
        <w:rPr>
          <w:rFonts w:asciiTheme="minorHAnsi" w:hAnsiTheme="minorHAnsi"/>
          <w:color w:val="auto"/>
          <w:sz w:val="22"/>
          <w:szCs w:val="22"/>
        </w:rPr>
      </w:pPr>
    </w:p>
    <w:p w14:paraId="7623BDBB" w14:textId="77777777" w:rsidR="0039276D" w:rsidRDefault="0039276D" w:rsidP="0079406E">
      <w:pPr>
        <w:pStyle w:val="Default"/>
        <w:rPr>
          <w:rFonts w:asciiTheme="minorHAnsi" w:hAnsiTheme="minorHAnsi"/>
          <w:b/>
          <w:color w:val="auto"/>
          <w:sz w:val="22"/>
          <w:szCs w:val="22"/>
        </w:rPr>
      </w:pPr>
    </w:p>
    <w:p w14:paraId="59DE34B0" w14:textId="3791F9AA" w:rsidR="00103626"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 xml:space="preserve">The Chief Finance Officer’s responsibilities </w:t>
      </w:r>
    </w:p>
    <w:p w14:paraId="3C981982"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The Chief Finance Officer is responsible for the preparation of the Authority’s Statement of Accounts in accordance with proper practices as set out in the CIPFA/LASAAC Code of Practice on Local Authority Accounting in the United Kingdom (the Code). </w:t>
      </w:r>
    </w:p>
    <w:p w14:paraId="32175456" w14:textId="77777777" w:rsidR="00103626" w:rsidRPr="007F07C2" w:rsidRDefault="00103626" w:rsidP="0079406E">
      <w:pPr>
        <w:pStyle w:val="Default"/>
        <w:rPr>
          <w:rFonts w:asciiTheme="minorHAnsi" w:hAnsiTheme="minorHAnsi"/>
          <w:color w:val="auto"/>
          <w:sz w:val="22"/>
          <w:szCs w:val="22"/>
        </w:rPr>
      </w:pPr>
    </w:p>
    <w:p w14:paraId="440B455A"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In preparing this Statement of Accounts, the Chief Finance Officer has: </w:t>
      </w:r>
    </w:p>
    <w:p w14:paraId="7F706CED"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Selected suitable accounting policies and applied them consistently </w:t>
      </w:r>
    </w:p>
    <w:p w14:paraId="170FBB22"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Made judgements and estimates that are reasonable and prudent. </w:t>
      </w:r>
    </w:p>
    <w:p w14:paraId="518AC4B8"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Complied with the local authority Code. </w:t>
      </w:r>
    </w:p>
    <w:p w14:paraId="53A9979E" w14:textId="77777777" w:rsidR="00103626" w:rsidRPr="007F07C2" w:rsidRDefault="00103626" w:rsidP="0079406E">
      <w:pPr>
        <w:pStyle w:val="Default"/>
        <w:rPr>
          <w:rFonts w:asciiTheme="minorHAnsi" w:hAnsiTheme="minorHAnsi"/>
          <w:color w:val="auto"/>
          <w:sz w:val="22"/>
          <w:szCs w:val="22"/>
        </w:rPr>
      </w:pPr>
    </w:p>
    <w:p w14:paraId="2C2A5AE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Chief Finance Officer has also: </w:t>
      </w:r>
    </w:p>
    <w:p w14:paraId="6FEDDC81"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Kept proper accounting records which were up to date. </w:t>
      </w:r>
    </w:p>
    <w:p w14:paraId="13312E7D"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Taken reasonable steps for the prevention and detection of fraud and other irregularities. </w:t>
      </w:r>
    </w:p>
    <w:p w14:paraId="60D11AFE" w14:textId="77777777" w:rsidR="00103626" w:rsidRPr="007F07C2" w:rsidRDefault="00103626" w:rsidP="0079406E">
      <w:pPr>
        <w:pStyle w:val="Default"/>
        <w:rPr>
          <w:rFonts w:asciiTheme="minorHAnsi" w:hAnsiTheme="minorHAnsi"/>
          <w:color w:val="auto"/>
          <w:sz w:val="22"/>
          <w:szCs w:val="22"/>
        </w:rPr>
      </w:pPr>
    </w:p>
    <w:p w14:paraId="51057B3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Chief Finance Officer’s certificate </w:t>
      </w:r>
    </w:p>
    <w:p w14:paraId="5A548089" w14:textId="51EB32FA"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 Statement of Accounts has been prepared in accordance with the CIPFA/LASAAC Code and present a true and fair view of the financial position of the Authority at 31 March 20</w:t>
      </w:r>
      <w:r w:rsidR="000E0E5A" w:rsidRPr="007F07C2">
        <w:rPr>
          <w:rFonts w:asciiTheme="minorHAnsi" w:hAnsiTheme="minorHAnsi"/>
          <w:color w:val="auto"/>
          <w:sz w:val="22"/>
          <w:szCs w:val="22"/>
        </w:rPr>
        <w:t>2</w:t>
      </w:r>
      <w:r w:rsidR="007A7ADA">
        <w:rPr>
          <w:rFonts w:asciiTheme="minorHAnsi" w:hAnsiTheme="minorHAnsi"/>
          <w:color w:val="auto"/>
          <w:sz w:val="22"/>
          <w:szCs w:val="22"/>
        </w:rPr>
        <w:t>2</w:t>
      </w:r>
      <w:r w:rsidRPr="007F07C2">
        <w:rPr>
          <w:rFonts w:asciiTheme="minorHAnsi" w:hAnsiTheme="minorHAnsi"/>
          <w:color w:val="auto"/>
          <w:sz w:val="22"/>
          <w:szCs w:val="22"/>
        </w:rPr>
        <w:t xml:space="preserve"> and its income and expenditure for the year ended 31 March 20</w:t>
      </w:r>
      <w:r w:rsidR="000E0E5A" w:rsidRPr="007F07C2">
        <w:rPr>
          <w:rFonts w:asciiTheme="minorHAnsi" w:hAnsiTheme="minorHAnsi"/>
          <w:color w:val="auto"/>
          <w:sz w:val="22"/>
          <w:szCs w:val="22"/>
        </w:rPr>
        <w:t>2</w:t>
      </w:r>
      <w:r w:rsidR="007A7ADA">
        <w:rPr>
          <w:rFonts w:asciiTheme="minorHAnsi" w:hAnsiTheme="minorHAnsi"/>
          <w:color w:val="auto"/>
          <w:sz w:val="22"/>
          <w:szCs w:val="22"/>
        </w:rPr>
        <w:t>2</w:t>
      </w:r>
      <w:r w:rsidRPr="007F07C2">
        <w:rPr>
          <w:rFonts w:asciiTheme="minorHAnsi" w:hAnsiTheme="minorHAnsi"/>
          <w:color w:val="auto"/>
          <w:sz w:val="22"/>
          <w:szCs w:val="22"/>
        </w:rPr>
        <w:t xml:space="preserve">. </w:t>
      </w:r>
    </w:p>
    <w:p w14:paraId="76D3F144" w14:textId="77777777" w:rsidR="0017732C" w:rsidRPr="007F07C2" w:rsidRDefault="0017732C" w:rsidP="0079406E">
      <w:pPr>
        <w:pStyle w:val="Default"/>
        <w:rPr>
          <w:rFonts w:asciiTheme="minorHAnsi" w:hAnsiTheme="minorHAnsi"/>
          <w:color w:val="auto"/>
          <w:sz w:val="22"/>
          <w:szCs w:val="22"/>
        </w:rPr>
      </w:pPr>
    </w:p>
    <w:p w14:paraId="3BDBB451" w14:textId="57D7BF60" w:rsidR="00F76F7F" w:rsidRPr="007F07C2" w:rsidRDefault="00B74525" w:rsidP="0079406E">
      <w:pPr>
        <w:pStyle w:val="Default"/>
        <w:rPr>
          <w:rFonts w:asciiTheme="minorHAnsi" w:hAnsiTheme="minorHAnsi"/>
          <w:color w:val="auto"/>
          <w:sz w:val="22"/>
          <w:szCs w:val="22"/>
        </w:rPr>
      </w:pPr>
      <w:r>
        <w:rPr>
          <w:noProof/>
        </w:rPr>
        <w:drawing>
          <wp:inline distT="0" distB="0" distL="0" distR="0" wp14:anchorId="0AD59E85" wp14:editId="36E37F10">
            <wp:extent cx="1787525" cy="566917"/>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7605" cy="570114"/>
                    </a:xfrm>
                    <a:prstGeom prst="rect">
                      <a:avLst/>
                    </a:prstGeom>
                  </pic:spPr>
                </pic:pic>
              </a:graphicData>
            </a:graphic>
          </wp:inline>
        </w:drawing>
      </w:r>
    </w:p>
    <w:p w14:paraId="52FD5BE9" w14:textId="77777777" w:rsidR="0017732C"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Helen King</w:t>
      </w:r>
    </w:p>
    <w:p w14:paraId="5CBBE371" w14:textId="77777777" w:rsidR="00EC517F"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Chief Finance Officer</w:t>
      </w:r>
      <w:r w:rsidR="003219E1" w:rsidRPr="007F07C2">
        <w:rPr>
          <w:rFonts w:asciiTheme="minorHAnsi" w:hAnsiTheme="minorHAnsi"/>
          <w:b/>
          <w:color w:val="auto"/>
          <w:sz w:val="22"/>
          <w:szCs w:val="22"/>
        </w:rPr>
        <w:t xml:space="preserve"> and S151 Officer</w:t>
      </w:r>
      <w:r w:rsidR="00EC517F" w:rsidRPr="007F07C2">
        <w:rPr>
          <w:rFonts w:asciiTheme="minorHAnsi" w:hAnsiTheme="minorHAnsi"/>
          <w:b/>
          <w:color w:val="auto"/>
          <w:sz w:val="22"/>
          <w:szCs w:val="22"/>
        </w:rPr>
        <w:t>, Northamptonshire Commissioner Fire and Rescue Authority</w:t>
      </w:r>
    </w:p>
    <w:p w14:paraId="2AFC1750" w14:textId="77777777" w:rsidR="00EA06C9" w:rsidRDefault="00EA06C9" w:rsidP="00C31654">
      <w:pPr>
        <w:pStyle w:val="Default"/>
        <w:rPr>
          <w:rFonts w:asciiTheme="minorHAnsi" w:hAnsiTheme="minorHAnsi"/>
          <w:b/>
          <w:color w:val="auto"/>
          <w:sz w:val="22"/>
          <w:szCs w:val="22"/>
        </w:rPr>
      </w:pPr>
    </w:p>
    <w:p w14:paraId="2F11522C" w14:textId="79EC7EB3" w:rsidR="00C31654" w:rsidRPr="007F07C2" w:rsidRDefault="007D49AB" w:rsidP="00C31654">
      <w:pPr>
        <w:pStyle w:val="Default"/>
        <w:rPr>
          <w:rFonts w:asciiTheme="minorHAnsi" w:hAnsiTheme="minorHAnsi"/>
          <w:b/>
          <w:color w:val="auto"/>
          <w:sz w:val="22"/>
          <w:szCs w:val="22"/>
        </w:rPr>
      </w:pPr>
      <w:r w:rsidRPr="007F07C2">
        <w:rPr>
          <w:rFonts w:asciiTheme="minorHAnsi" w:hAnsiTheme="minorHAnsi"/>
          <w:b/>
          <w:color w:val="auto"/>
          <w:sz w:val="22"/>
          <w:szCs w:val="22"/>
        </w:rPr>
        <w:t>Date:</w:t>
      </w:r>
      <w:r w:rsidR="00317B85" w:rsidRPr="007F07C2">
        <w:rPr>
          <w:rFonts w:asciiTheme="minorHAnsi" w:hAnsiTheme="minorHAnsi"/>
          <w:b/>
          <w:color w:val="auto"/>
          <w:sz w:val="22"/>
          <w:szCs w:val="22"/>
        </w:rPr>
        <w:t xml:space="preserve"> </w:t>
      </w:r>
      <w:r w:rsidR="00770360">
        <w:rPr>
          <w:rFonts w:asciiTheme="minorHAnsi" w:hAnsiTheme="minorHAnsi"/>
          <w:b/>
          <w:color w:val="auto"/>
          <w:sz w:val="22"/>
          <w:szCs w:val="22"/>
        </w:rPr>
        <w:t>1</w:t>
      </w:r>
      <w:r w:rsidR="00770360" w:rsidRPr="00770360">
        <w:rPr>
          <w:rFonts w:asciiTheme="minorHAnsi" w:hAnsiTheme="minorHAnsi"/>
          <w:b/>
          <w:color w:val="auto"/>
          <w:sz w:val="22"/>
          <w:szCs w:val="22"/>
          <w:vertAlign w:val="superscript"/>
        </w:rPr>
        <w:t>st</w:t>
      </w:r>
      <w:r w:rsidR="00770360">
        <w:rPr>
          <w:rFonts w:asciiTheme="minorHAnsi" w:hAnsiTheme="minorHAnsi"/>
          <w:b/>
          <w:color w:val="auto"/>
          <w:sz w:val="22"/>
          <w:szCs w:val="22"/>
        </w:rPr>
        <w:t xml:space="preserve"> June 2023</w:t>
      </w:r>
    </w:p>
    <w:p w14:paraId="468A3FF2" w14:textId="77777777" w:rsidR="007D49AB" w:rsidRPr="007F07C2" w:rsidRDefault="007D49AB" w:rsidP="007D49AB">
      <w:pPr>
        <w:pStyle w:val="Default"/>
        <w:rPr>
          <w:rFonts w:asciiTheme="minorHAnsi" w:hAnsiTheme="minorHAnsi"/>
          <w:b/>
          <w:color w:val="auto"/>
          <w:sz w:val="22"/>
          <w:szCs w:val="22"/>
        </w:rPr>
      </w:pPr>
    </w:p>
    <w:p w14:paraId="40C3F836" w14:textId="77777777" w:rsidR="00B16825" w:rsidRPr="007F07C2" w:rsidRDefault="00B16825" w:rsidP="0079406E">
      <w:pPr>
        <w:pStyle w:val="Default"/>
        <w:rPr>
          <w:rFonts w:asciiTheme="minorHAnsi" w:hAnsiTheme="minorHAnsi"/>
          <w:b/>
          <w:bCs/>
          <w:color w:val="auto"/>
          <w:sz w:val="28"/>
          <w:szCs w:val="28"/>
        </w:rPr>
      </w:pPr>
    </w:p>
    <w:p w14:paraId="7EC510DB" w14:textId="77777777" w:rsidR="00B74525" w:rsidRDefault="00B74525" w:rsidP="001D18EA">
      <w:pPr>
        <w:rPr>
          <w:b/>
          <w:bCs/>
          <w:sz w:val="28"/>
          <w:szCs w:val="28"/>
        </w:rPr>
      </w:pPr>
    </w:p>
    <w:p w14:paraId="6DAF5040" w14:textId="508E50F8" w:rsidR="00A10517" w:rsidRPr="007F07C2" w:rsidRDefault="00103626" w:rsidP="001D18EA">
      <w:pPr>
        <w:rPr>
          <w:rFonts w:cs="Arial"/>
          <w:sz w:val="24"/>
          <w:szCs w:val="24"/>
        </w:rPr>
      </w:pPr>
      <w:r w:rsidRPr="007F07C2">
        <w:rPr>
          <w:b/>
          <w:bCs/>
          <w:sz w:val="28"/>
          <w:szCs w:val="28"/>
        </w:rPr>
        <w:lastRenderedPageBreak/>
        <w:t xml:space="preserve">STATEMENT OF ACCOUNTING POLICIES </w:t>
      </w:r>
    </w:p>
    <w:p w14:paraId="0A02986D"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1. Accounting Policies </w:t>
      </w:r>
    </w:p>
    <w:p w14:paraId="209E396F" w14:textId="77777777" w:rsidR="00940834" w:rsidRPr="007F07C2" w:rsidRDefault="00940834" w:rsidP="00940834">
      <w:pPr>
        <w:pStyle w:val="Default"/>
        <w:rPr>
          <w:rFonts w:asciiTheme="minorHAnsi" w:hAnsiTheme="minorHAnsi"/>
          <w:color w:val="auto"/>
          <w:sz w:val="22"/>
          <w:szCs w:val="20"/>
        </w:rPr>
      </w:pPr>
    </w:p>
    <w:p w14:paraId="710E14C3" w14:textId="4C1EE20F"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The Financial Statements must meet the accounting requirements of the CIPFA Code of Practice on Local Authority Accounting which has been agreed with HM Treasury. Consequently, the following financial statements have been prepared in accordance with the CIPFA Code of Practice on Local Authority Accounting 20</w:t>
      </w:r>
      <w:r w:rsidR="00462AF1" w:rsidRPr="007F07C2">
        <w:rPr>
          <w:rFonts w:asciiTheme="minorHAnsi" w:hAnsiTheme="minorHAnsi"/>
          <w:color w:val="auto"/>
          <w:sz w:val="22"/>
          <w:szCs w:val="20"/>
        </w:rPr>
        <w:t>2</w:t>
      </w:r>
      <w:r w:rsidR="009508D4">
        <w:rPr>
          <w:rFonts w:asciiTheme="minorHAnsi" w:hAnsiTheme="minorHAnsi"/>
          <w:color w:val="auto"/>
          <w:sz w:val="22"/>
          <w:szCs w:val="20"/>
        </w:rPr>
        <w:t>1</w:t>
      </w:r>
      <w:r w:rsidRPr="007F07C2">
        <w:rPr>
          <w:rFonts w:asciiTheme="minorHAnsi" w:hAnsiTheme="minorHAnsi"/>
          <w:color w:val="auto"/>
          <w:sz w:val="22"/>
          <w:szCs w:val="20"/>
        </w:rPr>
        <w:t>/</w:t>
      </w:r>
      <w:r w:rsidR="000E0E5A" w:rsidRPr="007F07C2">
        <w:rPr>
          <w:rFonts w:asciiTheme="minorHAnsi" w:hAnsiTheme="minorHAnsi"/>
          <w:color w:val="auto"/>
          <w:sz w:val="22"/>
          <w:szCs w:val="20"/>
        </w:rPr>
        <w:t>2</w:t>
      </w:r>
      <w:r w:rsidR="009508D4">
        <w:rPr>
          <w:rFonts w:asciiTheme="minorHAnsi" w:hAnsiTheme="minorHAnsi"/>
          <w:color w:val="auto"/>
          <w:sz w:val="22"/>
          <w:szCs w:val="20"/>
        </w:rPr>
        <w:t>2</w:t>
      </w:r>
      <w:r w:rsidRPr="007F07C2">
        <w:rPr>
          <w:rFonts w:asciiTheme="minorHAnsi" w:hAnsiTheme="minorHAnsi"/>
          <w:color w:val="auto"/>
          <w:sz w:val="22"/>
          <w:szCs w:val="20"/>
        </w:rPr>
        <w:t xml:space="preserve">. The accounting policies contained in the CIPFA Code of Practice follow International Financial Reporting Standards to the extent that they are meaningful and appropriate to Local Authority Accounts, as determined by HM Treasury, who are advised by the Financial Reporting Advisory Board.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The particular policies adopted by the Authority are described below and they have been applied consistently in dealing with items considered material in relation to the Accounts. </w:t>
      </w:r>
    </w:p>
    <w:p w14:paraId="443F7AF2" w14:textId="77777777" w:rsidR="00940834" w:rsidRPr="007F07C2" w:rsidRDefault="00940834" w:rsidP="00940834">
      <w:pPr>
        <w:pStyle w:val="Default"/>
        <w:rPr>
          <w:rFonts w:asciiTheme="minorHAnsi" w:hAnsiTheme="minorHAnsi"/>
          <w:color w:val="auto"/>
          <w:sz w:val="22"/>
          <w:szCs w:val="20"/>
        </w:rPr>
      </w:pPr>
    </w:p>
    <w:p w14:paraId="525C645D"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Accounting Convention </w:t>
      </w:r>
    </w:p>
    <w:p w14:paraId="3D832471"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6B19E907" w14:textId="77777777" w:rsidR="00940834" w:rsidRPr="007F07C2" w:rsidRDefault="00940834" w:rsidP="00940834">
      <w:pPr>
        <w:pStyle w:val="Default"/>
        <w:rPr>
          <w:rFonts w:asciiTheme="minorHAnsi" w:hAnsiTheme="minorHAnsi"/>
          <w:color w:val="auto"/>
          <w:sz w:val="22"/>
          <w:szCs w:val="20"/>
        </w:rPr>
      </w:pPr>
    </w:p>
    <w:p w14:paraId="5C0D938C"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Acquisitions and Discontinued Operations</w:t>
      </w:r>
      <w:r w:rsidRPr="007F07C2">
        <w:rPr>
          <w:rFonts w:asciiTheme="minorHAnsi" w:hAnsiTheme="minorHAnsi"/>
          <w:b/>
          <w:bCs/>
          <w:color w:val="FF0000"/>
          <w:sz w:val="22"/>
          <w:szCs w:val="20"/>
        </w:rPr>
        <w:t xml:space="preserve"> </w:t>
      </w:r>
    </w:p>
    <w:p w14:paraId="0FE2522E"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Activities are considered to be ‘acquired’ only if they are taken on from outside the public sector. Activities are considered to be ‘discontinued’ only if they cease entirely. They are not considered to be ‘discontinued’ if they transfer from one public sector body to another. The Authority has not acquired or discontinued any operations during the reporting period. </w:t>
      </w:r>
    </w:p>
    <w:p w14:paraId="78776CE6" w14:textId="77777777" w:rsidR="00940834" w:rsidRPr="007F07C2" w:rsidRDefault="00940834" w:rsidP="00940834">
      <w:pPr>
        <w:pStyle w:val="Default"/>
        <w:rPr>
          <w:rFonts w:asciiTheme="minorHAnsi" w:hAnsiTheme="minorHAnsi"/>
          <w:color w:val="auto"/>
          <w:sz w:val="22"/>
          <w:szCs w:val="20"/>
        </w:rPr>
      </w:pPr>
    </w:p>
    <w:p w14:paraId="694385F6" w14:textId="77777777" w:rsidR="000A78FC" w:rsidRPr="007F07C2" w:rsidRDefault="000A78FC" w:rsidP="000A78FC">
      <w:pPr>
        <w:pStyle w:val="Default"/>
        <w:rPr>
          <w:rFonts w:asciiTheme="minorHAnsi" w:hAnsiTheme="minorHAnsi"/>
          <w:b/>
          <w:bCs/>
          <w:color w:val="auto"/>
          <w:sz w:val="22"/>
          <w:szCs w:val="20"/>
        </w:rPr>
      </w:pPr>
      <w:r w:rsidRPr="007F07C2">
        <w:rPr>
          <w:rFonts w:asciiTheme="minorHAnsi" w:hAnsiTheme="minorHAnsi"/>
          <w:b/>
          <w:bCs/>
          <w:color w:val="auto"/>
          <w:sz w:val="22"/>
          <w:szCs w:val="20"/>
        </w:rPr>
        <w:t xml:space="preserve">Going Concern </w:t>
      </w:r>
    </w:p>
    <w:p w14:paraId="5E771817"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These accounts have been prepared on a going concern basis.</w:t>
      </w:r>
    </w:p>
    <w:p w14:paraId="19E40F83" w14:textId="77777777" w:rsidR="000A78FC" w:rsidRPr="007F07C2" w:rsidRDefault="000A78FC" w:rsidP="000A78FC">
      <w:pPr>
        <w:pStyle w:val="Default"/>
        <w:rPr>
          <w:rFonts w:asciiTheme="minorHAnsi" w:hAnsiTheme="minorHAnsi"/>
          <w:color w:val="auto"/>
          <w:sz w:val="22"/>
          <w:szCs w:val="20"/>
        </w:rPr>
      </w:pPr>
    </w:p>
    <w:p w14:paraId="5D33D04E" w14:textId="380DEB2A"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 concept of a going concern assumes that the functions of the Northamptonshire Commissioner Fire and Rescue Authority will continue in operational existence for the foreseeable future. The provisions in the Code (Code of Practice on Local Authority Accounting in the United Kingdom 202</w:t>
      </w:r>
      <w:r w:rsidR="000C452E">
        <w:rPr>
          <w:rFonts w:asciiTheme="minorHAnsi" w:hAnsiTheme="minorHAnsi"/>
          <w:color w:val="auto"/>
          <w:sz w:val="22"/>
          <w:szCs w:val="20"/>
        </w:rPr>
        <w:t>1</w:t>
      </w:r>
      <w:r w:rsidRPr="007F07C2">
        <w:rPr>
          <w:rFonts w:asciiTheme="minorHAnsi" w:hAnsiTheme="minorHAnsi"/>
          <w:color w:val="auto"/>
          <w:sz w:val="22"/>
          <w:szCs w:val="20"/>
        </w:rPr>
        <w:t>/2</w:t>
      </w:r>
      <w:r w:rsidR="000C452E">
        <w:rPr>
          <w:rFonts w:asciiTheme="minorHAnsi" w:hAnsiTheme="minorHAnsi"/>
          <w:color w:val="auto"/>
          <w:sz w:val="22"/>
          <w:szCs w:val="20"/>
        </w:rPr>
        <w:t>2</w:t>
      </w:r>
      <w:r w:rsidRPr="007F07C2">
        <w:rPr>
          <w:rFonts w:asciiTheme="minorHAnsi" w:hAnsiTheme="minorHAnsi"/>
          <w:color w:val="auto"/>
          <w:sz w:val="22"/>
          <w:szCs w:val="20"/>
        </w:rPr>
        <w:t xml:space="preserve">) in respect of going concern reporting requirements reflect the economic and statutory environment in which fire and rescue services operate. </w:t>
      </w:r>
    </w:p>
    <w:p w14:paraId="27CB37A0"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3A21AF32"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These provisions confirm that, as fire and rescue services cannot be created or dissolved without statutory prescription, they must prepare their financial statements on a going concern basis of accounting.</w:t>
      </w:r>
    </w:p>
    <w:p w14:paraId="394AE23D"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08D6062C" w14:textId="77777777" w:rsidR="000A78FC" w:rsidRPr="00026A06"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Fire and Rescue services carry out functions essential to the local community and are themselves revenue-raising bodies (</w:t>
      </w:r>
      <w:r w:rsidRPr="000B7152">
        <w:rPr>
          <w:rFonts w:asciiTheme="minorHAnsi" w:hAnsiTheme="minorHAnsi"/>
          <w:color w:val="auto"/>
          <w:sz w:val="22"/>
          <w:szCs w:val="20"/>
        </w:rPr>
        <w:t>with limits on their revenue-raising powers arising only at the discretion of central government). If a fire and rescue authority were in financial difficulty, the prospects are thus that a</w:t>
      </w:r>
      <w:r w:rsidRPr="00026A06">
        <w:rPr>
          <w:rFonts w:asciiTheme="minorHAnsi" w:hAnsiTheme="minorHAnsi"/>
          <w:color w:val="auto"/>
          <w:sz w:val="22"/>
          <w:szCs w:val="20"/>
        </w:rPr>
        <w:t>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a fire and rescue authority and service will continue to operate for the foreseeable future.</w:t>
      </w:r>
    </w:p>
    <w:p w14:paraId="6CBF789E" w14:textId="77777777" w:rsidR="00DA4B85" w:rsidRDefault="00DA4B85" w:rsidP="000A78FC">
      <w:pPr>
        <w:pStyle w:val="Default"/>
        <w:rPr>
          <w:rFonts w:asciiTheme="minorHAnsi" w:hAnsiTheme="minorHAnsi" w:cstheme="minorBidi"/>
          <w:color w:val="auto"/>
          <w:sz w:val="22"/>
          <w:szCs w:val="22"/>
        </w:rPr>
      </w:pPr>
    </w:p>
    <w:p w14:paraId="461DF959" w14:textId="43B8D37B" w:rsidR="000A78FC" w:rsidRPr="00026A06"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NCFRA received additional Council Tax and Business Rate support funding which has helped to mitigate the financial impact of COVID on the Authority</w:t>
      </w:r>
      <w:r w:rsidR="00DA4B85">
        <w:rPr>
          <w:rFonts w:asciiTheme="minorHAnsi" w:hAnsiTheme="minorHAnsi" w:cstheme="minorBidi"/>
          <w:color w:val="auto"/>
          <w:sz w:val="22"/>
          <w:szCs w:val="22"/>
        </w:rPr>
        <w:t xml:space="preserve"> in 2021/22 and in future years through the award of Section 31 grant which has subsequently been accounted for as an earmarked reserves</w:t>
      </w:r>
    </w:p>
    <w:p w14:paraId="06F39B5C" w14:textId="77777777" w:rsidR="000A78FC" w:rsidRPr="00026A06"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 xml:space="preserve"> </w:t>
      </w:r>
    </w:p>
    <w:p w14:paraId="4A9BCB99" w14:textId="60D64842" w:rsidR="000A78FC" w:rsidRPr="000B7152" w:rsidRDefault="000A78FC" w:rsidP="000A78FC">
      <w:pPr>
        <w:pStyle w:val="Default"/>
        <w:rPr>
          <w:rFonts w:asciiTheme="minorHAnsi" w:hAnsiTheme="minorHAnsi" w:cstheme="minorBidi"/>
          <w:color w:val="auto"/>
          <w:sz w:val="22"/>
          <w:szCs w:val="22"/>
        </w:rPr>
      </w:pPr>
      <w:r w:rsidRPr="00026A06">
        <w:rPr>
          <w:rFonts w:asciiTheme="minorHAnsi" w:hAnsiTheme="minorHAnsi" w:cstheme="minorBidi"/>
          <w:color w:val="auto"/>
          <w:sz w:val="22"/>
          <w:szCs w:val="22"/>
        </w:rPr>
        <w:t>Whilst it is envisaged the grant will be fully utilised by the end of 202</w:t>
      </w:r>
      <w:r w:rsidR="00DA4B85">
        <w:rPr>
          <w:rFonts w:asciiTheme="minorHAnsi" w:hAnsiTheme="minorHAnsi" w:cstheme="minorBidi"/>
          <w:color w:val="auto"/>
          <w:sz w:val="22"/>
          <w:szCs w:val="22"/>
        </w:rPr>
        <w:t>2</w:t>
      </w:r>
      <w:r w:rsidRPr="00026A06">
        <w:rPr>
          <w:rFonts w:asciiTheme="minorHAnsi" w:hAnsiTheme="minorHAnsi" w:cstheme="minorBidi"/>
          <w:color w:val="auto"/>
          <w:sz w:val="22"/>
          <w:szCs w:val="22"/>
        </w:rPr>
        <w:t>/2</w:t>
      </w:r>
      <w:r w:rsidR="00DA4B85">
        <w:rPr>
          <w:rFonts w:asciiTheme="minorHAnsi" w:hAnsiTheme="minorHAnsi" w:cstheme="minorBidi"/>
          <w:color w:val="auto"/>
          <w:sz w:val="22"/>
          <w:szCs w:val="22"/>
        </w:rPr>
        <w:t>3</w:t>
      </w:r>
      <w:r w:rsidRPr="00026A06">
        <w:rPr>
          <w:rFonts w:asciiTheme="minorHAnsi" w:hAnsiTheme="minorHAnsi" w:cstheme="minorBidi"/>
          <w:color w:val="auto"/>
          <w:sz w:val="22"/>
          <w:szCs w:val="22"/>
        </w:rPr>
        <w:t>, the Authority does not currently envisage a financial viability concern arising from the Covid-19 pandemic in this period.</w:t>
      </w:r>
    </w:p>
    <w:p w14:paraId="55DE88BE" w14:textId="77777777" w:rsidR="000A78FC" w:rsidRPr="00026A06" w:rsidRDefault="000A78FC" w:rsidP="000A78FC">
      <w:pPr>
        <w:pStyle w:val="Default"/>
        <w:rPr>
          <w:rFonts w:asciiTheme="minorHAnsi" w:hAnsiTheme="minorHAnsi"/>
          <w:color w:val="auto"/>
          <w:sz w:val="22"/>
          <w:szCs w:val="20"/>
        </w:rPr>
      </w:pPr>
    </w:p>
    <w:p w14:paraId="5530CAE5" w14:textId="740E60B2" w:rsidR="000A78FC" w:rsidRDefault="000A78FC" w:rsidP="000A78FC">
      <w:pPr>
        <w:pStyle w:val="Default"/>
        <w:rPr>
          <w:rFonts w:asciiTheme="minorHAnsi" w:hAnsiTheme="minorHAnsi"/>
          <w:color w:val="auto"/>
          <w:sz w:val="22"/>
          <w:szCs w:val="20"/>
        </w:rPr>
      </w:pPr>
      <w:r w:rsidRPr="00026A06">
        <w:rPr>
          <w:rFonts w:asciiTheme="minorHAnsi" w:hAnsiTheme="minorHAnsi"/>
          <w:color w:val="auto"/>
          <w:sz w:val="22"/>
          <w:szCs w:val="20"/>
        </w:rPr>
        <w:t xml:space="preserve">Following the </w:t>
      </w:r>
      <w:r w:rsidR="00DA4B85">
        <w:rPr>
          <w:rFonts w:asciiTheme="minorHAnsi" w:hAnsiTheme="minorHAnsi"/>
          <w:color w:val="auto"/>
          <w:sz w:val="22"/>
          <w:szCs w:val="20"/>
        </w:rPr>
        <w:t xml:space="preserve">support from the </w:t>
      </w:r>
      <w:r w:rsidRPr="00026A06">
        <w:rPr>
          <w:rFonts w:asciiTheme="minorHAnsi" w:hAnsiTheme="minorHAnsi"/>
          <w:color w:val="auto"/>
          <w:sz w:val="22"/>
          <w:szCs w:val="20"/>
        </w:rPr>
        <w:t xml:space="preserve">Home Office </w:t>
      </w:r>
      <w:r w:rsidR="00DA4B85">
        <w:rPr>
          <w:rFonts w:asciiTheme="minorHAnsi" w:hAnsiTheme="minorHAnsi"/>
          <w:color w:val="auto"/>
          <w:sz w:val="22"/>
          <w:szCs w:val="20"/>
        </w:rPr>
        <w:t>in previous years</w:t>
      </w:r>
      <w:r w:rsidRPr="00026A06">
        <w:rPr>
          <w:rFonts w:asciiTheme="minorHAnsi" w:hAnsiTheme="minorHAnsi"/>
          <w:color w:val="auto"/>
          <w:sz w:val="22"/>
          <w:szCs w:val="20"/>
        </w:rPr>
        <w:t xml:space="preserve"> and active lobbying, the </w:t>
      </w:r>
      <w:r w:rsidR="00DA4B85">
        <w:rPr>
          <w:rFonts w:asciiTheme="minorHAnsi" w:hAnsiTheme="minorHAnsi"/>
          <w:color w:val="auto"/>
          <w:sz w:val="22"/>
          <w:szCs w:val="20"/>
        </w:rPr>
        <w:t>Home Office awarded a one-off grant of £500k in 21/22 to fund replacement capital spend.</w:t>
      </w:r>
    </w:p>
    <w:p w14:paraId="1DCBF1FF" w14:textId="179EF2B5" w:rsidR="000A78FC" w:rsidRPr="00026A06" w:rsidRDefault="000A78FC" w:rsidP="000A78FC">
      <w:pPr>
        <w:pStyle w:val="Default"/>
        <w:rPr>
          <w:rFonts w:asciiTheme="minorHAnsi" w:hAnsiTheme="minorHAnsi"/>
          <w:color w:val="auto"/>
          <w:sz w:val="22"/>
          <w:szCs w:val="20"/>
        </w:rPr>
      </w:pPr>
    </w:p>
    <w:p w14:paraId="340F954F" w14:textId="77777777" w:rsidR="000A78FC" w:rsidRPr="007F07C2" w:rsidRDefault="000A78FC" w:rsidP="000A78FC">
      <w:pPr>
        <w:pStyle w:val="Default"/>
        <w:rPr>
          <w:rFonts w:asciiTheme="minorHAnsi" w:hAnsiTheme="minorHAnsi"/>
          <w:color w:val="auto"/>
          <w:sz w:val="22"/>
          <w:szCs w:val="20"/>
        </w:rPr>
      </w:pPr>
      <w:r w:rsidRPr="00026A06">
        <w:rPr>
          <w:rFonts w:asciiTheme="minorHAnsi" w:hAnsiTheme="minorHAnsi"/>
          <w:color w:val="auto"/>
          <w:sz w:val="22"/>
          <w:szCs w:val="20"/>
        </w:rPr>
        <w:lastRenderedPageBreak/>
        <w:t>NCFRA have undertaken cashflow modelling which demonstrates the Authority’s ability to work within its Capital Financing Requirement and has a realistic headroom on a £27m</w:t>
      </w:r>
      <w:r w:rsidRPr="000B7152">
        <w:rPr>
          <w:rFonts w:asciiTheme="minorHAnsi" w:hAnsiTheme="minorHAnsi"/>
          <w:color w:val="auto"/>
          <w:sz w:val="22"/>
          <w:szCs w:val="20"/>
        </w:rPr>
        <w:t xml:space="preserve"> annual</w:t>
      </w:r>
      <w:r w:rsidRPr="007F07C2">
        <w:rPr>
          <w:rFonts w:asciiTheme="minorHAnsi" w:hAnsiTheme="minorHAnsi"/>
          <w:color w:val="auto"/>
          <w:sz w:val="22"/>
          <w:szCs w:val="20"/>
        </w:rPr>
        <w:t xml:space="preserve"> budget, together with sufficient scope for borrowing if required.</w:t>
      </w:r>
    </w:p>
    <w:p w14:paraId="54DFD116"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29652D95"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At the time of the approval of the accounts, the Authority has only one long term borrowing which is well below the Authority’s operational boundary and authorised limit</w:t>
      </w:r>
      <w:r>
        <w:rPr>
          <w:rFonts w:asciiTheme="minorHAnsi" w:hAnsiTheme="minorHAnsi"/>
          <w:color w:val="auto"/>
          <w:sz w:val="22"/>
          <w:szCs w:val="20"/>
        </w:rPr>
        <w:t xml:space="preserve">. The </w:t>
      </w:r>
      <w:r w:rsidRPr="007F07C2">
        <w:rPr>
          <w:rFonts w:asciiTheme="minorHAnsi" w:hAnsiTheme="minorHAnsi"/>
          <w:color w:val="auto"/>
          <w:sz w:val="22"/>
          <w:szCs w:val="20"/>
        </w:rPr>
        <w:t>costs are included within the MTFP.</w:t>
      </w:r>
    </w:p>
    <w:p w14:paraId="299278E2"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 xml:space="preserve"> </w:t>
      </w:r>
    </w:p>
    <w:p w14:paraId="73344213" w14:textId="77777777" w:rsidR="000A78FC" w:rsidRPr="007F07C2" w:rsidRDefault="000A78FC" w:rsidP="000A78FC">
      <w:pPr>
        <w:pStyle w:val="Default"/>
        <w:rPr>
          <w:rFonts w:asciiTheme="minorHAnsi" w:hAnsiTheme="minorHAnsi"/>
          <w:color w:val="auto"/>
          <w:sz w:val="22"/>
          <w:szCs w:val="20"/>
        </w:rPr>
      </w:pPr>
      <w:r w:rsidRPr="007F07C2">
        <w:rPr>
          <w:rFonts w:asciiTheme="minorHAnsi" w:hAnsiTheme="minorHAnsi"/>
          <w:color w:val="auto"/>
          <w:sz w:val="22"/>
          <w:szCs w:val="20"/>
        </w:rPr>
        <w:t>NCFRA therefore concludes that it is appropriate to prepare the financial statements on a going concern basis and that NCFRA will continue to be a going concern, 12 months from the date of the approval of these accounts.</w:t>
      </w:r>
    </w:p>
    <w:p w14:paraId="561CE0B2" w14:textId="77777777" w:rsidR="00535035" w:rsidRPr="007F07C2" w:rsidRDefault="00535035" w:rsidP="00940834">
      <w:pPr>
        <w:pStyle w:val="Default"/>
        <w:rPr>
          <w:rFonts w:asciiTheme="minorHAnsi" w:hAnsiTheme="minorHAnsi"/>
          <w:color w:val="auto"/>
          <w:sz w:val="22"/>
          <w:szCs w:val="20"/>
        </w:rPr>
      </w:pPr>
    </w:p>
    <w:p w14:paraId="2CE4EEF9"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b/>
          <w:bCs/>
          <w:color w:val="auto"/>
          <w:sz w:val="22"/>
          <w:szCs w:val="20"/>
        </w:rPr>
        <w:t xml:space="preserve">Accruals of Income and Expenditure </w:t>
      </w:r>
    </w:p>
    <w:p w14:paraId="65B085EB"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Activity is accounted for in the year that it takes place, not simply when cash payments are made or received. In particular:</w:t>
      </w:r>
    </w:p>
    <w:p w14:paraId="400E82CE" w14:textId="77777777" w:rsidR="00940834" w:rsidRPr="007F07C2" w:rsidRDefault="00940834" w:rsidP="00940834">
      <w:pPr>
        <w:pStyle w:val="Default"/>
        <w:rPr>
          <w:rFonts w:asciiTheme="minorHAnsi" w:hAnsiTheme="minorHAnsi"/>
          <w:color w:val="auto"/>
          <w:sz w:val="22"/>
          <w:szCs w:val="20"/>
        </w:rPr>
      </w:pPr>
    </w:p>
    <w:p w14:paraId="07BCEB09"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Supplies are recorded as expenditure when they are consumed. Where there is a gap between the date supplies are received and their consumption, they are carried as inventories on the Balance Sheet.</w:t>
      </w:r>
    </w:p>
    <w:p w14:paraId="759175B5" w14:textId="77777777" w:rsidR="00940834" w:rsidRPr="007F07C2" w:rsidRDefault="00940834" w:rsidP="00940834">
      <w:pPr>
        <w:pStyle w:val="Default"/>
        <w:rPr>
          <w:rFonts w:asciiTheme="minorHAnsi" w:hAnsiTheme="minorHAnsi"/>
          <w:color w:val="auto"/>
          <w:sz w:val="22"/>
          <w:szCs w:val="20"/>
        </w:rPr>
      </w:pPr>
    </w:p>
    <w:p w14:paraId="685D9EDB"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Expenses in relation to services received (including services provided by employees) are recorded as expenditure when the services are received rather than when payments are made.</w:t>
      </w:r>
    </w:p>
    <w:p w14:paraId="6AA42C5F" w14:textId="77777777" w:rsidR="00940834" w:rsidRPr="007F07C2" w:rsidRDefault="00940834" w:rsidP="00940834">
      <w:pPr>
        <w:pStyle w:val="Default"/>
        <w:rPr>
          <w:rFonts w:asciiTheme="minorHAnsi" w:hAnsiTheme="minorHAnsi"/>
          <w:color w:val="auto"/>
          <w:sz w:val="22"/>
          <w:szCs w:val="20"/>
        </w:rPr>
      </w:pPr>
    </w:p>
    <w:p w14:paraId="3747192C"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Fees, charges and rents due are accounted for as income at the date the Authority provides the relevant goods or services.</w:t>
      </w:r>
    </w:p>
    <w:p w14:paraId="3D9D6C99" w14:textId="77777777" w:rsidR="00940834" w:rsidRPr="007F07C2" w:rsidRDefault="00940834" w:rsidP="00940834">
      <w:pPr>
        <w:pStyle w:val="Default"/>
        <w:rPr>
          <w:rFonts w:asciiTheme="minorHAnsi" w:hAnsiTheme="minorHAnsi"/>
          <w:color w:val="auto"/>
          <w:sz w:val="28"/>
        </w:rPr>
      </w:pPr>
    </w:p>
    <w:p w14:paraId="5B5C0B96"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Interest payable on borrowings and receivable on investments is accounted for as expenditure or income respectively on the basis of the effective interest rate for the relevant financial instrument rather than the cash flows fixed or determined by the contract.</w:t>
      </w:r>
    </w:p>
    <w:p w14:paraId="753569CF" w14:textId="77777777" w:rsidR="00940834" w:rsidRPr="007F07C2" w:rsidRDefault="00940834" w:rsidP="00940834">
      <w:pPr>
        <w:pStyle w:val="Default"/>
        <w:rPr>
          <w:rFonts w:asciiTheme="minorHAnsi" w:hAnsiTheme="minorHAnsi"/>
          <w:color w:val="auto"/>
          <w:sz w:val="22"/>
          <w:szCs w:val="20"/>
        </w:rPr>
      </w:pPr>
    </w:p>
    <w:p w14:paraId="1D290EC1"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Where income and expenditure has been recognised but cash has not yet been received or paid, a debtor or creditor for the relevant amount is recorded in the Balance Sheet. Where it is doubtful that debts will be settled, the balance of debtors is written down and a charge made to revenue for the income that might not be collected.</w:t>
      </w:r>
    </w:p>
    <w:p w14:paraId="4B27D2F6" w14:textId="77777777" w:rsidR="0020166C" w:rsidRPr="007F07C2" w:rsidRDefault="0020166C" w:rsidP="00940834">
      <w:pPr>
        <w:pStyle w:val="Default"/>
        <w:rPr>
          <w:rFonts w:asciiTheme="minorHAnsi" w:hAnsiTheme="minorHAnsi"/>
          <w:color w:val="auto"/>
          <w:sz w:val="22"/>
          <w:szCs w:val="20"/>
        </w:rPr>
      </w:pPr>
    </w:p>
    <w:p w14:paraId="738DC092" w14:textId="77777777" w:rsidR="00940834" w:rsidRPr="00E75785" w:rsidRDefault="00940834" w:rsidP="00940834">
      <w:pPr>
        <w:pStyle w:val="Default"/>
        <w:rPr>
          <w:rFonts w:asciiTheme="minorHAnsi" w:hAnsiTheme="minorHAnsi" w:cstheme="minorHAnsi"/>
          <w:b/>
          <w:bCs/>
          <w:color w:val="auto"/>
          <w:sz w:val="22"/>
          <w:szCs w:val="22"/>
        </w:rPr>
      </w:pPr>
      <w:r w:rsidRPr="00E75785">
        <w:rPr>
          <w:rFonts w:asciiTheme="minorHAnsi" w:hAnsiTheme="minorHAnsi" w:cstheme="minorHAnsi"/>
          <w:b/>
          <w:bCs/>
          <w:color w:val="auto"/>
          <w:sz w:val="22"/>
          <w:szCs w:val="22"/>
        </w:rPr>
        <w:t xml:space="preserve">Employee Benefits </w:t>
      </w:r>
    </w:p>
    <w:p w14:paraId="20218F09" w14:textId="77777777" w:rsidR="00940834" w:rsidRPr="00E75785" w:rsidRDefault="00940834" w:rsidP="00940834">
      <w:pPr>
        <w:pStyle w:val="Default"/>
        <w:rPr>
          <w:rFonts w:asciiTheme="minorHAnsi" w:hAnsiTheme="minorHAnsi" w:cstheme="minorHAnsi"/>
          <w:color w:val="auto"/>
          <w:sz w:val="22"/>
          <w:szCs w:val="22"/>
        </w:rPr>
      </w:pPr>
    </w:p>
    <w:p w14:paraId="4279189F"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Benefits Payable during Employment </w:t>
      </w:r>
    </w:p>
    <w:p w14:paraId="3AB2691F" w14:textId="77777777" w:rsidR="004249DD" w:rsidRPr="00E75785" w:rsidRDefault="00940834" w:rsidP="004249DD">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Short-term employee benefits are those due to be settled within 12 months of the year-end. They include such benefits as salaries, paid annual leave and flexitime, bonuses and non-monetary benefits (for example cars) for current employees and are recognised as an expense in the year in which employees render service to the Authority. </w:t>
      </w:r>
      <w:r w:rsidR="004249DD" w:rsidRPr="00E75785">
        <w:rPr>
          <w:rFonts w:asciiTheme="minorHAnsi" w:hAnsiTheme="minorHAnsi" w:cstheme="minorHAnsi"/>
          <w:color w:val="auto"/>
          <w:sz w:val="22"/>
          <w:szCs w:val="22"/>
        </w:rPr>
        <w:t xml:space="preserve">The CIPFA Code of Practice on Local Authority Accounting requires the Authority to recognise the amount of untaken annual leave at the 31st March as a liability which is reflected on the Balance Sheet. To ensure consistency annual leave costs have been reflected in the year in which the annual </w:t>
      </w:r>
      <w:r w:rsidR="009C720D" w:rsidRPr="00E75785">
        <w:rPr>
          <w:rFonts w:asciiTheme="minorHAnsi" w:hAnsiTheme="minorHAnsi" w:cstheme="minorHAnsi"/>
          <w:color w:val="auto"/>
          <w:sz w:val="22"/>
          <w:szCs w:val="22"/>
        </w:rPr>
        <w:t xml:space="preserve">leave should have been </w:t>
      </w:r>
      <w:r w:rsidR="004249DD" w:rsidRPr="00E75785">
        <w:rPr>
          <w:rFonts w:asciiTheme="minorHAnsi" w:hAnsiTheme="minorHAnsi" w:cstheme="minorHAnsi"/>
          <w:color w:val="auto"/>
          <w:sz w:val="22"/>
          <w:szCs w:val="22"/>
        </w:rPr>
        <w:t xml:space="preserve">taken.  </w:t>
      </w:r>
    </w:p>
    <w:p w14:paraId="6977B089" w14:textId="77777777" w:rsidR="004249DD" w:rsidRPr="00E75785" w:rsidRDefault="004249DD" w:rsidP="004249DD">
      <w:pPr>
        <w:pStyle w:val="Default"/>
        <w:rPr>
          <w:rFonts w:asciiTheme="minorHAnsi" w:hAnsiTheme="minorHAnsi" w:cstheme="minorHAnsi"/>
          <w:color w:val="auto"/>
          <w:sz w:val="22"/>
          <w:szCs w:val="22"/>
        </w:rPr>
      </w:pPr>
    </w:p>
    <w:p w14:paraId="2FBC75A6"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Termination Benefits </w:t>
      </w:r>
    </w:p>
    <w:p w14:paraId="6BFA4123"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Termination benefits are amounts payable as a result of a decision by the Authority to terminate an officer’s employment before the normal retirement date or of an officer’s decision to accept voluntary redundancy in exchange for those benefits. These are charged on an Accruals basis to the Comprehensive Income and Expenditure Statement at the earlier of when the Authority can no longer withdraw the offer of those benefits or when the Authority recognises costs for a restructuring. </w:t>
      </w:r>
    </w:p>
    <w:p w14:paraId="7AA1C1C4" w14:textId="77777777" w:rsidR="00940834" w:rsidRPr="00E75785" w:rsidRDefault="00940834" w:rsidP="00940834">
      <w:pPr>
        <w:pStyle w:val="Default"/>
        <w:rPr>
          <w:rFonts w:asciiTheme="minorHAnsi" w:hAnsiTheme="minorHAnsi" w:cstheme="minorHAnsi"/>
          <w:color w:val="auto"/>
          <w:sz w:val="22"/>
          <w:szCs w:val="22"/>
        </w:rPr>
      </w:pPr>
    </w:p>
    <w:p w14:paraId="2A936554"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535D7C13"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b/>
          <w:bCs/>
          <w:color w:val="auto"/>
          <w:sz w:val="22"/>
          <w:szCs w:val="22"/>
        </w:rPr>
        <w:lastRenderedPageBreak/>
        <w:t xml:space="preserve">Retirement Benefits </w:t>
      </w:r>
    </w:p>
    <w:p w14:paraId="446DD538"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Employees of the Authority are members of the following pensions schemes: </w:t>
      </w:r>
    </w:p>
    <w:p w14:paraId="4499A9E6" w14:textId="77777777" w:rsidR="00940834" w:rsidRPr="00E75785" w:rsidRDefault="00940834" w:rsidP="00940834">
      <w:pPr>
        <w:pStyle w:val="Default"/>
        <w:rPr>
          <w:rFonts w:asciiTheme="minorHAnsi" w:hAnsiTheme="minorHAnsi" w:cstheme="minorHAnsi"/>
          <w:color w:val="auto"/>
          <w:sz w:val="22"/>
          <w:szCs w:val="22"/>
        </w:rPr>
      </w:pPr>
    </w:p>
    <w:p w14:paraId="184764C2" w14:textId="287E2BE8" w:rsidR="003814B4" w:rsidRPr="00E75785" w:rsidRDefault="00940834" w:rsidP="003814B4">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1992, 2006, 2015 and Modified Firefighters’ Pension Schemes (FPS) - these are unfunded schemes, which means that there are no investment assets built up to meet the pensions liabilities, and cash has to be generated to meet the actual payments as they fall due. The Authority is required by legislation to operate a Pension Fund, with the amounts that must be paid into or out of the Pension Fund being specified by regulation. The Authority set up a Pension Fund on 1 April 2006 from which pension payments are made and into which contributions, from the Authority and employees, are received. The Pension Fund receives a top-up grant from the Government equal to the deficit each year, with any surplus on the Pension Fund being repaid to the Government. The Pension Fund is shown separately in the Accounts </w:t>
      </w:r>
    </w:p>
    <w:p w14:paraId="655E6224" w14:textId="77777777" w:rsidR="00940834" w:rsidRPr="00E75785" w:rsidRDefault="00940834" w:rsidP="005D747F">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Local Government Pension Scheme (LGPS) for support staff, administered by the Northamptonshire Pension Fund, is a funded scheme, which means that the Authority and employees pay contributions into a fund, calculated at a level intended to balance the pensions liabilities with investment Assets. </w:t>
      </w:r>
    </w:p>
    <w:p w14:paraId="70E7DC83" w14:textId="77777777" w:rsidR="00940834" w:rsidRPr="00E75785" w:rsidRDefault="00940834" w:rsidP="00940834">
      <w:pPr>
        <w:pStyle w:val="Default"/>
        <w:rPr>
          <w:rFonts w:asciiTheme="minorHAnsi" w:hAnsiTheme="minorHAnsi" w:cstheme="minorHAnsi"/>
          <w:color w:val="auto"/>
          <w:sz w:val="22"/>
          <w:szCs w:val="22"/>
        </w:rPr>
      </w:pPr>
    </w:p>
    <w:p w14:paraId="0A037AD7"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 </w:t>
      </w:r>
    </w:p>
    <w:p w14:paraId="428C374A" w14:textId="77777777" w:rsidR="00940834" w:rsidRPr="00E75785" w:rsidRDefault="00940834" w:rsidP="00940834">
      <w:pPr>
        <w:pStyle w:val="Default"/>
        <w:rPr>
          <w:rFonts w:asciiTheme="minorHAnsi" w:hAnsiTheme="minorHAnsi" w:cstheme="minorHAnsi"/>
          <w:color w:val="auto"/>
          <w:sz w:val="22"/>
          <w:szCs w:val="22"/>
        </w:rPr>
      </w:pPr>
    </w:p>
    <w:p w14:paraId="1831D9AB"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liability and this is matched in the Balance Sheet by a Pensions Reserve. </w:t>
      </w:r>
    </w:p>
    <w:p w14:paraId="4B78290C"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change in net pensions Liability during the year is analysed into the following components: </w:t>
      </w:r>
    </w:p>
    <w:p w14:paraId="5BCB867A" w14:textId="77777777" w:rsidR="00940834" w:rsidRPr="00E75785" w:rsidRDefault="00940834" w:rsidP="00940834">
      <w:pPr>
        <w:pStyle w:val="Default"/>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Service cost comprising: </w:t>
      </w:r>
    </w:p>
    <w:p w14:paraId="29F2DD59" w14:textId="77777777" w:rsidR="00940834" w:rsidRPr="00E75785" w:rsidRDefault="00940834" w:rsidP="00940834">
      <w:pPr>
        <w:pStyle w:val="Default"/>
        <w:rPr>
          <w:rFonts w:asciiTheme="minorHAnsi" w:hAnsiTheme="minorHAnsi" w:cstheme="minorHAnsi"/>
          <w:color w:val="auto"/>
          <w:sz w:val="22"/>
          <w:szCs w:val="22"/>
        </w:rPr>
      </w:pPr>
    </w:p>
    <w:p w14:paraId="65226FCE" w14:textId="77777777" w:rsidR="00940834" w:rsidRPr="00E75785" w:rsidRDefault="00940834" w:rsidP="005D747F">
      <w:pPr>
        <w:pStyle w:val="Default"/>
        <w:numPr>
          <w:ilvl w:val="0"/>
          <w:numId w:val="4"/>
        </w:numPr>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Current service cost – the increase in Liabilities as a result of service earned by employees in the current year. This is charged to services within the Comprehensive Income and Expenditure Statement </w:t>
      </w:r>
    </w:p>
    <w:p w14:paraId="75280ED2"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 xml:space="preserve">Past service cost – the increase in Liabilities as a result of a scheme amendment or curtailment whose effect relates to service earned in earlier years. This is part of </w:t>
      </w:r>
      <w:r w:rsidR="00DE140D" w:rsidRPr="007F07C2">
        <w:rPr>
          <w:rFonts w:asciiTheme="minorHAnsi" w:hAnsiTheme="minorHAnsi"/>
          <w:color w:val="auto"/>
          <w:sz w:val="22"/>
          <w:szCs w:val="20"/>
        </w:rPr>
        <w:t>the services line</w:t>
      </w:r>
      <w:r w:rsidRPr="007F07C2">
        <w:rPr>
          <w:rFonts w:asciiTheme="minorHAnsi" w:hAnsiTheme="minorHAnsi"/>
          <w:color w:val="auto"/>
          <w:sz w:val="22"/>
          <w:szCs w:val="20"/>
        </w:rPr>
        <w:t xml:space="preserve"> in the Comprehensive Income and Expenditure Statement </w:t>
      </w:r>
    </w:p>
    <w:p w14:paraId="1CCD7817" w14:textId="77777777" w:rsidR="00940834" w:rsidRPr="007F07C2" w:rsidRDefault="00940834" w:rsidP="005D747F">
      <w:pPr>
        <w:pStyle w:val="Default"/>
        <w:numPr>
          <w:ilvl w:val="0"/>
          <w:numId w:val="4"/>
        </w:numPr>
        <w:rPr>
          <w:rFonts w:asciiTheme="minorHAnsi" w:hAnsiTheme="minorHAnsi"/>
          <w:color w:val="auto"/>
          <w:sz w:val="22"/>
          <w:szCs w:val="20"/>
        </w:rPr>
      </w:pPr>
      <w:r w:rsidRPr="007F07C2">
        <w:rPr>
          <w:rFonts w:asciiTheme="minorHAnsi" w:hAnsiTheme="minorHAnsi"/>
          <w:color w:val="auto"/>
          <w:sz w:val="22"/>
          <w:szCs w:val="20"/>
        </w:rPr>
        <w:t xml:space="preserve">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Comprehensive Income and Expenditure Statement. </w:t>
      </w:r>
    </w:p>
    <w:p w14:paraId="1184D01E" w14:textId="77777777" w:rsidR="00940834" w:rsidRPr="007F07C2" w:rsidRDefault="00940834" w:rsidP="00940834">
      <w:pPr>
        <w:pStyle w:val="Default"/>
        <w:rPr>
          <w:rFonts w:asciiTheme="minorHAnsi" w:hAnsiTheme="minorHAnsi"/>
          <w:color w:val="auto"/>
          <w:sz w:val="22"/>
          <w:szCs w:val="20"/>
        </w:rPr>
      </w:pPr>
    </w:p>
    <w:p w14:paraId="2F30C67F" w14:textId="77777777" w:rsidR="00940834" w:rsidRPr="007F07C2" w:rsidRDefault="00940834" w:rsidP="00940834">
      <w:pPr>
        <w:pStyle w:val="Default"/>
        <w:rPr>
          <w:rFonts w:asciiTheme="minorHAnsi" w:hAnsiTheme="minorHAnsi"/>
          <w:color w:val="auto"/>
          <w:sz w:val="22"/>
          <w:szCs w:val="20"/>
        </w:rPr>
      </w:pPr>
      <w:r w:rsidRPr="007F07C2">
        <w:rPr>
          <w:rFonts w:asciiTheme="minorHAnsi" w:hAnsiTheme="minorHAnsi"/>
          <w:color w:val="auto"/>
          <w:sz w:val="22"/>
          <w:szCs w:val="20"/>
        </w:rPr>
        <w:t xml:space="preserve">Remeasurements comprising: </w:t>
      </w:r>
    </w:p>
    <w:p w14:paraId="7D3BC76E" w14:textId="77777777" w:rsidR="00940834" w:rsidRPr="007F07C2" w:rsidRDefault="00940834" w:rsidP="00940834">
      <w:pPr>
        <w:pStyle w:val="Default"/>
        <w:rPr>
          <w:rFonts w:asciiTheme="minorHAnsi" w:hAnsiTheme="minorHAnsi"/>
          <w:color w:val="auto"/>
          <w:sz w:val="22"/>
          <w:szCs w:val="20"/>
        </w:rPr>
      </w:pPr>
    </w:p>
    <w:p w14:paraId="795ECA3B" w14:textId="77777777" w:rsidR="00940834" w:rsidRPr="007F07C2" w:rsidRDefault="00940834" w:rsidP="005D747F">
      <w:pPr>
        <w:pStyle w:val="Default"/>
        <w:numPr>
          <w:ilvl w:val="0"/>
          <w:numId w:val="5"/>
        </w:numPr>
        <w:rPr>
          <w:rFonts w:asciiTheme="minorHAnsi" w:hAnsiTheme="minorHAnsi"/>
          <w:color w:val="auto"/>
          <w:sz w:val="22"/>
          <w:szCs w:val="20"/>
        </w:rPr>
      </w:pPr>
      <w:r w:rsidRPr="007F07C2">
        <w:rPr>
          <w:rFonts w:asciiTheme="minorHAnsi" w:hAnsiTheme="minorHAnsi"/>
          <w:color w:val="auto"/>
          <w:sz w:val="22"/>
          <w:szCs w:val="20"/>
        </w:rPr>
        <w:t>The return on plan assets (LGPS only) – this excludes amounts included in net interest on the net defined benefit Liability and is charged to the Pensions Reserve as Other Comprehensive Income and Expenditure</w:t>
      </w:r>
    </w:p>
    <w:p w14:paraId="448142A1" w14:textId="77777777" w:rsidR="00940834" w:rsidRPr="007F07C2" w:rsidRDefault="00940834" w:rsidP="005D747F">
      <w:pPr>
        <w:pStyle w:val="Default"/>
        <w:numPr>
          <w:ilvl w:val="0"/>
          <w:numId w:val="16"/>
        </w:numPr>
        <w:rPr>
          <w:rFonts w:asciiTheme="minorHAnsi" w:hAnsiTheme="minorHAnsi"/>
          <w:color w:val="auto"/>
          <w:sz w:val="28"/>
        </w:rPr>
      </w:pPr>
      <w:r w:rsidRPr="007F07C2">
        <w:rPr>
          <w:rFonts w:asciiTheme="minorHAnsi" w:hAnsiTheme="minorHAnsi"/>
          <w:color w:val="auto"/>
          <w:sz w:val="22"/>
          <w:szCs w:val="20"/>
        </w:rPr>
        <w:t>Actuarial gains and losses – changes in the net pensions Liability that arise because events have not coincided with assumptions made at the last actuarial valuation or because the</w:t>
      </w:r>
      <w:r w:rsidRPr="007F07C2">
        <w:rPr>
          <w:rFonts w:asciiTheme="minorHAnsi" w:hAnsiTheme="minorHAnsi"/>
          <w:color w:val="auto"/>
          <w:sz w:val="28"/>
        </w:rPr>
        <w:t xml:space="preserve"> </w:t>
      </w:r>
      <w:r w:rsidRPr="007F07C2">
        <w:rPr>
          <w:rFonts w:asciiTheme="minorHAnsi" w:hAnsiTheme="minorHAnsi"/>
          <w:color w:val="auto"/>
          <w:sz w:val="22"/>
          <w:szCs w:val="20"/>
        </w:rPr>
        <w:t xml:space="preserve">actuaries have updated their assumptions. This is charged to the Pensions Reserve as Other Comprehensive Income and Expenditure. </w:t>
      </w:r>
    </w:p>
    <w:p w14:paraId="2DE5E472" w14:textId="77777777" w:rsidR="00940834" w:rsidRPr="007F07C2" w:rsidRDefault="00940834" w:rsidP="005D747F">
      <w:pPr>
        <w:pStyle w:val="Default"/>
        <w:numPr>
          <w:ilvl w:val="0"/>
          <w:numId w:val="16"/>
        </w:numPr>
        <w:rPr>
          <w:rFonts w:asciiTheme="minorHAnsi" w:hAnsiTheme="minorHAnsi"/>
          <w:color w:val="auto"/>
          <w:sz w:val="22"/>
          <w:szCs w:val="20"/>
        </w:rPr>
      </w:pPr>
      <w:r w:rsidRPr="007F07C2">
        <w:rPr>
          <w:rFonts w:asciiTheme="minorHAnsi" w:hAnsiTheme="minorHAnsi"/>
          <w:color w:val="auto"/>
          <w:sz w:val="22"/>
          <w:szCs w:val="20"/>
        </w:rPr>
        <w:t xml:space="preserve">Contributions paid / benefits paid – cash paid as employer’s contribution by the Authority either to LGPS or directly to pensioners to reduce the scheme Liabilities. </w:t>
      </w:r>
    </w:p>
    <w:p w14:paraId="6779A79A" w14:textId="77777777" w:rsidR="00940834" w:rsidRPr="00635F47" w:rsidRDefault="00940834" w:rsidP="00940834">
      <w:pPr>
        <w:pStyle w:val="Default"/>
        <w:rPr>
          <w:rFonts w:asciiTheme="minorHAnsi" w:hAnsiTheme="minorHAnsi" w:cstheme="minorHAnsi"/>
          <w:color w:val="auto"/>
          <w:sz w:val="22"/>
          <w:szCs w:val="22"/>
        </w:rPr>
      </w:pPr>
    </w:p>
    <w:p w14:paraId="411FB602" w14:textId="0B67357B"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pensions costs. The negative balance </w:t>
      </w:r>
      <w:r w:rsidRPr="00635F47">
        <w:rPr>
          <w:rFonts w:asciiTheme="minorHAnsi" w:hAnsiTheme="minorHAnsi" w:cstheme="minorHAnsi"/>
          <w:color w:val="auto"/>
          <w:sz w:val="22"/>
          <w:szCs w:val="22"/>
        </w:rPr>
        <w:lastRenderedPageBreak/>
        <w:t xml:space="preserve">on the Pensions Reserve thereby measures the beneficial impact to the General Fund of being required to account for retirement benefits on the basis of cash flows rather than as benefits are earned by employees. </w:t>
      </w:r>
    </w:p>
    <w:p w14:paraId="117B6D21" w14:textId="47163C5E" w:rsidR="003814B4" w:rsidRPr="00635F47" w:rsidRDefault="003814B4" w:rsidP="00940834">
      <w:pPr>
        <w:pStyle w:val="Default"/>
        <w:rPr>
          <w:rFonts w:asciiTheme="minorHAnsi" w:hAnsiTheme="minorHAnsi" w:cstheme="minorHAnsi"/>
          <w:color w:val="auto"/>
          <w:sz w:val="22"/>
          <w:szCs w:val="22"/>
        </w:rPr>
      </w:pPr>
    </w:p>
    <w:p w14:paraId="3B16B086" w14:textId="4385DBCB" w:rsidR="003814B4" w:rsidRPr="00635F47" w:rsidRDefault="003814B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On 31st March 2022, following the Sergeant and McCloud ruling for Pensions Age Discrimination, both the 1992 &amp; 2006 schemes were closed and all members of these schemes will be transferred to the 2015 pension scheme.</w:t>
      </w:r>
    </w:p>
    <w:p w14:paraId="78963640" w14:textId="77777777" w:rsidR="00940834" w:rsidRPr="00635F47" w:rsidRDefault="00940834" w:rsidP="00940834">
      <w:pPr>
        <w:pStyle w:val="Default"/>
        <w:rPr>
          <w:rFonts w:asciiTheme="minorHAnsi" w:hAnsiTheme="minorHAnsi" w:cstheme="minorHAnsi"/>
          <w:color w:val="auto"/>
          <w:sz w:val="22"/>
          <w:szCs w:val="22"/>
        </w:rPr>
      </w:pPr>
    </w:p>
    <w:p w14:paraId="35AC390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Other Expenses </w:t>
      </w:r>
    </w:p>
    <w:p w14:paraId="2B156EAE"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operating expenses are recognised when, and to the extent that, the goods or services have been received. They are measured at the Fair Value of the consideration payable. </w:t>
      </w:r>
    </w:p>
    <w:p w14:paraId="7043E392" w14:textId="77777777" w:rsidR="00D12B66" w:rsidRPr="00635F47" w:rsidRDefault="00D12B66" w:rsidP="00940834">
      <w:pPr>
        <w:pStyle w:val="Default"/>
        <w:rPr>
          <w:rFonts w:asciiTheme="minorHAnsi" w:hAnsiTheme="minorHAnsi" w:cstheme="minorHAnsi"/>
          <w:color w:val="auto"/>
          <w:sz w:val="22"/>
          <w:szCs w:val="22"/>
        </w:rPr>
      </w:pPr>
    </w:p>
    <w:p w14:paraId="777E5A7C"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Property, Plant and Equipment </w:t>
      </w:r>
    </w:p>
    <w:p w14:paraId="45625064" w14:textId="77777777" w:rsidR="00940834" w:rsidRPr="00635F47" w:rsidRDefault="00940834" w:rsidP="00940834">
      <w:pPr>
        <w:pStyle w:val="Default"/>
        <w:rPr>
          <w:rFonts w:asciiTheme="minorHAnsi" w:hAnsiTheme="minorHAnsi" w:cstheme="minorHAnsi"/>
          <w:color w:val="auto"/>
          <w:sz w:val="22"/>
          <w:szCs w:val="22"/>
        </w:rPr>
      </w:pPr>
    </w:p>
    <w:p w14:paraId="67B2E43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Recognition </w:t>
      </w:r>
    </w:p>
    <w:p w14:paraId="54EA14A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Property, plant and equipment is capitalised if: </w:t>
      </w:r>
    </w:p>
    <w:p w14:paraId="3327427B"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it is expected to be used for more than one financial year; </w:t>
      </w:r>
    </w:p>
    <w:p w14:paraId="042E2D2C"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cost of the item can be measured reliably; and </w:t>
      </w:r>
    </w:p>
    <w:p w14:paraId="7A87A535" w14:textId="77777777" w:rsidR="00BD1BFE" w:rsidRPr="00635F47" w:rsidRDefault="00BD1BFE"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the item has a cost of at least £6,000 or is part of a project or replacement programme costing above £6,000.</w:t>
      </w:r>
    </w:p>
    <w:p w14:paraId="40D9D33F" w14:textId="77777777" w:rsidR="00940834" w:rsidRPr="00635F47" w:rsidRDefault="00940834" w:rsidP="00940834">
      <w:pPr>
        <w:pStyle w:val="Default"/>
        <w:rPr>
          <w:rFonts w:asciiTheme="minorHAnsi" w:hAnsiTheme="minorHAnsi" w:cstheme="minorHAnsi"/>
          <w:color w:val="auto"/>
          <w:sz w:val="22"/>
          <w:szCs w:val="22"/>
        </w:rPr>
      </w:pPr>
    </w:p>
    <w:p w14:paraId="7F89EE6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Where a large Asset, for example a building, includes a number of components with significantly different Asset lives (a minimum of 5 years), the components are treated as separate Assets if they have a cost that is a significant proportion of the whole Asset (a minimum of 25%). The components are treated as separate Assets and depreciated over their useful economic life. </w:t>
      </w:r>
    </w:p>
    <w:p w14:paraId="698CC3EE" w14:textId="77777777" w:rsidR="006B3DA3" w:rsidRPr="00635F47" w:rsidRDefault="006B3DA3" w:rsidP="00940834">
      <w:pPr>
        <w:pStyle w:val="Default"/>
        <w:rPr>
          <w:rFonts w:asciiTheme="minorHAnsi" w:hAnsiTheme="minorHAnsi" w:cstheme="minorHAnsi"/>
          <w:color w:val="auto"/>
          <w:sz w:val="22"/>
          <w:szCs w:val="22"/>
        </w:rPr>
      </w:pPr>
    </w:p>
    <w:p w14:paraId="584576DF"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Donated Assets are recognised at their value and are defined in the CIPFA Code of Practice on Local Government Accounting as those Assets that are transferred at nil val</w:t>
      </w:r>
      <w:r w:rsidR="00B81E48" w:rsidRPr="00635F47">
        <w:rPr>
          <w:rFonts w:asciiTheme="minorHAnsi" w:hAnsiTheme="minorHAnsi" w:cstheme="minorHAnsi"/>
          <w:color w:val="auto"/>
          <w:sz w:val="22"/>
          <w:szCs w:val="22"/>
        </w:rPr>
        <w:t>ue or acquired at less than Current</w:t>
      </w:r>
      <w:r w:rsidRPr="00635F47">
        <w:rPr>
          <w:rFonts w:asciiTheme="minorHAnsi" w:hAnsiTheme="minorHAnsi" w:cstheme="minorHAnsi"/>
          <w:color w:val="auto"/>
          <w:sz w:val="22"/>
          <w:szCs w:val="22"/>
        </w:rPr>
        <w:t xml:space="preserve"> Value. Donated Assets that are from other public bodies are accounted for as a government grant (as required by IAS 20). </w:t>
      </w:r>
    </w:p>
    <w:p w14:paraId="7BEE3B0D" w14:textId="77777777" w:rsidR="007E030B" w:rsidRPr="00635F47" w:rsidRDefault="007E030B" w:rsidP="00940834">
      <w:pPr>
        <w:pStyle w:val="Default"/>
        <w:rPr>
          <w:rFonts w:asciiTheme="minorHAnsi" w:hAnsiTheme="minorHAnsi" w:cstheme="minorHAnsi"/>
          <w:color w:val="auto"/>
          <w:sz w:val="22"/>
          <w:szCs w:val="22"/>
        </w:rPr>
      </w:pPr>
    </w:p>
    <w:p w14:paraId="7D5C4D17"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Valuation </w:t>
      </w:r>
    </w:p>
    <w:p w14:paraId="590676C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w:t>
      </w:r>
      <w:r w:rsidR="005B4755" w:rsidRPr="00635F47">
        <w:rPr>
          <w:rFonts w:asciiTheme="minorHAnsi" w:hAnsiTheme="minorHAnsi" w:cstheme="minorHAnsi"/>
          <w:color w:val="auto"/>
          <w:sz w:val="22"/>
          <w:szCs w:val="22"/>
        </w:rPr>
        <w:t xml:space="preserve">are measured subsequently at </w:t>
      </w:r>
      <w:r w:rsidR="00B81E48" w:rsidRPr="00635F47">
        <w:rPr>
          <w:rFonts w:asciiTheme="minorHAnsi" w:hAnsiTheme="minorHAnsi" w:cstheme="minorHAnsi"/>
          <w:color w:val="auto"/>
          <w:sz w:val="22"/>
          <w:szCs w:val="22"/>
        </w:rPr>
        <w:t xml:space="preserve">Current </w:t>
      </w:r>
      <w:r w:rsidR="006677DD" w:rsidRPr="00635F47">
        <w:rPr>
          <w:rFonts w:asciiTheme="minorHAnsi" w:hAnsiTheme="minorHAnsi" w:cstheme="minorHAnsi"/>
          <w:color w:val="auto"/>
          <w:sz w:val="22"/>
          <w:szCs w:val="22"/>
        </w:rPr>
        <w:t>Value</w:t>
      </w:r>
      <w:r w:rsidRPr="00635F47">
        <w:rPr>
          <w:rFonts w:asciiTheme="minorHAnsi" w:hAnsiTheme="minorHAnsi" w:cstheme="minorHAnsi"/>
          <w:color w:val="auto"/>
          <w:sz w:val="22"/>
          <w:szCs w:val="22"/>
        </w:rPr>
        <w:t xml:space="preserve">. </w:t>
      </w:r>
    </w:p>
    <w:p w14:paraId="68084B4C" w14:textId="77777777" w:rsidR="006B3DA3" w:rsidRPr="00635F47" w:rsidRDefault="006B3DA3" w:rsidP="00940834">
      <w:pPr>
        <w:pStyle w:val="Default"/>
        <w:rPr>
          <w:rFonts w:asciiTheme="minorHAnsi" w:hAnsiTheme="minorHAnsi" w:cstheme="minorHAnsi"/>
          <w:color w:val="auto"/>
          <w:sz w:val="22"/>
          <w:szCs w:val="22"/>
        </w:rPr>
      </w:pPr>
    </w:p>
    <w:p w14:paraId="213D7EA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Land and buildings used by the Authority are stated in the Balance Sheet at their re-va</w:t>
      </w:r>
      <w:r w:rsidR="00D12B66" w:rsidRPr="00635F47">
        <w:rPr>
          <w:rFonts w:asciiTheme="minorHAnsi" w:hAnsiTheme="minorHAnsi" w:cstheme="minorHAnsi"/>
          <w:color w:val="auto"/>
          <w:sz w:val="22"/>
          <w:szCs w:val="22"/>
        </w:rPr>
        <w:t xml:space="preserve">lued amounts, being the </w:t>
      </w:r>
      <w:r w:rsidR="00B81E48" w:rsidRPr="00635F47">
        <w:rPr>
          <w:rFonts w:asciiTheme="minorHAnsi" w:hAnsiTheme="minorHAnsi" w:cstheme="minorHAnsi"/>
          <w:color w:val="auto"/>
          <w:sz w:val="22"/>
          <w:szCs w:val="22"/>
        </w:rPr>
        <w:t>Current</w:t>
      </w:r>
      <w:r w:rsidR="006677DD" w:rsidRPr="00635F47">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Value at the date of valuation. Revaluations are performed with sufficient regularity to ensure that carrying amounts are not materially different from those that would be determined at the e</w:t>
      </w:r>
      <w:r w:rsidR="00D12B66" w:rsidRPr="00635F47">
        <w:rPr>
          <w:rFonts w:asciiTheme="minorHAnsi" w:hAnsiTheme="minorHAnsi" w:cstheme="minorHAnsi"/>
          <w:color w:val="auto"/>
          <w:sz w:val="22"/>
          <w:szCs w:val="22"/>
        </w:rPr>
        <w:t xml:space="preserve">nd of the Reporting Period. </w:t>
      </w:r>
      <w:r w:rsidR="00B81E48" w:rsidRPr="00635F47">
        <w:rPr>
          <w:rFonts w:asciiTheme="minorHAnsi" w:hAnsiTheme="minorHAnsi" w:cstheme="minorHAnsi"/>
          <w:color w:val="auto"/>
          <w:sz w:val="22"/>
          <w:szCs w:val="22"/>
        </w:rPr>
        <w:t>Current</w:t>
      </w:r>
      <w:r w:rsidR="006677DD" w:rsidRPr="00635F47">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 xml:space="preserve">Values are determined as follows: </w:t>
      </w:r>
    </w:p>
    <w:p w14:paraId="4F2F75B3"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Operational Buildings – Depreciated Replacement cost. </w:t>
      </w:r>
    </w:p>
    <w:p w14:paraId="6AC328FE"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Land and no</w:t>
      </w:r>
      <w:r w:rsidR="00D12B66" w:rsidRPr="00635F47">
        <w:rPr>
          <w:rFonts w:asciiTheme="minorHAnsi" w:hAnsiTheme="minorHAnsi" w:cstheme="minorHAnsi"/>
          <w:color w:val="auto"/>
          <w:sz w:val="22"/>
          <w:szCs w:val="22"/>
        </w:rPr>
        <w:t xml:space="preserve">n-specialised buildings – </w:t>
      </w:r>
      <w:r w:rsidR="00B81E48" w:rsidRPr="00635F47">
        <w:rPr>
          <w:rFonts w:asciiTheme="minorHAnsi" w:hAnsiTheme="minorHAnsi" w:cstheme="minorHAnsi"/>
          <w:color w:val="auto"/>
          <w:sz w:val="22"/>
          <w:szCs w:val="22"/>
        </w:rPr>
        <w:t>Current</w:t>
      </w:r>
      <w:r w:rsidRPr="00635F47">
        <w:rPr>
          <w:rFonts w:asciiTheme="minorHAnsi" w:hAnsiTheme="minorHAnsi" w:cstheme="minorHAnsi"/>
          <w:color w:val="auto"/>
          <w:sz w:val="22"/>
          <w:szCs w:val="22"/>
        </w:rPr>
        <w:t xml:space="preserve"> value for existing use. </w:t>
      </w:r>
    </w:p>
    <w:p w14:paraId="5C0897BA" w14:textId="77777777" w:rsidR="00940834" w:rsidRPr="00635F47" w:rsidRDefault="00940834" w:rsidP="005D747F">
      <w:pPr>
        <w:pStyle w:val="Default"/>
        <w:numPr>
          <w:ilvl w:val="0"/>
          <w:numId w:val="1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plant and equipment – historic cost less accumulated depreciation (as a proxy for current replacement cost). </w:t>
      </w:r>
    </w:p>
    <w:p w14:paraId="50B19349" w14:textId="77777777" w:rsidR="00940834" w:rsidRPr="00635F47" w:rsidRDefault="00940834" w:rsidP="00940834">
      <w:pPr>
        <w:pStyle w:val="Default"/>
        <w:rPr>
          <w:rFonts w:asciiTheme="minorHAnsi" w:hAnsiTheme="minorHAnsi" w:cstheme="minorHAnsi"/>
          <w:color w:val="auto"/>
          <w:sz w:val="22"/>
          <w:szCs w:val="22"/>
        </w:rPr>
      </w:pPr>
    </w:p>
    <w:p w14:paraId="476C33C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Properties in the course of construction are carried at cost, less any impairment loss. Costs include professional fees but not borrowing costs, which are recognised as expenses immediately, as allowed by IAS 23 for assets held at </w:t>
      </w:r>
      <w:r w:rsidR="00B81E48" w:rsidRPr="00635F47">
        <w:rPr>
          <w:rFonts w:asciiTheme="minorHAnsi" w:hAnsiTheme="minorHAnsi" w:cstheme="minorHAnsi"/>
          <w:color w:val="auto"/>
          <w:sz w:val="22"/>
          <w:szCs w:val="22"/>
        </w:rPr>
        <w:t>Current</w:t>
      </w:r>
      <w:r w:rsidRPr="00635F47">
        <w:rPr>
          <w:rFonts w:asciiTheme="minorHAnsi" w:hAnsiTheme="minorHAnsi" w:cstheme="minorHAnsi"/>
          <w:color w:val="auto"/>
          <w:sz w:val="22"/>
          <w:szCs w:val="22"/>
        </w:rPr>
        <w:t xml:space="preserve">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Comprehensive Income and Expenditure Statement. </w:t>
      </w:r>
    </w:p>
    <w:p w14:paraId="1D0A63F5" w14:textId="77777777" w:rsidR="00940834" w:rsidRPr="00635F47" w:rsidRDefault="00940834" w:rsidP="00940834">
      <w:pPr>
        <w:pStyle w:val="Default"/>
        <w:rPr>
          <w:rFonts w:asciiTheme="minorHAnsi" w:hAnsiTheme="minorHAnsi" w:cstheme="minorHAnsi"/>
          <w:color w:val="auto"/>
          <w:sz w:val="22"/>
          <w:szCs w:val="22"/>
        </w:rPr>
      </w:pPr>
    </w:p>
    <w:p w14:paraId="32A9769C" w14:textId="334E401B"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Disposals </w:t>
      </w:r>
    </w:p>
    <w:p w14:paraId="2A3818E3"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Capital receipts from the sale of non-current assets are held in the Capital Receipts Unapplied Account until such time as they are used to finance other Capital Expenditure or to repay debt. Gains and losses on the disposal of non-current assets are recognised in the Comprehensive Income and Expenditure Statement. </w:t>
      </w:r>
    </w:p>
    <w:p w14:paraId="451F8A9D" w14:textId="77777777" w:rsidR="006677DD" w:rsidRPr="00635F47" w:rsidRDefault="006677DD" w:rsidP="00940834">
      <w:pPr>
        <w:pStyle w:val="Default"/>
        <w:rPr>
          <w:rFonts w:asciiTheme="minorHAnsi" w:hAnsiTheme="minorHAnsi" w:cstheme="minorHAnsi"/>
          <w:color w:val="auto"/>
          <w:sz w:val="22"/>
          <w:szCs w:val="22"/>
        </w:rPr>
      </w:pPr>
    </w:p>
    <w:p w14:paraId="6615942E" w14:textId="77777777" w:rsidR="00940834" w:rsidRPr="00635F47" w:rsidRDefault="00900442"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lastRenderedPageBreak/>
        <w:t>Depreciation</w:t>
      </w:r>
      <w:r w:rsidR="00940834" w:rsidRPr="00635F47">
        <w:rPr>
          <w:rFonts w:asciiTheme="minorHAnsi" w:hAnsiTheme="minorHAnsi" w:cstheme="minorHAnsi"/>
          <w:b/>
          <w:bCs/>
          <w:color w:val="auto"/>
          <w:sz w:val="22"/>
          <w:szCs w:val="22"/>
        </w:rPr>
        <w:t xml:space="preserve"> and Impairments </w:t>
      </w:r>
    </w:p>
    <w:p w14:paraId="64E29F2C" w14:textId="77777777" w:rsidR="00940834" w:rsidRPr="00635F47" w:rsidRDefault="00900442"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Depreciation is</w:t>
      </w:r>
      <w:r w:rsidR="00940834" w:rsidRPr="00635F47">
        <w:rPr>
          <w:rFonts w:asciiTheme="minorHAnsi" w:hAnsiTheme="minorHAnsi" w:cstheme="minorHAnsi"/>
          <w:color w:val="auto"/>
          <w:sz w:val="22"/>
          <w:szCs w:val="22"/>
        </w:rPr>
        <w:t xml:space="preserve"> charged to write off the costs or valuation of property, plant and equipment and intangible non-current assets, less any residual value, over their Useful Economic Lives, on a straight line bas</w:t>
      </w:r>
      <w:r w:rsidR="005B4755" w:rsidRPr="00635F47">
        <w:rPr>
          <w:rFonts w:asciiTheme="minorHAnsi" w:hAnsiTheme="minorHAnsi" w:cstheme="minorHAnsi"/>
          <w:color w:val="auto"/>
          <w:sz w:val="22"/>
          <w:szCs w:val="22"/>
        </w:rPr>
        <w:t xml:space="preserve">is.  </w:t>
      </w:r>
      <w:r w:rsidR="00940834" w:rsidRPr="00635F47">
        <w:rPr>
          <w:rFonts w:asciiTheme="minorHAnsi" w:hAnsiTheme="minorHAnsi" w:cstheme="minorHAnsi"/>
          <w:color w:val="auto"/>
          <w:sz w:val="22"/>
          <w:szCs w:val="22"/>
        </w:rPr>
        <w:t xml:space="preserve">The Useful Economic Life of an Asset is the period over which the Authority expects to obtain economic benefits or service potential from the Asset. This is specific to the Authority and may be shorter than the physical life of the Asset itself. The Useful Economic Life and Residual Values are reviewed each year end, with the effect of any changes recognised on a prospective basis. The approximate average useful lives (depreciation periods) are categorised below: </w:t>
      </w:r>
    </w:p>
    <w:p w14:paraId="65013B7D" w14:textId="77777777" w:rsidR="00940834" w:rsidRPr="00635F47" w:rsidRDefault="00940834" w:rsidP="00940834">
      <w:pPr>
        <w:pStyle w:val="Default"/>
        <w:rPr>
          <w:rFonts w:asciiTheme="minorHAnsi" w:hAnsiTheme="minorHAnsi" w:cstheme="minorHAnsi"/>
          <w:color w:val="auto"/>
          <w:sz w:val="22"/>
          <w:szCs w:val="22"/>
        </w:rPr>
      </w:pPr>
    </w:p>
    <w:p w14:paraId="7B5428D0" w14:textId="6EFE271A"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Buildings 30 </w:t>
      </w:r>
      <w:r w:rsidR="00B42B62" w:rsidRPr="00635F47">
        <w:rPr>
          <w:rFonts w:asciiTheme="minorHAnsi" w:hAnsiTheme="minorHAnsi" w:cstheme="minorHAnsi"/>
          <w:color w:val="auto"/>
          <w:sz w:val="22"/>
          <w:szCs w:val="22"/>
        </w:rPr>
        <w:t xml:space="preserve">– </w:t>
      </w:r>
      <w:r w:rsidR="006B4FE4">
        <w:rPr>
          <w:rFonts w:asciiTheme="minorHAnsi" w:hAnsiTheme="minorHAnsi" w:cstheme="minorHAnsi"/>
          <w:color w:val="auto"/>
          <w:sz w:val="22"/>
          <w:szCs w:val="22"/>
        </w:rPr>
        <w:t>6</w:t>
      </w:r>
      <w:r w:rsidR="006B4FE4" w:rsidRPr="00635F47">
        <w:rPr>
          <w:rFonts w:asciiTheme="minorHAnsi" w:hAnsiTheme="minorHAnsi" w:cstheme="minorHAnsi"/>
          <w:color w:val="auto"/>
          <w:sz w:val="22"/>
          <w:szCs w:val="22"/>
        </w:rPr>
        <w:t xml:space="preserve">0 </w:t>
      </w:r>
      <w:r w:rsidRPr="00635F47">
        <w:rPr>
          <w:rFonts w:asciiTheme="minorHAnsi" w:hAnsiTheme="minorHAnsi" w:cstheme="minorHAnsi"/>
          <w:color w:val="auto"/>
          <w:sz w:val="22"/>
          <w:szCs w:val="22"/>
        </w:rPr>
        <w:t xml:space="preserve">years </w:t>
      </w:r>
    </w:p>
    <w:p w14:paraId="66AE9DCF"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Vehicles – Fire Appliances 15 years</w:t>
      </w:r>
    </w:p>
    <w:p w14:paraId="53E8FDE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Lorries and Vans 7 years </w:t>
      </w:r>
    </w:p>
    <w:p w14:paraId="2C61F38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Non FDS Cars and Light Vans 7 years </w:t>
      </w:r>
    </w:p>
    <w:p w14:paraId="44C8E6CD"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FDS Cars 5 years </w:t>
      </w:r>
    </w:p>
    <w:p w14:paraId="6A4B0F00"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Equipment 5 years </w:t>
      </w:r>
    </w:p>
    <w:p w14:paraId="5C8B6C9B" w14:textId="77777777" w:rsidR="00940834" w:rsidRPr="00635F47" w:rsidRDefault="00940834" w:rsidP="005D747F">
      <w:pPr>
        <w:pStyle w:val="Default"/>
        <w:numPr>
          <w:ilvl w:val="0"/>
          <w:numId w:val="6"/>
        </w:numPr>
        <w:rPr>
          <w:rFonts w:asciiTheme="minorHAnsi" w:hAnsiTheme="minorHAnsi" w:cstheme="minorHAnsi"/>
          <w:color w:val="auto"/>
          <w:sz w:val="22"/>
          <w:szCs w:val="22"/>
        </w:rPr>
      </w:pPr>
      <w:r w:rsidRPr="00635F47">
        <w:rPr>
          <w:rFonts w:asciiTheme="minorHAnsi" w:hAnsiTheme="minorHAnsi" w:cstheme="minorHAnsi"/>
          <w:color w:val="auto"/>
          <w:sz w:val="22"/>
          <w:szCs w:val="22"/>
        </w:rPr>
        <w:t>Specialised Equipment (</w:t>
      </w:r>
      <w:r w:rsidR="00743416" w:rsidRPr="00635F47">
        <w:rPr>
          <w:rFonts w:asciiTheme="minorHAnsi" w:hAnsiTheme="minorHAnsi" w:cstheme="minorHAnsi"/>
          <w:color w:val="auto"/>
          <w:sz w:val="22"/>
          <w:szCs w:val="22"/>
        </w:rPr>
        <w:t>e.g.</w:t>
      </w:r>
      <w:r w:rsidRPr="00635F47">
        <w:rPr>
          <w:rFonts w:asciiTheme="minorHAnsi" w:hAnsiTheme="minorHAnsi" w:cstheme="minorHAnsi"/>
          <w:color w:val="FF0000"/>
          <w:sz w:val="22"/>
          <w:szCs w:val="22"/>
        </w:rPr>
        <w:t xml:space="preserve">  </w:t>
      </w:r>
      <w:r w:rsidRPr="00635F47">
        <w:rPr>
          <w:rFonts w:asciiTheme="minorHAnsi" w:hAnsiTheme="minorHAnsi" w:cstheme="minorHAnsi"/>
          <w:color w:val="auto"/>
          <w:sz w:val="22"/>
          <w:szCs w:val="22"/>
        </w:rPr>
        <w:t xml:space="preserve"> Breathing Apparatus) 10 Years</w:t>
      </w:r>
    </w:p>
    <w:p w14:paraId="6BD26EF1" w14:textId="77777777" w:rsidR="00940834" w:rsidRPr="00635F47" w:rsidRDefault="00940834" w:rsidP="00940834">
      <w:pPr>
        <w:pStyle w:val="Default"/>
        <w:ind w:left="720"/>
        <w:rPr>
          <w:rFonts w:asciiTheme="minorHAnsi" w:hAnsiTheme="minorHAnsi" w:cstheme="minorHAnsi"/>
          <w:color w:val="auto"/>
          <w:sz w:val="22"/>
          <w:szCs w:val="22"/>
        </w:rPr>
      </w:pPr>
    </w:p>
    <w:p w14:paraId="02F6FE54"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Assets acquired under Finance Leases are Depreciated over the term of the lease (or the life of the asset if this is lower than the term of the lease) on a straight line basis. </w:t>
      </w:r>
    </w:p>
    <w:p w14:paraId="588789D9" w14:textId="77777777" w:rsidR="00940834" w:rsidRPr="00635F47" w:rsidRDefault="00940834" w:rsidP="00940834">
      <w:pPr>
        <w:pStyle w:val="Default"/>
        <w:rPr>
          <w:rFonts w:asciiTheme="minorHAnsi" w:hAnsiTheme="minorHAnsi" w:cstheme="minorHAnsi"/>
          <w:color w:val="auto"/>
          <w:sz w:val="22"/>
          <w:szCs w:val="22"/>
        </w:rPr>
      </w:pPr>
    </w:p>
    <w:p w14:paraId="62C01F8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7F874D45" w14:textId="77777777" w:rsidR="00940834" w:rsidRPr="00635F47" w:rsidRDefault="00940834" w:rsidP="00940834">
      <w:pPr>
        <w:pStyle w:val="Default"/>
        <w:rPr>
          <w:rFonts w:asciiTheme="minorHAnsi" w:hAnsiTheme="minorHAnsi" w:cstheme="minorHAnsi"/>
          <w:color w:val="auto"/>
          <w:sz w:val="22"/>
          <w:szCs w:val="22"/>
        </w:rPr>
      </w:pPr>
    </w:p>
    <w:p w14:paraId="04AC433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5F9C0F50" w14:textId="77777777" w:rsidR="00940834" w:rsidRPr="00635F47" w:rsidRDefault="00940834" w:rsidP="00940834">
      <w:pPr>
        <w:pStyle w:val="Default"/>
        <w:rPr>
          <w:rFonts w:asciiTheme="minorHAnsi" w:hAnsiTheme="minorHAnsi" w:cstheme="minorHAnsi"/>
          <w:color w:val="auto"/>
          <w:sz w:val="22"/>
          <w:szCs w:val="22"/>
        </w:rPr>
      </w:pPr>
    </w:p>
    <w:p w14:paraId="01046AF3" w14:textId="4CA2FF8D"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Authority is not required to raise council tax to cover Deprecia</w:t>
      </w:r>
      <w:r w:rsidR="00B210BB" w:rsidRPr="00635F47">
        <w:rPr>
          <w:rFonts w:asciiTheme="minorHAnsi" w:hAnsiTheme="minorHAnsi" w:cstheme="minorHAnsi"/>
          <w:color w:val="auto"/>
          <w:sz w:val="22"/>
          <w:szCs w:val="22"/>
        </w:rPr>
        <w:t>tion and</w:t>
      </w:r>
      <w:r w:rsidRPr="00635F47">
        <w:rPr>
          <w:rFonts w:asciiTheme="minorHAnsi" w:hAnsiTheme="minorHAnsi" w:cstheme="minorHAnsi"/>
          <w:color w:val="auto"/>
          <w:sz w:val="22"/>
          <w:szCs w:val="22"/>
        </w:rPr>
        <w:t xml:space="preserve"> Impairment, how</w:t>
      </w:r>
      <w:r w:rsidR="00A85E9D" w:rsidRPr="00635F47">
        <w:rPr>
          <w:rFonts w:asciiTheme="minorHAnsi" w:hAnsiTheme="minorHAnsi" w:cstheme="minorHAnsi"/>
          <w:color w:val="auto"/>
          <w:sz w:val="22"/>
          <w:szCs w:val="22"/>
        </w:rPr>
        <w:t>ever it is required to make an annual p</w:t>
      </w:r>
      <w:r w:rsidRPr="00635F47">
        <w:rPr>
          <w:rFonts w:asciiTheme="minorHAnsi" w:hAnsiTheme="minorHAnsi" w:cstheme="minorHAnsi"/>
          <w:color w:val="auto"/>
          <w:sz w:val="22"/>
          <w:szCs w:val="22"/>
        </w:rPr>
        <w:t>rovision from its revenue budget to contribute towards the reduction in its overall borrowing</w:t>
      </w:r>
      <w:r w:rsidRPr="007F07C2">
        <w:rPr>
          <w:rFonts w:asciiTheme="minorHAnsi" w:hAnsiTheme="minorHAnsi"/>
          <w:color w:val="auto"/>
          <w:sz w:val="22"/>
          <w:szCs w:val="20"/>
        </w:rPr>
        <w:t xml:space="preserve"> </w:t>
      </w:r>
      <w:r w:rsidRPr="00635F47">
        <w:rPr>
          <w:rFonts w:asciiTheme="minorHAnsi" w:hAnsiTheme="minorHAnsi" w:cstheme="minorHAnsi"/>
          <w:color w:val="auto"/>
          <w:sz w:val="22"/>
          <w:szCs w:val="22"/>
        </w:rPr>
        <w:t xml:space="preserve">requirement, the Minimum Revenue Provision (MRP). </w:t>
      </w:r>
      <w:r w:rsidR="00E71FF9" w:rsidRPr="00635F47">
        <w:rPr>
          <w:rFonts w:asciiTheme="minorHAnsi" w:hAnsiTheme="minorHAnsi" w:cstheme="minorHAnsi"/>
          <w:color w:val="auto"/>
          <w:sz w:val="22"/>
          <w:szCs w:val="22"/>
        </w:rPr>
        <w:t>The Authority borrowed for the first time in 202</w:t>
      </w:r>
      <w:r w:rsidR="00A16074" w:rsidRPr="00635F47">
        <w:rPr>
          <w:rFonts w:asciiTheme="minorHAnsi" w:hAnsiTheme="minorHAnsi" w:cstheme="minorHAnsi"/>
          <w:color w:val="auto"/>
          <w:sz w:val="22"/>
          <w:szCs w:val="22"/>
        </w:rPr>
        <w:t>1</w:t>
      </w:r>
      <w:r w:rsidR="00914701">
        <w:rPr>
          <w:rFonts w:asciiTheme="minorHAnsi" w:hAnsiTheme="minorHAnsi" w:cstheme="minorHAnsi"/>
          <w:color w:val="auto"/>
          <w:sz w:val="22"/>
          <w:szCs w:val="22"/>
        </w:rPr>
        <w:t>/</w:t>
      </w:r>
      <w:r w:rsidR="00E71FF9" w:rsidRPr="00635F47">
        <w:rPr>
          <w:rFonts w:asciiTheme="minorHAnsi" w:hAnsiTheme="minorHAnsi" w:cstheme="minorHAnsi"/>
          <w:color w:val="auto"/>
          <w:sz w:val="22"/>
          <w:szCs w:val="22"/>
        </w:rPr>
        <w:t>2</w:t>
      </w:r>
      <w:r w:rsidR="00A16074" w:rsidRPr="00635F47">
        <w:rPr>
          <w:rFonts w:asciiTheme="minorHAnsi" w:hAnsiTheme="minorHAnsi" w:cstheme="minorHAnsi"/>
          <w:color w:val="auto"/>
          <w:sz w:val="22"/>
          <w:szCs w:val="22"/>
        </w:rPr>
        <w:t>2</w:t>
      </w:r>
      <w:r w:rsidR="00E71FF9" w:rsidRPr="00635F47">
        <w:rPr>
          <w:rFonts w:asciiTheme="minorHAnsi" w:hAnsiTheme="minorHAnsi" w:cstheme="minorHAnsi"/>
          <w:color w:val="auto"/>
          <w:sz w:val="22"/>
          <w:szCs w:val="22"/>
        </w:rPr>
        <w:t xml:space="preserve"> for capital purposes.  The policy is to charge MRP over the life of the asset from the year after the asset acquired comes into use, so th</w:t>
      </w:r>
      <w:r w:rsidR="000C0A57" w:rsidRPr="00635F47">
        <w:rPr>
          <w:rFonts w:asciiTheme="minorHAnsi" w:hAnsiTheme="minorHAnsi" w:cstheme="minorHAnsi"/>
          <w:color w:val="auto"/>
          <w:sz w:val="22"/>
          <w:szCs w:val="22"/>
        </w:rPr>
        <w:t>e</w:t>
      </w:r>
      <w:r w:rsidR="00E71FF9" w:rsidRPr="00635F47">
        <w:rPr>
          <w:rFonts w:asciiTheme="minorHAnsi" w:hAnsiTheme="minorHAnsi" w:cstheme="minorHAnsi"/>
          <w:color w:val="auto"/>
          <w:sz w:val="22"/>
          <w:szCs w:val="22"/>
        </w:rPr>
        <w:t xml:space="preserve"> first charge w</w:t>
      </w:r>
      <w:r w:rsidR="000C0A57" w:rsidRPr="00635F47">
        <w:rPr>
          <w:rFonts w:asciiTheme="minorHAnsi" w:hAnsiTheme="minorHAnsi" w:cstheme="minorHAnsi"/>
          <w:color w:val="auto"/>
          <w:sz w:val="22"/>
          <w:szCs w:val="22"/>
        </w:rPr>
        <w:t>as</w:t>
      </w:r>
      <w:r w:rsidR="00E71FF9" w:rsidRPr="00635F47">
        <w:rPr>
          <w:rFonts w:asciiTheme="minorHAnsi" w:hAnsiTheme="minorHAnsi" w:cstheme="minorHAnsi"/>
          <w:color w:val="auto"/>
          <w:sz w:val="22"/>
          <w:szCs w:val="22"/>
        </w:rPr>
        <w:t xml:space="preserve"> made in 2021</w:t>
      </w:r>
      <w:r w:rsidR="00914701">
        <w:rPr>
          <w:rFonts w:asciiTheme="minorHAnsi" w:hAnsiTheme="minorHAnsi" w:cstheme="minorHAnsi"/>
          <w:color w:val="auto"/>
          <w:sz w:val="22"/>
          <w:szCs w:val="22"/>
        </w:rPr>
        <w:t>/</w:t>
      </w:r>
      <w:r w:rsidR="00E71FF9" w:rsidRPr="00635F47">
        <w:rPr>
          <w:rFonts w:asciiTheme="minorHAnsi" w:hAnsiTheme="minorHAnsi" w:cstheme="minorHAnsi"/>
          <w:color w:val="auto"/>
          <w:sz w:val="22"/>
          <w:szCs w:val="22"/>
        </w:rPr>
        <w:t>22.</w:t>
      </w:r>
    </w:p>
    <w:p w14:paraId="21879B8F" w14:textId="77777777" w:rsidR="00071FFE" w:rsidRPr="00635F47" w:rsidRDefault="00071FFE" w:rsidP="00940834">
      <w:pPr>
        <w:pStyle w:val="Default"/>
        <w:rPr>
          <w:rFonts w:asciiTheme="minorHAnsi" w:hAnsiTheme="minorHAnsi" w:cstheme="minorHAnsi"/>
          <w:b/>
          <w:bCs/>
          <w:color w:val="auto"/>
          <w:sz w:val="22"/>
          <w:szCs w:val="22"/>
        </w:rPr>
      </w:pPr>
    </w:p>
    <w:p w14:paraId="6A678807"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Government Grants </w:t>
      </w:r>
    </w:p>
    <w:p w14:paraId="20DA5A0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Government grants are grants from Government bodies. Revenue grants are matched against the expenditure to which they relate. Capital grants are credited to income once any conditions of the grant have been satisfied. Assets purchased from government grants are valued, Depreciated and Impaired as described for purchased Assets. </w:t>
      </w:r>
    </w:p>
    <w:p w14:paraId="73BCD333" w14:textId="77777777" w:rsidR="008D2F2C" w:rsidRPr="00635F47" w:rsidRDefault="008D2F2C" w:rsidP="00940834">
      <w:pPr>
        <w:pStyle w:val="Default"/>
        <w:rPr>
          <w:rFonts w:asciiTheme="minorHAnsi" w:hAnsiTheme="minorHAnsi" w:cstheme="minorHAnsi"/>
          <w:b/>
          <w:bCs/>
          <w:color w:val="auto"/>
          <w:sz w:val="22"/>
          <w:szCs w:val="22"/>
        </w:rPr>
      </w:pPr>
    </w:p>
    <w:p w14:paraId="2DFF33C1"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Leases </w:t>
      </w:r>
    </w:p>
    <w:p w14:paraId="32714011"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Leases are classified as Finance Leases when substantially all of the risks and rewards of ownership are transferred to the lessee. All other leases are classified as Operating Leases. </w:t>
      </w:r>
    </w:p>
    <w:p w14:paraId="3DB3948F" w14:textId="77777777" w:rsidR="00FC054D" w:rsidRPr="00635F47" w:rsidRDefault="00FC054D" w:rsidP="00940834">
      <w:pPr>
        <w:pStyle w:val="Default"/>
        <w:rPr>
          <w:rFonts w:asciiTheme="minorHAnsi" w:hAnsiTheme="minorHAnsi" w:cstheme="minorHAnsi"/>
          <w:b/>
          <w:bCs/>
          <w:color w:val="auto"/>
          <w:sz w:val="22"/>
          <w:szCs w:val="22"/>
        </w:rPr>
      </w:pPr>
    </w:p>
    <w:p w14:paraId="2D56F74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The Authority As A Lessee </w:t>
      </w:r>
    </w:p>
    <w:p w14:paraId="7C58797D" w14:textId="77777777" w:rsidR="00940834" w:rsidRPr="00635F47" w:rsidRDefault="00F24DD6"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Authority has a single a</w:t>
      </w:r>
      <w:r w:rsidR="00940834" w:rsidRPr="00635F47">
        <w:rPr>
          <w:rFonts w:asciiTheme="minorHAnsi" w:hAnsiTheme="minorHAnsi" w:cstheme="minorHAnsi"/>
          <w:color w:val="auto"/>
          <w:sz w:val="22"/>
          <w:szCs w:val="22"/>
        </w:rPr>
        <w:t xml:space="preserve">sset held under a Finance Lease (a vehicle). The outstanding Liability relating to Finance Leases is reflected in the Authority’s Balance Sheet, with the Assets acquired under Finance Leases added to the Authority’s Asset register and the value reflected in the Property, Plant and Equipment total on the Balance Sheet. Interest costs relating to Finance Leases are reflected in the Comprehensive Income and Expenditure Statement. Payments for Finance Leases are made in equal amounts over the term of the lease. Operating Lease payments are recognised as an expense on a straight-line basis over the lease term. Lease incentives are recognised initially as a Liability and subsequently as a reduction of rentals on a straight-line basis over the lease term. Where a lease is for land and buildings, the land and building components are separated. Leased land is treated as an Operating Lease. Leased buildings are assessed as to whether they are Operating Leases or Finance Leases. </w:t>
      </w:r>
    </w:p>
    <w:p w14:paraId="69399A6E" w14:textId="77777777" w:rsidR="00FC054D" w:rsidRPr="00635F47" w:rsidRDefault="00FC054D" w:rsidP="00940834">
      <w:pPr>
        <w:pStyle w:val="Default"/>
        <w:rPr>
          <w:rFonts w:asciiTheme="minorHAnsi" w:hAnsiTheme="minorHAnsi" w:cstheme="minorHAnsi"/>
          <w:b/>
          <w:bCs/>
          <w:color w:val="auto"/>
          <w:sz w:val="22"/>
          <w:szCs w:val="22"/>
        </w:rPr>
      </w:pPr>
    </w:p>
    <w:p w14:paraId="61E66F1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lastRenderedPageBreak/>
        <w:t xml:space="preserve">Inventories </w:t>
      </w:r>
    </w:p>
    <w:p w14:paraId="603F9160"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Inventories are valued at the lower of cost and Net Realisable Value using the average cost method. This is considered to be a reasonable approximation to Fair Value. </w:t>
      </w:r>
    </w:p>
    <w:p w14:paraId="01B9048B" w14:textId="77777777" w:rsidR="00940834" w:rsidRPr="00635F47" w:rsidRDefault="00940834" w:rsidP="00940834">
      <w:pPr>
        <w:pStyle w:val="Default"/>
        <w:rPr>
          <w:rFonts w:asciiTheme="minorHAnsi" w:hAnsiTheme="minorHAnsi" w:cstheme="minorHAnsi"/>
          <w:color w:val="auto"/>
          <w:sz w:val="22"/>
          <w:szCs w:val="22"/>
        </w:rPr>
      </w:pPr>
    </w:p>
    <w:p w14:paraId="31EFF4D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Cash and Cash Equivalents </w:t>
      </w:r>
    </w:p>
    <w:p w14:paraId="5D913D6A"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Cash is cash in hand and deposits with any financial institution repayable without penalty on notice of not more than 24 hours. The balances on the current account and the business reserve account are cash. The balance in the liquidity manager account is a cash equivalent (as this is held for investment purposes until a sufficient balance is achieved and a short-term investment entered into). In the Cash Flow Statement, cash and cash equivalents are shown net of bank overdrafts that are repayable on demand and that form an integral part of the Authority’s cash management. </w:t>
      </w:r>
    </w:p>
    <w:p w14:paraId="27EE03C5" w14:textId="77777777" w:rsidR="00D05A0C" w:rsidRPr="00635F47" w:rsidRDefault="00D05A0C" w:rsidP="00940834">
      <w:pPr>
        <w:pStyle w:val="Default"/>
        <w:rPr>
          <w:rFonts w:asciiTheme="minorHAnsi" w:hAnsiTheme="minorHAnsi" w:cstheme="minorHAnsi"/>
          <w:b/>
          <w:bCs/>
          <w:color w:val="auto"/>
          <w:sz w:val="22"/>
          <w:szCs w:val="22"/>
        </w:rPr>
      </w:pPr>
    </w:p>
    <w:p w14:paraId="7113647F"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Provisions </w:t>
      </w:r>
    </w:p>
    <w:p w14:paraId="1003445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686270BC" w14:textId="77777777" w:rsidR="007134F5" w:rsidRPr="00635F47" w:rsidRDefault="007134F5" w:rsidP="00940834">
      <w:pPr>
        <w:pStyle w:val="Default"/>
        <w:rPr>
          <w:rFonts w:asciiTheme="minorHAnsi" w:hAnsiTheme="minorHAnsi" w:cstheme="minorHAnsi"/>
          <w:b/>
          <w:bCs/>
          <w:color w:val="auto"/>
          <w:sz w:val="22"/>
          <w:szCs w:val="22"/>
        </w:rPr>
      </w:pPr>
    </w:p>
    <w:p w14:paraId="238BCB0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Reserves </w:t>
      </w:r>
    </w:p>
    <w:p w14:paraId="44F92A4E"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Authority sets aside specific reserves for future policy purposes. </w:t>
      </w:r>
      <w:r w:rsidR="006B3DA3" w:rsidRPr="00635F47">
        <w:rPr>
          <w:rFonts w:asciiTheme="minorHAnsi" w:hAnsiTheme="minorHAnsi" w:cstheme="minorHAnsi"/>
          <w:color w:val="auto"/>
          <w:sz w:val="22"/>
          <w:szCs w:val="22"/>
        </w:rPr>
        <w:t xml:space="preserve"> Details of these reserves are provided in the relevant note to the Accounts.  </w:t>
      </w:r>
      <w:r w:rsidRPr="00635F47">
        <w:rPr>
          <w:rFonts w:asciiTheme="minorHAnsi" w:hAnsiTheme="minorHAnsi" w:cstheme="minorHAnsi"/>
          <w:color w:val="auto"/>
          <w:sz w:val="22"/>
          <w:szCs w:val="22"/>
        </w:rPr>
        <w:t>The Authority has the following reserve</w:t>
      </w:r>
      <w:r w:rsidR="006B3DA3" w:rsidRPr="00635F47">
        <w:rPr>
          <w:rFonts w:asciiTheme="minorHAnsi" w:hAnsiTheme="minorHAnsi" w:cstheme="minorHAnsi"/>
          <w:color w:val="auto"/>
          <w:sz w:val="22"/>
          <w:szCs w:val="22"/>
        </w:rPr>
        <w:t>s:</w:t>
      </w:r>
    </w:p>
    <w:p w14:paraId="25D8CCDA" w14:textId="77777777" w:rsidR="006B3DA3" w:rsidRPr="00635F47" w:rsidRDefault="006B3DA3" w:rsidP="00940834">
      <w:pPr>
        <w:pStyle w:val="Default"/>
        <w:rPr>
          <w:rFonts w:asciiTheme="minorHAnsi" w:hAnsiTheme="minorHAnsi" w:cstheme="minorHAnsi"/>
          <w:color w:val="auto"/>
          <w:sz w:val="22"/>
          <w:szCs w:val="22"/>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6B3DA3" w:rsidRPr="00635F47" w14:paraId="75B2324D" w14:textId="77777777" w:rsidTr="006B3DA3">
        <w:tc>
          <w:tcPr>
            <w:tcW w:w="4176" w:type="dxa"/>
          </w:tcPr>
          <w:p w14:paraId="09378ADC"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General Reserve</w:t>
            </w:r>
          </w:p>
        </w:tc>
        <w:tc>
          <w:tcPr>
            <w:tcW w:w="5504" w:type="dxa"/>
          </w:tcPr>
          <w:p w14:paraId="32D6CE39"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S106 Developer Contributions</w:t>
            </w:r>
          </w:p>
        </w:tc>
      </w:tr>
      <w:tr w:rsidR="006B3DA3" w:rsidRPr="00635F47" w14:paraId="46FF4A08" w14:textId="77777777" w:rsidTr="006B3DA3">
        <w:tc>
          <w:tcPr>
            <w:tcW w:w="4176" w:type="dxa"/>
          </w:tcPr>
          <w:p w14:paraId="5040ACC2"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Insurance</w:t>
            </w:r>
          </w:p>
        </w:tc>
        <w:tc>
          <w:tcPr>
            <w:tcW w:w="5504" w:type="dxa"/>
          </w:tcPr>
          <w:p w14:paraId="5C3060D2"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Receipts Reserve</w:t>
            </w:r>
          </w:p>
        </w:tc>
      </w:tr>
      <w:tr w:rsidR="006B3DA3" w:rsidRPr="00635F47" w14:paraId="119DEEEE" w14:textId="77777777" w:rsidTr="006B3DA3">
        <w:tc>
          <w:tcPr>
            <w:tcW w:w="4176" w:type="dxa"/>
          </w:tcPr>
          <w:p w14:paraId="4AC7E468"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Funding Reserve</w:t>
            </w:r>
          </w:p>
        </w:tc>
        <w:tc>
          <w:tcPr>
            <w:tcW w:w="5504" w:type="dxa"/>
          </w:tcPr>
          <w:p w14:paraId="719238E7"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Grants Unapplied Reserve</w:t>
            </w:r>
          </w:p>
        </w:tc>
      </w:tr>
      <w:tr w:rsidR="006B3DA3" w:rsidRPr="00635F47" w14:paraId="17C098C9" w14:textId="77777777" w:rsidTr="006B3DA3">
        <w:tc>
          <w:tcPr>
            <w:tcW w:w="4176" w:type="dxa"/>
          </w:tcPr>
          <w:p w14:paraId="72E3E16C"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Transformation Reserve</w:t>
            </w:r>
          </w:p>
        </w:tc>
        <w:tc>
          <w:tcPr>
            <w:tcW w:w="5504" w:type="dxa"/>
          </w:tcPr>
          <w:p w14:paraId="2B4BD895"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and ESN Reserve</w:t>
            </w:r>
          </w:p>
        </w:tc>
      </w:tr>
      <w:tr w:rsidR="006B3DA3" w:rsidRPr="00635F47" w14:paraId="758B15C1" w14:textId="77777777" w:rsidTr="006B3DA3">
        <w:tc>
          <w:tcPr>
            <w:tcW w:w="4176" w:type="dxa"/>
          </w:tcPr>
          <w:p w14:paraId="52B20387"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Carry Forwards Reserve</w:t>
            </w:r>
          </w:p>
        </w:tc>
        <w:tc>
          <w:tcPr>
            <w:tcW w:w="5504" w:type="dxa"/>
          </w:tcPr>
          <w:p w14:paraId="123E27D7" w14:textId="77777777" w:rsidR="006B3DA3" w:rsidRPr="00635F47" w:rsidRDefault="006B3DA3" w:rsidP="006B3DA3">
            <w:pPr>
              <w:pStyle w:val="Default"/>
              <w:rPr>
                <w:rFonts w:asciiTheme="minorHAnsi" w:hAnsiTheme="minorHAnsi" w:cstheme="minorHAnsi"/>
                <w:color w:val="auto"/>
                <w:sz w:val="22"/>
                <w:szCs w:val="22"/>
              </w:rPr>
            </w:pPr>
          </w:p>
        </w:tc>
      </w:tr>
      <w:tr w:rsidR="006B3DA3" w:rsidRPr="00635F47" w14:paraId="4013823A" w14:textId="77777777" w:rsidTr="006B3DA3">
        <w:tc>
          <w:tcPr>
            <w:tcW w:w="4176" w:type="dxa"/>
          </w:tcPr>
          <w:p w14:paraId="73CE8538" w14:textId="77777777" w:rsidR="006B3DA3" w:rsidRPr="00635F47" w:rsidRDefault="006B3DA3" w:rsidP="006B3DA3">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Equipment Reserve</w:t>
            </w:r>
          </w:p>
        </w:tc>
        <w:tc>
          <w:tcPr>
            <w:tcW w:w="5504" w:type="dxa"/>
          </w:tcPr>
          <w:p w14:paraId="54D9BC24" w14:textId="77777777" w:rsidR="006B3DA3" w:rsidRPr="00635F47" w:rsidRDefault="006B3DA3" w:rsidP="006B3DA3">
            <w:pPr>
              <w:pStyle w:val="Default"/>
              <w:rPr>
                <w:rFonts w:asciiTheme="minorHAnsi" w:hAnsiTheme="minorHAnsi" w:cstheme="minorHAnsi"/>
                <w:color w:val="auto"/>
                <w:sz w:val="22"/>
                <w:szCs w:val="22"/>
              </w:rPr>
            </w:pPr>
          </w:p>
        </w:tc>
      </w:tr>
    </w:tbl>
    <w:p w14:paraId="4777BA0B" w14:textId="77777777" w:rsidR="006B3DA3" w:rsidRPr="00635F47" w:rsidRDefault="006B3DA3" w:rsidP="00940834">
      <w:pPr>
        <w:pStyle w:val="Default"/>
        <w:rPr>
          <w:rFonts w:asciiTheme="minorHAnsi" w:hAnsiTheme="minorHAnsi" w:cstheme="minorHAnsi"/>
          <w:color w:val="auto"/>
          <w:sz w:val="22"/>
          <w:szCs w:val="22"/>
        </w:rPr>
      </w:pPr>
    </w:p>
    <w:p w14:paraId="57292311" w14:textId="77777777" w:rsidR="00BF7320"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reserves held by the Authority, are held to meet accounting requirements: </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6B3DA3" w:rsidRPr="00635F47" w14:paraId="51DBD36A" w14:textId="77777777" w:rsidTr="002477CD">
        <w:tc>
          <w:tcPr>
            <w:tcW w:w="4176" w:type="dxa"/>
          </w:tcPr>
          <w:p w14:paraId="603332AB"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Revaluation Reserve</w:t>
            </w:r>
          </w:p>
        </w:tc>
        <w:tc>
          <w:tcPr>
            <w:tcW w:w="5504" w:type="dxa"/>
          </w:tcPr>
          <w:p w14:paraId="272BAEC0"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Capital Adjustment Account</w:t>
            </w:r>
          </w:p>
        </w:tc>
      </w:tr>
      <w:tr w:rsidR="006B3DA3" w:rsidRPr="00635F47" w14:paraId="6E2649AB" w14:textId="77777777" w:rsidTr="00BF7320">
        <w:trPr>
          <w:trHeight w:val="68"/>
        </w:trPr>
        <w:tc>
          <w:tcPr>
            <w:tcW w:w="4176" w:type="dxa"/>
          </w:tcPr>
          <w:p w14:paraId="794A7746"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Pension Reserve</w:t>
            </w:r>
          </w:p>
        </w:tc>
        <w:tc>
          <w:tcPr>
            <w:tcW w:w="5504" w:type="dxa"/>
          </w:tcPr>
          <w:p w14:paraId="38CEBC9B" w14:textId="77777777" w:rsidR="006B3DA3" w:rsidRPr="00635F47" w:rsidRDefault="006B3DA3" w:rsidP="002477CD">
            <w:pPr>
              <w:pStyle w:val="Default"/>
              <w:numPr>
                <w:ilvl w:val="0"/>
                <w:numId w:val="27"/>
              </w:numPr>
              <w:rPr>
                <w:rFonts w:asciiTheme="minorHAnsi" w:hAnsiTheme="minorHAnsi" w:cstheme="minorHAnsi"/>
                <w:color w:val="auto"/>
                <w:sz w:val="22"/>
                <w:szCs w:val="22"/>
              </w:rPr>
            </w:pPr>
            <w:r w:rsidRPr="00635F47">
              <w:rPr>
                <w:rFonts w:asciiTheme="minorHAnsi" w:hAnsiTheme="minorHAnsi" w:cstheme="minorHAnsi"/>
                <w:color w:val="auto"/>
                <w:sz w:val="22"/>
                <w:szCs w:val="22"/>
              </w:rPr>
              <w:t>Accumulated Absence Reserve</w:t>
            </w:r>
          </w:p>
        </w:tc>
      </w:tr>
    </w:tbl>
    <w:p w14:paraId="66C801A9"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Financial Assets </w:t>
      </w:r>
    </w:p>
    <w:p w14:paraId="21F48F4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recognised when the Authority becomes party to the Financial Instrument contract or in the case of trade receivables, when goods or services have been delivered. Financial assets are derecognised when the contractual rights have expired or the Asset has been transferred. Financial Assets are initially recognised at Fair Value. </w:t>
      </w:r>
    </w:p>
    <w:p w14:paraId="3E2888CE" w14:textId="77777777" w:rsidR="003D233C" w:rsidRPr="00635F47" w:rsidRDefault="003D233C" w:rsidP="00940834">
      <w:pPr>
        <w:pStyle w:val="Default"/>
        <w:rPr>
          <w:rFonts w:asciiTheme="minorHAnsi" w:hAnsiTheme="minorHAnsi" w:cstheme="minorHAnsi"/>
          <w:color w:val="auto"/>
          <w:sz w:val="22"/>
          <w:szCs w:val="22"/>
        </w:rPr>
      </w:pPr>
    </w:p>
    <w:p w14:paraId="341518A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classified into the following categories: Financial Assets at Fair Value through profit and loss; held to maturity investments; available for sale Financial Assets, and loans and receivables. The classification depends on the nature and purpose of the financial assets and is determined at the time of initial recognition. </w:t>
      </w:r>
    </w:p>
    <w:p w14:paraId="285FCC5C" w14:textId="77777777" w:rsidR="004A387B" w:rsidRPr="00635F47" w:rsidRDefault="004A387B" w:rsidP="00940834">
      <w:pPr>
        <w:pStyle w:val="Default"/>
        <w:rPr>
          <w:rFonts w:asciiTheme="minorHAnsi" w:hAnsiTheme="minorHAnsi" w:cstheme="minorHAnsi"/>
          <w:color w:val="auto"/>
          <w:sz w:val="22"/>
          <w:szCs w:val="22"/>
        </w:rPr>
      </w:pPr>
    </w:p>
    <w:p w14:paraId="7E2FAB67" w14:textId="77777777" w:rsidR="00940834" w:rsidRPr="00635F47" w:rsidRDefault="00940834" w:rsidP="00940834">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Loans and Receivables </w:t>
      </w:r>
    </w:p>
    <w:p w14:paraId="05CF8149" w14:textId="219C57B2" w:rsidR="00940834"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Loans and receivables are non-derivative Financial Assets with fixed or determinable payments which are not quoted in an active market. After initial recognition, they are measured at Amortised cost using the Effective Interest Method, less any Impairment. Interest is recognised using the Effective Interest Rate Method. </w:t>
      </w:r>
    </w:p>
    <w:p w14:paraId="05DCFCA4" w14:textId="77777777" w:rsidR="00BD4140" w:rsidRPr="00635F47" w:rsidRDefault="00BD4140" w:rsidP="00940834">
      <w:pPr>
        <w:pStyle w:val="Default"/>
        <w:rPr>
          <w:rFonts w:asciiTheme="minorHAnsi" w:hAnsiTheme="minorHAnsi" w:cstheme="minorHAnsi"/>
          <w:color w:val="auto"/>
          <w:sz w:val="22"/>
          <w:szCs w:val="22"/>
        </w:rPr>
      </w:pPr>
    </w:p>
    <w:p w14:paraId="049F9288" w14:textId="471B95F4" w:rsidR="00940834"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Fair Value is determined by reference to quoted market prices where possible, or failing that by reference to similar arms-length transactions between knowledgeable and willing parties. </w:t>
      </w:r>
    </w:p>
    <w:p w14:paraId="0854875D" w14:textId="77777777" w:rsidR="00BD4140" w:rsidRPr="00635F47" w:rsidRDefault="00BD4140" w:rsidP="00940834">
      <w:pPr>
        <w:pStyle w:val="Default"/>
        <w:rPr>
          <w:rFonts w:asciiTheme="minorHAnsi" w:hAnsiTheme="minorHAnsi" w:cstheme="minorHAnsi"/>
          <w:color w:val="auto"/>
          <w:sz w:val="22"/>
          <w:szCs w:val="22"/>
        </w:rPr>
      </w:pPr>
    </w:p>
    <w:p w14:paraId="78C52A0B"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Effective Interest Rate is the rate that exactly discounts estimated future cash receipts through the expected life of the financial asset.</w:t>
      </w:r>
    </w:p>
    <w:p w14:paraId="3EEAE281" w14:textId="77777777" w:rsidR="00940834" w:rsidRPr="00635F47" w:rsidRDefault="00940834" w:rsidP="00940834">
      <w:pPr>
        <w:pStyle w:val="Default"/>
        <w:rPr>
          <w:rFonts w:asciiTheme="minorHAnsi" w:hAnsiTheme="minorHAnsi" w:cstheme="minorHAnsi"/>
          <w:color w:val="auto"/>
          <w:sz w:val="22"/>
          <w:szCs w:val="22"/>
        </w:rPr>
      </w:pPr>
    </w:p>
    <w:p w14:paraId="5400481A"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At the end of the reporting period the Authority assesses whether any Financial Assets, other than those held at ‘Fair Value through profit and loss’ are impaired. Financial assets are impaired and Impairment losses recognised if there </w:t>
      </w:r>
      <w:r w:rsidRPr="00635F47">
        <w:rPr>
          <w:rFonts w:asciiTheme="minorHAnsi" w:hAnsiTheme="minorHAnsi" w:cstheme="minorHAnsi"/>
          <w:color w:val="auto"/>
          <w:sz w:val="22"/>
          <w:szCs w:val="22"/>
        </w:rPr>
        <w:lastRenderedPageBreak/>
        <w:t xml:space="preserve">is objective evidence of impairment, as a result of one or more events which occurred after the initial recognition of the Asset and which has an impact on the estimated future cash flows of the Asset. </w:t>
      </w:r>
    </w:p>
    <w:p w14:paraId="29DAF419" w14:textId="77777777" w:rsidR="00940834" w:rsidRPr="00635F47" w:rsidRDefault="00940834" w:rsidP="00940834">
      <w:pPr>
        <w:pStyle w:val="Default"/>
        <w:rPr>
          <w:rFonts w:asciiTheme="minorHAnsi" w:hAnsiTheme="minorHAnsi" w:cstheme="minorHAnsi"/>
          <w:color w:val="auto"/>
          <w:sz w:val="22"/>
          <w:szCs w:val="22"/>
        </w:rPr>
      </w:pPr>
    </w:p>
    <w:p w14:paraId="4FD33713"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For Financial Assets carried at amortised cost, the amount of the Impairment loss is measured as the difference between the Assets carrying amount and the present value of the revised future cash flows discounted at the Asset’s original effective interest rate. The loss is recognised in expenditure and the carrying amount of the Asset reduced directly. </w:t>
      </w:r>
    </w:p>
    <w:p w14:paraId="74F4C57E" w14:textId="77777777" w:rsidR="00940834" w:rsidRPr="00635F47" w:rsidRDefault="00940834" w:rsidP="00940834">
      <w:pPr>
        <w:pStyle w:val="Default"/>
        <w:rPr>
          <w:rFonts w:asciiTheme="minorHAnsi" w:hAnsiTheme="minorHAnsi" w:cstheme="minorHAnsi"/>
          <w:color w:val="auto"/>
          <w:sz w:val="22"/>
          <w:szCs w:val="22"/>
        </w:rPr>
      </w:pPr>
    </w:p>
    <w:p w14:paraId="6D495AB2"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in a subsequent period, the amount of the Impairment loss decreases and the decrease can be related objectively to an event occurring after the Impairment was recognised, the previously recognised impairment loss is reversed through expenditure to the extent that the carrying amount of the receivable at the date of the Impairment is reversed does not exceed what the amortised cost would have been had the Impairment not been recognised. </w:t>
      </w:r>
    </w:p>
    <w:p w14:paraId="32295C78" w14:textId="77777777" w:rsidR="00940834" w:rsidRPr="00635F47" w:rsidRDefault="00940834" w:rsidP="00940834">
      <w:pPr>
        <w:pStyle w:val="Default"/>
        <w:rPr>
          <w:rFonts w:asciiTheme="minorHAnsi" w:hAnsiTheme="minorHAnsi" w:cstheme="minorHAnsi"/>
          <w:color w:val="auto"/>
          <w:sz w:val="22"/>
          <w:szCs w:val="22"/>
        </w:rPr>
      </w:pPr>
    </w:p>
    <w:p w14:paraId="77CD4088"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Financial Liabilities </w:t>
      </w:r>
    </w:p>
    <w:p w14:paraId="1831928D"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p>
    <w:p w14:paraId="40CFE97D" w14:textId="77777777" w:rsidR="00940834" w:rsidRPr="00635F47" w:rsidRDefault="00940834" w:rsidP="00940834">
      <w:pPr>
        <w:pStyle w:val="Default"/>
        <w:rPr>
          <w:rFonts w:asciiTheme="minorHAnsi" w:hAnsiTheme="minorHAnsi" w:cstheme="minorHAnsi"/>
          <w:color w:val="auto"/>
          <w:sz w:val="22"/>
          <w:szCs w:val="22"/>
        </w:rPr>
      </w:pPr>
    </w:p>
    <w:p w14:paraId="033D3815"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Exceptional Items </w:t>
      </w:r>
    </w:p>
    <w:p w14:paraId="5E9D1EAC" w14:textId="77777777" w:rsidR="005B4755"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Exceptional items shall be included in the costs of the service to which they</w:t>
      </w:r>
      <w:r w:rsidR="005B4755" w:rsidRPr="00635F47">
        <w:rPr>
          <w:rFonts w:asciiTheme="minorHAnsi" w:hAnsiTheme="minorHAnsi" w:cstheme="minorHAnsi"/>
          <w:color w:val="auto"/>
          <w:sz w:val="22"/>
          <w:szCs w:val="22"/>
        </w:rPr>
        <w:t xml:space="preserve"> relate and noted accordingly. </w:t>
      </w:r>
    </w:p>
    <w:p w14:paraId="4CAE8A4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 </w:t>
      </w:r>
    </w:p>
    <w:p w14:paraId="5EFC5FF9"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Events After The Reporting Period </w:t>
      </w:r>
    </w:p>
    <w:p w14:paraId="12FAAF8C"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Material events after the Balance Sheet date shall be disclosed as a note to the Accounts and amended in the Accounts as required. Other events after the Balance Sheet date will be disclosed in a note with an estimate of the likely effect. </w:t>
      </w:r>
    </w:p>
    <w:p w14:paraId="362D4A67" w14:textId="77777777" w:rsidR="00940834" w:rsidRPr="00635F47" w:rsidRDefault="00940834" w:rsidP="00940834">
      <w:pPr>
        <w:pStyle w:val="Default"/>
        <w:rPr>
          <w:rFonts w:asciiTheme="minorHAnsi" w:hAnsiTheme="minorHAnsi" w:cstheme="minorHAnsi"/>
          <w:color w:val="auto"/>
          <w:sz w:val="22"/>
          <w:szCs w:val="22"/>
        </w:rPr>
      </w:pPr>
    </w:p>
    <w:p w14:paraId="028C2245" w14:textId="77777777" w:rsidR="00940834" w:rsidRPr="00635F47" w:rsidRDefault="00940834" w:rsidP="00940834">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VAT </w:t>
      </w:r>
    </w:p>
    <w:p w14:paraId="18562290" w14:textId="09D4E32B" w:rsidR="00BF7320" w:rsidRPr="00635F47" w:rsidRDefault="00940834" w:rsidP="0079406E">
      <w:pPr>
        <w:pStyle w:val="Default"/>
        <w:rPr>
          <w:rFonts w:asciiTheme="minorHAnsi" w:hAnsiTheme="minorHAnsi" w:cstheme="minorHAnsi"/>
          <w:b/>
          <w:bCs/>
          <w:color w:val="auto"/>
          <w:sz w:val="22"/>
          <w:szCs w:val="22"/>
        </w:rPr>
      </w:pPr>
      <w:r w:rsidRPr="00635F47">
        <w:rPr>
          <w:rFonts w:asciiTheme="minorHAnsi" w:hAnsiTheme="minorHAnsi" w:cstheme="minorHAnsi"/>
          <w:color w:val="auto"/>
          <w:sz w:val="22"/>
          <w:szCs w:val="22"/>
        </w:rPr>
        <w:t xml:space="preserve">Where output tax is charged or input VAT is recoverable, the amounts are stated net of VAT. Irrecoverable VAT is charged to the relevant expenditure category or included in the capitalised purchase cost of Non-Current Assets. </w:t>
      </w:r>
    </w:p>
    <w:p w14:paraId="3B78B199" w14:textId="77777777" w:rsidR="00BF7320" w:rsidRPr="00635F47" w:rsidRDefault="00BF7320">
      <w:pPr>
        <w:rPr>
          <w:rFonts w:cstheme="minorHAnsi"/>
          <w:b/>
          <w:bCs/>
        </w:rPr>
      </w:pPr>
      <w:r w:rsidRPr="00635F47">
        <w:rPr>
          <w:rFonts w:cstheme="minorHAnsi"/>
          <w:b/>
          <w:bCs/>
        </w:rPr>
        <w:br w:type="page"/>
      </w:r>
    </w:p>
    <w:p w14:paraId="204218C5" w14:textId="77777777" w:rsidR="00CA1DD8" w:rsidRPr="00635F47" w:rsidRDefault="00CA1DD8" w:rsidP="00CA1DD8">
      <w:pPr>
        <w:pStyle w:val="Default"/>
        <w:rPr>
          <w:rFonts w:asciiTheme="minorHAnsi" w:hAnsiTheme="minorHAnsi" w:cstheme="minorHAnsi"/>
          <w:b/>
          <w:bCs/>
          <w:color w:val="auto"/>
          <w:sz w:val="22"/>
          <w:szCs w:val="20"/>
        </w:rPr>
      </w:pPr>
      <w:r w:rsidRPr="00635F47">
        <w:rPr>
          <w:rFonts w:asciiTheme="minorHAnsi" w:hAnsiTheme="minorHAnsi" w:cstheme="minorHAnsi"/>
          <w:b/>
          <w:bCs/>
          <w:color w:val="auto"/>
          <w:sz w:val="28"/>
          <w:szCs w:val="28"/>
        </w:rPr>
        <w:lastRenderedPageBreak/>
        <w:t xml:space="preserve">ACCOUNTING STATEMENTS </w:t>
      </w:r>
    </w:p>
    <w:p w14:paraId="22BCFD68" w14:textId="77777777" w:rsidR="00EA3562" w:rsidRPr="00635F47" w:rsidRDefault="00EA3562" w:rsidP="00CA1DD8">
      <w:pPr>
        <w:pStyle w:val="Default"/>
        <w:rPr>
          <w:rFonts w:asciiTheme="minorHAnsi" w:hAnsiTheme="minorHAnsi" w:cstheme="minorHAnsi"/>
          <w:b/>
          <w:bCs/>
          <w:color w:val="auto"/>
          <w:sz w:val="28"/>
          <w:szCs w:val="28"/>
        </w:rPr>
      </w:pPr>
    </w:p>
    <w:p w14:paraId="47524F54" w14:textId="77777777" w:rsidR="00CA1DD8" w:rsidRPr="00635F47" w:rsidRDefault="00CA1DD8" w:rsidP="00CA1DD8">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t xml:space="preserve">COMPREHENSIVE INCOME AND EXPENDITURE STATEMENT </w:t>
      </w:r>
    </w:p>
    <w:p w14:paraId="2E99FA52" w14:textId="4D62CF40" w:rsidR="00CA1DD8" w:rsidRPr="00635F47" w:rsidRDefault="00CA1DD8" w:rsidP="007220F7">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F</w:t>
      </w:r>
      <w:r w:rsidR="004F5BD2" w:rsidRPr="00635F47">
        <w:rPr>
          <w:rFonts w:asciiTheme="minorHAnsi" w:hAnsiTheme="minorHAnsi" w:cstheme="minorHAnsi"/>
          <w:b/>
          <w:bCs/>
          <w:color w:val="auto"/>
          <w:sz w:val="22"/>
          <w:szCs w:val="22"/>
        </w:rPr>
        <w:t>OR THE YEAR ENDING 31 March 202</w:t>
      </w:r>
      <w:r w:rsidR="009774F5" w:rsidRPr="00635F47">
        <w:rPr>
          <w:rFonts w:asciiTheme="minorHAnsi" w:hAnsiTheme="minorHAnsi" w:cstheme="minorHAnsi"/>
          <w:b/>
          <w:bCs/>
          <w:color w:val="auto"/>
          <w:sz w:val="22"/>
          <w:szCs w:val="22"/>
        </w:rPr>
        <w:t>2</w:t>
      </w:r>
    </w:p>
    <w:p w14:paraId="43EDA0DC" w14:textId="4021B564" w:rsidR="003814B4" w:rsidRDefault="003814B4" w:rsidP="00067AEA">
      <w:pPr>
        <w:pStyle w:val="Default"/>
        <w:rPr>
          <w:rFonts w:asciiTheme="minorHAnsi" w:hAnsiTheme="minorHAnsi" w:cstheme="minorBidi"/>
          <w:color w:val="auto"/>
          <w:sz w:val="22"/>
          <w:szCs w:val="22"/>
        </w:rPr>
      </w:pPr>
    </w:p>
    <w:tbl>
      <w:tblPr>
        <w:tblW w:w="10979" w:type="dxa"/>
        <w:tblLook w:val="04A0" w:firstRow="1" w:lastRow="0" w:firstColumn="1" w:lastColumn="0" w:noHBand="0" w:noVBand="1"/>
      </w:tblPr>
      <w:tblGrid>
        <w:gridCol w:w="271"/>
        <w:gridCol w:w="850"/>
        <w:gridCol w:w="974"/>
        <w:gridCol w:w="1379"/>
        <w:gridCol w:w="3644"/>
        <w:gridCol w:w="667"/>
        <w:gridCol w:w="850"/>
        <w:gridCol w:w="1021"/>
        <w:gridCol w:w="1177"/>
        <w:gridCol w:w="271"/>
      </w:tblGrid>
      <w:tr w:rsidR="003814B4" w:rsidRPr="003814B4" w14:paraId="3C318A44" w14:textId="77777777" w:rsidTr="003814B4">
        <w:trPr>
          <w:trHeight w:val="96"/>
        </w:trPr>
        <w:tc>
          <w:tcPr>
            <w:tcW w:w="210" w:type="dxa"/>
            <w:tcBorders>
              <w:top w:val="nil"/>
              <w:left w:val="nil"/>
              <w:bottom w:val="nil"/>
              <w:right w:val="nil"/>
            </w:tcBorders>
            <w:shd w:val="clear" w:color="000000" w:fill="FFFFFF"/>
            <w:noWrap/>
            <w:vAlign w:val="bottom"/>
            <w:hideMark/>
          </w:tcPr>
          <w:p w14:paraId="426AA6D7" w14:textId="0C5F6D3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108F5B9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974" w:type="dxa"/>
            <w:tcBorders>
              <w:top w:val="nil"/>
              <w:left w:val="nil"/>
              <w:bottom w:val="nil"/>
              <w:right w:val="nil"/>
            </w:tcBorders>
            <w:shd w:val="clear" w:color="000000" w:fill="FFFFFF"/>
            <w:noWrap/>
            <w:vAlign w:val="bottom"/>
            <w:hideMark/>
          </w:tcPr>
          <w:p w14:paraId="66B9E01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378" w:type="dxa"/>
            <w:tcBorders>
              <w:top w:val="nil"/>
              <w:left w:val="nil"/>
              <w:bottom w:val="nil"/>
              <w:right w:val="nil"/>
            </w:tcBorders>
            <w:shd w:val="clear" w:color="000000" w:fill="FFFFFF"/>
            <w:noWrap/>
            <w:vAlign w:val="bottom"/>
            <w:hideMark/>
          </w:tcPr>
          <w:p w14:paraId="03D68E3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644" w:type="dxa"/>
            <w:tcBorders>
              <w:top w:val="nil"/>
              <w:left w:val="nil"/>
              <w:bottom w:val="nil"/>
              <w:right w:val="nil"/>
            </w:tcBorders>
            <w:shd w:val="clear" w:color="000000" w:fill="FFFFFF"/>
            <w:noWrap/>
            <w:hideMark/>
          </w:tcPr>
          <w:p w14:paraId="591AFF91"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hideMark/>
          </w:tcPr>
          <w:p w14:paraId="7BCB35DD"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hideMark/>
          </w:tcPr>
          <w:p w14:paraId="3DDE5778"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hideMark/>
          </w:tcPr>
          <w:p w14:paraId="15CE7DEC"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FFFF"/>
            <w:noWrap/>
            <w:hideMark/>
          </w:tcPr>
          <w:p w14:paraId="2DC18CB8" w14:textId="77777777" w:rsidR="003814B4" w:rsidRPr="003814B4" w:rsidRDefault="003814B4" w:rsidP="003814B4">
            <w:pPr>
              <w:spacing w:after="0" w:line="240" w:lineRule="auto"/>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210" w:type="dxa"/>
            <w:tcBorders>
              <w:top w:val="nil"/>
              <w:left w:val="nil"/>
              <w:bottom w:val="nil"/>
              <w:right w:val="nil"/>
            </w:tcBorders>
            <w:shd w:val="clear" w:color="000000" w:fill="FFFFFF"/>
            <w:noWrap/>
            <w:vAlign w:val="bottom"/>
            <w:hideMark/>
          </w:tcPr>
          <w:p w14:paraId="75403B5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E0B5A9E" w14:textId="77777777" w:rsidTr="003814B4">
        <w:trPr>
          <w:trHeight w:val="253"/>
        </w:trPr>
        <w:tc>
          <w:tcPr>
            <w:tcW w:w="210" w:type="dxa"/>
            <w:tcBorders>
              <w:top w:val="nil"/>
              <w:left w:val="nil"/>
              <w:bottom w:val="nil"/>
              <w:right w:val="nil"/>
            </w:tcBorders>
            <w:shd w:val="clear" w:color="000000" w:fill="FFFFFF"/>
            <w:noWrap/>
            <w:vAlign w:val="bottom"/>
            <w:hideMark/>
          </w:tcPr>
          <w:p w14:paraId="539230B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203" w:type="dxa"/>
            <w:gridSpan w:val="3"/>
            <w:tcBorders>
              <w:top w:val="nil"/>
              <w:left w:val="nil"/>
              <w:bottom w:val="nil"/>
              <w:right w:val="nil"/>
            </w:tcBorders>
            <w:shd w:val="clear" w:color="000000" w:fill="C00000"/>
            <w:noWrap/>
            <w:vAlign w:val="center"/>
            <w:hideMark/>
          </w:tcPr>
          <w:p w14:paraId="2A649AED" w14:textId="77777777" w:rsidR="003814B4" w:rsidRPr="003814B4" w:rsidRDefault="003814B4" w:rsidP="003814B4">
            <w:pPr>
              <w:spacing w:after="0" w:line="240" w:lineRule="auto"/>
              <w:jc w:val="center"/>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2020/21</w:t>
            </w:r>
          </w:p>
        </w:tc>
        <w:tc>
          <w:tcPr>
            <w:tcW w:w="3644" w:type="dxa"/>
            <w:tcBorders>
              <w:top w:val="nil"/>
              <w:left w:val="nil"/>
              <w:bottom w:val="nil"/>
              <w:right w:val="nil"/>
            </w:tcBorders>
            <w:shd w:val="clear" w:color="000000" w:fill="FFFFFF"/>
            <w:hideMark/>
          </w:tcPr>
          <w:p w14:paraId="70984EE3"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val="restart"/>
            <w:tcBorders>
              <w:top w:val="nil"/>
              <w:left w:val="nil"/>
              <w:bottom w:val="nil"/>
              <w:right w:val="nil"/>
            </w:tcBorders>
            <w:shd w:val="clear" w:color="000000" w:fill="C00000"/>
            <w:vAlign w:val="center"/>
            <w:hideMark/>
          </w:tcPr>
          <w:p w14:paraId="1E173DAC"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Note Ref</w:t>
            </w:r>
          </w:p>
        </w:tc>
        <w:tc>
          <w:tcPr>
            <w:tcW w:w="3048" w:type="dxa"/>
            <w:gridSpan w:val="3"/>
            <w:tcBorders>
              <w:top w:val="nil"/>
              <w:left w:val="nil"/>
              <w:bottom w:val="nil"/>
              <w:right w:val="nil"/>
            </w:tcBorders>
            <w:shd w:val="clear" w:color="000000" w:fill="C00000"/>
            <w:noWrap/>
            <w:vAlign w:val="center"/>
            <w:hideMark/>
          </w:tcPr>
          <w:p w14:paraId="7CA5B5D7" w14:textId="77777777" w:rsidR="003814B4" w:rsidRPr="003814B4" w:rsidRDefault="003814B4" w:rsidP="003814B4">
            <w:pPr>
              <w:spacing w:after="0" w:line="240" w:lineRule="auto"/>
              <w:jc w:val="center"/>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2021/22</w:t>
            </w:r>
          </w:p>
        </w:tc>
        <w:tc>
          <w:tcPr>
            <w:tcW w:w="210" w:type="dxa"/>
            <w:tcBorders>
              <w:top w:val="nil"/>
              <w:left w:val="nil"/>
              <w:bottom w:val="nil"/>
              <w:right w:val="nil"/>
            </w:tcBorders>
            <w:shd w:val="clear" w:color="000000" w:fill="FFFFFF"/>
            <w:noWrap/>
            <w:vAlign w:val="bottom"/>
            <w:hideMark/>
          </w:tcPr>
          <w:p w14:paraId="7C3DE872"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D84A5FA" w14:textId="77777777" w:rsidTr="003814B4">
        <w:trPr>
          <w:trHeight w:val="1941"/>
        </w:trPr>
        <w:tc>
          <w:tcPr>
            <w:tcW w:w="210" w:type="dxa"/>
            <w:tcBorders>
              <w:top w:val="nil"/>
              <w:left w:val="nil"/>
              <w:bottom w:val="nil"/>
              <w:right w:val="nil"/>
            </w:tcBorders>
            <w:shd w:val="clear" w:color="000000" w:fill="FFFFFF"/>
            <w:noWrap/>
            <w:vAlign w:val="bottom"/>
            <w:hideMark/>
          </w:tcPr>
          <w:p w14:paraId="44A04D5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C00000"/>
            <w:textDirection w:val="btLr"/>
            <w:vAlign w:val="bottom"/>
            <w:hideMark/>
          </w:tcPr>
          <w:p w14:paraId="54C3083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Expenditure</w:t>
            </w:r>
          </w:p>
        </w:tc>
        <w:tc>
          <w:tcPr>
            <w:tcW w:w="974" w:type="dxa"/>
            <w:tcBorders>
              <w:top w:val="nil"/>
              <w:left w:val="nil"/>
              <w:bottom w:val="nil"/>
              <w:right w:val="nil"/>
            </w:tcBorders>
            <w:shd w:val="clear" w:color="000000" w:fill="C00000"/>
            <w:noWrap/>
            <w:textDirection w:val="btLr"/>
            <w:vAlign w:val="bottom"/>
            <w:hideMark/>
          </w:tcPr>
          <w:p w14:paraId="59204156"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Income</w:t>
            </w:r>
          </w:p>
        </w:tc>
        <w:tc>
          <w:tcPr>
            <w:tcW w:w="1378" w:type="dxa"/>
            <w:tcBorders>
              <w:top w:val="nil"/>
              <w:left w:val="nil"/>
              <w:bottom w:val="nil"/>
              <w:right w:val="nil"/>
            </w:tcBorders>
            <w:shd w:val="clear" w:color="000000" w:fill="C00000"/>
            <w:textDirection w:val="btLr"/>
            <w:vAlign w:val="bottom"/>
            <w:hideMark/>
          </w:tcPr>
          <w:p w14:paraId="45776206"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Net Expenditure/Income (-)</w:t>
            </w:r>
          </w:p>
        </w:tc>
        <w:tc>
          <w:tcPr>
            <w:tcW w:w="3644" w:type="dxa"/>
            <w:tcBorders>
              <w:top w:val="nil"/>
              <w:left w:val="nil"/>
              <w:bottom w:val="nil"/>
              <w:right w:val="nil"/>
            </w:tcBorders>
            <w:shd w:val="clear" w:color="000000" w:fill="FFFFFF"/>
            <w:hideMark/>
          </w:tcPr>
          <w:p w14:paraId="0FF85B98"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tcBorders>
              <w:top w:val="nil"/>
              <w:left w:val="nil"/>
              <w:bottom w:val="nil"/>
              <w:right w:val="nil"/>
            </w:tcBorders>
            <w:vAlign w:val="center"/>
            <w:hideMark/>
          </w:tcPr>
          <w:p w14:paraId="45DEA0C6" w14:textId="77777777" w:rsidR="003814B4" w:rsidRPr="003814B4" w:rsidRDefault="003814B4" w:rsidP="003814B4">
            <w:pPr>
              <w:spacing w:after="0" w:line="240" w:lineRule="auto"/>
              <w:rPr>
                <w:rFonts w:ascii="Calibri" w:eastAsia="Times New Roman" w:hAnsi="Calibri" w:cs="Calibri"/>
                <w:b/>
                <w:bCs/>
                <w:color w:val="FFFFFF"/>
                <w:lang w:eastAsia="en-GB"/>
              </w:rPr>
            </w:pPr>
          </w:p>
        </w:tc>
        <w:tc>
          <w:tcPr>
            <w:tcW w:w="850" w:type="dxa"/>
            <w:tcBorders>
              <w:top w:val="nil"/>
              <w:left w:val="nil"/>
              <w:bottom w:val="nil"/>
              <w:right w:val="nil"/>
            </w:tcBorders>
            <w:shd w:val="clear" w:color="000000" w:fill="C00000"/>
            <w:textDirection w:val="btLr"/>
            <w:vAlign w:val="bottom"/>
            <w:hideMark/>
          </w:tcPr>
          <w:p w14:paraId="08CA9B8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Expenditure</w:t>
            </w:r>
          </w:p>
        </w:tc>
        <w:tc>
          <w:tcPr>
            <w:tcW w:w="1021" w:type="dxa"/>
            <w:tcBorders>
              <w:top w:val="nil"/>
              <w:left w:val="nil"/>
              <w:bottom w:val="nil"/>
              <w:right w:val="nil"/>
            </w:tcBorders>
            <w:shd w:val="clear" w:color="000000" w:fill="C00000"/>
            <w:noWrap/>
            <w:textDirection w:val="btLr"/>
            <w:vAlign w:val="bottom"/>
            <w:hideMark/>
          </w:tcPr>
          <w:p w14:paraId="5FBC79F4"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Gross Income</w:t>
            </w:r>
          </w:p>
        </w:tc>
        <w:tc>
          <w:tcPr>
            <w:tcW w:w="1176" w:type="dxa"/>
            <w:tcBorders>
              <w:top w:val="nil"/>
              <w:left w:val="nil"/>
              <w:bottom w:val="nil"/>
              <w:right w:val="nil"/>
            </w:tcBorders>
            <w:shd w:val="clear" w:color="000000" w:fill="C00000"/>
            <w:textDirection w:val="btLr"/>
            <w:vAlign w:val="bottom"/>
            <w:hideMark/>
          </w:tcPr>
          <w:p w14:paraId="5C9F7A8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Net Expenditure/Income (-)</w:t>
            </w:r>
          </w:p>
        </w:tc>
        <w:tc>
          <w:tcPr>
            <w:tcW w:w="210" w:type="dxa"/>
            <w:tcBorders>
              <w:top w:val="nil"/>
              <w:left w:val="nil"/>
              <w:bottom w:val="nil"/>
              <w:right w:val="nil"/>
            </w:tcBorders>
            <w:shd w:val="clear" w:color="000000" w:fill="FFFFFF"/>
            <w:noWrap/>
            <w:vAlign w:val="bottom"/>
            <w:hideMark/>
          </w:tcPr>
          <w:p w14:paraId="6D2C74AB"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B3E7D29" w14:textId="77777777" w:rsidTr="003814B4">
        <w:trPr>
          <w:trHeight w:val="233"/>
        </w:trPr>
        <w:tc>
          <w:tcPr>
            <w:tcW w:w="210" w:type="dxa"/>
            <w:tcBorders>
              <w:top w:val="nil"/>
              <w:left w:val="nil"/>
              <w:bottom w:val="nil"/>
              <w:right w:val="nil"/>
            </w:tcBorders>
            <w:shd w:val="clear" w:color="000000" w:fill="FFFFFF"/>
            <w:noWrap/>
            <w:vAlign w:val="bottom"/>
            <w:hideMark/>
          </w:tcPr>
          <w:p w14:paraId="44E04A5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C00000"/>
            <w:noWrap/>
            <w:vAlign w:val="center"/>
            <w:hideMark/>
          </w:tcPr>
          <w:p w14:paraId="6B913310"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974" w:type="dxa"/>
            <w:tcBorders>
              <w:top w:val="nil"/>
              <w:left w:val="nil"/>
              <w:bottom w:val="nil"/>
              <w:right w:val="nil"/>
            </w:tcBorders>
            <w:shd w:val="clear" w:color="000000" w:fill="C00000"/>
            <w:noWrap/>
            <w:vAlign w:val="center"/>
            <w:hideMark/>
          </w:tcPr>
          <w:p w14:paraId="3C60DAE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378" w:type="dxa"/>
            <w:tcBorders>
              <w:top w:val="nil"/>
              <w:left w:val="nil"/>
              <w:bottom w:val="nil"/>
              <w:right w:val="nil"/>
            </w:tcBorders>
            <w:shd w:val="clear" w:color="000000" w:fill="C00000"/>
            <w:noWrap/>
            <w:vAlign w:val="center"/>
            <w:hideMark/>
          </w:tcPr>
          <w:p w14:paraId="6AB9E37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3644" w:type="dxa"/>
            <w:tcBorders>
              <w:top w:val="nil"/>
              <w:left w:val="nil"/>
              <w:bottom w:val="nil"/>
              <w:right w:val="nil"/>
            </w:tcBorders>
            <w:shd w:val="clear" w:color="000000" w:fill="FFFFFF"/>
            <w:noWrap/>
            <w:hideMark/>
          </w:tcPr>
          <w:p w14:paraId="78595F5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 </w:t>
            </w:r>
          </w:p>
        </w:tc>
        <w:tc>
          <w:tcPr>
            <w:tcW w:w="664" w:type="dxa"/>
            <w:vMerge/>
            <w:tcBorders>
              <w:top w:val="nil"/>
              <w:left w:val="nil"/>
              <w:bottom w:val="nil"/>
              <w:right w:val="nil"/>
            </w:tcBorders>
            <w:vAlign w:val="center"/>
            <w:hideMark/>
          </w:tcPr>
          <w:p w14:paraId="17AB9581" w14:textId="77777777" w:rsidR="003814B4" w:rsidRPr="003814B4" w:rsidRDefault="003814B4" w:rsidP="003814B4">
            <w:pPr>
              <w:spacing w:after="0" w:line="240" w:lineRule="auto"/>
              <w:rPr>
                <w:rFonts w:ascii="Calibri" w:eastAsia="Times New Roman" w:hAnsi="Calibri" w:cs="Calibri"/>
                <w:b/>
                <w:bCs/>
                <w:color w:val="FFFFFF"/>
                <w:lang w:eastAsia="en-GB"/>
              </w:rPr>
            </w:pPr>
          </w:p>
        </w:tc>
        <w:tc>
          <w:tcPr>
            <w:tcW w:w="850" w:type="dxa"/>
            <w:tcBorders>
              <w:top w:val="nil"/>
              <w:left w:val="nil"/>
              <w:bottom w:val="nil"/>
              <w:right w:val="nil"/>
            </w:tcBorders>
            <w:shd w:val="clear" w:color="000000" w:fill="C00000"/>
            <w:noWrap/>
            <w:vAlign w:val="center"/>
            <w:hideMark/>
          </w:tcPr>
          <w:p w14:paraId="2C9323F2"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021" w:type="dxa"/>
            <w:tcBorders>
              <w:top w:val="nil"/>
              <w:left w:val="nil"/>
              <w:bottom w:val="nil"/>
              <w:right w:val="nil"/>
            </w:tcBorders>
            <w:shd w:val="clear" w:color="000000" w:fill="C00000"/>
            <w:noWrap/>
            <w:vAlign w:val="center"/>
            <w:hideMark/>
          </w:tcPr>
          <w:p w14:paraId="23D6C997"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1176" w:type="dxa"/>
            <w:tcBorders>
              <w:top w:val="nil"/>
              <w:left w:val="nil"/>
              <w:bottom w:val="nil"/>
              <w:right w:val="nil"/>
            </w:tcBorders>
            <w:shd w:val="clear" w:color="000000" w:fill="C00000"/>
            <w:noWrap/>
            <w:vAlign w:val="center"/>
            <w:hideMark/>
          </w:tcPr>
          <w:p w14:paraId="0200750F" w14:textId="77777777" w:rsidR="003814B4" w:rsidRPr="003814B4" w:rsidRDefault="003814B4" w:rsidP="003814B4">
            <w:pPr>
              <w:spacing w:after="0" w:line="240" w:lineRule="auto"/>
              <w:jc w:val="right"/>
              <w:rPr>
                <w:rFonts w:ascii="Calibri" w:eastAsia="Times New Roman" w:hAnsi="Calibri" w:cs="Calibri"/>
                <w:b/>
                <w:bCs/>
                <w:color w:val="FFFFFF"/>
                <w:lang w:eastAsia="en-GB"/>
              </w:rPr>
            </w:pPr>
            <w:r w:rsidRPr="003814B4">
              <w:rPr>
                <w:rFonts w:ascii="Calibri" w:eastAsia="Times New Roman" w:hAnsi="Calibri" w:cs="Calibri"/>
                <w:b/>
                <w:bCs/>
                <w:color w:val="FFFFFF"/>
                <w:lang w:eastAsia="en-GB"/>
              </w:rPr>
              <w:t>£000</w:t>
            </w:r>
          </w:p>
        </w:tc>
        <w:tc>
          <w:tcPr>
            <w:tcW w:w="210" w:type="dxa"/>
            <w:tcBorders>
              <w:top w:val="nil"/>
              <w:left w:val="nil"/>
              <w:bottom w:val="nil"/>
              <w:right w:val="nil"/>
            </w:tcBorders>
            <w:shd w:val="clear" w:color="000000" w:fill="FFFFFF"/>
            <w:noWrap/>
            <w:vAlign w:val="bottom"/>
            <w:hideMark/>
          </w:tcPr>
          <w:p w14:paraId="669773B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D222C88" w14:textId="77777777" w:rsidTr="003814B4">
        <w:trPr>
          <w:trHeight w:val="361"/>
        </w:trPr>
        <w:tc>
          <w:tcPr>
            <w:tcW w:w="210" w:type="dxa"/>
            <w:tcBorders>
              <w:top w:val="nil"/>
              <w:left w:val="nil"/>
              <w:bottom w:val="nil"/>
              <w:right w:val="nil"/>
            </w:tcBorders>
            <w:shd w:val="clear" w:color="000000" w:fill="FFFFFF"/>
            <w:noWrap/>
            <w:vAlign w:val="bottom"/>
            <w:hideMark/>
          </w:tcPr>
          <w:p w14:paraId="0754644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single" w:sz="4" w:space="0" w:color="auto"/>
              <w:right w:val="nil"/>
            </w:tcBorders>
            <w:shd w:val="clear" w:color="000000" w:fill="FFFFFF"/>
            <w:noWrap/>
            <w:vAlign w:val="center"/>
            <w:hideMark/>
          </w:tcPr>
          <w:p w14:paraId="4B982EE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33,060</w:t>
            </w:r>
          </w:p>
        </w:tc>
        <w:tc>
          <w:tcPr>
            <w:tcW w:w="974" w:type="dxa"/>
            <w:tcBorders>
              <w:top w:val="nil"/>
              <w:left w:val="nil"/>
              <w:bottom w:val="single" w:sz="4" w:space="0" w:color="auto"/>
              <w:right w:val="nil"/>
            </w:tcBorders>
            <w:shd w:val="clear" w:color="000000" w:fill="FFFFFF"/>
            <w:noWrap/>
            <w:vAlign w:val="center"/>
            <w:hideMark/>
          </w:tcPr>
          <w:p w14:paraId="284CC48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(10,133)</w:t>
            </w:r>
          </w:p>
        </w:tc>
        <w:tc>
          <w:tcPr>
            <w:tcW w:w="1378" w:type="dxa"/>
            <w:tcBorders>
              <w:top w:val="nil"/>
              <w:left w:val="nil"/>
              <w:bottom w:val="single" w:sz="4" w:space="0" w:color="auto"/>
              <w:right w:val="nil"/>
            </w:tcBorders>
            <w:shd w:val="clear" w:color="000000" w:fill="FFE1E1"/>
            <w:noWrap/>
            <w:vAlign w:val="center"/>
            <w:hideMark/>
          </w:tcPr>
          <w:p w14:paraId="241BB8F2"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22,927</w:t>
            </w:r>
          </w:p>
        </w:tc>
        <w:tc>
          <w:tcPr>
            <w:tcW w:w="3644" w:type="dxa"/>
            <w:tcBorders>
              <w:top w:val="nil"/>
              <w:left w:val="nil"/>
              <w:bottom w:val="nil"/>
              <w:right w:val="nil"/>
            </w:tcBorders>
            <w:shd w:val="clear" w:color="000000" w:fill="FFFFFF"/>
            <w:noWrap/>
            <w:vAlign w:val="center"/>
            <w:hideMark/>
          </w:tcPr>
          <w:p w14:paraId="5692F035" w14:textId="77777777" w:rsidR="003814B4" w:rsidRPr="003814B4" w:rsidRDefault="003814B4" w:rsidP="003814B4">
            <w:pPr>
              <w:spacing w:after="0" w:line="240" w:lineRule="auto"/>
              <w:jc w:val="right"/>
              <w:rPr>
                <w:rFonts w:ascii="Calibri" w:eastAsia="Times New Roman" w:hAnsi="Calibri" w:cs="Calibri"/>
                <w:lang w:eastAsia="en-GB"/>
              </w:rPr>
            </w:pPr>
            <w:r w:rsidRPr="003814B4">
              <w:rPr>
                <w:rFonts w:ascii="Calibri" w:eastAsia="Times New Roman" w:hAnsi="Calibri" w:cs="Calibri"/>
                <w:lang w:eastAsia="en-GB"/>
              </w:rPr>
              <w:t>Fire and Rescue Services</w:t>
            </w:r>
          </w:p>
        </w:tc>
        <w:tc>
          <w:tcPr>
            <w:tcW w:w="664" w:type="dxa"/>
            <w:tcBorders>
              <w:top w:val="nil"/>
              <w:left w:val="nil"/>
              <w:bottom w:val="nil"/>
              <w:right w:val="nil"/>
            </w:tcBorders>
            <w:shd w:val="clear" w:color="000000" w:fill="FFFFFF"/>
            <w:noWrap/>
            <w:vAlign w:val="center"/>
            <w:hideMark/>
          </w:tcPr>
          <w:p w14:paraId="5E16085B" w14:textId="77777777" w:rsidR="003814B4" w:rsidRPr="003814B4" w:rsidRDefault="003814B4" w:rsidP="003814B4">
            <w:pPr>
              <w:spacing w:after="0" w:line="240" w:lineRule="auto"/>
              <w:jc w:val="right"/>
              <w:rPr>
                <w:rFonts w:ascii="Calibri" w:eastAsia="Times New Roman" w:hAnsi="Calibri" w:cs="Calibri"/>
                <w:lang w:eastAsia="en-GB"/>
              </w:rPr>
            </w:pPr>
            <w:r w:rsidRPr="003814B4">
              <w:rPr>
                <w:rFonts w:ascii="Calibri" w:eastAsia="Times New Roman" w:hAnsi="Calibri" w:cs="Calibri"/>
                <w:lang w:eastAsia="en-GB"/>
              </w:rPr>
              <w:t> </w:t>
            </w:r>
          </w:p>
        </w:tc>
        <w:tc>
          <w:tcPr>
            <w:tcW w:w="850" w:type="dxa"/>
            <w:tcBorders>
              <w:top w:val="nil"/>
              <w:left w:val="nil"/>
              <w:bottom w:val="single" w:sz="4" w:space="0" w:color="auto"/>
              <w:right w:val="nil"/>
            </w:tcBorders>
            <w:shd w:val="clear" w:color="000000" w:fill="FFFFFF"/>
            <w:noWrap/>
            <w:vAlign w:val="center"/>
            <w:hideMark/>
          </w:tcPr>
          <w:p w14:paraId="0E4B6281" w14:textId="18D321B6"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34,</w:t>
            </w:r>
            <w:r w:rsidR="005E1074">
              <w:rPr>
                <w:rFonts w:ascii="Calibri" w:eastAsia="Times New Roman" w:hAnsi="Calibri" w:cs="Calibri"/>
                <w:color w:val="000000"/>
                <w:lang w:eastAsia="en-GB"/>
              </w:rPr>
              <w:t>4</w:t>
            </w:r>
            <w:r w:rsidR="004D04F0">
              <w:rPr>
                <w:rFonts w:ascii="Calibri" w:eastAsia="Times New Roman" w:hAnsi="Calibri" w:cs="Calibri"/>
                <w:color w:val="000000"/>
                <w:lang w:eastAsia="en-GB"/>
              </w:rPr>
              <w:t>83</w:t>
            </w:r>
          </w:p>
        </w:tc>
        <w:tc>
          <w:tcPr>
            <w:tcW w:w="1021" w:type="dxa"/>
            <w:tcBorders>
              <w:top w:val="nil"/>
              <w:left w:val="nil"/>
              <w:bottom w:val="single" w:sz="4" w:space="0" w:color="auto"/>
              <w:right w:val="nil"/>
            </w:tcBorders>
            <w:shd w:val="clear" w:color="000000" w:fill="FFFFFF"/>
            <w:noWrap/>
            <w:vAlign w:val="center"/>
            <w:hideMark/>
          </w:tcPr>
          <w:p w14:paraId="7D0EA15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(7,823)</w:t>
            </w:r>
          </w:p>
        </w:tc>
        <w:tc>
          <w:tcPr>
            <w:tcW w:w="1176" w:type="dxa"/>
            <w:tcBorders>
              <w:top w:val="nil"/>
              <w:left w:val="nil"/>
              <w:bottom w:val="single" w:sz="4" w:space="0" w:color="auto"/>
              <w:right w:val="nil"/>
            </w:tcBorders>
            <w:shd w:val="clear" w:color="000000" w:fill="FFE1E1"/>
            <w:noWrap/>
            <w:vAlign w:val="center"/>
            <w:hideMark/>
          </w:tcPr>
          <w:p w14:paraId="355156F6" w14:textId="4FC049C2"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26,</w:t>
            </w:r>
            <w:r w:rsidR="004D04F0">
              <w:rPr>
                <w:rFonts w:ascii="Calibri" w:eastAsia="Times New Roman" w:hAnsi="Calibri" w:cs="Calibri"/>
                <w:b/>
                <w:bCs/>
                <w:lang w:eastAsia="en-GB"/>
              </w:rPr>
              <w:t>660</w:t>
            </w:r>
          </w:p>
        </w:tc>
        <w:tc>
          <w:tcPr>
            <w:tcW w:w="210" w:type="dxa"/>
            <w:tcBorders>
              <w:top w:val="nil"/>
              <w:left w:val="nil"/>
              <w:bottom w:val="nil"/>
              <w:right w:val="nil"/>
            </w:tcBorders>
            <w:shd w:val="clear" w:color="000000" w:fill="FFFFFF"/>
            <w:noWrap/>
            <w:vAlign w:val="bottom"/>
            <w:hideMark/>
          </w:tcPr>
          <w:p w14:paraId="0C81DDA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01097F6B" w14:textId="77777777" w:rsidTr="003814B4">
        <w:trPr>
          <w:trHeight w:val="397"/>
        </w:trPr>
        <w:tc>
          <w:tcPr>
            <w:tcW w:w="210" w:type="dxa"/>
            <w:tcBorders>
              <w:top w:val="nil"/>
              <w:left w:val="nil"/>
              <w:bottom w:val="nil"/>
              <w:right w:val="nil"/>
            </w:tcBorders>
            <w:shd w:val="clear" w:color="000000" w:fill="FFFFFF"/>
            <w:noWrap/>
            <w:vAlign w:val="bottom"/>
            <w:hideMark/>
          </w:tcPr>
          <w:p w14:paraId="531352D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275D0E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33,060</w:t>
            </w:r>
          </w:p>
        </w:tc>
        <w:tc>
          <w:tcPr>
            <w:tcW w:w="974" w:type="dxa"/>
            <w:tcBorders>
              <w:top w:val="nil"/>
              <w:left w:val="nil"/>
              <w:bottom w:val="nil"/>
              <w:right w:val="nil"/>
            </w:tcBorders>
            <w:shd w:val="clear" w:color="000000" w:fill="FFFFFF"/>
            <w:noWrap/>
            <w:vAlign w:val="center"/>
            <w:hideMark/>
          </w:tcPr>
          <w:p w14:paraId="37F087F9"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(10,133)</w:t>
            </w:r>
          </w:p>
        </w:tc>
        <w:tc>
          <w:tcPr>
            <w:tcW w:w="1378" w:type="dxa"/>
            <w:tcBorders>
              <w:top w:val="nil"/>
              <w:left w:val="nil"/>
              <w:bottom w:val="nil"/>
              <w:right w:val="nil"/>
            </w:tcBorders>
            <w:shd w:val="clear" w:color="000000" w:fill="FFE1E1"/>
            <w:noWrap/>
            <w:vAlign w:val="center"/>
            <w:hideMark/>
          </w:tcPr>
          <w:p w14:paraId="219D3C57"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22,927</w:t>
            </w:r>
          </w:p>
        </w:tc>
        <w:tc>
          <w:tcPr>
            <w:tcW w:w="3644" w:type="dxa"/>
            <w:tcBorders>
              <w:top w:val="nil"/>
              <w:left w:val="nil"/>
              <w:bottom w:val="nil"/>
              <w:right w:val="nil"/>
            </w:tcBorders>
            <w:shd w:val="clear" w:color="000000" w:fill="FFFFFF"/>
            <w:noWrap/>
            <w:vAlign w:val="center"/>
            <w:hideMark/>
          </w:tcPr>
          <w:p w14:paraId="2820AA20"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664" w:type="dxa"/>
            <w:tcBorders>
              <w:top w:val="nil"/>
              <w:left w:val="nil"/>
              <w:bottom w:val="nil"/>
              <w:right w:val="nil"/>
            </w:tcBorders>
            <w:shd w:val="clear" w:color="000000" w:fill="FFFFFF"/>
            <w:noWrap/>
            <w:vAlign w:val="center"/>
            <w:hideMark/>
          </w:tcPr>
          <w:p w14:paraId="082B634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FFFF"/>
            <w:noWrap/>
            <w:vAlign w:val="center"/>
            <w:hideMark/>
          </w:tcPr>
          <w:p w14:paraId="038C1926" w14:textId="4BD3146C"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34,</w:t>
            </w:r>
            <w:r w:rsidR="005E1074">
              <w:rPr>
                <w:rFonts w:ascii="Calibri" w:eastAsia="Times New Roman" w:hAnsi="Calibri" w:cs="Calibri"/>
                <w:b/>
                <w:bCs/>
                <w:lang w:eastAsia="en-GB"/>
              </w:rPr>
              <w:t>4</w:t>
            </w:r>
            <w:r w:rsidR="004D04F0">
              <w:rPr>
                <w:rFonts w:ascii="Calibri" w:eastAsia="Times New Roman" w:hAnsi="Calibri" w:cs="Calibri"/>
                <w:b/>
                <w:bCs/>
                <w:lang w:eastAsia="en-GB"/>
              </w:rPr>
              <w:t>83</w:t>
            </w:r>
          </w:p>
        </w:tc>
        <w:tc>
          <w:tcPr>
            <w:tcW w:w="1021" w:type="dxa"/>
            <w:tcBorders>
              <w:top w:val="nil"/>
              <w:left w:val="nil"/>
              <w:bottom w:val="nil"/>
              <w:right w:val="nil"/>
            </w:tcBorders>
            <w:shd w:val="clear" w:color="000000" w:fill="FFFFFF"/>
            <w:noWrap/>
            <w:vAlign w:val="center"/>
            <w:hideMark/>
          </w:tcPr>
          <w:p w14:paraId="30AD7A6E"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(7,823)</w:t>
            </w:r>
          </w:p>
        </w:tc>
        <w:tc>
          <w:tcPr>
            <w:tcW w:w="1176" w:type="dxa"/>
            <w:tcBorders>
              <w:top w:val="nil"/>
              <w:left w:val="nil"/>
              <w:bottom w:val="nil"/>
              <w:right w:val="nil"/>
            </w:tcBorders>
            <w:shd w:val="clear" w:color="000000" w:fill="FFE1E1"/>
            <w:noWrap/>
            <w:vAlign w:val="center"/>
            <w:hideMark/>
          </w:tcPr>
          <w:p w14:paraId="0A3EAD93" w14:textId="2D4E64DA"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26,</w:t>
            </w:r>
            <w:r w:rsidR="004D04F0">
              <w:rPr>
                <w:rFonts w:ascii="Calibri" w:eastAsia="Times New Roman" w:hAnsi="Calibri" w:cs="Calibri"/>
                <w:b/>
                <w:bCs/>
                <w:lang w:eastAsia="en-GB"/>
              </w:rPr>
              <w:t>660</w:t>
            </w:r>
          </w:p>
        </w:tc>
        <w:tc>
          <w:tcPr>
            <w:tcW w:w="210" w:type="dxa"/>
            <w:tcBorders>
              <w:top w:val="nil"/>
              <w:left w:val="nil"/>
              <w:bottom w:val="nil"/>
              <w:right w:val="nil"/>
            </w:tcBorders>
            <w:shd w:val="clear" w:color="000000" w:fill="FFFFFF"/>
            <w:noWrap/>
            <w:vAlign w:val="bottom"/>
            <w:hideMark/>
          </w:tcPr>
          <w:p w14:paraId="21958B30"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7DEACAE" w14:textId="77777777" w:rsidTr="003814B4">
        <w:trPr>
          <w:trHeight w:val="482"/>
        </w:trPr>
        <w:tc>
          <w:tcPr>
            <w:tcW w:w="210" w:type="dxa"/>
            <w:tcBorders>
              <w:top w:val="nil"/>
              <w:left w:val="nil"/>
              <w:bottom w:val="nil"/>
              <w:right w:val="nil"/>
            </w:tcBorders>
            <w:shd w:val="clear" w:color="000000" w:fill="FFFFFF"/>
            <w:noWrap/>
            <w:vAlign w:val="bottom"/>
            <w:hideMark/>
          </w:tcPr>
          <w:p w14:paraId="6469CA3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497F8F7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35</w:t>
            </w:r>
          </w:p>
        </w:tc>
        <w:tc>
          <w:tcPr>
            <w:tcW w:w="974" w:type="dxa"/>
            <w:tcBorders>
              <w:top w:val="nil"/>
              <w:left w:val="nil"/>
              <w:bottom w:val="nil"/>
              <w:right w:val="nil"/>
            </w:tcBorders>
            <w:shd w:val="clear" w:color="000000" w:fill="FFFFFF"/>
            <w:noWrap/>
            <w:vAlign w:val="center"/>
            <w:hideMark/>
          </w:tcPr>
          <w:p w14:paraId="3DB0050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0</w:t>
            </w:r>
          </w:p>
        </w:tc>
        <w:tc>
          <w:tcPr>
            <w:tcW w:w="1378" w:type="dxa"/>
            <w:tcBorders>
              <w:top w:val="nil"/>
              <w:left w:val="nil"/>
              <w:bottom w:val="nil"/>
              <w:right w:val="nil"/>
            </w:tcBorders>
            <w:shd w:val="clear" w:color="000000" w:fill="FFE1E1"/>
            <w:noWrap/>
            <w:vAlign w:val="center"/>
            <w:hideMark/>
          </w:tcPr>
          <w:p w14:paraId="24BE9360"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35</w:t>
            </w:r>
          </w:p>
        </w:tc>
        <w:tc>
          <w:tcPr>
            <w:tcW w:w="3644" w:type="dxa"/>
            <w:tcBorders>
              <w:top w:val="nil"/>
              <w:left w:val="nil"/>
              <w:bottom w:val="nil"/>
              <w:right w:val="nil"/>
            </w:tcBorders>
            <w:shd w:val="clear" w:color="000000" w:fill="FFFFFF"/>
            <w:vAlign w:val="center"/>
            <w:hideMark/>
          </w:tcPr>
          <w:p w14:paraId="3E288093"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Other Operating Expenditure</w:t>
            </w:r>
          </w:p>
        </w:tc>
        <w:tc>
          <w:tcPr>
            <w:tcW w:w="664" w:type="dxa"/>
            <w:tcBorders>
              <w:top w:val="nil"/>
              <w:left w:val="nil"/>
              <w:bottom w:val="nil"/>
              <w:right w:val="nil"/>
            </w:tcBorders>
            <w:shd w:val="clear" w:color="000000" w:fill="FFFFFF"/>
            <w:vAlign w:val="center"/>
            <w:hideMark/>
          </w:tcPr>
          <w:p w14:paraId="32D951C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562433D6"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129</w:t>
            </w:r>
          </w:p>
        </w:tc>
        <w:tc>
          <w:tcPr>
            <w:tcW w:w="1021" w:type="dxa"/>
            <w:tcBorders>
              <w:top w:val="nil"/>
              <w:left w:val="nil"/>
              <w:bottom w:val="nil"/>
              <w:right w:val="nil"/>
            </w:tcBorders>
            <w:shd w:val="clear" w:color="000000" w:fill="FFFFFF"/>
            <w:noWrap/>
            <w:vAlign w:val="center"/>
            <w:hideMark/>
          </w:tcPr>
          <w:p w14:paraId="45E5771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(19)</w:t>
            </w:r>
          </w:p>
        </w:tc>
        <w:tc>
          <w:tcPr>
            <w:tcW w:w="1176" w:type="dxa"/>
            <w:tcBorders>
              <w:top w:val="nil"/>
              <w:left w:val="nil"/>
              <w:bottom w:val="nil"/>
              <w:right w:val="nil"/>
            </w:tcBorders>
            <w:shd w:val="clear" w:color="000000" w:fill="FFE1E1"/>
            <w:noWrap/>
            <w:vAlign w:val="center"/>
            <w:hideMark/>
          </w:tcPr>
          <w:p w14:paraId="0F1608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110</w:t>
            </w:r>
          </w:p>
        </w:tc>
        <w:tc>
          <w:tcPr>
            <w:tcW w:w="210" w:type="dxa"/>
            <w:tcBorders>
              <w:top w:val="nil"/>
              <w:left w:val="nil"/>
              <w:bottom w:val="nil"/>
              <w:right w:val="nil"/>
            </w:tcBorders>
            <w:shd w:val="clear" w:color="000000" w:fill="FFFFFF"/>
            <w:noWrap/>
            <w:vAlign w:val="bottom"/>
            <w:hideMark/>
          </w:tcPr>
          <w:p w14:paraId="5B3F564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DF9459E" w14:textId="77777777" w:rsidTr="003814B4">
        <w:trPr>
          <w:trHeight w:val="482"/>
        </w:trPr>
        <w:tc>
          <w:tcPr>
            <w:tcW w:w="210" w:type="dxa"/>
            <w:tcBorders>
              <w:top w:val="nil"/>
              <w:left w:val="nil"/>
              <w:bottom w:val="nil"/>
              <w:right w:val="nil"/>
            </w:tcBorders>
            <w:shd w:val="clear" w:color="000000" w:fill="FFFFFF"/>
            <w:noWrap/>
            <w:vAlign w:val="bottom"/>
            <w:hideMark/>
          </w:tcPr>
          <w:p w14:paraId="2493477C"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412A235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6,525</w:t>
            </w:r>
          </w:p>
        </w:tc>
        <w:tc>
          <w:tcPr>
            <w:tcW w:w="974" w:type="dxa"/>
            <w:tcBorders>
              <w:top w:val="nil"/>
              <w:left w:val="nil"/>
              <w:bottom w:val="nil"/>
              <w:right w:val="nil"/>
            </w:tcBorders>
            <w:shd w:val="clear" w:color="000000" w:fill="FFFFFF"/>
            <w:noWrap/>
            <w:vAlign w:val="center"/>
            <w:hideMark/>
          </w:tcPr>
          <w:p w14:paraId="089A5211"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1378" w:type="dxa"/>
            <w:tcBorders>
              <w:top w:val="nil"/>
              <w:left w:val="nil"/>
              <w:bottom w:val="nil"/>
              <w:right w:val="nil"/>
            </w:tcBorders>
            <w:shd w:val="clear" w:color="000000" w:fill="FFE1E1"/>
            <w:noWrap/>
            <w:vAlign w:val="center"/>
            <w:hideMark/>
          </w:tcPr>
          <w:p w14:paraId="234B1604"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6,522</w:t>
            </w:r>
          </w:p>
        </w:tc>
        <w:tc>
          <w:tcPr>
            <w:tcW w:w="3644" w:type="dxa"/>
            <w:tcBorders>
              <w:top w:val="nil"/>
              <w:left w:val="nil"/>
              <w:bottom w:val="nil"/>
              <w:right w:val="nil"/>
            </w:tcBorders>
            <w:shd w:val="clear" w:color="000000" w:fill="FFFFFF"/>
            <w:vAlign w:val="center"/>
            <w:hideMark/>
          </w:tcPr>
          <w:p w14:paraId="12986801"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Financing and Investment Income\Expenditure</w:t>
            </w:r>
          </w:p>
        </w:tc>
        <w:tc>
          <w:tcPr>
            <w:tcW w:w="664" w:type="dxa"/>
            <w:tcBorders>
              <w:top w:val="nil"/>
              <w:left w:val="nil"/>
              <w:bottom w:val="nil"/>
              <w:right w:val="nil"/>
            </w:tcBorders>
            <w:shd w:val="clear" w:color="000000" w:fill="FFFFFF"/>
            <w:vAlign w:val="center"/>
            <w:hideMark/>
          </w:tcPr>
          <w:p w14:paraId="7BDAABF3"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0F03955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6,655</w:t>
            </w:r>
          </w:p>
        </w:tc>
        <w:tc>
          <w:tcPr>
            <w:tcW w:w="1021" w:type="dxa"/>
            <w:tcBorders>
              <w:top w:val="nil"/>
              <w:left w:val="nil"/>
              <w:bottom w:val="nil"/>
              <w:right w:val="nil"/>
            </w:tcBorders>
            <w:shd w:val="clear" w:color="000000" w:fill="FFFFFF"/>
            <w:noWrap/>
            <w:vAlign w:val="center"/>
            <w:hideMark/>
          </w:tcPr>
          <w:p w14:paraId="17843100"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1176" w:type="dxa"/>
            <w:tcBorders>
              <w:top w:val="nil"/>
              <w:left w:val="nil"/>
              <w:bottom w:val="nil"/>
              <w:right w:val="nil"/>
            </w:tcBorders>
            <w:shd w:val="clear" w:color="000000" w:fill="FFE1E1"/>
            <w:noWrap/>
            <w:vAlign w:val="center"/>
            <w:hideMark/>
          </w:tcPr>
          <w:p w14:paraId="4558880B"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6,652</w:t>
            </w:r>
          </w:p>
        </w:tc>
        <w:tc>
          <w:tcPr>
            <w:tcW w:w="210" w:type="dxa"/>
            <w:tcBorders>
              <w:top w:val="nil"/>
              <w:left w:val="nil"/>
              <w:bottom w:val="nil"/>
              <w:right w:val="nil"/>
            </w:tcBorders>
            <w:shd w:val="clear" w:color="000000" w:fill="FFFFFF"/>
            <w:noWrap/>
            <w:vAlign w:val="bottom"/>
            <w:hideMark/>
          </w:tcPr>
          <w:p w14:paraId="7067ECE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73A60504" w14:textId="77777777" w:rsidTr="003814B4">
        <w:trPr>
          <w:trHeight w:val="482"/>
        </w:trPr>
        <w:tc>
          <w:tcPr>
            <w:tcW w:w="210" w:type="dxa"/>
            <w:tcBorders>
              <w:top w:val="nil"/>
              <w:left w:val="nil"/>
              <w:bottom w:val="nil"/>
              <w:right w:val="nil"/>
            </w:tcBorders>
            <w:shd w:val="clear" w:color="000000" w:fill="FFFFFF"/>
            <w:noWrap/>
            <w:vAlign w:val="bottom"/>
            <w:hideMark/>
          </w:tcPr>
          <w:p w14:paraId="3EF0B29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single" w:sz="4" w:space="0" w:color="auto"/>
              <w:right w:val="nil"/>
            </w:tcBorders>
            <w:shd w:val="clear" w:color="000000" w:fill="FFFFFF"/>
            <w:noWrap/>
            <w:vAlign w:val="center"/>
            <w:hideMark/>
          </w:tcPr>
          <w:p w14:paraId="3301004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xml:space="preserve">               -   </w:t>
            </w:r>
          </w:p>
        </w:tc>
        <w:tc>
          <w:tcPr>
            <w:tcW w:w="974" w:type="dxa"/>
            <w:tcBorders>
              <w:top w:val="nil"/>
              <w:left w:val="nil"/>
              <w:bottom w:val="single" w:sz="4" w:space="0" w:color="auto"/>
              <w:right w:val="nil"/>
            </w:tcBorders>
            <w:shd w:val="clear" w:color="000000" w:fill="FFFFFF"/>
            <w:noWrap/>
            <w:vAlign w:val="center"/>
            <w:hideMark/>
          </w:tcPr>
          <w:p w14:paraId="4875B748"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(24,342)</w:t>
            </w:r>
          </w:p>
        </w:tc>
        <w:tc>
          <w:tcPr>
            <w:tcW w:w="1378" w:type="dxa"/>
            <w:tcBorders>
              <w:top w:val="nil"/>
              <w:left w:val="nil"/>
              <w:bottom w:val="single" w:sz="4" w:space="0" w:color="auto"/>
              <w:right w:val="nil"/>
            </w:tcBorders>
            <w:shd w:val="clear" w:color="000000" w:fill="FFE1E1"/>
            <w:noWrap/>
            <w:vAlign w:val="center"/>
            <w:hideMark/>
          </w:tcPr>
          <w:p w14:paraId="6705242A"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(24,342)</w:t>
            </w:r>
          </w:p>
        </w:tc>
        <w:tc>
          <w:tcPr>
            <w:tcW w:w="3644" w:type="dxa"/>
            <w:tcBorders>
              <w:top w:val="nil"/>
              <w:left w:val="nil"/>
              <w:bottom w:val="nil"/>
              <w:right w:val="nil"/>
            </w:tcBorders>
            <w:shd w:val="clear" w:color="000000" w:fill="FFFFFF"/>
            <w:vAlign w:val="center"/>
            <w:hideMark/>
          </w:tcPr>
          <w:p w14:paraId="4B49456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Taxation and Non Specific Grant Income</w:t>
            </w:r>
          </w:p>
        </w:tc>
        <w:tc>
          <w:tcPr>
            <w:tcW w:w="664" w:type="dxa"/>
            <w:tcBorders>
              <w:top w:val="nil"/>
              <w:left w:val="nil"/>
              <w:bottom w:val="nil"/>
              <w:right w:val="nil"/>
            </w:tcBorders>
            <w:shd w:val="clear" w:color="auto" w:fill="auto"/>
            <w:vAlign w:val="center"/>
            <w:hideMark/>
          </w:tcPr>
          <w:p w14:paraId="54F7B08B"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3</w:t>
            </w:r>
          </w:p>
        </w:tc>
        <w:tc>
          <w:tcPr>
            <w:tcW w:w="850" w:type="dxa"/>
            <w:tcBorders>
              <w:top w:val="nil"/>
              <w:left w:val="nil"/>
              <w:bottom w:val="single" w:sz="4" w:space="0" w:color="auto"/>
              <w:right w:val="nil"/>
            </w:tcBorders>
            <w:shd w:val="clear" w:color="000000" w:fill="FFFFFF"/>
            <w:noWrap/>
            <w:vAlign w:val="center"/>
            <w:hideMark/>
          </w:tcPr>
          <w:p w14:paraId="3D3CAC9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xml:space="preserve">               -   </w:t>
            </w:r>
          </w:p>
        </w:tc>
        <w:tc>
          <w:tcPr>
            <w:tcW w:w="1021" w:type="dxa"/>
            <w:tcBorders>
              <w:top w:val="nil"/>
              <w:left w:val="nil"/>
              <w:bottom w:val="single" w:sz="4" w:space="0" w:color="auto"/>
              <w:right w:val="nil"/>
            </w:tcBorders>
            <w:shd w:val="clear" w:color="000000" w:fill="FFFFFF"/>
            <w:noWrap/>
            <w:vAlign w:val="center"/>
            <w:hideMark/>
          </w:tcPr>
          <w:p w14:paraId="5BB5425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(24,237)</w:t>
            </w:r>
          </w:p>
        </w:tc>
        <w:tc>
          <w:tcPr>
            <w:tcW w:w="1176" w:type="dxa"/>
            <w:tcBorders>
              <w:top w:val="nil"/>
              <w:left w:val="nil"/>
              <w:bottom w:val="single" w:sz="4" w:space="0" w:color="auto"/>
              <w:right w:val="nil"/>
            </w:tcBorders>
            <w:shd w:val="clear" w:color="000000" w:fill="FFE1E1"/>
            <w:noWrap/>
            <w:vAlign w:val="center"/>
            <w:hideMark/>
          </w:tcPr>
          <w:p w14:paraId="53BEF39F"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(24,237)</w:t>
            </w:r>
          </w:p>
        </w:tc>
        <w:tc>
          <w:tcPr>
            <w:tcW w:w="210" w:type="dxa"/>
            <w:tcBorders>
              <w:top w:val="nil"/>
              <w:left w:val="nil"/>
              <w:bottom w:val="nil"/>
              <w:right w:val="nil"/>
            </w:tcBorders>
            <w:shd w:val="clear" w:color="000000" w:fill="FFFFFF"/>
            <w:noWrap/>
            <w:vAlign w:val="bottom"/>
            <w:hideMark/>
          </w:tcPr>
          <w:p w14:paraId="5F9509C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058D2573" w14:textId="77777777" w:rsidTr="003814B4">
        <w:trPr>
          <w:trHeight w:val="482"/>
        </w:trPr>
        <w:tc>
          <w:tcPr>
            <w:tcW w:w="210" w:type="dxa"/>
            <w:tcBorders>
              <w:top w:val="nil"/>
              <w:left w:val="nil"/>
              <w:bottom w:val="nil"/>
              <w:right w:val="nil"/>
            </w:tcBorders>
            <w:shd w:val="clear" w:color="000000" w:fill="FFFFFF"/>
            <w:noWrap/>
            <w:vAlign w:val="bottom"/>
            <w:hideMark/>
          </w:tcPr>
          <w:p w14:paraId="431B5AD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0B78FBFF"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noWrap/>
            <w:vAlign w:val="center"/>
            <w:hideMark/>
          </w:tcPr>
          <w:p w14:paraId="3B680BDA"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nil"/>
              <w:left w:val="nil"/>
              <w:bottom w:val="nil"/>
              <w:right w:val="nil"/>
            </w:tcBorders>
            <w:shd w:val="clear" w:color="000000" w:fill="FFE1E1"/>
            <w:noWrap/>
            <w:vAlign w:val="center"/>
            <w:hideMark/>
          </w:tcPr>
          <w:p w14:paraId="219B761A" w14:textId="77777777"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5,142</w:t>
            </w:r>
          </w:p>
        </w:tc>
        <w:tc>
          <w:tcPr>
            <w:tcW w:w="3644" w:type="dxa"/>
            <w:tcBorders>
              <w:top w:val="nil"/>
              <w:left w:val="nil"/>
              <w:bottom w:val="nil"/>
              <w:right w:val="nil"/>
            </w:tcBorders>
            <w:shd w:val="clear" w:color="000000" w:fill="FFFFFF"/>
            <w:vAlign w:val="center"/>
            <w:hideMark/>
          </w:tcPr>
          <w:p w14:paraId="640E76FE" w14:textId="77777777" w:rsidR="003814B4" w:rsidRPr="003814B4" w:rsidRDefault="003814B4" w:rsidP="003814B4">
            <w:pPr>
              <w:spacing w:after="0" w:line="240" w:lineRule="auto"/>
              <w:jc w:val="center"/>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Surplus(-) or Deficit on Provision of Services</w:t>
            </w:r>
          </w:p>
        </w:tc>
        <w:tc>
          <w:tcPr>
            <w:tcW w:w="664" w:type="dxa"/>
            <w:tcBorders>
              <w:top w:val="nil"/>
              <w:left w:val="nil"/>
              <w:bottom w:val="nil"/>
              <w:right w:val="nil"/>
            </w:tcBorders>
            <w:shd w:val="clear" w:color="000000" w:fill="FFFFFF"/>
            <w:noWrap/>
            <w:vAlign w:val="center"/>
            <w:hideMark/>
          </w:tcPr>
          <w:p w14:paraId="19F7ED48" w14:textId="77777777" w:rsidR="003814B4" w:rsidRPr="003814B4" w:rsidRDefault="003814B4" w:rsidP="003814B4">
            <w:pPr>
              <w:spacing w:after="0" w:line="240" w:lineRule="auto"/>
              <w:jc w:val="center"/>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FFFF"/>
            <w:noWrap/>
            <w:vAlign w:val="center"/>
            <w:hideMark/>
          </w:tcPr>
          <w:p w14:paraId="5756920F"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noWrap/>
            <w:vAlign w:val="center"/>
            <w:hideMark/>
          </w:tcPr>
          <w:p w14:paraId="2F2E3E6A"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nil"/>
              <w:left w:val="nil"/>
              <w:bottom w:val="nil"/>
              <w:right w:val="nil"/>
            </w:tcBorders>
            <w:shd w:val="clear" w:color="000000" w:fill="FFE1E1"/>
            <w:noWrap/>
            <w:vAlign w:val="center"/>
            <w:hideMark/>
          </w:tcPr>
          <w:p w14:paraId="1C1D30BE" w14:textId="18C449B3" w:rsidR="003814B4" w:rsidRPr="003814B4" w:rsidRDefault="003814B4" w:rsidP="003814B4">
            <w:pPr>
              <w:spacing w:after="0" w:line="240" w:lineRule="auto"/>
              <w:jc w:val="right"/>
              <w:rPr>
                <w:rFonts w:ascii="Calibri" w:eastAsia="Times New Roman" w:hAnsi="Calibri" w:cs="Calibri"/>
                <w:b/>
                <w:bCs/>
                <w:lang w:eastAsia="en-GB"/>
              </w:rPr>
            </w:pPr>
            <w:r w:rsidRPr="003814B4">
              <w:rPr>
                <w:rFonts w:ascii="Calibri" w:eastAsia="Times New Roman" w:hAnsi="Calibri" w:cs="Calibri"/>
                <w:b/>
                <w:bCs/>
                <w:lang w:eastAsia="en-GB"/>
              </w:rPr>
              <w:t>9,</w:t>
            </w:r>
            <w:r w:rsidR="005E1074">
              <w:rPr>
                <w:rFonts w:ascii="Calibri" w:eastAsia="Times New Roman" w:hAnsi="Calibri" w:cs="Calibri"/>
                <w:b/>
                <w:bCs/>
                <w:lang w:eastAsia="en-GB"/>
              </w:rPr>
              <w:t>1</w:t>
            </w:r>
            <w:r w:rsidR="004D04F0">
              <w:rPr>
                <w:rFonts w:ascii="Calibri" w:eastAsia="Times New Roman" w:hAnsi="Calibri" w:cs="Calibri"/>
                <w:b/>
                <w:bCs/>
                <w:lang w:eastAsia="en-GB"/>
              </w:rPr>
              <w:t>85</w:t>
            </w:r>
          </w:p>
        </w:tc>
        <w:tc>
          <w:tcPr>
            <w:tcW w:w="210" w:type="dxa"/>
            <w:tcBorders>
              <w:top w:val="nil"/>
              <w:left w:val="nil"/>
              <w:bottom w:val="nil"/>
              <w:right w:val="nil"/>
            </w:tcBorders>
            <w:shd w:val="clear" w:color="000000" w:fill="FFFFFF"/>
            <w:noWrap/>
            <w:vAlign w:val="bottom"/>
            <w:hideMark/>
          </w:tcPr>
          <w:p w14:paraId="26E3A06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5C417C4" w14:textId="77777777" w:rsidTr="003814B4">
        <w:trPr>
          <w:trHeight w:val="482"/>
        </w:trPr>
        <w:tc>
          <w:tcPr>
            <w:tcW w:w="210" w:type="dxa"/>
            <w:tcBorders>
              <w:top w:val="nil"/>
              <w:left w:val="nil"/>
              <w:bottom w:val="nil"/>
              <w:right w:val="nil"/>
            </w:tcBorders>
            <w:shd w:val="clear" w:color="000000" w:fill="FFFFFF"/>
            <w:noWrap/>
            <w:vAlign w:val="bottom"/>
            <w:hideMark/>
          </w:tcPr>
          <w:p w14:paraId="12E26FB1"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vAlign w:val="center"/>
            <w:hideMark/>
          </w:tcPr>
          <w:p w14:paraId="13E394A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vAlign w:val="center"/>
            <w:hideMark/>
          </w:tcPr>
          <w:p w14:paraId="1CCA5263"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single" w:sz="4" w:space="0" w:color="auto"/>
              <w:left w:val="single" w:sz="4" w:space="0" w:color="auto"/>
              <w:bottom w:val="nil"/>
              <w:right w:val="single" w:sz="4" w:space="0" w:color="auto"/>
            </w:tcBorders>
            <w:shd w:val="clear" w:color="000000" w:fill="FFE1E1"/>
            <w:vAlign w:val="center"/>
            <w:hideMark/>
          </w:tcPr>
          <w:p w14:paraId="18C76EA4"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(1,506)</w:t>
            </w:r>
          </w:p>
        </w:tc>
        <w:tc>
          <w:tcPr>
            <w:tcW w:w="3644" w:type="dxa"/>
            <w:tcBorders>
              <w:top w:val="nil"/>
              <w:left w:val="nil"/>
              <w:bottom w:val="nil"/>
              <w:right w:val="nil"/>
            </w:tcBorders>
            <w:shd w:val="clear" w:color="000000" w:fill="FFFFFF"/>
            <w:vAlign w:val="center"/>
            <w:hideMark/>
          </w:tcPr>
          <w:p w14:paraId="35EC58C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(Surplus) or deficit on revaluation of non current assets</w:t>
            </w:r>
          </w:p>
        </w:tc>
        <w:tc>
          <w:tcPr>
            <w:tcW w:w="664" w:type="dxa"/>
            <w:tcBorders>
              <w:top w:val="nil"/>
              <w:left w:val="nil"/>
              <w:bottom w:val="nil"/>
              <w:right w:val="nil"/>
            </w:tcBorders>
            <w:shd w:val="clear" w:color="000000" w:fill="FFFFFF"/>
            <w:vAlign w:val="center"/>
            <w:hideMark/>
          </w:tcPr>
          <w:p w14:paraId="4716A3E8"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9</w:t>
            </w:r>
          </w:p>
        </w:tc>
        <w:tc>
          <w:tcPr>
            <w:tcW w:w="850" w:type="dxa"/>
            <w:tcBorders>
              <w:top w:val="nil"/>
              <w:left w:val="nil"/>
              <w:bottom w:val="nil"/>
              <w:right w:val="nil"/>
            </w:tcBorders>
            <w:shd w:val="clear" w:color="000000" w:fill="FFFFFF"/>
            <w:vAlign w:val="center"/>
            <w:hideMark/>
          </w:tcPr>
          <w:p w14:paraId="4A9ADE69"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vAlign w:val="center"/>
            <w:hideMark/>
          </w:tcPr>
          <w:p w14:paraId="325347E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single" w:sz="4" w:space="0" w:color="auto"/>
              <w:left w:val="single" w:sz="4" w:space="0" w:color="auto"/>
              <w:bottom w:val="nil"/>
              <w:right w:val="single" w:sz="4" w:space="0" w:color="auto"/>
            </w:tcBorders>
            <w:shd w:val="clear" w:color="000000" w:fill="FFE1E1"/>
            <w:vAlign w:val="center"/>
            <w:hideMark/>
          </w:tcPr>
          <w:p w14:paraId="3FFA0FA8" w14:textId="63987AC2"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(3,6</w:t>
            </w:r>
            <w:r w:rsidR="004D04F0">
              <w:rPr>
                <w:rFonts w:ascii="Calibri" w:eastAsia="Times New Roman" w:hAnsi="Calibri" w:cs="Calibri"/>
                <w:b/>
                <w:bCs/>
                <w:color w:val="000000"/>
                <w:lang w:eastAsia="en-GB"/>
              </w:rPr>
              <w:t>62</w:t>
            </w:r>
            <w:r w:rsidRPr="003814B4">
              <w:rPr>
                <w:rFonts w:ascii="Calibri" w:eastAsia="Times New Roman" w:hAnsi="Calibri" w:cs="Calibri"/>
                <w:b/>
                <w:bCs/>
                <w:color w:val="000000"/>
                <w:lang w:eastAsia="en-GB"/>
              </w:rPr>
              <w:t>)</w:t>
            </w:r>
          </w:p>
        </w:tc>
        <w:tc>
          <w:tcPr>
            <w:tcW w:w="210" w:type="dxa"/>
            <w:tcBorders>
              <w:top w:val="nil"/>
              <w:left w:val="nil"/>
              <w:bottom w:val="nil"/>
              <w:right w:val="nil"/>
            </w:tcBorders>
            <w:shd w:val="clear" w:color="000000" w:fill="FFFFFF"/>
            <w:noWrap/>
            <w:vAlign w:val="bottom"/>
            <w:hideMark/>
          </w:tcPr>
          <w:p w14:paraId="77377658"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6D95811F" w14:textId="77777777" w:rsidTr="003814B4">
        <w:trPr>
          <w:trHeight w:val="482"/>
        </w:trPr>
        <w:tc>
          <w:tcPr>
            <w:tcW w:w="210" w:type="dxa"/>
            <w:tcBorders>
              <w:top w:val="nil"/>
              <w:left w:val="nil"/>
              <w:bottom w:val="nil"/>
              <w:right w:val="nil"/>
            </w:tcBorders>
            <w:shd w:val="clear" w:color="000000" w:fill="FFFFFF"/>
            <w:noWrap/>
            <w:vAlign w:val="bottom"/>
            <w:hideMark/>
          </w:tcPr>
          <w:p w14:paraId="6ED06F2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vAlign w:val="center"/>
            <w:hideMark/>
          </w:tcPr>
          <w:p w14:paraId="4D45FB4C"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974" w:type="dxa"/>
            <w:tcBorders>
              <w:top w:val="nil"/>
              <w:left w:val="nil"/>
              <w:bottom w:val="nil"/>
              <w:right w:val="nil"/>
            </w:tcBorders>
            <w:shd w:val="clear" w:color="000000" w:fill="FFFFFF"/>
            <w:vAlign w:val="center"/>
            <w:hideMark/>
          </w:tcPr>
          <w:p w14:paraId="10C66675"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378" w:type="dxa"/>
            <w:tcBorders>
              <w:top w:val="nil"/>
              <w:left w:val="single" w:sz="4" w:space="0" w:color="auto"/>
              <w:bottom w:val="single" w:sz="4" w:space="0" w:color="auto"/>
              <w:right w:val="single" w:sz="4" w:space="0" w:color="auto"/>
            </w:tcBorders>
            <w:shd w:val="clear" w:color="000000" w:fill="FFE1E1"/>
            <w:vAlign w:val="center"/>
            <w:hideMark/>
          </w:tcPr>
          <w:p w14:paraId="265553CC"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32,031</w:t>
            </w:r>
          </w:p>
        </w:tc>
        <w:tc>
          <w:tcPr>
            <w:tcW w:w="3644" w:type="dxa"/>
            <w:tcBorders>
              <w:top w:val="nil"/>
              <w:left w:val="nil"/>
              <w:bottom w:val="nil"/>
              <w:right w:val="nil"/>
            </w:tcBorders>
            <w:shd w:val="clear" w:color="000000" w:fill="FFFFFF"/>
            <w:vAlign w:val="center"/>
            <w:hideMark/>
          </w:tcPr>
          <w:p w14:paraId="327C82E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Remeasurements of the net defined benefit liability (asset)</w:t>
            </w:r>
          </w:p>
        </w:tc>
        <w:tc>
          <w:tcPr>
            <w:tcW w:w="664" w:type="dxa"/>
            <w:tcBorders>
              <w:top w:val="nil"/>
              <w:left w:val="nil"/>
              <w:bottom w:val="nil"/>
              <w:right w:val="nil"/>
            </w:tcBorders>
            <w:shd w:val="clear" w:color="000000" w:fill="FFFFFF"/>
            <w:vAlign w:val="center"/>
            <w:hideMark/>
          </w:tcPr>
          <w:p w14:paraId="6DB7219F" w14:textId="77777777" w:rsidR="003814B4" w:rsidRPr="003814B4" w:rsidRDefault="003814B4" w:rsidP="003814B4">
            <w:pPr>
              <w:spacing w:after="0" w:line="240" w:lineRule="auto"/>
              <w:jc w:val="center"/>
              <w:rPr>
                <w:rFonts w:ascii="Calibri" w:eastAsia="Times New Roman" w:hAnsi="Calibri" w:cs="Calibri"/>
                <w:color w:val="000000"/>
                <w:lang w:eastAsia="en-GB"/>
              </w:rPr>
            </w:pPr>
            <w:r w:rsidRPr="003814B4">
              <w:rPr>
                <w:rFonts w:ascii="Calibri" w:eastAsia="Times New Roman" w:hAnsi="Calibri" w:cs="Calibri"/>
                <w:color w:val="000000"/>
                <w:lang w:eastAsia="en-GB"/>
              </w:rPr>
              <w:t>26.2</w:t>
            </w:r>
          </w:p>
        </w:tc>
        <w:tc>
          <w:tcPr>
            <w:tcW w:w="850" w:type="dxa"/>
            <w:tcBorders>
              <w:top w:val="nil"/>
              <w:left w:val="nil"/>
              <w:bottom w:val="nil"/>
              <w:right w:val="nil"/>
            </w:tcBorders>
            <w:shd w:val="clear" w:color="000000" w:fill="FFFFFF"/>
            <w:vAlign w:val="center"/>
            <w:hideMark/>
          </w:tcPr>
          <w:p w14:paraId="2591D01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021" w:type="dxa"/>
            <w:tcBorders>
              <w:top w:val="nil"/>
              <w:left w:val="nil"/>
              <w:bottom w:val="nil"/>
              <w:right w:val="nil"/>
            </w:tcBorders>
            <w:shd w:val="clear" w:color="000000" w:fill="FFFFFF"/>
            <w:vAlign w:val="center"/>
            <w:hideMark/>
          </w:tcPr>
          <w:p w14:paraId="65E7E70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1176" w:type="dxa"/>
            <w:tcBorders>
              <w:top w:val="nil"/>
              <w:left w:val="single" w:sz="4" w:space="0" w:color="auto"/>
              <w:bottom w:val="single" w:sz="4" w:space="0" w:color="auto"/>
              <w:right w:val="single" w:sz="4" w:space="0" w:color="auto"/>
            </w:tcBorders>
            <w:shd w:val="clear" w:color="000000" w:fill="FFE1E1"/>
            <w:vAlign w:val="center"/>
            <w:hideMark/>
          </w:tcPr>
          <w:p w14:paraId="0C96E2FE"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(2,762)</w:t>
            </w:r>
          </w:p>
        </w:tc>
        <w:tc>
          <w:tcPr>
            <w:tcW w:w="210" w:type="dxa"/>
            <w:tcBorders>
              <w:top w:val="nil"/>
              <w:left w:val="nil"/>
              <w:bottom w:val="nil"/>
              <w:right w:val="nil"/>
            </w:tcBorders>
            <w:shd w:val="clear" w:color="000000" w:fill="FFFFFF"/>
            <w:noWrap/>
            <w:vAlign w:val="bottom"/>
            <w:hideMark/>
          </w:tcPr>
          <w:p w14:paraId="138EEFE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51D9EB40" w14:textId="77777777" w:rsidTr="003814B4">
        <w:trPr>
          <w:trHeight w:val="24"/>
        </w:trPr>
        <w:tc>
          <w:tcPr>
            <w:tcW w:w="210" w:type="dxa"/>
            <w:tcBorders>
              <w:top w:val="nil"/>
              <w:left w:val="nil"/>
              <w:bottom w:val="nil"/>
              <w:right w:val="nil"/>
            </w:tcBorders>
            <w:shd w:val="clear" w:color="000000" w:fill="FFFFFF"/>
            <w:noWrap/>
            <w:vAlign w:val="bottom"/>
            <w:hideMark/>
          </w:tcPr>
          <w:p w14:paraId="1B87822B"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3899617F"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FFFF"/>
            <w:noWrap/>
            <w:vAlign w:val="center"/>
            <w:hideMark/>
          </w:tcPr>
          <w:p w14:paraId="6F3E0F9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nil"/>
              <w:right w:val="nil"/>
            </w:tcBorders>
            <w:shd w:val="clear" w:color="000000" w:fill="FFE1E1"/>
            <w:noWrap/>
            <w:vAlign w:val="center"/>
            <w:hideMark/>
          </w:tcPr>
          <w:p w14:paraId="3AE9E90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3644" w:type="dxa"/>
            <w:tcBorders>
              <w:top w:val="nil"/>
              <w:left w:val="nil"/>
              <w:bottom w:val="nil"/>
              <w:right w:val="nil"/>
            </w:tcBorders>
            <w:shd w:val="clear" w:color="000000" w:fill="FFFFFF"/>
            <w:noWrap/>
            <w:vAlign w:val="center"/>
            <w:hideMark/>
          </w:tcPr>
          <w:p w14:paraId="3A9CA5A7"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vAlign w:val="center"/>
            <w:hideMark/>
          </w:tcPr>
          <w:p w14:paraId="268BCCC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5C3C220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vAlign w:val="center"/>
            <w:hideMark/>
          </w:tcPr>
          <w:p w14:paraId="09F2F6D6"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E1E1"/>
            <w:noWrap/>
            <w:vAlign w:val="center"/>
            <w:hideMark/>
          </w:tcPr>
          <w:p w14:paraId="48F4265D"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210" w:type="dxa"/>
            <w:tcBorders>
              <w:top w:val="nil"/>
              <w:left w:val="nil"/>
              <w:bottom w:val="nil"/>
              <w:right w:val="nil"/>
            </w:tcBorders>
            <w:shd w:val="clear" w:color="000000" w:fill="FFFFFF"/>
            <w:noWrap/>
            <w:vAlign w:val="bottom"/>
            <w:hideMark/>
          </w:tcPr>
          <w:p w14:paraId="5970A79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112098B0" w14:textId="77777777" w:rsidTr="003814B4">
        <w:trPr>
          <w:trHeight w:val="482"/>
        </w:trPr>
        <w:tc>
          <w:tcPr>
            <w:tcW w:w="210" w:type="dxa"/>
            <w:tcBorders>
              <w:top w:val="nil"/>
              <w:left w:val="nil"/>
              <w:bottom w:val="nil"/>
              <w:right w:val="nil"/>
            </w:tcBorders>
            <w:shd w:val="clear" w:color="000000" w:fill="FFFFFF"/>
            <w:noWrap/>
            <w:vAlign w:val="bottom"/>
            <w:hideMark/>
          </w:tcPr>
          <w:p w14:paraId="3022D436"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E1E1"/>
            <w:noWrap/>
            <w:vAlign w:val="center"/>
            <w:hideMark/>
          </w:tcPr>
          <w:p w14:paraId="4333ECE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E1E1"/>
            <w:noWrap/>
            <w:vAlign w:val="center"/>
            <w:hideMark/>
          </w:tcPr>
          <w:p w14:paraId="3A14A9EB"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single" w:sz="4" w:space="0" w:color="auto"/>
              <w:right w:val="nil"/>
            </w:tcBorders>
            <w:shd w:val="clear" w:color="000000" w:fill="FFE1E1"/>
            <w:noWrap/>
            <w:vAlign w:val="center"/>
            <w:hideMark/>
          </w:tcPr>
          <w:p w14:paraId="45C77F34"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30,525</w:t>
            </w:r>
          </w:p>
        </w:tc>
        <w:tc>
          <w:tcPr>
            <w:tcW w:w="3644" w:type="dxa"/>
            <w:tcBorders>
              <w:top w:val="nil"/>
              <w:left w:val="nil"/>
              <w:bottom w:val="nil"/>
              <w:right w:val="nil"/>
            </w:tcBorders>
            <w:shd w:val="clear" w:color="000000" w:fill="FFE1E1"/>
            <w:vAlign w:val="center"/>
            <w:hideMark/>
          </w:tcPr>
          <w:p w14:paraId="1167B7C6"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Other Comprehensive Income and Expenditure</w:t>
            </w:r>
          </w:p>
        </w:tc>
        <w:tc>
          <w:tcPr>
            <w:tcW w:w="664" w:type="dxa"/>
            <w:tcBorders>
              <w:top w:val="nil"/>
              <w:left w:val="nil"/>
              <w:bottom w:val="nil"/>
              <w:right w:val="nil"/>
            </w:tcBorders>
            <w:shd w:val="clear" w:color="000000" w:fill="FFE1E1"/>
            <w:vAlign w:val="center"/>
            <w:hideMark/>
          </w:tcPr>
          <w:p w14:paraId="5301DE2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E1E1"/>
            <w:noWrap/>
            <w:vAlign w:val="center"/>
            <w:hideMark/>
          </w:tcPr>
          <w:p w14:paraId="09B452FE"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E1E1"/>
            <w:noWrap/>
            <w:vAlign w:val="center"/>
            <w:hideMark/>
          </w:tcPr>
          <w:p w14:paraId="65E07F10"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single" w:sz="4" w:space="0" w:color="auto"/>
              <w:right w:val="nil"/>
            </w:tcBorders>
            <w:shd w:val="clear" w:color="000000" w:fill="FFE1E1"/>
            <w:noWrap/>
            <w:vAlign w:val="center"/>
            <w:hideMark/>
          </w:tcPr>
          <w:p w14:paraId="707769C4" w14:textId="64DD065A"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(6,4</w:t>
            </w:r>
            <w:r w:rsidR="004D04F0">
              <w:rPr>
                <w:rFonts w:ascii="Calibri" w:eastAsia="Times New Roman" w:hAnsi="Calibri" w:cs="Calibri"/>
                <w:b/>
                <w:bCs/>
                <w:color w:val="000000"/>
                <w:lang w:eastAsia="en-GB"/>
              </w:rPr>
              <w:t>24</w:t>
            </w:r>
            <w:r w:rsidRPr="003814B4">
              <w:rPr>
                <w:rFonts w:ascii="Calibri" w:eastAsia="Times New Roman" w:hAnsi="Calibri" w:cs="Calibri"/>
                <w:b/>
                <w:bCs/>
                <w:color w:val="000000"/>
                <w:lang w:eastAsia="en-GB"/>
              </w:rPr>
              <w:t>)</w:t>
            </w:r>
          </w:p>
        </w:tc>
        <w:tc>
          <w:tcPr>
            <w:tcW w:w="210" w:type="dxa"/>
            <w:tcBorders>
              <w:top w:val="nil"/>
              <w:left w:val="nil"/>
              <w:bottom w:val="nil"/>
              <w:right w:val="nil"/>
            </w:tcBorders>
            <w:shd w:val="clear" w:color="000000" w:fill="FFFFFF"/>
            <w:noWrap/>
            <w:vAlign w:val="bottom"/>
            <w:hideMark/>
          </w:tcPr>
          <w:p w14:paraId="3021860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3354C5D3" w14:textId="77777777" w:rsidTr="003814B4">
        <w:trPr>
          <w:trHeight w:val="24"/>
        </w:trPr>
        <w:tc>
          <w:tcPr>
            <w:tcW w:w="210" w:type="dxa"/>
            <w:tcBorders>
              <w:top w:val="nil"/>
              <w:left w:val="nil"/>
              <w:bottom w:val="nil"/>
              <w:right w:val="nil"/>
            </w:tcBorders>
            <w:shd w:val="clear" w:color="000000" w:fill="FFFFFF"/>
            <w:noWrap/>
            <w:vAlign w:val="bottom"/>
            <w:hideMark/>
          </w:tcPr>
          <w:p w14:paraId="2A8E43F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center"/>
            <w:hideMark/>
          </w:tcPr>
          <w:p w14:paraId="2ED35FFC"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FFFF"/>
            <w:noWrap/>
            <w:vAlign w:val="center"/>
            <w:hideMark/>
          </w:tcPr>
          <w:p w14:paraId="7E1611EC"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nil"/>
              <w:right w:val="nil"/>
            </w:tcBorders>
            <w:shd w:val="clear" w:color="000000" w:fill="FFFFFF"/>
            <w:noWrap/>
            <w:vAlign w:val="center"/>
            <w:hideMark/>
          </w:tcPr>
          <w:p w14:paraId="2FBA8099"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3644" w:type="dxa"/>
            <w:tcBorders>
              <w:top w:val="nil"/>
              <w:left w:val="nil"/>
              <w:bottom w:val="nil"/>
              <w:right w:val="nil"/>
            </w:tcBorders>
            <w:shd w:val="clear" w:color="000000" w:fill="FFFFFF"/>
            <w:noWrap/>
            <w:vAlign w:val="center"/>
            <w:hideMark/>
          </w:tcPr>
          <w:p w14:paraId="20E43CC9"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664" w:type="dxa"/>
            <w:tcBorders>
              <w:top w:val="nil"/>
              <w:left w:val="nil"/>
              <w:bottom w:val="nil"/>
              <w:right w:val="nil"/>
            </w:tcBorders>
            <w:shd w:val="clear" w:color="000000" w:fill="FFFFFF"/>
            <w:noWrap/>
            <w:vAlign w:val="center"/>
            <w:hideMark/>
          </w:tcPr>
          <w:p w14:paraId="6EFC9E4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850" w:type="dxa"/>
            <w:tcBorders>
              <w:top w:val="nil"/>
              <w:left w:val="nil"/>
              <w:bottom w:val="nil"/>
              <w:right w:val="nil"/>
            </w:tcBorders>
            <w:shd w:val="clear" w:color="000000" w:fill="FFFFFF"/>
            <w:noWrap/>
            <w:vAlign w:val="center"/>
            <w:hideMark/>
          </w:tcPr>
          <w:p w14:paraId="6C50A032"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FFFF"/>
            <w:noWrap/>
            <w:vAlign w:val="center"/>
            <w:hideMark/>
          </w:tcPr>
          <w:p w14:paraId="6C1E83FD"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nil"/>
              <w:right w:val="nil"/>
            </w:tcBorders>
            <w:shd w:val="clear" w:color="000000" w:fill="FFFFFF"/>
            <w:noWrap/>
            <w:vAlign w:val="center"/>
            <w:hideMark/>
          </w:tcPr>
          <w:p w14:paraId="69BA7B6A"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210" w:type="dxa"/>
            <w:tcBorders>
              <w:top w:val="nil"/>
              <w:left w:val="nil"/>
              <w:bottom w:val="nil"/>
              <w:right w:val="nil"/>
            </w:tcBorders>
            <w:shd w:val="clear" w:color="000000" w:fill="FFFFFF"/>
            <w:noWrap/>
            <w:vAlign w:val="bottom"/>
            <w:hideMark/>
          </w:tcPr>
          <w:p w14:paraId="321D911D"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2977B525" w14:textId="77777777" w:rsidTr="003814B4">
        <w:trPr>
          <w:trHeight w:val="482"/>
        </w:trPr>
        <w:tc>
          <w:tcPr>
            <w:tcW w:w="210" w:type="dxa"/>
            <w:tcBorders>
              <w:top w:val="nil"/>
              <w:left w:val="nil"/>
              <w:bottom w:val="nil"/>
              <w:right w:val="nil"/>
            </w:tcBorders>
            <w:shd w:val="clear" w:color="000000" w:fill="FFFFFF"/>
            <w:noWrap/>
            <w:vAlign w:val="bottom"/>
            <w:hideMark/>
          </w:tcPr>
          <w:p w14:paraId="563603A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E1E1"/>
            <w:noWrap/>
            <w:vAlign w:val="center"/>
            <w:hideMark/>
          </w:tcPr>
          <w:p w14:paraId="7136C288"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974" w:type="dxa"/>
            <w:tcBorders>
              <w:top w:val="nil"/>
              <w:left w:val="nil"/>
              <w:bottom w:val="nil"/>
              <w:right w:val="nil"/>
            </w:tcBorders>
            <w:shd w:val="clear" w:color="000000" w:fill="FFE1E1"/>
            <w:noWrap/>
            <w:vAlign w:val="center"/>
            <w:hideMark/>
          </w:tcPr>
          <w:p w14:paraId="5CD1C35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378" w:type="dxa"/>
            <w:tcBorders>
              <w:top w:val="nil"/>
              <w:left w:val="nil"/>
              <w:bottom w:val="single" w:sz="4" w:space="0" w:color="auto"/>
              <w:right w:val="nil"/>
            </w:tcBorders>
            <w:shd w:val="clear" w:color="000000" w:fill="FFE1E1"/>
            <w:noWrap/>
            <w:vAlign w:val="center"/>
            <w:hideMark/>
          </w:tcPr>
          <w:p w14:paraId="763F6B51"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35,667</w:t>
            </w:r>
          </w:p>
        </w:tc>
        <w:tc>
          <w:tcPr>
            <w:tcW w:w="3644" w:type="dxa"/>
            <w:tcBorders>
              <w:top w:val="nil"/>
              <w:left w:val="nil"/>
              <w:bottom w:val="nil"/>
              <w:right w:val="nil"/>
            </w:tcBorders>
            <w:shd w:val="clear" w:color="000000" w:fill="FFE1E1"/>
            <w:vAlign w:val="center"/>
            <w:hideMark/>
          </w:tcPr>
          <w:p w14:paraId="7A0501A7"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Total Comprehensive Income(-) and Expenditure</w:t>
            </w:r>
          </w:p>
        </w:tc>
        <w:tc>
          <w:tcPr>
            <w:tcW w:w="664" w:type="dxa"/>
            <w:tcBorders>
              <w:top w:val="nil"/>
              <w:left w:val="nil"/>
              <w:bottom w:val="nil"/>
              <w:right w:val="nil"/>
            </w:tcBorders>
            <w:shd w:val="clear" w:color="000000" w:fill="FFE1E1"/>
            <w:vAlign w:val="center"/>
            <w:hideMark/>
          </w:tcPr>
          <w:p w14:paraId="2D1D4DFE" w14:textId="77777777"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 </w:t>
            </w:r>
          </w:p>
        </w:tc>
        <w:tc>
          <w:tcPr>
            <w:tcW w:w="850" w:type="dxa"/>
            <w:tcBorders>
              <w:top w:val="nil"/>
              <w:left w:val="nil"/>
              <w:bottom w:val="nil"/>
              <w:right w:val="nil"/>
            </w:tcBorders>
            <w:shd w:val="clear" w:color="000000" w:fill="FFE1E1"/>
            <w:noWrap/>
            <w:vAlign w:val="center"/>
            <w:hideMark/>
          </w:tcPr>
          <w:p w14:paraId="5845D985"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021" w:type="dxa"/>
            <w:tcBorders>
              <w:top w:val="nil"/>
              <w:left w:val="nil"/>
              <w:bottom w:val="nil"/>
              <w:right w:val="nil"/>
            </w:tcBorders>
            <w:shd w:val="clear" w:color="000000" w:fill="FFE1E1"/>
            <w:noWrap/>
            <w:vAlign w:val="center"/>
            <w:hideMark/>
          </w:tcPr>
          <w:p w14:paraId="0AB6B1C4" w14:textId="77777777" w:rsidR="003814B4" w:rsidRPr="003814B4" w:rsidRDefault="003814B4" w:rsidP="003814B4">
            <w:pPr>
              <w:spacing w:after="0" w:line="240" w:lineRule="auto"/>
              <w:jc w:val="right"/>
              <w:rPr>
                <w:rFonts w:ascii="Calibri" w:eastAsia="Times New Roman" w:hAnsi="Calibri" w:cs="Calibri"/>
                <w:color w:val="000000"/>
                <w:lang w:eastAsia="en-GB"/>
              </w:rPr>
            </w:pPr>
            <w:r w:rsidRPr="003814B4">
              <w:rPr>
                <w:rFonts w:ascii="Calibri" w:eastAsia="Times New Roman" w:hAnsi="Calibri" w:cs="Calibri"/>
                <w:color w:val="000000"/>
                <w:lang w:eastAsia="en-GB"/>
              </w:rPr>
              <w:t> </w:t>
            </w:r>
          </w:p>
        </w:tc>
        <w:tc>
          <w:tcPr>
            <w:tcW w:w="1176" w:type="dxa"/>
            <w:tcBorders>
              <w:top w:val="nil"/>
              <w:left w:val="nil"/>
              <w:bottom w:val="single" w:sz="4" w:space="0" w:color="auto"/>
              <w:right w:val="nil"/>
            </w:tcBorders>
            <w:shd w:val="clear" w:color="000000" w:fill="FFE1E1"/>
            <w:noWrap/>
            <w:vAlign w:val="center"/>
            <w:hideMark/>
          </w:tcPr>
          <w:p w14:paraId="1DCE55A4" w14:textId="38B2C7CF" w:rsidR="003814B4" w:rsidRPr="003814B4" w:rsidRDefault="003814B4" w:rsidP="003814B4">
            <w:pPr>
              <w:spacing w:after="0" w:line="240" w:lineRule="auto"/>
              <w:jc w:val="right"/>
              <w:rPr>
                <w:rFonts w:ascii="Calibri" w:eastAsia="Times New Roman" w:hAnsi="Calibri" w:cs="Calibri"/>
                <w:b/>
                <w:bCs/>
                <w:color w:val="000000"/>
                <w:lang w:eastAsia="en-GB"/>
              </w:rPr>
            </w:pPr>
            <w:r w:rsidRPr="003814B4">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1</w:t>
            </w:r>
          </w:p>
        </w:tc>
        <w:tc>
          <w:tcPr>
            <w:tcW w:w="210" w:type="dxa"/>
            <w:tcBorders>
              <w:top w:val="nil"/>
              <w:left w:val="nil"/>
              <w:bottom w:val="nil"/>
              <w:right w:val="nil"/>
            </w:tcBorders>
            <w:shd w:val="clear" w:color="000000" w:fill="FFFFFF"/>
            <w:noWrap/>
            <w:vAlign w:val="bottom"/>
            <w:hideMark/>
          </w:tcPr>
          <w:p w14:paraId="0FB8393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r w:rsidR="003814B4" w:rsidRPr="003814B4" w14:paraId="72164930" w14:textId="77777777" w:rsidTr="003814B4">
        <w:trPr>
          <w:trHeight w:val="96"/>
        </w:trPr>
        <w:tc>
          <w:tcPr>
            <w:tcW w:w="210" w:type="dxa"/>
            <w:tcBorders>
              <w:top w:val="nil"/>
              <w:left w:val="nil"/>
              <w:bottom w:val="nil"/>
              <w:right w:val="nil"/>
            </w:tcBorders>
            <w:shd w:val="clear" w:color="000000" w:fill="FFFFFF"/>
            <w:noWrap/>
            <w:vAlign w:val="bottom"/>
            <w:hideMark/>
          </w:tcPr>
          <w:p w14:paraId="706D0ED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2DEB24F"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974" w:type="dxa"/>
            <w:tcBorders>
              <w:top w:val="nil"/>
              <w:left w:val="nil"/>
              <w:bottom w:val="nil"/>
              <w:right w:val="nil"/>
            </w:tcBorders>
            <w:shd w:val="clear" w:color="000000" w:fill="FFFFFF"/>
            <w:noWrap/>
            <w:vAlign w:val="bottom"/>
            <w:hideMark/>
          </w:tcPr>
          <w:p w14:paraId="546B4BB4"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378" w:type="dxa"/>
            <w:tcBorders>
              <w:top w:val="nil"/>
              <w:left w:val="nil"/>
              <w:bottom w:val="nil"/>
              <w:right w:val="nil"/>
            </w:tcBorders>
            <w:shd w:val="clear" w:color="000000" w:fill="FFFFFF"/>
            <w:noWrap/>
            <w:vAlign w:val="bottom"/>
            <w:hideMark/>
          </w:tcPr>
          <w:p w14:paraId="33440B6A"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3644" w:type="dxa"/>
            <w:tcBorders>
              <w:top w:val="nil"/>
              <w:left w:val="nil"/>
              <w:bottom w:val="nil"/>
              <w:right w:val="nil"/>
            </w:tcBorders>
            <w:shd w:val="clear" w:color="000000" w:fill="FFFFFF"/>
            <w:noWrap/>
            <w:hideMark/>
          </w:tcPr>
          <w:p w14:paraId="54769EE0"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664" w:type="dxa"/>
            <w:tcBorders>
              <w:top w:val="nil"/>
              <w:left w:val="nil"/>
              <w:bottom w:val="nil"/>
              <w:right w:val="nil"/>
            </w:tcBorders>
            <w:shd w:val="clear" w:color="000000" w:fill="FFFFFF"/>
            <w:noWrap/>
            <w:hideMark/>
          </w:tcPr>
          <w:p w14:paraId="65B9C825"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850" w:type="dxa"/>
            <w:tcBorders>
              <w:top w:val="nil"/>
              <w:left w:val="nil"/>
              <w:bottom w:val="nil"/>
              <w:right w:val="nil"/>
            </w:tcBorders>
            <w:shd w:val="clear" w:color="000000" w:fill="FFFFFF"/>
            <w:noWrap/>
            <w:vAlign w:val="bottom"/>
            <w:hideMark/>
          </w:tcPr>
          <w:p w14:paraId="23402C4E"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021" w:type="dxa"/>
            <w:tcBorders>
              <w:top w:val="nil"/>
              <w:left w:val="nil"/>
              <w:bottom w:val="nil"/>
              <w:right w:val="nil"/>
            </w:tcBorders>
            <w:shd w:val="clear" w:color="000000" w:fill="FFFFFF"/>
            <w:noWrap/>
            <w:vAlign w:val="bottom"/>
            <w:hideMark/>
          </w:tcPr>
          <w:p w14:paraId="6FF05F49"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1176" w:type="dxa"/>
            <w:tcBorders>
              <w:top w:val="nil"/>
              <w:left w:val="nil"/>
              <w:bottom w:val="nil"/>
              <w:right w:val="nil"/>
            </w:tcBorders>
            <w:shd w:val="clear" w:color="000000" w:fill="FFFFFF"/>
            <w:noWrap/>
            <w:hideMark/>
          </w:tcPr>
          <w:p w14:paraId="73846123"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c>
          <w:tcPr>
            <w:tcW w:w="210" w:type="dxa"/>
            <w:tcBorders>
              <w:top w:val="nil"/>
              <w:left w:val="nil"/>
              <w:bottom w:val="nil"/>
              <w:right w:val="nil"/>
            </w:tcBorders>
            <w:shd w:val="clear" w:color="000000" w:fill="FFFFFF"/>
            <w:noWrap/>
            <w:vAlign w:val="bottom"/>
            <w:hideMark/>
          </w:tcPr>
          <w:p w14:paraId="388F7207" w14:textId="77777777" w:rsidR="003814B4" w:rsidRPr="003814B4" w:rsidRDefault="003814B4" w:rsidP="003814B4">
            <w:pPr>
              <w:spacing w:after="0" w:line="240" w:lineRule="auto"/>
              <w:rPr>
                <w:rFonts w:ascii="Microsoft New Tai Lue" w:eastAsia="Times New Roman" w:hAnsi="Microsoft New Tai Lue" w:cs="Microsoft New Tai Lue"/>
                <w:color w:val="000000"/>
                <w:sz w:val="20"/>
                <w:szCs w:val="20"/>
                <w:lang w:eastAsia="en-GB"/>
              </w:rPr>
            </w:pPr>
            <w:r w:rsidRPr="003814B4">
              <w:rPr>
                <w:rFonts w:ascii="Microsoft New Tai Lue" w:eastAsia="Times New Roman" w:hAnsi="Microsoft New Tai Lue" w:cs="Microsoft New Tai Lue"/>
                <w:color w:val="000000"/>
                <w:sz w:val="20"/>
                <w:szCs w:val="20"/>
                <w:lang w:eastAsia="en-GB"/>
              </w:rPr>
              <w:t> </w:t>
            </w:r>
          </w:p>
        </w:tc>
      </w:tr>
    </w:tbl>
    <w:p w14:paraId="48BFB5D4" w14:textId="00D9D735" w:rsidR="0073122A" w:rsidRPr="007F07C2" w:rsidRDefault="0073122A" w:rsidP="00067AEA">
      <w:pPr>
        <w:pStyle w:val="Default"/>
        <w:rPr>
          <w:rFonts w:asciiTheme="minorHAnsi" w:hAnsiTheme="minorHAnsi"/>
          <w:noProof/>
          <w:color w:val="auto"/>
          <w:lang w:eastAsia="en-GB"/>
        </w:rPr>
      </w:pPr>
    </w:p>
    <w:p w14:paraId="7DAF549D" w14:textId="77777777" w:rsidR="003760DF" w:rsidRPr="007F07C2" w:rsidRDefault="003760DF" w:rsidP="00DF4B5D">
      <w:pPr>
        <w:pStyle w:val="Default"/>
        <w:jc w:val="center"/>
        <w:rPr>
          <w:rFonts w:asciiTheme="minorHAnsi" w:hAnsiTheme="minorHAnsi"/>
          <w:noProof/>
          <w:color w:val="auto"/>
          <w:lang w:eastAsia="en-GB"/>
        </w:rPr>
      </w:pPr>
    </w:p>
    <w:p w14:paraId="4A4DF9A1" w14:textId="77777777" w:rsidR="00CA1DD8" w:rsidRPr="007F07C2" w:rsidRDefault="00CA1DD8" w:rsidP="00DF4B5D">
      <w:pPr>
        <w:pStyle w:val="Default"/>
        <w:jc w:val="center"/>
        <w:rPr>
          <w:rFonts w:asciiTheme="minorHAnsi" w:hAnsiTheme="minorHAnsi"/>
          <w:noProof/>
          <w:color w:val="auto"/>
          <w:lang w:eastAsia="en-GB"/>
        </w:rPr>
      </w:pPr>
    </w:p>
    <w:p w14:paraId="2C6E733A" w14:textId="77777777" w:rsidR="00D86DF3" w:rsidRPr="007F07C2" w:rsidRDefault="00D86DF3" w:rsidP="00DF4B5D">
      <w:pPr>
        <w:pStyle w:val="Default"/>
        <w:jc w:val="center"/>
        <w:rPr>
          <w:rFonts w:asciiTheme="minorHAnsi" w:hAnsiTheme="minorHAnsi"/>
          <w:noProof/>
          <w:color w:val="auto"/>
          <w:lang w:eastAsia="en-GB"/>
        </w:rPr>
      </w:pPr>
      <w:r w:rsidRPr="007F07C2">
        <w:rPr>
          <w:rFonts w:asciiTheme="minorHAnsi" w:hAnsiTheme="minorHAnsi"/>
          <w:noProof/>
          <w:color w:val="auto"/>
          <w:lang w:eastAsia="en-GB"/>
        </w:rPr>
        <w:br w:type="page"/>
      </w:r>
    </w:p>
    <w:p w14:paraId="24473477" w14:textId="77777777"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lastRenderedPageBreak/>
        <w:t xml:space="preserve">MOVEMENT IN RESERVES STATEMENT </w:t>
      </w:r>
    </w:p>
    <w:p w14:paraId="27C19609" w14:textId="6ED6328C" w:rsidR="002D7485" w:rsidRPr="00635F47" w:rsidRDefault="003D6304" w:rsidP="0079406E">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FOR THE </w:t>
      </w:r>
      <w:r w:rsidR="004F5BD2" w:rsidRPr="00635F47">
        <w:rPr>
          <w:rFonts w:asciiTheme="minorHAnsi" w:hAnsiTheme="minorHAnsi" w:cstheme="minorHAnsi"/>
          <w:b/>
          <w:bCs/>
          <w:color w:val="auto"/>
          <w:sz w:val="22"/>
          <w:szCs w:val="22"/>
        </w:rPr>
        <w:t>YEAR ENDING 31 March 202</w:t>
      </w:r>
      <w:r w:rsidR="009774F5" w:rsidRPr="00635F47">
        <w:rPr>
          <w:rFonts w:asciiTheme="minorHAnsi" w:hAnsiTheme="minorHAnsi" w:cstheme="minorHAnsi"/>
          <w:b/>
          <w:bCs/>
          <w:color w:val="auto"/>
          <w:sz w:val="22"/>
          <w:szCs w:val="22"/>
        </w:rPr>
        <w:t>2</w:t>
      </w:r>
    </w:p>
    <w:p w14:paraId="68F920B3" w14:textId="3DE477EF" w:rsidR="009B164D" w:rsidRDefault="009B164D" w:rsidP="0079406E">
      <w:pPr>
        <w:pStyle w:val="Default"/>
        <w:rPr>
          <w:rFonts w:asciiTheme="minorHAnsi" w:hAnsiTheme="minorHAnsi" w:cstheme="minorBidi"/>
          <w:color w:val="auto"/>
          <w:sz w:val="22"/>
          <w:szCs w:val="22"/>
        </w:rPr>
      </w:pPr>
    </w:p>
    <w:tbl>
      <w:tblPr>
        <w:tblW w:w="10955" w:type="dxa"/>
        <w:tblLook w:val="04A0" w:firstRow="1" w:lastRow="0" w:firstColumn="1" w:lastColumn="0" w:noHBand="0" w:noVBand="1"/>
      </w:tblPr>
      <w:tblGrid>
        <w:gridCol w:w="266"/>
        <w:gridCol w:w="3004"/>
        <w:gridCol w:w="1082"/>
        <w:gridCol w:w="1211"/>
        <w:gridCol w:w="1160"/>
        <w:gridCol w:w="990"/>
        <w:gridCol w:w="1030"/>
        <w:gridCol w:w="1148"/>
        <w:gridCol w:w="1030"/>
        <w:gridCol w:w="266"/>
      </w:tblGrid>
      <w:tr w:rsidR="009B164D" w:rsidRPr="009B164D" w14:paraId="2B7955E8" w14:textId="77777777" w:rsidTr="009B164D">
        <w:trPr>
          <w:divId w:val="103889772"/>
          <w:trHeight w:val="94"/>
        </w:trPr>
        <w:tc>
          <w:tcPr>
            <w:tcW w:w="255" w:type="dxa"/>
            <w:tcBorders>
              <w:top w:val="nil"/>
              <w:left w:val="nil"/>
              <w:bottom w:val="nil"/>
              <w:right w:val="nil"/>
            </w:tcBorders>
            <w:shd w:val="clear" w:color="000000" w:fill="FFFFFF"/>
            <w:noWrap/>
            <w:vAlign w:val="bottom"/>
            <w:hideMark/>
          </w:tcPr>
          <w:p w14:paraId="2CEC72ED" w14:textId="7A173FD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0601BD0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0BBC66B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55BE544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hideMark/>
          </w:tcPr>
          <w:p w14:paraId="01B3E5B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hideMark/>
          </w:tcPr>
          <w:p w14:paraId="6D7F45C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46A425D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hideMark/>
          </w:tcPr>
          <w:p w14:paraId="224D0F3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014D5D7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0085A3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23D5AD7" w14:textId="77777777" w:rsidTr="009B164D">
        <w:trPr>
          <w:divId w:val="103889772"/>
          <w:trHeight w:val="711"/>
        </w:trPr>
        <w:tc>
          <w:tcPr>
            <w:tcW w:w="255" w:type="dxa"/>
            <w:tcBorders>
              <w:top w:val="nil"/>
              <w:left w:val="nil"/>
              <w:bottom w:val="nil"/>
              <w:right w:val="nil"/>
            </w:tcBorders>
            <w:shd w:val="clear" w:color="000000" w:fill="FFFFFF"/>
            <w:noWrap/>
            <w:vAlign w:val="bottom"/>
            <w:hideMark/>
          </w:tcPr>
          <w:p w14:paraId="68E1828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single" w:sz="4" w:space="0" w:color="auto"/>
              <w:left w:val="single" w:sz="4" w:space="0" w:color="auto"/>
              <w:bottom w:val="nil"/>
              <w:right w:val="nil"/>
            </w:tcBorders>
            <w:shd w:val="clear" w:color="000000" w:fill="FFFFFF"/>
            <w:noWrap/>
            <w:vAlign w:val="bottom"/>
            <w:hideMark/>
          </w:tcPr>
          <w:p w14:paraId="2E59640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single" w:sz="4" w:space="0" w:color="auto"/>
              <w:left w:val="nil"/>
              <w:bottom w:val="nil"/>
              <w:right w:val="nil"/>
            </w:tcBorders>
            <w:shd w:val="clear" w:color="000000" w:fill="C00000"/>
            <w:hideMark/>
          </w:tcPr>
          <w:p w14:paraId="3660113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General Fund</w:t>
            </w:r>
          </w:p>
        </w:tc>
        <w:tc>
          <w:tcPr>
            <w:tcW w:w="1164" w:type="dxa"/>
            <w:tcBorders>
              <w:top w:val="single" w:sz="4" w:space="0" w:color="auto"/>
              <w:left w:val="nil"/>
              <w:bottom w:val="nil"/>
              <w:right w:val="nil"/>
            </w:tcBorders>
            <w:shd w:val="clear" w:color="000000" w:fill="C00000"/>
            <w:hideMark/>
          </w:tcPr>
          <w:p w14:paraId="1E80C08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Earmarked Reserves</w:t>
            </w:r>
          </w:p>
        </w:tc>
        <w:tc>
          <w:tcPr>
            <w:tcW w:w="1115" w:type="dxa"/>
            <w:tcBorders>
              <w:top w:val="single" w:sz="4" w:space="0" w:color="auto"/>
              <w:left w:val="nil"/>
              <w:bottom w:val="nil"/>
              <w:right w:val="nil"/>
            </w:tcBorders>
            <w:shd w:val="clear" w:color="000000" w:fill="C00000"/>
            <w:hideMark/>
          </w:tcPr>
          <w:p w14:paraId="4C65A25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Capital Grants Unapplied</w:t>
            </w:r>
          </w:p>
        </w:tc>
        <w:tc>
          <w:tcPr>
            <w:tcW w:w="952" w:type="dxa"/>
            <w:tcBorders>
              <w:top w:val="single" w:sz="4" w:space="0" w:color="auto"/>
              <w:left w:val="nil"/>
              <w:bottom w:val="nil"/>
              <w:right w:val="nil"/>
            </w:tcBorders>
            <w:shd w:val="clear" w:color="000000" w:fill="C00000"/>
            <w:hideMark/>
          </w:tcPr>
          <w:p w14:paraId="721224D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Capital Receipts Reserve</w:t>
            </w:r>
          </w:p>
        </w:tc>
        <w:tc>
          <w:tcPr>
            <w:tcW w:w="990" w:type="dxa"/>
            <w:tcBorders>
              <w:top w:val="single" w:sz="4" w:space="0" w:color="auto"/>
              <w:left w:val="nil"/>
              <w:bottom w:val="nil"/>
              <w:right w:val="nil"/>
            </w:tcBorders>
            <w:shd w:val="clear" w:color="000000" w:fill="C00000"/>
            <w:hideMark/>
          </w:tcPr>
          <w:p w14:paraId="3D1C5D9E" w14:textId="2DD9A678"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Usable Reserves Total</w:t>
            </w:r>
          </w:p>
        </w:tc>
        <w:tc>
          <w:tcPr>
            <w:tcW w:w="1148" w:type="dxa"/>
            <w:tcBorders>
              <w:top w:val="single" w:sz="4" w:space="0" w:color="auto"/>
              <w:left w:val="nil"/>
              <w:bottom w:val="nil"/>
              <w:right w:val="nil"/>
            </w:tcBorders>
            <w:shd w:val="clear" w:color="000000" w:fill="C00000"/>
            <w:hideMark/>
          </w:tcPr>
          <w:p w14:paraId="044046A7" w14:textId="11D41F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Unusable Reserves Total</w:t>
            </w:r>
          </w:p>
        </w:tc>
        <w:tc>
          <w:tcPr>
            <w:tcW w:w="990" w:type="dxa"/>
            <w:tcBorders>
              <w:top w:val="single" w:sz="4" w:space="0" w:color="auto"/>
              <w:left w:val="nil"/>
              <w:bottom w:val="nil"/>
              <w:right w:val="single" w:sz="4" w:space="0" w:color="auto"/>
            </w:tcBorders>
            <w:shd w:val="clear" w:color="000000" w:fill="C00000"/>
            <w:hideMark/>
          </w:tcPr>
          <w:p w14:paraId="30E3166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Reserves Total</w:t>
            </w:r>
          </w:p>
        </w:tc>
        <w:tc>
          <w:tcPr>
            <w:tcW w:w="255" w:type="dxa"/>
            <w:tcBorders>
              <w:top w:val="nil"/>
              <w:left w:val="nil"/>
              <w:bottom w:val="nil"/>
              <w:right w:val="nil"/>
            </w:tcBorders>
            <w:shd w:val="clear" w:color="000000" w:fill="FFFFFF"/>
            <w:noWrap/>
            <w:vAlign w:val="bottom"/>
            <w:hideMark/>
          </w:tcPr>
          <w:p w14:paraId="12DEA3C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2AE6717"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6D2AC4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5B2795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C00000"/>
            <w:noWrap/>
            <w:hideMark/>
          </w:tcPr>
          <w:p w14:paraId="189D716E"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64" w:type="dxa"/>
            <w:tcBorders>
              <w:top w:val="nil"/>
              <w:left w:val="nil"/>
              <w:bottom w:val="nil"/>
              <w:right w:val="nil"/>
            </w:tcBorders>
            <w:shd w:val="clear" w:color="000000" w:fill="C00000"/>
            <w:noWrap/>
            <w:hideMark/>
          </w:tcPr>
          <w:p w14:paraId="6B153B89"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15" w:type="dxa"/>
            <w:tcBorders>
              <w:top w:val="nil"/>
              <w:left w:val="nil"/>
              <w:bottom w:val="nil"/>
              <w:right w:val="nil"/>
            </w:tcBorders>
            <w:shd w:val="clear" w:color="000000" w:fill="C00000"/>
            <w:noWrap/>
            <w:hideMark/>
          </w:tcPr>
          <w:p w14:paraId="2899E7E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52" w:type="dxa"/>
            <w:tcBorders>
              <w:top w:val="nil"/>
              <w:left w:val="nil"/>
              <w:bottom w:val="nil"/>
              <w:right w:val="nil"/>
            </w:tcBorders>
            <w:shd w:val="clear" w:color="000000" w:fill="C00000"/>
            <w:noWrap/>
            <w:hideMark/>
          </w:tcPr>
          <w:p w14:paraId="3362BA4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90" w:type="dxa"/>
            <w:tcBorders>
              <w:top w:val="nil"/>
              <w:left w:val="nil"/>
              <w:bottom w:val="nil"/>
              <w:right w:val="nil"/>
            </w:tcBorders>
            <w:shd w:val="clear" w:color="000000" w:fill="C00000"/>
            <w:noWrap/>
            <w:hideMark/>
          </w:tcPr>
          <w:p w14:paraId="6D90E71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48" w:type="dxa"/>
            <w:tcBorders>
              <w:top w:val="nil"/>
              <w:left w:val="nil"/>
              <w:bottom w:val="nil"/>
              <w:right w:val="nil"/>
            </w:tcBorders>
            <w:shd w:val="clear" w:color="000000" w:fill="C00000"/>
            <w:noWrap/>
            <w:hideMark/>
          </w:tcPr>
          <w:p w14:paraId="6AFE717D"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990" w:type="dxa"/>
            <w:tcBorders>
              <w:top w:val="nil"/>
              <w:left w:val="nil"/>
              <w:bottom w:val="nil"/>
              <w:right w:val="single" w:sz="4" w:space="0" w:color="auto"/>
            </w:tcBorders>
            <w:shd w:val="clear" w:color="000000" w:fill="C00000"/>
            <w:noWrap/>
            <w:hideMark/>
          </w:tcPr>
          <w:p w14:paraId="3E54A64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55" w:type="dxa"/>
            <w:tcBorders>
              <w:top w:val="nil"/>
              <w:left w:val="nil"/>
              <w:bottom w:val="nil"/>
              <w:right w:val="nil"/>
            </w:tcBorders>
            <w:shd w:val="clear" w:color="000000" w:fill="FFFFFF"/>
            <w:noWrap/>
            <w:vAlign w:val="bottom"/>
            <w:hideMark/>
          </w:tcPr>
          <w:p w14:paraId="507C7C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6C8C0B7"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7B5BBB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61EE431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at 31st March 2020</w:t>
            </w:r>
          </w:p>
        </w:tc>
        <w:tc>
          <w:tcPr>
            <w:tcW w:w="1082" w:type="dxa"/>
            <w:tcBorders>
              <w:top w:val="nil"/>
              <w:left w:val="nil"/>
              <w:bottom w:val="nil"/>
              <w:right w:val="nil"/>
            </w:tcBorders>
            <w:shd w:val="clear" w:color="000000" w:fill="FFE1E1"/>
            <w:noWrap/>
            <w:vAlign w:val="bottom"/>
            <w:hideMark/>
          </w:tcPr>
          <w:p w14:paraId="0C901E93" w14:textId="523894D4"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(1,16</w:t>
            </w:r>
            <w:r w:rsidR="009A4FF6">
              <w:rPr>
                <w:rFonts w:ascii="Calibri" w:eastAsia="Times New Roman" w:hAnsi="Calibri" w:cs="Calibri"/>
                <w:b/>
                <w:bCs/>
                <w:color w:val="000000"/>
                <w:lang w:eastAsia="en-GB"/>
              </w:rPr>
              <w:t>7</w:t>
            </w:r>
            <w:r w:rsidRPr="009B164D">
              <w:rPr>
                <w:rFonts w:ascii="Calibri" w:eastAsia="Times New Roman" w:hAnsi="Calibri" w:cs="Calibri"/>
                <w:b/>
                <w:bCs/>
                <w:color w:val="000000"/>
                <w:lang w:eastAsia="en-GB"/>
              </w:rPr>
              <w:t>)</w:t>
            </w:r>
          </w:p>
        </w:tc>
        <w:tc>
          <w:tcPr>
            <w:tcW w:w="1164" w:type="dxa"/>
            <w:tcBorders>
              <w:top w:val="nil"/>
              <w:left w:val="nil"/>
              <w:bottom w:val="nil"/>
              <w:right w:val="nil"/>
            </w:tcBorders>
            <w:shd w:val="clear" w:color="000000" w:fill="FFE1E1"/>
            <w:noWrap/>
            <w:vAlign w:val="bottom"/>
            <w:hideMark/>
          </w:tcPr>
          <w:p w14:paraId="0FF1ABB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(773)</w:t>
            </w:r>
          </w:p>
        </w:tc>
        <w:tc>
          <w:tcPr>
            <w:tcW w:w="1115" w:type="dxa"/>
            <w:tcBorders>
              <w:top w:val="nil"/>
              <w:left w:val="nil"/>
              <w:bottom w:val="nil"/>
              <w:right w:val="nil"/>
            </w:tcBorders>
            <w:shd w:val="clear" w:color="000000" w:fill="FFE1E1"/>
            <w:noWrap/>
            <w:vAlign w:val="bottom"/>
            <w:hideMark/>
          </w:tcPr>
          <w:p w14:paraId="455676A8" w14:textId="7FD2148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(95</w:t>
            </w:r>
            <w:r w:rsidR="009A4FF6">
              <w:rPr>
                <w:rFonts w:ascii="Calibri" w:eastAsia="Times New Roman" w:hAnsi="Calibri" w:cs="Calibri"/>
                <w:b/>
                <w:bCs/>
                <w:color w:val="000000"/>
                <w:lang w:eastAsia="en-GB"/>
              </w:rPr>
              <w:t>2</w:t>
            </w:r>
            <w:r w:rsidRPr="009B164D">
              <w:rPr>
                <w:rFonts w:ascii="Calibri" w:eastAsia="Times New Roman" w:hAnsi="Calibri" w:cs="Calibri"/>
                <w:b/>
                <w:bCs/>
                <w:color w:val="000000"/>
                <w:lang w:eastAsia="en-GB"/>
              </w:rPr>
              <w:t>)</w:t>
            </w:r>
          </w:p>
        </w:tc>
        <w:tc>
          <w:tcPr>
            <w:tcW w:w="952" w:type="dxa"/>
            <w:tcBorders>
              <w:top w:val="nil"/>
              <w:left w:val="nil"/>
              <w:bottom w:val="nil"/>
              <w:right w:val="nil"/>
            </w:tcBorders>
            <w:shd w:val="clear" w:color="000000" w:fill="FFE1E1"/>
            <w:noWrap/>
            <w:vAlign w:val="bottom"/>
            <w:hideMark/>
          </w:tcPr>
          <w:p w14:paraId="2112F4A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(19)</w:t>
            </w:r>
          </w:p>
        </w:tc>
        <w:tc>
          <w:tcPr>
            <w:tcW w:w="990" w:type="dxa"/>
            <w:tcBorders>
              <w:top w:val="nil"/>
              <w:left w:val="nil"/>
              <w:bottom w:val="nil"/>
              <w:right w:val="nil"/>
            </w:tcBorders>
            <w:shd w:val="clear" w:color="000000" w:fill="FFE1E1"/>
            <w:noWrap/>
            <w:vAlign w:val="bottom"/>
            <w:hideMark/>
          </w:tcPr>
          <w:p w14:paraId="6F41956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(2,911)</w:t>
            </w:r>
          </w:p>
        </w:tc>
        <w:tc>
          <w:tcPr>
            <w:tcW w:w="1148" w:type="dxa"/>
            <w:tcBorders>
              <w:top w:val="nil"/>
              <w:left w:val="nil"/>
              <w:bottom w:val="nil"/>
              <w:right w:val="nil"/>
            </w:tcBorders>
            <w:shd w:val="clear" w:color="000000" w:fill="FFE1E1"/>
            <w:noWrap/>
            <w:vAlign w:val="bottom"/>
            <w:hideMark/>
          </w:tcPr>
          <w:p w14:paraId="420D29E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252,962</w:t>
            </w:r>
          </w:p>
        </w:tc>
        <w:tc>
          <w:tcPr>
            <w:tcW w:w="990" w:type="dxa"/>
            <w:tcBorders>
              <w:top w:val="nil"/>
              <w:left w:val="nil"/>
              <w:bottom w:val="nil"/>
              <w:right w:val="single" w:sz="4" w:space="0" w:color="auto"/>
            </w:tcBorders>
            <w:shd w:val="clear" w:color="000000" w:fill="FFE1E1"/>
            <w:noWrap/>
            <w:vAlign w:val="bottom"/>
            <w:hideMark/>
          </w:tcPr>
          <w:p w14:paraId="0E0D06BE"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250,051</w:t>
            </w:r>
          </w:p>
        </w:tc>
        <w:tc>
          <w:tcPr>
            <w:tcW w:w="255" w:type="dxa"/>
            <w:tcBorders>
              <w:top w:val="nil"/>
              <w:left w:val="nil"/>
              <w:bottom w:val="nil"/>
              <w:right w:val="nil"/>
            </w:tcBorders>
            <w:shd w:val="clear" w:color="000000" w:fill="FFFFFF"/>
            <w:noWrap/>
            <w:vAlign w:val="bottom"/>
            <w:hideMark/>
          </w:tcPr>
          <w:p w14:paraId="24C8649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48F327" w14:textId="77777777" w:rsidTr="009B164D">
        <w:trPr>
          <w:divId w:val="103889772"/>
          <w:trHeight w:val="82"/>
        </w:trPr>
        <w:tc>
          <w:tcPr>
            <w:tcW w:w="255" w:type="dxa"/>
            <w:tcBorders>
              <w:top w:val="nil"/>
              <w:left w:val="nil"/>
              <w:bottom w:val="nil"/>
              <w:right w:val="nil"/>
            </w:tcBorders>
            <w:shd w:val="clear" w:color="000000" w:fill="FFFFFF"/>
            <w:noWrap/>
            <w:vAlign w:val="bottom"/>
            <w:hideMark/>
          </w:tcPr>
          <w:p w14:paraId="4E95F29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noWrap/>
            <w:vAlign w:val="bottom"/>
            <w:hideMark/>
          </w:tcPr>
          <w:p w14:paraId="69894B7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center"/>
            <w:hideMark/>
          </w:tcPr>
          <w:p w14:paraId="5321440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3E3B05E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795D339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07914A8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6BE4DDB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461A393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7712433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2A919A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A0F49BC" w14:textId="77777777" w:rsidTr="009B164D">
        <w:trPr>
          <w:divId w:val="103889772"/>
          <w:trHeight w:val="426"/>
        </w:trPr>
        <w:tc>
          <w:tcPr>
            <w:tcW w:w="255" w:type="dxa"/>
            <w:tcBorders>
              <w:top w:val="nil"/>
              <w:left w:val="nil"/>
              <w:bottom w:val="nil"/>
              <w:right w:val="nil"/>
            </w:tcBorders>
            <w:shd w:val="clear" w:color="000000" w:fill="FFFFFF"/>
            <w:noWrap/>
            <w:vAlign w:val="bottom"/>
            <w:hideMark/>
          </w:tcPr>
          <w:p w14:paraId="15A50BD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77C31316" w14:textId="4822783D"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Movement in Reserves for 2020</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21</w:t>
            </w:r>
          </w:p>
        </w:tc>
        <w:tc>
          <w:tcPr>
            <w:tcW w:w="1082" w:type="dxa"/>
            <w:tcBorders>
              <w:top w:val="nil"/>
              <w:left w:val="nil"/>
              <w:bottom w:val="nil"/>
              <w:right w:val="nil"/>
            </w:tcBorders>
            <w:shd w:val="clear" w:color="000000" w:fill="FFFFFF"/>
            <w:noWrap/>
            <w:vAlign w:val="center"/>
            <w:hideMark/>
          </w:tcPr>
          <w:p w14:paraId="11C01BBF"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11F51F7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03C4F11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35620FE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0E08866E"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7819F35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16983D9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697FE20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420A0FD" w14:textId="77777777" w:rsidTr="009B164D">
        <w:trPr>
          <w:divId w:val="103889772"/>
          <w:trHeight w:val="474"/>
        </w:trPr>
        <w:tc>
          <w:tcPr>
            <w:tcW w:w="255" w:type="dxa"/>
            <w:tcBorders>
              <w:top w:val="nil"/>
              <w:left w:val="nil"/>
              <w:bottom w:val="nil"/>
              <w:right w:val="nil"/>
            </w:tcBorders>
            <w:shd w:val="clear" w:color="000000" w:fill="FFFFFF"/>
            <w:noWrap/>
            <w:vAlign w:val="bottom"/>
            <w:hideMark/>
          </w:tcPr>
          <w:p w14:paraId="678CA2A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194926C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Total comprehensive income and expenditure</w:t>
            </w:r>
          </w:p>
        </w:tc>
        <w:tc>
          <w:tcPr>
            <w:tcW w:w="1082" w:type="dxa"/>
            <w:tcBorders>
              <w:top w:val="nil"/>
              <w:left w:val="nil"/>
              <w:bottom w:val="nil"/>
              <w:right w:val="nil"/>
            </w:tcBorders>
            <w:shd w:val="clear" w:color="000000" w:fill="FFFFFF"/>
            <w:noWrap/>
            <w:vAlign w:val="bottom"/>
            <w:hideMark/>
          </w:tcPr>
          <w:p w14:paraId="26618406"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5,142</w:t>
            </w:r>
          </w:p>
        </w:tc>
        <w:tc>
          <w:tcPr>
            <w:tcW w:w="1164" w:type="dxa"/>
            <w:tcBorders>
              <w:top w:val="nil"/>
              <w:left w:val="nil"/>
              <w:bottom w:val="nil"/>
              <w:right w:val="nil"/>
            </w:tcBorders>
            <w:shd w:val="clear" w:color="000000" w:fill="FFFFFF"/>
            <w:noWrap/>
            <w:vAlign w:val="bottom"/>
            <w:hideMark/>
          </w:tcPr>
          <w:p w14:paraId="0612AAF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1115" w:type="dxa"/>
            <w:tcBorders>
              <w:top w:val="nil"/>
              <w:left w:val="nil"/>
              <w:bottom w:val="nil"/>
              <w:right w:val="nil"/>
            </w:tcBorders>
            <w:shd w:val="clear" w:color="000000" w:fill="FFFFFF"/>
            <w:noWrap/>
            <w:vAlign w:val="bottom"/>
            <w:hideMark/>
          </w:tcPr>
          <w:p w14:paraId="1535252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32DE890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1E3BBF2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5,142</w:t>
            </w:r>
          </w:p>
        </w:tc>
        <w:tc>
          <w:tcPr>
            <w:tcW w:w="1148" w:type="dxa"/>
            <w:tcBorders>
              <w:top w:val="nil"/>
              <w:left w:val="nil"/>
              <w:bottom w:val="nil"/>
              <w:right w:val="nil"/>
            </w:tcBorders>
            <w:shd w:val="clear" w:color="000000" w:fill="FFFFFF"/>
            <w:noWrap/>
            <w:vAlign w:val="bottom"/>
            <w:hideMark/>
          </w:tcPr>
          <w:p w14:paraId="75217E2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30,525</w:t>
            </w:r>
          </w:p>
        </w:tc>
        <w:tc>
          <w:tcPr>
            <w:tcW w:w="990" w:type="dxa"/>
            <w:tcBorders>
              <w:top w:val="nil"/>
              <w:left w:val="nil"/>
              <w:bottom w:val="nil"/>
              <w:right w:val="single" w:sz="4" w:space="0" w:color="auto"/>
            </w:tcBorders>
            <w:shd w:val="clear" w:color="000000" w:fill="FFFFFF"/>
            <w:noWrap/>
            <w:vAlign w:val="bottom"/>
            <w:hideMark/>
          </w:tcPr>
          <w:p w14:paraId="20F0A9F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35,667</w:t>
            </w:r>
          </w:p>
        </w:tc>
        <w:tc>
          <w:tcPr>
            <w:tcW w:w="255" w:type="dxa"/>
            <w:tcBorders>
              <w:top w:val="nil"/>
              <w:left w:val="nil"/>
              <w:bottom w:val="nil"/>
              <w:right w:val="nil"/>
            </w:tcBorders>
            <w:shd w:val="clear" w:color="000000" w:fill="FFFFFF"/>
            <w:noWrap/>
            <w:vAlign w:val="bottom"/>
            <w:hideMark/>
          </w:tcPr>
          <w:p w14:paraId="4BB4DA1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50185AB" w14:textId="77777777" w:rsidTr="009B164D">
        <w:trPr>
          <w:divId w:val="103889772"/>
          <w:trHeight w:val="711"/>
        </w:trPr>
        <w:tc>
          <w:tcPr>
            <w:tcW w:w="255" w:type="dxa"/>
            <w:tcBorders>
              <w:top w:val="nil"/>
              <w:left w:val="nil"/>
              <w:bottom w:val="nil"/>
              <w:right w:val="nil"/>
            </w:tcBorders>
            <w:shd w:val="clear" w:color="000000" w:fill="FFFFFF"/>
            <w:noWrap/>
            <w:vAlign w:val="bottom"/>
            <w:hideMark/>
          </w:tcPr>
          <w:p w14:paraId="22CCFFE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auto" w:fill="auto"/>
            <w:vAlign w:val="bottom"/>
            <w:hideMark/>
          </w:tcPr>
          <w:p w14:paraId="2D82DDD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Adjustments between accounting and funding basis under regulations</w:t>
            </w:r>
            <w:r w:rsidRPr="009B164D">
              <w:rPr>
                <w:rFonts w:ascii="Calibri" w:eastAsia="Times New Roman" w:hAnsi="Calibri" w:cs="Calibri"/>
                <w:lang w:eastAsia="en-GB"/>
              </w:rPr>
              <w:t xml:space="preserve"> (note 7)</w:t>
            </w:r>
          </w:p>
        </w:tc>
        <w:tc>
          <w:tcPr>
            <w:tcW w:w="1082" w:type="dxa"/>
            <w:tcBorders>
              <w:top w:val="nil"/>
              <w:left w:val="nil"/>
              <w:bottom w:val="nil"/>
              <w:right w:val="nil"/>
            </w:tcBorders>
            <w:shd w:val="clear" w:color="000000" w:fill="FFFFFF"/>
            <w:noWrap/>
            <w:vAlign w:val="bottom"/>
            <w:hideMark/>
          </w:tcPr>
          <w:p w14:paraId="1086856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(8,377)</w:t>
            </w:r>
          </w:p>
        </w:tc>
        <w:tc>
          <w:tcPr>
            <w:tcW w:w="1164" w:type="dxa"/>
            <w:tcBorders>
              <w:top w:val="nil"/>
              <w:left w:val="nil"/>
              <w:bottom w:val="nil"/>
              <w:right w:val="nil"/>
            </w:tcBorders>
            <w:shd w:val="clear" w:color="000000" w:fill="FFFFFF"/>
            <w:noWrap/>
            <w:vAlign w:val="bottom"/>
            <w:hideMark/>
          </w:tcPr>
          <w:p w14:paraId="13B7E47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255 </w:t>
            </w:r>
          </w:p>
        </w:tc>
        <w:tc>
          <w:tcPr>
            <w:tcW w:w="1115" w:type="dxa"/>
            <w:tcBorders>
              <w:top w:val="nil"/>
              <w:left w:val="nil"/>
              <w:bottom w:val="nil"/>
              <w:right w:val="nil"/>
            </w:tcBorders>
            <w:shd w:val="clear" w:color="000000" w:fill="FFFFFF"/>
            <w:noWrap/>
            <w:vAlign w:val="bottom"/>
            <w:hideMark/>
          </w:tcPr>
          <w:p w14:paraId="10C5216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400 </w:t>
            </w:r>
          </w:p>
        </w:tc>
        <w:tc>
          <w:tcPr>
            <w:tcW w:w="952" w:type="dxa"/>
            <w:tcBorders>
              <w:top w:val="nil"/>
              <w:left w:val="nil"/>
              <w:bottom w:val="nil"/>
              <w:right w:val="nil"/>
            </w:tcBorders>
            <w:shd w:val="clear" w:color="000000" w:fill="FFFFFF"/>
            <w:noWrap/>
            <w:vAlign w:val="bottom"/>
            <w:hideMark/>
          </w:tcPr>
          <w:p w14:paraId="759EE9F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19 </w:t>
            </w:r>
          </w:p>
        </w:tc>
        <w:tc>
          <w:tcPr>
            <w:tcW w:w="990" w:type="dxa"/>
            <w:tcBorders>
              <w:top w:val="nil"/>
              <w:left w:val="nil"/>
              <w:bottom w:val="nil"/>
              <w:right w:val="nil"/>
            </w:tcBorders>
            <w:shd w:val="clear" w:color="000000" w:fill="FFFFFF"/>
            <w:noWrap/>
            <w:vAlign w:val="bottom"/>
            <w:hideMark/>
          </w:tcPr>
          <w:p w14:paraId="6C81C2F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(7,703)</w:t>
            </w:r>
          </w:p>
        </w:tc>
        <w:tc>
          <w:tcPr>
            <w:tcW w:w="1148" w:type="dxa"/>
            <w:tcBorders>
              <w:top w:val="nil"/>
              <w:left w:val="nil"/>
              <w:bottom w:val="nil"/>
              <w:right w:val="nil"/>
            </w:tcBorders>
            <w:shd w:val="clear" w:color="000000" w:fill="FFFFFF"/>
            <w:noWrap/>
            <w:vAlign w:val="bottom"/>
            <w:hideMark/>
          </w:tcPr>
          <w:p w14:paraId="4921D78C"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7,703</w:t>
            </w:r>
          </w:p>
        </w:tc>
        <w:tc>
          <w:tcPr>
            <w:tcW w:w="990" w:type="dxa"/>
            <w:tcBorders>
              <w:top w:val="nil"/>
              <w:left w:val="nil"/>
              <w:bottom w:val="nil"/>
              <w:right w:val="single" w:sz="4" w:space="0" w:color="auto"/>
            </w:tcBorders>
            <w:shd w:val="clear" w:color="000000" w:fill="FFFFFF"/>
            <w:noWrap/>
            <w:vAlign w:val="bottom"/>
            <w:hideMark/>
          </w:tcPr>
          <w:p w14:paraId="3256F0E6"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4C6475A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B9498AE" w14:textId="77777777" w:rsidTr="009B164D">
        <w:trPr>
          <w:divId w:val="103889772"/>
          <w:trHeight w:val="295"/>
        </w:trPr>
        <w:tc>
          <w:tcPr>
            <w:tcW w:w="255" w:type="dxa"/>
            <w:tcBorders>
              <w:top w:val="nil"/>
              <w:left w:val="nil"/>
              <w:bottom w:val="nil"/>
              <w:right w:val="nil"/>
            </w:tcBorders>
            <w:shd w:val="clear" w:color="000000" w:fill="FFFFFF"/>
            <w:noWrap/>
            <w:vAlign w:val="bottom"/>
            <w:hideMark/>
          </w:tcPr>
          <w:p w14:paraId="6671C55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35AC7A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Transfer to Earmarked Reserves</w:t>
            </w:r>
          </w:p>
        </w:tc>
        <w:tc>
          <w:tcPr>
            <w:tcW w:w="1082" w:type="dxa"/>
            <w:tcBorders>
              <w:top w:val="nil"/>
              <w:left w:val="nil"/>
              <w:bottom w:val="nil"/>
              <w:right w:val="nil"/>
            </w:tcBorders>
            <w:shd w:val="clear" w:color="000000" w:fill="FFFFFF"/>
            <w:noWrap/>
            <w:vAlign w:val="bottom"/>
            <w:hideMark/>
          </w:tcPr>
          <w:p w14:paraId="34ED8039" w14:textId="7A55A27B"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w:t>
            </w:r>
            <w:r w:rsidR="00042421">
              <w:rPr>
                <w:rFonts w:ascii="Calibri" w:eastAsia="Times New Roman" w:hAnsi="Calibri" w:cs="Calibri"/>
                <w:color w:val="000000"/>
                <w:lang w:eastAsia="en-GB"/>
              </w:rPr>
              <w:t xml:space="preserve">   </w:t>
            </w:r>
            <w:r w:rsidRPr="009B164D">
              <w:rPr>
                <w:rFonts w:ascii="Calibri" w:eastAsia="Times New Roman" w:hAnsi="Calibri" w:cs="Calibri"/>
                <w:color w:val="000000"/>
                <w:lang w:eastAsia="en-GB"/>
              </w:rPr>
              <w:t xml:space="preserve">1,403 </w:t>
            </w:r>
          </w:p>
        </w:tc>
        <w:tc>
          <w:tcPr>
            <w:tcW w:w="1164" w:type="dxa"/>
            <w:tcBorders>
              <w:top w:val="nil"/>
              <w:left w:val="nil"/>
              <w:bottom w:val="nil"/>
              <w:right w:val="nil"/>
            </w:tcBorders>
            <w:shd w:val="clear" w:color="000000" w:fill="FFFFFF"/>
            <w:noWrap/>
            <w:vAlign w:val="bottom"/>
            <w:hideMark/>
          </w:tcPr>
          <w:p w14:paraId="165CE33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(1,403)</w:t>
            </w:r>
          </w:p>
        </w:tc>
        <w:tc>
          <w:tcPr>
            <w:tcW w:w="1115" w:type="dxa"/>
            <w:tcBorders>
              <w:top w:val="nil"/>
              <w:left w:val="nil"/>
              <w:bottom w:val="nil"/>
              <w:right w:val="nil"/>
            </w:tcBorders>
            <w:shd w:val="clear" w:color="000000" w:fill="FFFFFF"/>
            <w:noWrap/>
            <w:vAlign w:val="bottom"/>
            <w:hideMark/>
          </w:tcPr>
          <w:p w14:paraId="0484E2DD"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78FFE8C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0C916EB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1148" w:type="dxa"/>
            <w:tcBorders>
              <w:top w:val="nil"/>
              <w:left w:val="nil"/>
              <w:bottom w:val="nil"/>
              <w:right w:val="nil"/>
            </w:tcBorders>
            <w:shd w:val="clear" w:color="000000" w:fill="FFFFFF"/>
            <w:noWrap/>
            <w:vAlign w:val="bottom"/>
            <w:hideMark/>
          </w:tcPr>
          <w:p w14:paraId="4250148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single" w:sz="4" w:space="0" w:color="auto"/>
            </w:tcBorders>
            <w:shd w:val="clear" w:color="000000" w:fill="FFFFFF"/>
            <w:noWrap/>
            <w:vAlign w:val="bottom"/>
            <w:hideMark/>
          </w:tcPr>
          <w:p w14:paraId="152F660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566A6AE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46B0C31" w14:textId="77777777" w:rsidTr="009B164D">
        <w:trPr>
          <w:divId w:val="103889772"/>
          <w:trHeight w:val="177"/>
        </w:trPr>
        <w:tc>
          <w:tcPr>
            <w:tcW w:w="255" w:type="dxa"/>
            <w:tcBorders>
              <w:top w:val="nil"/>
              <w:left w:val="nil"/>
              <w:bottom w:val="nil"/>
              <w:right w:val="nil"/>
            </w:tcBorders>
            <w:shd w:val="clear" w:color="000000" w:fill="FFFFFF"/>
            <w:noWrap/>
            <w:vAlign w:val="bottom"/>
            <w:hideMark/>
          </w:tcPr>
          <w:p w14:paraId="1EB226D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3389324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315B2A7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1178A1B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5BE0FA2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60EA13C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0F063A3A"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bottom"/>
            <w:hideMark/>
          </w:tcPr>
          <w:p w14:paraId="7CF470A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489194BF"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4044F8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9776942" w14:textId="77777777" w:rsidTr="009B164D">
        <w:trPr>
          <w:divId w:val="103889772"/>
          <w:trHeight w:val="509"/>
        </w:trPr>
        <w:tc>
          <w:tcPr>
            <w:tcW w:w="255" w:type="dxa"/>
            <w:tcBorders>
              <w:top w:val="nil"/>
              <w:left w:val="nil"/>
              <w:bottom w:val="nil"/>
              <w:right w:val="nil"/>
            </w:tcBorders>
            <w:shd w:val="clear" w:color="000000" w:fill="FFFFFF"/>
            <w:noWrap/>
            <w:vAlign w:val="bottom"/>
            <w:hideMark/>
          </w:tcPr>
          <w:p w14:paraId="19BF5E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5DA22F35" w14:textId="6DB2D54F"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(Increase)/decrease in the 12 months to 31 March 202</w:t>
            </w:r>
            <w:r w:rsidR="001E5D73">
              <w:rPr>
                <w:rFonts w:ascii="Calibri" w:eastAsia="Times New Roman" w:hAnsi="Calibri" w:cs="Calibri"/>
                <w:b/>
                <w:bCs/>
                <w:color w:val="000000"/>
                <w:lang w:eastAsia="en-GB"/>
              </w:rPr>
              <w:t>1</w:t>
            </w:r>
          </w:p>
        </w:tc>
        <w:tc>
          <w:tcPr>
            <w:tcW w:w="1082" w:type="dxa"/>
            <w:tcBorders>
              <w:top w:val="nil"/>
              <w:left w:val="nil"/>
              <w:bottom w:val="nil"/>
              <w:right w:val="nil"/>
            </w:tcBorders>
            <w:shd w:val="clear" w:color="000000" w:fill="FFE1E1"/>
            <w:noWrap/>
            <w:vAlign w:val="bottom"/>
            <w:hideMark/>
          </w:tcPr>
          <w:p w14:paraId="31F9E716"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(1,832)</w:t>
            </w:r>
          </w:p>
        </w:tc>
        <w:tc>
          <w:tcPr>
            <w:tcW w:w="1164" w:type="dxa"/>
            <w:tcBorders>
              <w:top w:val="nil"/>
              <w:left w:val="nil"/>
              <w:bottom w:val="nil"/>
              <w:right w:val="nil"/>
            </w:tcBorders>
            <w:shd w:val="clear" w:color="000000" w:fill="FFE1E1"/>
            <w:noWrap/>
            <w:vAlign w:val="bottom"/>
            <w:hideMark/>
          </w:tcPr>
          <w:p w14:paraId="5B2300DF"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(1,148)</w:t>
            </w:r>
          </w:p>
        </w:tc>
        <w:tc>
          <w:tcPr>
            <w:tcW w:w="1115" w:type="dxa"/>
            <w:tcBorders>
              <w:top w:val="nil"/>
              <w:left w:val="nil"/>
              <w:bottom w:val="nil"/>
              <w:right w:val="nil"/>
            </w:tcBorders>
            <w:shd w:val="clear" w:color="000000" w:fill="FFE1E1"/>
            <w:noWrap/>
            <w:vAlign w:val="bottom"/>
            <w:hideMark/>
          </w:tcPr>
          <w:p w14:paraId="68E54898"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400</w:t>
            </w:r>
          </w:p>
        </w:tc>
        <w:tc>
          <w:tcPr>
            <w:tcW w:w="952" w:type="dxa"/>
            <w:tcBorders>
              <w:top w:val="nil"/>
              <w:left w:val="nil"/>
              <w:bottom w:val="nil"/>
              <w:right w:val="nil"/>
            </w:tcBorders>
            <w:shd w:val="clear" w:color="000000" w:fill="FFE1E1"/>
            <w:noWrap/>
            <w:vAlign w:val="bottom"/>
            <w:hideMark/>
          </w:tcPr>
          <w:p w14:paraId="3F1EEA67"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19 </w:t>
            </w:r>
          </w:p>
        </w:tc>
        <w:tc>
          <w:tcPr>
            <w:tcW w:w="990" w:type="dxa"/>
            <w:tcBorders>
              <w:top w:val="nil"/>
              <w:left w:val="nil"/>
              <w:bottom w:val="nil"/>
              <w:right w:val="nil"/>
            </w:tcBorders>
            <w:shd w:val="clear" w:color="000000" w:fill="FFE1E1"/>
            <w:noWrap/>
            <w:vAlign w:val="bottom"/>
            <w:hideMark/>
          </w:tcPr>
          <w:p w14:paraId="20133C9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(2,561)</w:t>
            </w:r>
          </w:p>
        </w:tc>
        <w:tc>
          <w:tcPr>
            <w:tcW w:w="1148" w:type="dxa"/>
            <w:tcBorders>
              <w:top w:val="nil"/>
              <w:left w:val="nil"/>
              <w:bottom w:val="nil"/>
              <w:right w:val="nil"/>
            </w:tcBorders>
            <w:shd w:val="clear" w:color="000000" w:fill="FFE1E1"/>
            <w:noWrap/>
            <w:vAlign w:val="bottom"/>
            <w:hideMark/>
          </w:tcPr>
          <w:p w14:paraId="1D078E0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38,228</w:t>
            </w:r>
          </w:p>
        </w:tc>
        <w:tc>
          <w:tcPr>
            <w:tcW w:w="990" w:type="dxa"/>
            <w:tcBorders>
              <w:top w:val="nil"/>
              <w:left w:val="nil"/>
              <w:bottom w:val="nil"/>
              <w:right w:val="single" w:sz="4" w:space="0" w:color="auto"/>
            </w:tcBorders>
            <w:shd w:val="clear" w:color="000000" w:fill="FFE1E1"/>
            <w:noWrap/>
            <w:vAlign w:val="bottom"/>
            <w:hideMark/>
          </w:tcPr>
          <w:p w14:paraId="45DF4B2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35,667</w:t>
            </w:r>
          </w:p>
        </w:tc>
        <w:tc>
          <w:tcPr>
            <w:tcW w:w="255" w:type="dxa"/>
            <w:tcBorders>
              <w:top w:val="nil"/>
              <w:left w:val="nil"/>
              <w:bottom w:val="nil"/>
              <w:right w:val="nil"/>
            </w:tcBorders>
            <w:shd w:val="clear" w:color="000000" w:fill="FFFFFF"/>
            <w:noWrap/>
            <w:vAlign w:val="bottom"/>
            <w:hideMark/>
          </w:tcPr>
          <w:p w14:paraId="2251DC2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B31048" w14:textId="77777777" w:rsidTr="009B164D">
        <w:trPr>
          <w:divId w:val="103889772"/>
          <w:trHeight w:val="189"/>
        </w:trPr>
        <w:tc>
          <w:tcPr>
            <w:tcW w:w="255" w:type="dxa"/>
            <w:tcBorders>
              <w:top w:val="nil"/>
              <w:left w:val="nil"/>
              <w:bottom w:val="nil"/>
              <w:right w:val="nil"/>
            </w:tcBorders>
            <w:shd w:val="clear" w:color="000000" w:fill="FFFFFF"/>
            <w:noWrap/>
            <w:vAlign w:val="bottom"/>
            <w:hideMark/>
          </w:tcPr>
          <w:p w14:paraId="350DDF7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7041E36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2ABE52E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627ED88E"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3746B6B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2EDCA9B4"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626737B4"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vAlign w:val="bottom"/>
            <w:hideMark/>
          </w:tcPr>
          <w:p w14:paraId="2CD0E20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647B5CF6"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6BAA3B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47FFA5E" w14:textId="77777777" w:rsidTr="009B164D">
        <w:trPr>
          <w:divId w:val="103889772"/>
          <w:trHeight w:val="248"/>
        </w:trPr>
        <w:tc>
          <w:tcPr>
            <w:tcW w:w="255" w:type="dxa"/>
            <w:tcBorders>
              <w:top w:val="nil"/>
              <w:left w:val="nil"/>
              <w:bottom w:val="nil"/>
              <w:right w:val="nil"/>
            </w:tcBorders>
            <w:shd w:val="clear" w:color="000000" w:fill="FFFFFF"/>
            <w:noWrap/>
            <w:vAlign w:val="bottom"/>
            <w:hideMark/>
          </w:tcPr>
          <w:p w14:paraId="7C84834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single" w:sz="4" w:space="0" w:color="auto"/>
              <w:right w:val="nil"/>
            </w:tcBorders>
            <w:shd w:val="clear" w:color="000000" w:fill="FFFFFF"/>
            <w:vAlign w:val="bottom"/>
            <w:hideMark/>
          </w:tcPr>
          <w:p w14:paraId="02AD3501"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carried forward at 31 March 2021</w:t>
            </w:r>
          </w:p>
        </w:tc>
        <w:tc>
          <w:tcPr>
            <w:tcW w:w="1082" w:type="dxa"/>
            <w:tcBorders>
              <w:top w:val="single" w:sz="4" w:space="0" w:color="auto"/>
              <w:left w:val="nil"/>
              <w:bottom w:val="single" w:sz="4" w:space="0" w:color="auto"/>
              <w:right w:val="nil"/>
            </w:tcBorders>
            <w:shd w:val="clear" w:color="000000" w:fill="C00000"/>
            <w:noWrap/>
            <w:vAlign w:val="bottom"/>
            <w:hideMark/>
          </w:tcPr>
          <w:p w14:paraId="49D724BB"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(3,000)</w:t>
            </w:r>
          </w:p>
        </w:tc>
        <w:tc>
          <w:tcPr>
            <w:tcW w:w="1164" w:type="dxa"/>
            <w:tcBorders>
              <w:top w:val="single" w:sz="4" w:space="0" w:color="auto"/>
              <w:left w:val="nil"/>
              <w:bottom w:val="single" w:sz="4" w:space="0" w:color="auto"/>
              <w:right w:val="nil"/>
            </w:tcBorders>
            <w:shd w:val="clear" w:color="000000" w:fill="C00000"/>
            <w:noWrap/>
            <w:vAlign w:val="bottom"/>
            <w:hideMark/>
          </w:tcPr>
          <w:p w14:paraId="5DA8EAB5"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(1,921)</w:t>
            </w:r>
          </w:p>
        </w:tc>
        <w:tc>
          <w:tcPr>
            <w:tcW w:w="1115" w:type="dxa"/>
            <w:tcBorders>
              <w:top w:val="single" w:sz="4" w:space="0" w:color="auto"/>
              <w:left w:val="nil"/>
              <w:bottom w:val="single" w:sz="4" w:space="0" w:color="auto"/>
              <w:right w:val="nil"/>
            </w:tcBorders>
            <w:shd w:val="clear" w:color="000000" w:fill="C00000"/>
            <w:noWrap/>
            <w:vAlign w:val="bottom"/>
            <w:hideMark/>
          </w:tcPr>
          <w:p w14:paraId="34410B41" w14:textId="130EF448"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(55</w:t>
            </w:r>
            <w:r w:rsidR="00DF23A6">
              <w:rPr>
                <w:rFonts w:ascii="Calibri" w:eastAsia="Times New Roman" w:hAnsi="Calibri" w:cs="Calibri"/>
                <w:b/>
                <w:bCs/>
                <w:color w:val="FFFFFF"/>
                <w:lang w:eastAsia="en-GB"/>
              </w:rPr>
              <w:t>2</w:t>
            </w:r>
            <w:r w:rsidRPr="009B164D">
              <w:rPr>
                <w:rFonts w:ascii="Calibri" w:eastAsia="Times New Roman" w:hAnsi="Calibri" w:cs="Calibri"/>
                <w:b/>
                <w:bCs/>
                <w:color w:val="FFFFFF"/>
                <w:lang w:eastAsia="en-GB"/>
              </w:rPr>
              <w:t>)</w:t>
            </w:r>
          </w:p>
        </w:tc>
        <w:tc>
          <w:tcPr>
            <w:tcW w:w="952" w:type="dxa"/>
            <w:tcBorders>
              <w:top w:val="single" w:sz="4" w:space="0" w:color="auto"/>
              <w:left w:val="nil"/>
              <w:bottom w:val="single" w:sz="4" w:space="0" w:color="auto"/>
              <w:right w:val="nil"/>
            </w:tcBorders>
            <w:shd w:val="clear" w:color="000000" w:fill="C00000"/>
            <w:noWrap/>
            <w:vAlign w:val="bottom"/>
            <w:hideMark/>
          </w:tcPr>
          <w:p w14:paraId="3E598CDD"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w:t>
            </w:r>
          </w:p>
        </w:tc>
        <w:tc>
          <w:tcPr>
            <w:tcW w:w="990" w:type="dxa"/>
            <w:tcBorders>
              <w:top w:val="single" w:sz="4" w:space="0" w:color="auto"/>
              <w:left w:val="nil"/>
              <w:bottom w:val="single" w:sz="4" w:space="0" w:color="auto"/>
              <w:right w:val="nil"/>
            </w:tcBorders>
            <w:shd w:val="clear" w:color="000000" w:fill="C00000"/>
            <w:noWrap/>
            <w:vAlign w:val="bottom"/>
            <w:hideMark/>
          </w:tcPr>
          <w:p w14:paraId="0C7DC25F" w14:textId="7D452833"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(5,47</w:t>
            </w:r>
            <w:r w:rsidR="00DF23A6">
              <w:rPr>
                <w:rFonts w:ascii="Calibri" w:eastAsia="Times New Roman" w:hAnsi="Calibri" w:cs="Calibri"/>
                <w:b/>
                <w:bCs/>
                <w:color w:val="FFFFFF"/>
                <w:lang w:eastAsia="en-GB"/>
              </w:rPr>
              <w:t>3</w:t>
            </w:r>
            <w:r w:rsidRPr="009B164D">
              <w:rPr>
                <w:rFonts w:ascii="Calibri" w:eastAsia="Times New Roman" w:hAnsi="Calibri" w:cs="Calibri"/>
                <w:b/>
                <w:bCs/>
                <w:color w:val="FFFFFF"/>
                <w:lang w:eastAsia="en-GB"/>
              </w:rPr>
              <w:t>)</w:t>
            </w:r>
          </w:p>
        </w:tc>
        <w:tc>
          <w:tcPr>
            <w:tcW w:w="1148" w:type="dxa"/>
            <w:tcBorders>
              <w:top w:val="single" w:sz="4" w:space="0" w:color="auto"/>
              <w:left w:val="nil"/>
              <w:bottom w:val="single" w:sz="4" w:space="0" w:color="auto"/>
              <w:right w:val="nil"/>
            </w:tcBorders>
            <w:shd w:val="clear" w:color="000000" w:fill="C00000"/>
            <w:noWrap/>
            <w:vAlign w:val="bottom"/>
            <w:hideMark/>
          </w:tcPr>
          <w:p w14:paraId="4F965FF2"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xml:space="preserve">          291,190 </w:t>
            </w:r>
          </w:p>
        </w:tc>
        <w:tc>
          <w:tcPr>
            <w:tcW w:w="990" w:type="dxa"/>
            <w:tcBorders>
              <w:top w:val="single" w:sz="4" w:space="0" w:color="auto"/>
              <w:left w:val="nil"/>
              <w:bottom w:val="single" w:sz="4" w:space="0" w:color="auto"/>
              <w:right w:val="single" w:sz="4" w:space="0" w:color="auto"/>
            </w:tcBorders>
            <w:shd w:val="clear" w:color="000000" w:fill="C00000"/>
            <w:noWrap/>
            <w:vAlign w:val="bottom"/>
            <w:hideMark/>
          </w:tcPr>
          <w:p w14:paraId="56EBB1E9"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255" w:type="dxa"/>
            <w:tcBorders>
              <w:top w:val="nil"/>
              <w:left w:val="nil"/>
              <w:bottom w:val="nil"/>
              <w:right w:val="nil"/>
            </w:tcBorders>
            <w:shd w:val="clear" w:color="000000" w:fill="FFFFFF"/>
            <w:noWrap/>
            <w:vAlign w:val="bottom"/>
            <w:hideMark/>
          </w:tcPr>
          <w:p w14:paraId="2B1520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54E83BE"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1CB4E5C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62E0DAC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67355D4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05476E7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20659BA1" w14:textId="77777777" w:rsidR="009B164D" w:rsidRPr="009B164D" w:rsidRDefault="009B164D" w:rsidP="009B164D">
            <w:pPr>
              <w:spacing w:after="0" w:line="240" w:lineRule="auto"/>
              <w:jc w:val="center"/>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75104581" w14:textId="77777777" w:rsidR="009B164D" w:rsidRPr="009B164D" w:rsidRDefault="009B164D" w:rsidP="009B164D">
            <w:pPr>
              <w:spacing w:after="0" w:line="240" w:lineRule="auto"/>
              <w:jc w:val="center"/>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0C4753C9"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hideMark/>
          </w:tcPr>
          <w:p w14:paraId="27660B7B"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noWrap/>
            <w:hideMark/>
          </w:tcPr>
          <w:p w14:paraId="10D32FC6"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10DC7A5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2E6BF95" w14:textId="77777777" w:rsidTr="009B164D">
        <w:trPr>
          <w:divId w:val="103889772"/>
          <w:trHeight w:val="284"/>
        </w:trPr>
        <w:tc>
          <w:tcPr>
            <w:tcW w:w="255" w:type="dxa"/>
            <w:tcBorders>
              <w:top w:val="nil"/>
              <w:left w:val="nil"/>
              <w:bottom w:val="nil"/>
              <w:right w:val="nil"/>
            </w:tcBorders>
            <w:shd w:val="clear" w:color="000000" w:fill="FFFFFF"/>
            <w:noWrap/>
            <w:vAlign w:val="bottom"/>
            <w:hideMark/>
          </w:tcPr>
          <w:p w14:paraId="602100F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single" w:sz="4" w:space="0" w:color="auto"/>
              <w:left w:val="single" w:sz="4" w:space="0" w:color="auto"/>
              <w:bottom w:val="nil"/>
              <w:right w:val="nil"/>
            </w:tcBorders>
            <w:shd w:val="clear" w:color="000000" w:fill="FFFFFF"/>
            <w:vAlign w:val="bottom"/>
            <w:hideMark/>
          </w:tcPr>
          <w:p w14:paraId="6D2DED32" w14:textId="53B10C4F"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Movement in Reserves during 2021</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22</w:t>
            </w:r>
          </w:p>
        </w:tc>
        <w:tc>
          <w:tcPr>
            <w:tcW w:w="1082" w:type="dxa"/>
            <w:tcBorders>
              <w:top w:val="single" w:sz="4" w:space="0" w:color="auto"/>
              <w:left w:val="nil"/>
              <w:bottom w:val="nil"/>
              <w:right w:val="nil"/>
            </w:tcBorders>
            <w:shd w:val="clear" w:color="000000" w:fill="FFFFFF"/>
            <w:noWrap/>
            <w:vAlign w:val="center"/>
            <w:hideMark/>
          </w:tcPr>
          <w:p w14:paraId="15F19A9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single" w:sz="4" w:space="0" w:color="auto"/>
              <w:left w:val="nil"/>
              <w:bottom w:val="nil"/>
              <w:right w:val="nil"/>
            </w:tcBorders>
            <w:shd w:val="clear" w:color="000000" w:fill="FFFFFF"/>
            <w:noWrap/>
            <w:vAlign w:val="center"/>
            <w:hideMark/>
          </w:tcPr>
          <w:p w14:paraId="70C45D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single" w:sz="4" w:space="0" w:color="auto"/>
              <w:left w:val="nil"/>
              <w:bottom w:val="nil"/>
              <w:right w:val="nil"/>
            </w:tcBorders>
            <w:shd w:val="clear" w:color="000000" w:fill="FFFFFF"/>
            <w:noWrap/>
            <w:vAlign w:val="center"/>
            <w:hideMark/>
          </w:tcPr>
          <w:p w14:paraId="384054B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single" w:sz="4" w:space="0" w:color="auto"/>
              <w:left w:val="nil"/>
              <w:bottom w:val="nil"/>
              <w:right w:val="nil"/>
            </w:tcBorders>
            <w:shd w:val="clear" w:color="000000" w:fill="FFFFFF"/>
            <w:noWrap/>
            <w:vAlign w:val="center"/>
            <w:hideMark/>
          </w:tcPr>
          <w:p w14:paraId="16FEED1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single" w:sz="4" w:space="0" w:color="auto"/>
              <w:left w:val="nil"/>
              <w:bottom w:val="nil"/>
              <w:right w:val="nil"/>
            </w:tcBorders>
            <w:shd w:val="clear" w:color="000000" w:fill="FFFFFF"/>
            <w:noWrap/>
            <w:vAlign w:val="center"/>
            <w:hideMark/>
          </w:tcPr>
          <w:p w14:paraId="4CDA41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single" w:sz="4" w:space="0" w:color="auto"/>
              <w:left w:val="nil"/>
              <w:bottom w:val="nil"/>
              <w:right w:val="nil"/>
            </w:tcBorders>
            <w:shd w:val="clear" w:color="000000" w:fill="FFFFFF"/>
            <w:noWrap/>
            <w:vAlign w:val="center"/>
            <w:hideMark/>
          </w:tcPr>
          <w:p w14:paraId="6C0DDE8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single" w:sz="4" w:space="0" w:color="auto"/>
              <w:left w:val="nil"/>
              <w:bottom w:val="nil"/>
              <w:right w:val="single" w:sz="4" w:space="0" w:color="auto"/>
            </w:tcBorders>
            <w:shd w:val="clear" w:color="000000" w:fill="FFFFFF"/>
            <w:noWrap/>
            <w:vAlign w:val="center"/>
            <w:hideMark/>
          </w:tcPr>
          <w:p w14:paraId="6B1E9D4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1084D4D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E6831A0" w14:textId="77777777" w:rsidTr="009B164D">
        <w:trPr>
          <w:divId w:val="103889772"/>
          <w:trHeight w:val="118"/>
        </w:trPr>
        <w:tc>
          <w:tcPr>
            <w:tcW w:w="255" w:type="dxa"/>
            <w:tcBorders>
              <w:top w:val="nil"/>
              <w:left w:val="nil"/>
              <w:bottom w:val="nil"/>
              <w:right w:val="nil"/>
            </w:tcBorders>
            <w:shd w:val="clear" w:color="000000" w:fill="FFFFFF"/>
            <w:noWrap/>
            <w:vAlign w:val="bottom"/>
            <w:hideMark/>
          </w:tcPr>
          <w:p w14:paraId="795091C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22F5EA58"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082" w:type="dxa"/>
            <w:tcBorders>
              <w:top w:val="nil"/>
              <w:left w:val="nil"/>
              <w:bottom w:val="nil"/>
              <w:right w:val="nil"/>
            </w:tcBorders>
            <w:shd w:val="clear" w:color="000000" w:fill="FFFFFF"/>
            <w:noWrap/>
            <w:vAlign w:val="center"/>
            <w:hideMark/>
          </w:tcPr>
          <w:p w14:paraId="4F2C047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center"/>
            <w:hideMark/>
          </w:tcPr>
          <w:p w14:paraId="66B4228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center"/>
            <w:hideMark/>
          </w:tcPr>
          <w:p w14:paraId="279E1C1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center"/>
            <w:hideMark/>
          </w:tcPr>
          <w:p w14:paraId="77A97AC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center"/>
            <w:hideMark/>
          </w:tcPr>
          <w:p w14:paraId="3BD7C98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center"/>
            <w:hideMark/>
          </w:tcPr>
          <w:p w14:paraId="605B4AE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center"/>
            <w:hideMark/>
          </w:tcPr>
          <w:p w14:paraId="2954B03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vAlign w:val="bottom"/>
            <w:hideMark/>
          </w:tcPr>
          <w:p w14:paraId="30F83DD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C2B2AC8" w14:textId="77777777" w:rsidTr="009B164D">
        <w:trPr>
          <w:divId w:val="103889772"/>
          <w:trHeight w:val="474"/>
        </w:trPr>
        <w:tc>
          <w:tcPr>
            <w:tcW w:w="255" w:type="dxa"/>
            <w:tcBorders>
              <w:top w:val="nil"/>
              <w:left w:val="nil"/>
              <w:bottom w:val="nil"/>
              <w:right w:val="nil"/>
            </w:tcBorders>
            <w:shd w:val="clear" w:color="000000" w:fill="FFFFFF"/>
            <w:noWrap/>
            <w:vAlign w:val="bottom"/>
            <w:hideMark/>
          </w:tcPr>
          <w:p w14:paraId="3E44918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678FD00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Total comprehensive income and expenditure </w:t>
            </w:r>
          </w:p>
        </w:tc>
        <w:tc>
          <w:tcPr>
            <w:tcW w:w="1082" w:type="dxa"/>
            <w:tcBorders>
              <w:top w:val="nil"/>
              <w:left w:val="nil"/>
              <w:bottom w:val="nil"/>
              <w:right w:val="nil"/>
            </w:tcBorders>
            <w:shd w:val="clear" w:color="000000" w:fill="FFFFFF"/>
            <w:noWrap/>
            <w:vAlign w:val="bottom"/>
            <w:hideMark/>
          </w:tcPr>
          <w:p w14:paraId="132D1455" w14:textId="152171ED"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5E1074">
              <w:rPr>
                <w:rFonts w:ascii="Calibri" w:eastAsia="Times New Roman" w:hAnsi="Calibri" w:cs="Calibri"/>
                <w:color w:val="000000"/>
                <w:lang w:eastAsia="en-GB"/>
              </w:rPr>
              <w:t>1</w:t>
            </w:r>
            <w:r w:rsidR="004D04F0">
              <w:rPr>
                <w:rFonts w:ascii="Calibri" w:eastAsia="Times New Roman" w:hAnsi="Calibri" w:cs="Calibri"/>
                <w:color w:val="000000"/>
                <w:lang w:eastAsia="en-GB"/>
              </w:rPr>
              <w:t>85</w:t>
            </w:r>
          </w:p>
        </w:tc>
        <w:tc>
          <w:tcPr>
            <w:tcW w:w="1164" w:type="dxa"/>
            <w:tcBorders>
              <w:top w:val="nil"/>
              <w:left w:val="nil"/>
              <w:bottom w:val="nil"/>
              <w:right w:val="nil"/>
            </w:tcBorders>
            <w:shd w:val="clear" w:color="000000" w:fill="FFFFFF"/>
            <w:noWrap/>
            <w:vAlign w:val="bottom"/>
            <w:hideMark/>
          </w:tcPr>
          <w:p w14:paraId="4371CEA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1115" w:type="dxa"/>
            <w:tcBorders>
              <w:top w:val="nil"/>
              <w:left w:val="nil"/>
              <w:bottom w:val="nil"/>
              <w:right w:val="nil"/>
            </w:tcBorders>
            <w:shd w:val="clear" w:color="000000" w:fill="FFFFFF"/>
            <w:noWrap/>
            <w:vAlign w:val="bottom"/>
            <w:hideMark/>
          </w:tcPr>
          <w:p w14:paraId="0011CB5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52" w:type="dxa"/>
            <w:tcBorders>
              <w:top w:val="nil"/>
              <w:left w:val="nil"/>
              <w:bottom w:val="nil"/>
              <w:right w:val="nil"/>
            </w:tcBorders>
            <w:shd w:val="clear" w:color="000000" w:fill="FFFFFF"/>
            <w:noWrap/>
            <w:vAlign w:val="bottom"/>
            <w:hideMark/>
          </w:tcPr>
          <w:p w14:paraId="45B286F2"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6CEFD08C" w14:textId="1ABCB80D"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5E1074">
              <w:rPr>
                <w:rFonts w:ascii="Calibri" w:eastAsia="Times New Roman" w:hAnsi="Calibri" w:cs="Calibri"/>
                <w:b/>
                <w:bCs/>
                <w:color w:val="000000"/>
                <w:lang w:eastAsia="en-GB"/>
              </w:rPr>
              <w:t>1</w:t>
            </w:r>
            <w:r w:rsidR="004D04F0">
              <w:rPr>
                <w:rFonts w:ascii="Calibri" w:eastAsia="Times New Roman" w:hAnsi="Calibri" w:cs="Calibri"/>
                <w:b/>
                <w:bCs/>
                <w:color w:val="000000"/>
                <w:lang w:eastAsia="en-GB"/>
              </w:rPr>
              <w:t>85</w:t>
            </w:r>
          </w:p>
        </w:tc>
        <w:tc>
          <w:tcPr>
            <w:tcW w:w="1148" w:type="dxa"/>
            <w:tcBorders>
              <w:top w:val="nil"/>
              <w:left w:val="nil"/>
              <w:bottom w:val="nil"/>
              <w:right w:val="nil"/>
            </w:tcBorders>
            <w:shd w:val="clear" w:color="000000" w:fill="FFFFFF"/>
            <w:noWrap/>
            <w:vAlign w:val="bottom"/>
            <w:hideMark/>
          </w:tcPr>
          <w:p w14:paraId="47208225" w14:textId="421B64A1"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(6,4</w:t>
            </w:r>
            <w:r w:rsidR="004D04F0">
              <w:rPr>
                <w:rFonts w:ascii="Calibri" w:eastAsia="Times New Roman" w:hAnsi="Calibri" w:cs="Calibri"/>
                <w:b/>
                <w:bCs/>
                <w:color w:val="000000"/>
                <w:lang w:eastAsia="en-GB"/>
              </w:rPr>
              <w:t>23</w:t>
            </w:r>
            <w:r w:rsidRPr="009B164D">
              <w:rPr>
                <w:rFonts w:ascii="Calibri" w:eastAsia="Times New Roman" w:hAnsi="Calibri" w:cs="Calibri"/>
                <w:b/>
                <w:bCs/>
                <w:color w:val="000000"/>
                <w:lang w:eastAsia="en-GB"/>
              </w:rPr>
              <w:t>)</w:t>
            </w:r>
          </w:p>
        </w:tc>
        <w:tc>
          <w:tcPr>
            <w:tcW w:w="990" w:type="dxa"/>
            <w:tcBorders>
              <w:top w:val="nil"/>
              <w:left w:val="nil"/>
              <w:bottom w:val="nil"/>
              <w:right w:val="single" w:sz="4" w:space="0" w:color="auto"/>
            </w:tcBorders>
            <w:shd w:val="clear" w:color="000000" w:fill="FFFFFF"/>
            <w:noWrap/>
            <w:vAlign w:val="bottom"/>
            <w:hideMark/>
          </w:tcPr>
          <w:p w14:paraId="452DA5E0" w14:textId="2FB20CEF"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2</w:t>
            </w:r>
          </w:p>
        </w:tc>
        <w:tc>
          <w:tcPr>
            <w:tcW w:w="255" w:type="dxa"/>
            <w:tcBorders>
              <w:top w:val="nil"/>
              <w:left w:val="nil"/>
              <w:bottom w:val="nil"/>
              <w:right w:val="nil"/>
            </w:tcBorders>
            <w:shd w:val="clear" w:color="000000" w:fill="FFFFFF"/>
            <w:noWrap/>
            <w:vAlign w:val="bottom"/>
            <w:hideMark/>
          </w:tcPr>
          <w:p w14:paraId="034153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BC1591A" w14:textId="77777777" w:rsidTr="009B164D">
        <w:trPr>
          <w:divId w:val="103889772"/>
          <w:trHeight w:val="569"/>
        </w:trPr>
        <w:tc>
          <w:tcPr>
            <w:tcW w:w="255" w:type="dxa"/>
            <w:tcBorders>
              <w:top w:val="nil"/>
              <w:left w:val="nil"/>
              <w:bottom w:val="nil"/>
              <w:right w:val="nil"/>
            </w:tcBorders>
            <w:shd w:val="clear" w:color="000000" w:fill="FFFFFF"/>
            <w:noWrap/>
            <w:vAlign w:val="bottom"/>
            <w:hideMark/>
          </w:tcPr>
          <w:p w14:paraId="1F1529D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auto" w:fill="auto"/>
            <w:vAlign w:val="bottom"/>
            <w:hideMark/>
          </w:tcPr>
          <w:p w14:paraId="09F3700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Adjustments between accounting and funding basis under regulations</w:t>
            </w:r>
            <w:r w:rsidRPr="009B164D">
              <w:rPr>
                <w:rFonts w:ascii="Calibri" w:eastAsia="Times New Roman" w:hAnsi="Calibri" w:cs="Calibri"/>
                <w:lang w:eastAsia="en-GB"/>
              </w:rPr>
              <w:t xml:space="preserve"> (note 7)</w:t>
            </w:r>
          </w:p>
        </w:tc>
        <w:tc>
          <w:tcPr>
            <w:tcW w:w="1082" w:type="dxa"/>
            <w:tcBorders>
              <w:top w:val="nil"/>
              <w:left w:val="nil"/>
              <w:bottom w:val="nil"/>
              <w:right w:val="nil"/>
            </w:tcBorders>
            <w:shd w:val="clear" w:color="000000" w:fill="FFFFFF"/>
            <w:noWrap/>
            <w:vAlign w:val="bottom"/>
            <w:hideMark/>
          </w:tcPr>
          <w:p w14:paraId="5B1DA298" w14:textId="59983194"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5E1074">
              <w:rPr>
                <w:rFonts w:ascii="Calibri" w:eastAsia="Times New Roman" w:hAnsi="Calibri" w:cs="Calibri"/>
                <w:color w:val="000000"/>
                <w:lang w:eastAsia="en-GB"/>
              </w:rPr>
              <w:t>4</w:t>
            </w:r>
            <w:r w:rsidR="004D04F0">
              <w:rPr>
                <w:rFonts w:ascii="Calibri" w:eastAsia="Times New Roman" w:hAnsi="Calibri" w:cs="Calibri"/>
                <w:color w:val="000000"/>
                <w:lang w:eastAsia="en-GB"/>
              </w:rPr>
              <w:t>29</w:t>
            </w:r>
            <w:r w:rsidRPr="009B164D">
              <w:rPr>
                <w:rFonts w:ascii="Calibri" w:eastAsia="Times New Roman" w:hAnsi="Calibri" w:cs="Calibri"/>
                <w:color w:val="000000"/>
                <w:lang w:eastAsia="en-GB"/>
              </w:rPr>
              <w:t>)</w:t>
            </w:r>
          </w:p>
        </w:tc>
        <w:tc>
          <w:tcPr>
            <w:tcW w:w="1164" w:type="dxa"/>
            <w:tcBorders>
              <w:top w:val="nil"/>
              <w:left w:val="nil"/>
              <w:bottom w:val="nil"/>
              <w:right w:val="nil"/>
            </w:tcBorders>
            <w:shd w:val="clear" w:color="000000" w:fill="FFFFFF"/>
            <w:noWrap/>
            <w:vAlign w:val="bottom"/>
            <w:hideMark/>
          </w:tcPr>
          <w:p w14:paraId="1AF38A32"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0</w:t>
            </w:r>
          </w:p>
        </w:tc>
        <w:tc>
          <w:tcPr>
            <w:tcW w:w="1115" w:type="dxa"/>
            <w:tcBorders>
              <w:top w:val="nil"/>
              <w:left w:val="nil"/>
              <w:bottom w:val="nil"/>
              <w:right w:val="nil"/>
            </w:tcBorders>
            <w:shd w:val="clear" w:color="000000" w:fill="FFFFFF"/>
            <w:noWrap/>
            <w:vAlign w:val="bottom"/>
            <w:hideMark/>
          </w:tcPr>
          <w:p w14:paraId="0C09660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w:t>
            </w:r>
          </w:p>
        </w:tc>
        <w:tc>
          <w:tcPr>
            <w:tcW w:w="952" w:type="dxa"/>
            <w:tcBorders>
              <w:top w:val="nil"/>
              <w:left w:val="nil"/>
              <w:bottom w:val="nil"/>
              <w:right w:val="nil"/>
            </w:tcBorders>
            <w:shd w:val="clear" w:color="000000" w:fill="FFFFFF"/>
            <w:noWrap/>
            <w:vAlign w:val="bottom"/>
            <w:hideMark/>
          </w:tcPr>
          <w:p w14:paraId="5F9ACC9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0</w:t>
            </w:r>
          </w:p>
        </w:tc>
        <w:tc>
          <w:tcPr>
            <w:tcW w:w="990" w:type="dxa"/>
            <w:tcBorders>
              <w:top w:val="nil"/>
              <w:left w:val="nil"/>
              <w:bottom w:val="nil"/>
              <w:right w:val="nil"/>
            </w:tcBorders>
            <w:shd w:val="clear" w:color="000000" w:fill="FFFFFF"/>
            <w:noWrap/>
            <w:vAlign w:val="bottom"/>
            <w:hideMark/>
          </w:tcPr>
          <w:p w14:paraId="50A6A3DA" w14:textId="2782708A"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5E1074">
              <w:rPr>
                <w:rFonts w:ascii="Calibri" w:eastAsia="Times New Roman" w:hAnsi="Calibri" w:cs="Calibri"/>
                <w:b/>
                <w:bCs/>
                <w:color w:val="000000"/>
                <w:lang w:eastAsia="en-GB"/>
              </w:rPr>
              <w:t>4</w:t>
            </w:r>
            <w:r w:rsidR="004D04F0">
              <w:rPr>
                <w:rFonts w:ascii="Calibri" w:eastAsia="Times New Roman" w:hAnsi="Calibri" w:cs="Calibri"/>
                <w:b/>
                <w:bCs/>
                <w:color w:val="000000"/>
                <w:lang w:eastAsia="en-GB"/>
              </w:rPr>
              <w:t>23</w:t>
            </w:r>
            <w:r w:rsidRPr="009B164D">
              <w:rPr>
                <w:rFonts w:ascii="Calibri" w:eastAsia="Times New Roman" w:hAnsi="Calibri" w:cs="Calibri"/>
                <w:b/>
                <w:bCs/>
                <w:color w:val="000000"/>
                <w:lang w:eastAsia="en-GB"/>
              </w:rPr>
              <w:t>)</w:t>
            </w:r>
          </w:p>
        </w:tc>
        <w:tc>
          <w:tcPr>
            <w:tcW w:w="1148" w:type="dxa"/>
            <w:tcBorders>
              <w:top w:val="nil"/>
              <w:left w:val="nil"/>
              <w:bottom w:val="nil"/>
              <w:right w:val="nil"/>
            </w:tcBorders>
            <w:shd w:val="clear" w:color="000000" w:fill="FFFFFF"/>
            <w:noWrap/>
            <w:vAlign w:val="bottom"/>
            <w:hideMark/>
          </w:tcPr>
          <w:p w14:paraId="23E8BF7C" w14:textId="2CFD7C7B"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4D04F0">
              <w:rPr>
                <w:rFonts w:ascii="Calibri" w:eastAsia="Times New Roman" w:hAnsi="Calibri" w:cs="Calibri"/>
                <w:b/>
                <w:bCs/>
                <w:color w:val="000000"/>
                <w:lang w:eastAsia="en-GB"/>
              </w:rPr>
              <w:t>423</w:t>
            </w:r>
          </w:p>
        </w:tc>
        <w:tc>
          <w:tcPr>
            <w:tcW w:w="990" w:type="dxa"/>
            <w:tcBorders>
              <w:top w:val="nil"/>
              <w:left w:val="nil"/>
              <w:bottom w:val="nil"/>
              <w:right w:val="single" w:sz="4" w:space="0" w:color="auto"/>
            </w:tcBorders>
            <w:shd w:val="clear" w:color="000000" w:fill="FFFFFF"/>
            <w:noWrap/>
            <w:vAlign w:val="bottom"/>
            <w:hideMark/>
          </w:tcPr>
          <w:p w14:paraId="3306B0FE"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22C0DBE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2D9FB03" w14:textId="77777777" w:rsidTr="009B164D">
        <w:trPr>
          <w:divId w:val="103889772"/>
          <w:trHeight w:val="284"/>
        </w:trPr>
        <w:tc>
          <w:tcPr>
            <w:tcW w:w="255" w:type="dxa"/>
            <w:tcBorders>
              <w:top w:val="nil"/>
              <w:left w:val="nil"/>
              <w:bottom w:val="nil"/>
              <w:right w:val="nil"/>
            </w:tcBorders>
            <w:shd w:val="clear" w:color="000000" w:fill="FFFFFF"/>
            <w:noWrap/>
            <w:vAlign w:val="bottom"/>
            <w:hideMark/>
          </w:tcPr>
          <w:p w14:paraId="2384240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1F66AB0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Transfer to Earmarked Reserves</w:t>
            </w:r>
          </w:p>
        </w:tc>
        <w:tc>
          <w:tcPr>
            <w:tcW w:w="1082" w:type="dxa"/>
            <w:tcBorders>
              <w:top w:val="nil"/>
              <w:left w:val="nil"/>
              <w:bottom w:val="nil"/>
              <w:right w:val="nil"/>
            </w:tcBorders>
            <w:shd w:val="clear" w:color="000000" w:fill="FFFFFF"/>
            <w:noWrap/>
            <w:vAlign w:val="bottom"/>
            <w:hideMark/>
          </w:tcPr>
          <w:p w14:paraId="40BC3C3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1,244</w:t>
            </w:r>
          </w:p>
        </w:tc>
        <w:tc>
          <w:tcPr>
            <w:tcW w:w="1164" w:type="dxa"/>
            <w:tcBorders>
              <w:top w:val="nil"/>
              <w:left w:val="nil"/>
              <w:bottom w:val="nil"/>
              <w:right w:val="nil"/>
            </w:tcBorders>
            <w:shd w:val="clear" w:color="000000" w:fill="FFFFFF"/>
            <w:noWrap/>
            <w:vAlign w:val="bottom"/>
            <w:hideMark/>
          </w:tcPr>
          <w:p w14:paraId="105F739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(744)</w:t>
            </w:r>
          </w:p>
        </w:tc>
        <w:tc>
          <w:tcPr>
            <w:tcW w:w="1115" w:type="dxa"/>
            <w:tcBorders>
              <w:top w:val="nil"/>
              <w:left w:val="nil"/>
              <w:bottom w:val="nil"/>
              <w:right w:val="nil"/>
            </w:tcBorders>
            <w:shd w:val="clear" w:color="000000" w:fill="FFFFFF"/>
            <w:noWrap/>
            <w:vAlign w:val="bottom"/>
            <w:hideMark/>
          </w:tcPr>
          <w:p w14:paraId="38E2E8C9" w14:textId="7E1DE9C5"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9B164D">
              <w:rPr>
                <w:rFonts w:ascii="Calibri" w:eastAsia="Times New Roman" w:hAnsi="Calibri" w:cs="Calibri"/>
                <w:color w:val="000000"/>
                <w:lang w:eastAsia="en-GB"/>
              </w:rPr>
              <w:t>(500)</w:t>
            </w:r>
          </w:p>
        </w:tc>
        <w:tc>
          <w:tcPr>
            <w:tcW w:w="952" w:type="dxa"/>
            <w:tcBorders>
              <w:top w:val="nil"/>
              <w:left w:val="nil"/>
              <w:bottom w:val="nil"/>
              <w:right w:val="nil"/>
            </w:tcBorders>
            <w:shd w:val="clear" w:color="000000" w:fill="FFFFFF"/>
            <w:noWrap/>
            <w:vAlign w:val="bottom"/>
            <w:hideMark/>
          </w:tcPr>
          <w:p w14:paraId="74093AF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xml:space="preserve">                    -   </w:t>
            </w:r>
          </w:p>
        </w:tc>
        <w:tc>
          <w:tcPr>
            <w:tcW w:w="990" w:type="dxa"/>
            <w:tcBorders>
              <w:top w:val="nil"/>
              <w:left w:val="nil"/>
              <w:bottom w:val="nil"/>
              <w:right w:val="nil"/>
            </w:tcBorders>
            <w:shd w:val="clear" w:color="000000" w:fill="FFFFFF"/>
            <w:noWrap/>
            <w:vAlign w:val="bottom"/>
            <w:hideMark/>
          </w:tcPr>
          <w:p w14:paraId="2126F3D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0</w:t>
            </w:r>
          </w:p>
        </w:tc>
        <w:tc>
          <w:tcPr>
            <w:tcW w:w="1148" w:type="dxa"/>
            <w:tcBorders>
              <w:top w:val="nil"/>
              <w:left w:val="nil"/>
              <w:bottom w:val="nil"/>
              <w:right w:val="nil"/>
            </w:tcBorders>
            <w:shd w:val="clear" w:color="000000" w:fill="FFFFFF"/>
            <w:noWrap/>
            <w:vAlign w:val="bottom"/>
            <w:hideMark/>
          </w:tcPr>
          <w:p w14:paraId="6E64385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990" w:type="dxa"/>
            <w:tcBorders>
              <w:top w:val="nil"/>
              <w:left w:val="nil"/>
              <w:bottom w:val="nil"/>
              <w:right w:val="single" w:sz="4" w:space="0" w:color="auto"/>
            </w:tcBorders>
            <w:shd w:val="clear" w:color="000000" w:fill="FFFFFF"/>
            <w:noWrap/>
            <w:vAlign w:val="bottom"/>
            <w:hideMark/>
          </w:tcPr>
          <w:p w14:paraId="15D17FC1"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xml:space="preserve">                  -   </w:t>
            </w:r>
          </w:p>
        </w:tc>
        <w:tc>
          <w:tcPr>
            <w:tcW w:w="255" w:type="dxa"/>
            <w:tcBorders>
              <w:top w:val="nil"/>
              <w:left w:val="nil"/>
              <w:bottom w:val="nil"/>
              <w:right w:val="nil"/>
            </w:tcBorders>
            <w:shd w:val="clear" w:color="000000" w:fill="FFFFFF"/>
            <w:noWrap/>
            <w:vAlign w:val="bottom"/>
            <w:hideMark/>
          </w:tcPr>
          <w:p w14:paraId="211EBA3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66E5772" w14:textId="77777777" w:rsidTr="009B164D">
        <w:trPr>
          <w:divId w:val="103889772"/>
          <w:trHeight w:val="141"/>
        </w:trPr>
        <w:tc>
          <w:tcPr>
            <w:tcW w:w="255" w:type="dxa"/>
            <w:tcBorders>
              <w:top w:val="nil"/>
              <w:left w:val="nil"/>
              <w:bottom w:val="nil"/>
              <w:right w:val="nil"/>
            </w:tcBorders>
            <w:shd w:val="clear" w:color="000000" w:fill="FFFFFF"/>
            <w:noWrap/>
            <w:vAlign w:val="bottom"/>
            <w:hideMark/>
          </w:tcPr>
          <w:p w14:paraId="6F7F7CA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08DEE9D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6ABDB3A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0AA1B94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794DA7B0"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33271568"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7D6D0407"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vAlign w:val="bottom"/>
            <w:hideMark/>
          </w:tcPr>
          <w:p w14:paraId="5A408B29"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79277F3B"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hideMark/>
          </w:tcPr>
          <w:p w14:paraId="7B48E46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90E9775"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421D942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03C92038" w14:textId="7E374EDE"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(Increase)/decrease in 2021</w:t>
            </w:r>
            <w:r w:rsidR="00914701">
              <w:rPr>
                <w:rFonts w:ascii="Calibri" w:eastAsia="Times New Roman" w:hAnsi="Calibri" w:cs="Calibri"/>
                <w:b/>
                <w:bCs/>
                <w:color w:val="000000"/>
                <w:lang w:eastAsia="en-GB"/>
              </w:rPr>
              <w:t>/</w:t>
            </w:r>
            <w:r w:rsidRPr="009B164D">
              <w:rPr>
                <w:rFonts w:ascii="Calibri" w:eastAsia="Times New Roman" w:hAnsi="Calibri" w:cs="Calibri"/>
                <w:b/>
                <w:bCs/>
                <w:color w:val="000000"/>
                <w:lang w:eastAsia="en-GB"/>
              </w:rPr>
              <w:t>22</w:t>
            </w:r>
          </w:p>
        </w:tc>
        <w:tc>
          <w:tcPr>
            <w:tcW w:w="1082" w:type="dxa"/>
            <w:tcBorders>
              <w:top w:val="nil"/>
              <w:left w:val="nil"/>
              <w:bottom w:val="nil"/>
              <w:right w:val="nil"/>
            </w:tcBorders>
            <w:shd w:val="clear" w:color="000000" w:fill="FFE1E1"/>
            <w:noWrap/>
            <w:vAlign w:val="bottom"/>
            <w:hideMark/>
          </w:tcPr>
          <w:p w14:paraId="55E5B07A"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1,000</w:t>
            </w:r>
          </w:p>
        </w:tc>
        <w:tc>
          <w:tcPr>
            <w:tcW w:w="1164" w:type="dxa"/>
            <w:tcBorders>
              <w:top w:val="nil"/>
              <w:left w:val="nil"/>
              <w:bottom w:val="nil"/>
              <w:right w:val="nil"/>
            </w:tcBorders>
            <w:shd w:val="clear" w:color="000000" w:fill="FFE1E1"/>
            <w:noWrap/>
            <w:vAlign w:val="bottom"/>
            <w:hideMark/>
          </w:tcPr>
          <w:p w14:paraId="67B011A2"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(744)</w:t>
            </w:r>
          </w:p>
        </w:tc>
        <w:tc>
          <w:tcPr>
            <w:tcW w:w="1115" w:type="dxa"/>
            <w:tcBorders>
              <w:top w:val="nil"/>
              <w:left w:val="nil"/>
              <w:bottom w:val="nil"/>
              <w:right w:val="nil"/>
            </w:tcBorders>
            <w:shd w:val="clear" w:color="000000" w:fill="FFE1E1"/>
            <w:noWrap/>
            <w:vAlign w:val="bottom"/>
            <w:hideMark/>
          </w:tcPr>
          <w:p w14:paraId="68A16178"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(494)</w:t>
            </w:r>
          </w:p>
        </w:tc>
        <w:tc>
          <w:tcPr>
            <w:tcW w:w="952" w:type="dxa"/>
            <w:tcBorders>
              <w:top w:val="nil"/>
              <w:left w:val="nil"/>
              <w:bottom w:val="nil"/>
              <w:right w:val="nil"/>
            </w:tcBorders>
            <w:shd w:val="clear" w:color="000000" w:fill="FFE1E1"/>
            <w:noWrap/>
            <w:vAlign w:val="bottom"/>
            <w:hideMark/>
          </w:tcPr>
          <w:p w14:paraId="12252ED5"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0</w:t>
            </w:r>
          </w:p>
        </w:tc>
        <w:tc>
          <w:tcPr>
            <w:tcW w:w="990" w:type="dxa"/>
            <w:tcBorders>
              <w:top w:val="nil"/>
              <w:left w:val="nil"/>
              <w:bottom w:val="nil"/>
              <w:right w:val="nil"/>
            </w:tcBorders>
            <w:shd w:val="clear" w:color="000000" w:fill="FFE1E1"/>
            <w:noWrap/>
            <w:vAlign w:val="bottom"/>
            <w:hideMark/>
          </w:tcPr>
          <w:p w14:paraId="37826CFB"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(238)</w:t>
            </w:r>
          </w:p>
        </w:tc>
        <w:tc>
          <w:tcPr>
            <w:tcW w:w="1148" w:type="dxa"/>
            <w:tcBorders>
              <w:top w:val="nil"/>
              <w:left w:val="nil"/>
              <w:bottom w:val="nil"/>
              <w:right w:val="nil"/>
            </w:tcBorders>
            <w:shd w:val="clear" w:color="000000" w:fill="FFE1E1"/>
            <w:noWrap/>
            <w:vAlign w:val="bottom"/>
            <w:hideMark/>
          </w:tcPr>
          <w:p w14:paraId="219BBD97" w14:textId="2C75DC43" w:rsidR="009B164D" w:rsidRPr="009B164D" w:rsidRDefault="004D04F0" w:rsidP="00042421">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3,000</w:t>
            </w:r>
          </w:p>
        </w:tc>
        <w:tc>
          <w:tcPr>
            <w:tcW w:w="990" w:type="dxa"/>
            <w:tcBorders>
              <w:top w:val="nil"/>
              <w:left w:val="nil"/>
              <w:bottom w:val="nil"/>
              <w:right w:val="single" w:sz="4" w:space="0" w:color="auto"/>
            </w:tcBorders>
            <w:shd w:val="clear" w:color="000000" w:fill="FFE1E1"/>
            <w:noWrap/>
            <w:vAlign w:val="bottom"/>
            <w:hideMark/>
          </w:tcPr>
          <w:p w14:paraId="6EC50C9D" w14:textId="0A50AC21"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w:t>
            </w:r>
            <w:r w:rsidR="005E1074">
              <w:rPr>
                <w:rFonts w:ascii="Calibri" w:eastAsia="Times New Roman" w:hAnsi="Calibri" w:cs="Calibri"/>
                <w:b/>
                <w:bCs/>
                <w:color w:val="000000"/>
                <w:lang w:eastAsia="en-GB"/>
              </w:rPr>
              <w:t>76</w:t>
            </w:r>
            <w:r w:rsidR="004D04F0">
              <w:rPr>
                <w:rFonts w:ascii="Calibri" w:eastAsia="Times New Roman" w:hAnsi="Calibri" w:cs="Calibri"/>
                <w:b/>
                <w:bCs/>
                <w:color w:val="000000"/>
                <w:lang w:eastAsia="en-GB"/>
              </w:rPr>
              <w:t>2</w:t>
            </w:r>
          </w:p>
        </w:tc>
        <w:tc>
          <w:tcPr>
            <w:tcW w:w="255" w:type="dxa"/>
            <w:tcBorders>
              <w:top w:val="nil"/>
              <w:left w:val="nil"/>
              <w:bottom w:val="nil"/>
              <w:right w:val="nil"/>
            </w:tcBorders>
            <w:shd w:val="clear" w:color="000000" w:fill="FFFFFF"/>
            <w:noWrap/>
            <w:hideMark/>
          </w:tcPr>
          <w:p w14:paraId="1881DD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AFE5F18" w14:textId="77777777" w:rsidTr="009B164D">
        <w:trPr>
          <w:divId w:val="103889772"/>
          <w:trHeight w:val="189"/>
        </w:trPr>
        <w:tc>
          <w:tcPr>
            <w:tcW w:w="255" w:type="dxa"/>
            <w:tcBorders>
              <w:top w:val="nil"/>
              <w:left w:val="nil"/>
              <w:bottom w:val="nil"/>
              <w:right w:val="nil"/>
            </w:tcBorders>
            <w:shd w:val="clear" w:color="000000" w:fill="FFFFFF"/>
            <w:noWrap/>
            <w:vAlign w:val="bottom"/>
            <w:hideMark/>
          </w:tcPr>
          <w:p w14:paraId="4FD53F5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nil"/>
              <w:right w:val="nil"/>
            </w:tcBorders>
            <w:shd w:val="clear" w:color="000000" w:fill="FFFFFF"/>
            <w:vAlign w:val="bottom"/>
            <w:hideMark/>
          </w:tcPr>
          <w:p w14:paraId="42ECC72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vAlign w:val="bottom"/>
            <w:hideMark/>
          </w:tcPr>
          <w:p w14:paraId="10A0DA05"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vAlign w:val="bottom"/>
            <w:hideMark/>
          </w:tcPr>
          <w:p w14:paraId="05D8A3CC"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vAlign w:val="bottom"/>
            <w:hideMark/>
          </w:tcPr>
          <w:p w14:paraId="63108281"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vAlign w:val="bottom"/>
            <w:hideMark/>
          </w:tcPr>
          <w:p w14:paraId="0B6B6DF3" w14:textId="77777777" w:rsidR="009B164D" w:rsidRPr="009B164D" w:rsidRDefault="009B164D" w:rsidP="00042421">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3365CA03"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148" w:type="dxa"/>
            <w:tcBorders>
              <w:top w:val="nil"/>
              <w:left w:val="nil"/>
              <w:bottom w:val="nil"/>
              <w:right w:val="nil"/>
            </w:tcBorders>
            <w:shd w:val="clear" w:color="000000" w:fill="FFFFFF"/>
            <w:noWrap/>
            <w:vAlign w:val="bottom"/>
            <w:hideMark/>
          </w:tcPr>
          <w:p w14:paraId="63039A8C"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990" w:type="dxa"/>
            <w:tcBorders>
              <w:top w:val="nil"/>
              <w:left w:val="nil"/>
              <w:bottom w:val="nil"/>
              <w:right w:val="single" w:sz="4" w:space="0" w:color="auto"/>
            </w:tcBorders>
            <w:shd w:val="clear" w:color="000000" w:fill="FFFFFF"/>
            <w:noWrap/>
            <w:vAlign w:val="bottom"/>
            <w:hideMark/>
          </w:tcPr>
          <w:p w14:paraId="1C4CD550" w14:textId="77777777" w:rsidR="009B164D" w:rsidRPr="009B164D" w:rsidRDefault="009B164D" w:rsidP="00042421">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55" w:type="dxa"/>
            <w:tcBorders>
              <w:top w:val="nil"/>
              <w:left w:val="nil"/>
              <w:bottom w:val="nil"/>
              <w:right w:val="nil"/>
            </w:tcBorders>
            <w:shd w:val="clear" w:color="000000" w:fill="FFFFFF"/>
            <w:noWrap/>
            <w:vAlign w:val="bottom"/>
            <w:hideMark/>
          </w:tcPr>
          <w:p w14:paraId="4AA0197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E8BA1EE" w14:textId="77777777" w:rsidTr="009B164D">
        <w:trPr>
          <w:divId w:val="103889772"/>
          <w:trHeight w:val="236"/>
        </w:trPr>
        <w:tc>
          <w:tcPr>
            <w:tcW w:w="255" w:type="dxa"/>
            <w:tcBorders>
              <w:top w:val="nil"/>
              <w:left w:val="nil"/>
              <w:bottom w:val="nil"/>
              <w:right w:val="nil"/>
            </w:tcBorders>
            <w:shd w:val="clear" w:color="000000" w:fill="FFFFFF"/>
            <w:noWrap/>
            <w:vAlign w:val="bottom"/>
            <w:hideMark/>
          </w:tcPr>
          <w:p w14:paraId="0B930CA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single" w:sz="4" w:space="0" w:color="auto"/>
              <w:bottom w:val="single" w:sz="4" w:space="0" w:color="auto"/>
              <w:right w:val="nil"/>
            </w:tcBorders>
            <w:shd w:val="clear" w:color="000000" w:fill="FFFFFF"/>
            <w:noWrap/>
            <w:vAlign w:val="bottom"/>
            <w:hideMark/>
          </w:tcPr>
          <w:p w14:paraId="235898DE"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Balance carried forward at 31 March 2022</w:t>
            </w:r>
          </w:p>
        </w:tc>
        <w:tc>
          <w:tcPr>
            <w:tcW w:w="1082" w:type="dxa"/>
            <w:tcBorders>
              <w:top w:val="single" w:sz="4" w:space="0" w:color="auto"/>
              <w:left w:val="nil"/>
              <w:bottom w:val="single" w:sz="4" w:space="0" w:color="auto"/>
              <w:right w:val="nil"/>
            </w:tcBorders>
            <w:shd w:val="clear" w:color="000000" w:fill="C00000"/>
            <w:noWrap/>
            <w:vAlign w:val="bottom"/>
            <w:hideMark/>
          </w:tcPr>
          <w:p w14:paraId="18ED3359"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(2,000)</w:t>
            </w:r>
          </w:p>
        </w:tc>
        <w:tc>
          <w:tcPr>
            <w:tcW w:w="1164" w:type="dxa"/>
            <w:tcBorders>
              <w:top w:val="single" w:sz="4" w:space="0" w:color="auto"/>
              <w:left w:val="nil"/>
              <w:bottom w:val="single" w:sz="4" w:space="0" w:color="auto"/>
              <w:right w:val="nil"/>
            </w:tcBorders>
            <w:shd w:val="clear" w:color="000000" w:fill="C00000"/>
            <w:noWrap/>
            <w:vAlign w:val="bottom"/>
            <w:hideMark/>
          </w:tcPr>
          <w:p w14:paraId="5ED7A7BC"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(2,665)</w:t>
            </w:r>
          </w:p>
        </w:tc>
        <w:tc>
          <w:tcPr>
            <w:tcW w:w="1115" w:type="dxa"/>
            <w:tcBorders>
              <w:top w:val="single" w:sz="4" w:space="0" w:color="auto"/>
              <w:left w:val="nil"/>
              <w:bottom w:val="single" w:sz="4" w:space="0" w:color="auto"/>
              <w:right w:val="nil"/>
            </w:tcBorders>
            <w:shd w:val="clear" w:color="000000" w:fill="C00000"/>
            <w:noWrap/>
            <w:vAlign w:val="bottom"/>
            <w:hideMark/>
          </w:tcPr>
          <w:p w14:paraId="124ABF4D"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(1,046)</w:t>
            </w:r>
          </w:p>
        </w:tc>
        <w:tc>
          <w:tcPr>
            <w:tcW w:w="952" w:type="dxa"/>
            <w:tcBorders>
              <w:top w:val="single" w:sz="4" w:space="0" w:color="auto"/>
              <w:left w:val="nil"/>
              <w:bottom w:val="single" w:sz="4" w:space="0" w:color="auto"/>
              <w:right w:val="nil"/>
            </w:tcBorders>
            <w:shd w:val="clear" w:color="000000" w:fill="C00000"/>
            <w:noWrap/>
            <w:vAlign w:val="bottom"/>
            <w:hideMark/>
          </w:tcPr>
          <w:p w14:paraId="5899A4F1"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w:t>
            </w:r>
          </w:p>
        </w:tc>
        <w:tc>
          <w:tcPr>
            <w:tcW w:w="990" w:type="dxa"/>
            <w:tcBorders>
              <w:top w:val="single" w:sz="4" w:space="0" w:color="auto"/>
              <w:left w:val="nil"/>
              <w:bottom w:val="single" w:sz="4" w:space="0" w:color="auto"/>
              <w:right w:val="nil"/>
            </w:tcBorders>
            <w:shd w:val="clear" w:color="000000" w:fill="C00000"/>
            <w:noWrap/>
            <w:vAlign w:val="bottom"/>
            <w:hideMark/>
          </w:tcPr>
          <w:p w14:paraId="1959A5B1" w14:textId="77777777"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(5,711)</w:t>
            </w:r>
          </w:p>
        </w:tc>
        <w:tc>
          <w:tcPr>
            <w:tcW w:w="1148" w:type="dxa"/>
            <w:tcBorders>
              <w:top w:val="single" w:sz="4" w:space="0" w:color="auto"/>
              <w:left w:val="nil"/>
              <w:bottom w:val="single" w:sz="4" w:space="0" w:color="auto"/>
              <w:right w:val="nil"/>
            </w:tcBorders>
            <w:shd w:val="clear" w:color="000000" w:fill="C00000"/>
            <w:noWrap/>
            <w:vAlign w:val="bottom"/>
            <w:hideMark/>
          </w:tcPr>
          <w:p w14:paraId="1F363F9C" w14:textId="64189273"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294,</w:t>
            </w:r>
            <w:r w:rsidR="005E107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90</w:t>
            </w:r>
          </w:p>
        </w:tc>
        <w:tc>
          <w:tcPr>
            <w:tcW w:w="990" w:type="dxa"/>
            <w:tcBorders>
              <w:top w:val="single" w:sz="4" w:space="0" w:color="auto"/>
              <w:left w:val="nil"/>
              <w:bottom w:val="single" w:sz="4" w:space="0" w:color="auto"/>
              <w:right w:val="single" w:sz="4" w:space="0" w:color="auto"/>
            </w:tcBorders>
            <w:shd w:val="clear" w:color="000000" w:fill="C00000"/>
            <w:noWrap/>
            <w:vAlign w:val="bottom"/>
            <w:hideMark/>
          </w:tcPr>
          <w:p w14:paraId="7F330202" w14:textId="0BE85D71" w:rsidR="009B164D" w:rsidRPr="009B164D" w:rsidRDefault="009B164D" w:rsidP="00042421">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sidR="005E1074">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p>
        </w:tc>
        <w:tc>
          <w:tcPr>
            <w:tcW w:w="255" w:type="dxa"/>
            <w:tcBorders>
              <w:top w:val="nil"/>
              <w:left w:val="nil"/>
              <w:bottom w:val="nil"/>
              <w:right w:val="nil"/>
            </w:tcBorders>
            <w:shd w:val="clear" w:color="000000" w:fill="FFFFFF"/>
            <w:noWrap/>
            <w:hideMark/>
          </w:tcPr>
          <w:p w14:paraId="62E10BB9"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r>
      <w:tr w:rsidR="009B164D" w:rsidRPr="009B164D" w14:paraId="3845E918" w14:textId="77777777" w:rsidTr="009B164D">
        <w:trPr>
          <w:divId w:val="103889772"/>
          <w:trHeight w:val="94"/>
        </w:trPr>
        <w:tc>
          <w:tcPr>
            <w:tcW w:w="255" w:type="dxa"/>
            <w:tcBorders>
              <w:top w:val="nil"/>
              <w:left w:val="nil"/>
              <w:bottom w:val="nil"/>
              <w:right w:val="nil"/>
            </w:tcBorders>
            <w:shd w:val="clear" w:color="000000" w:fill="FFFFFF"/>
            <w:noWrap/>
            <w:vAlign w:val="bottom"/>
            <w:hideMark/>
          </w:tcPr>
          <w:p w14:paraId="7DD00C9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004" w:type="dxa"/>
            <w:tcBorders>
              <w:top w:val="nil"/>
              <w:left w:val="nil"/>
              <w:bottom w:val="nil"/>
              <w:right w:val="nil"/>
            </w:tcBorders>
            <w:shd w:val="clear" w:color="000000" w:fill="FFFFFF"/>
            <w:noWrap/>
            <w:vAlign w:val="bottom"/>
            <w:hideMark/>
          </w:tcPr>
          <w:p w14:paraId="3180C54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82" w:type="dxa"/>
            <w:tcBorders>
              <w:top w:val="nil"/>
              <w:left w:val="nil"/>
              <w:bottom w:val="nil"/>
              <w:right w:val="nil"/>
            </w:tcBorders>
            <w:shd w:val="clear" w:color="000000" w:fill="FFFFFF"/>
            <w:noWrap/>
            <w:hideMark/>
          </w:tcPr>
          <w:p w14:paraId="341CA0A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4" w:type="dxa"/>
            <w:tcBorders>
              <w:top w:val="nil"/>
              <w:left w:val="nil"/>
              <w:bottom w:val="nil"/>
              <w:right w:val="nil"/>
            </w:tcBorders>
            <w:shd w:val="clear" w:color="000000" w:fill="FFFFFF"/>
            <w:noWrap/>
            <w:hideMark/>
          </w:tcPr>
          <w:p w14:paraId="494B6C6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15" w:type="dxa"/>
            <w:tcBorders>
              <w:top w:val="nil"/>
              <w:left w:val="nil"/>
              <w:bottom w:val="nil"/>
              <w:right w:val="nil"/>
            </w:tcBorders>
            <w:shd w:val="clear" w:color="000000" w:fill="FFFFFF"/>
            <w:noWrap/>
            <w:hideMark/>
          </w:tcPr>
          <w:p w14:paraId="6D896C9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52" w:type="dxa"/>
            <w:tcBorders>
              <w:top w:val="nil"/>
              <w:left w:val="nil"/>
              <w:bottom w:val="nil"/>
              <w:right w:val="nil"/>
            </w:tcBorders>
            <w:shd w:val="clear" w:color="000000" w:fill="FFFFFF"/>
            <w:noWrap/>
            <w:hideMark/>
          </w:tcPr>
          <w:p w14:paraId="4C172B1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2FDD6D4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48" w:type="dxa"/>
            <w:tcBorders>
              <w:top w:val="nil"/>
              <w:left w:val="nil"/>
              <w:bottom w:val="nil"/>
              <w:right w:val="nil"/>
            </w:tcBorders>
            <w:shd w:val="clear" w:color="000000" w:fill="FFFFFF"/>
            <w:noWrap/>
            <w:hideMark/>
          </w:tcPr>
          <w:p w14:paraId="5CB5CE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hideMark/>
          </w:tcPr>
          <w:p w14:paraId="45B933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55" w:type="dxa"/>
            <w:tcBorders>
              <w:top w:val="nil"/>
              <w:left w:val="nil"/>
              <w:bottom w:val="nil"/>
              <w:right w:val="nil"/>
            </w:tcBorders>
            <w:shd w:val="clear" w:color="000000" w:fill="FFFFFF"/>
            <w:noWrap/>
            <w:hideMark/>
          </w:tcPr>
          <w:p w14:paraId="6CF2C39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590B52C9" w14:textId="2D29F68E" w:rsidR="00D645CF" w:rsidRPr="007F07C2" w:rsidRDefault="00D645CF" w:rsidP="0079406E">
      <w:pPr>
        <w:pStyle w:val="Default"/>
        <w:rPr>
          <w:rFonts w:asciiTheme="minorHAnsi" w:hAnsiTheme="minorHAnsi" w:cstheme="minorBidi"/>
          <w:color w:val="auto"/>
          <w:sz w:val="22"/>
          <w:szCs w:val="22"/>
        </w:rPr>
      </w:pPr>
    </w:p>
    <w:p w14:paraId="3F9D2F83" w14:textId="77777777" w:rsidR="00F572C0" w:rsidRPr="007F07C2" w:rsidRDefault="00F572C0" w:rsidP="0079406E">
      <w:pPr>
        <w:pStyle w:val="Default"/>
        <w:rPr>
          <w:rFonts w:asciiTheme="minorHAnsi" w:hAnsiTheme="minorHAnsi"/>
          <w:color w:val="auto"/>
        </w:rPr>
      </w:pPr>
    </w:p>
    <w:p w14:paraId="4BC3FDA3" w14:textId="77777777" w:rsidR="00F572C0" w:rsidRPr="007F07C2" w:rsidRDefault="00F572C0" w:rsidP="0079406E">
      <w:pPr>
        <w:pStyle w:val="Default"/>
        <w:rPr>
          <w:rFonts w:asciiTheme="minorHAnsi" w:hAnsiTheme="minorHAnsi"/>
          <w:color w:val="auto"/>
        </w:rPr>
      </w:pPr>
    </w:p>
    <w:p w14:paraId="38E63B5E" w14:textId="5C26ADA0" w:rsidR="00F572C0" w:rsidRDefault="00F572C0" w:rsidP="0079406E">
      <w:pPr>
        <w:pStyle w:val="Default"/>
        <w:rPr>
          <w:rFonts w:asciiTheme="minorHAnsi" w:hAnsiTheme="minorHAnsi"/>
          <w:color w:val="auto"/>
        </w:rPr>
      </w:pPr>
    </w:p>
    <w:p w14:paraId="52DFAEB0" w14:textId="6A3D6E6D" w:rsidR="00BA09D5" w:rsidRDefault="00BA09D5" w:rsidP="0079406E">
      <w:pPr>
        <w:pStyle w:val="Default"/>
        <w:rPr>
          <w:rFonts w:asciiTheme="minorHAnsi" w:hAnsiTheme="minorHAnsi"/>
          <w:color w:val="auto"/>
        </w:rPr>
      </w:pPr>
    </w:p>
    <w:p w14:paraId="51C2394B" w14:textId="231CC917" w:rsidR="00BA09D5" w:rsidRDefault="00BA09D5" w:rsidP="0079406E">
      <w:pPr>
        <w:pStyle w:val="Default"/>
        <w:rPr>
          <w:rFonts w:asciiTheme="minorHAnsi" w:hAnsiTheme="minorHAnsi"/>
          <w:color w:val="auto"/>
        </w:rPr>
      </w:pPr>
    </w:p>
    <w:p w14:paraId="225B3ED7" w14:textId="21867C86" w:rsidR="00BA09D5" w:rsidRDefault="00BA09D5" w:rsidP="0079406E">
      <w:pPr>
        <w:pStyle w:val="Default"/>
        <w:rPr>
          <w:rFonts w:asciiTheme="minorHAnsi" w:hAnsiTheme="minorHAnsi"/>
          <w:color w:val="auto"/>
        </w:rPr>
      </w:pPr>
    </w:p>
    <w:p w14:paraId="3F63DFEB" w14:textId="75921FE5" w:rsidR="00BA09D5" w:rsidRDefault="00BA09D5" w:rsidP="0079406E">
      <w:pPr>
        <w:pStyle w:val="Default"/>
        <w:rPr>
          <w:rFonts w:asciiTheme="minorHAnsi" w:hAnsiTheme="minorHAnsi"/>
          <w:color w:val="auto"/>
        </w:rPr>
      </w:pPr>
    </w:p>
    <w:p w14:paraId="01DE991E" w14:textId="53A4D05D" w:rsidR="00BA09D5" w:rsidRDefault="00BA09D5" w:rsidP="0079406E">
      <w:pPr>
        <w:pStyle w:val="Default"/>
        <w:rPr>
          <w:rFonts w:asciiTheme="minorHAnsi" w:hAnsiTheme="minorHAnsi"/>
          <w:color w:val="auto"/>
        </w:rPr>
      </w:pPr>
    </w:p>
    <w:p w14:paraId="74DA7007" w14:textId="7B08B121" w:rsidR="00BA09D5" w:rsidRDefault="00BA09D5" w:rsidP="0079406E">
      <w:pPr>
        <w:pStyle w:val="Default"/>
        <w:rPr>
          <w:rFonts w:asciiTheme="minorHAnsi" w:hAnsiTheme="minorHAnsi"/>
          <w:color w:val="auto"/>
        </w:rPr>
      </w:pPr>
    </w:p>
    <w:p w14:paraId="3BCA2EA8" w14:textId="77777777" w:rsidR="009B164D" w:rsidRDefault="009B164D" w:rsidP="0079406E">
      <w:pPr>
        <w:pStyle w:val="Default"/>
        <w:rPr>
          <w:rFonts w:asciiTheme="minorHAnsi" w:hAnsiTheme="minorHAnsi"/>
          <w:color w:val="auto"/>
        </w:rPr>
      </w:pPr>
    </w:p>
    <w:p w14:paraId="75752398" w14:textId="5C9E30FD" w:rsidR="00103626" w:rsidRPr="00635F47" w:rsidRDefault="00103626" w:rsidP="0079406E">
      <w:pPr>
        <w:pStyle w:val="Default"/>
        <w:rPr>
          <w:rFonts w:asciiTheme="minorHAnsi" w:hAnsiTheme="minorHAnsi" w:cstheme="minorHAnsi"/>
          <w:color w:val="auto"/>
          <w:sz w:val="28"/>
          <w:szCs w:val="28"/>
        </w:rPr>
      </w:pPr>
      <w:r w:rsidRPr="00635F47">
        <w:rPr>
          <w:rFonts w:asciiTheme="minorHAnsi" w:hAnsiTheme="minorHAnsi" w:cstheme="minorHAnsi"/>
          <w:b/>
          <w:bCs/>
          <w:color w:val="auto"/>
          <w:sz w:val="28"/>
          <w:szCs w:val="28"/>
        </w:rPr>
        <w:lastRenderedPageBreak/>
        <w:t xml:space="preserve">BALANCE SHEET </w:t>
      </w:r>
    </w:p>
    <w:p w14:paraId="29E36E8A" w14:textId="170973C6" w:rsidR="00B93B94" w:rsidRPr="00635F47" w:rsidRDefault="002E48DD" w:rsidP="007C5099">
      <w:pPr>
        <w:pStyle w:val="Default"/>
        <w:tabs>
          <w:tab w:val="left" w:pos="2410"/>
        </w:tabs>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AS AT 31 March 20</w:t>
      </w:r>
      <w:r w:rsidR="004F5BD2" w:rsidRPr="00635F47">
        <w:rPr>
          <w:rFonts w:asciiTheme="minorHAnsi" w:hAnsiTheme="minorHAnsi" w:cstheme="minorHAnsi"/>
          <w:b/>
          <w:bCs/>
          <w:color w:val="auto"/>
          <w:sz w:val="22"/>
          <w:szCs w:val="22"/>
        </w:rPr>
        <w:t>2</w:t>
      </w:r>
      <w:r w:rsidR="00BA09D5" w:rsidRPr="00635F47">
        <w:rPr>
          <w:rFonts w:asciiTheme="minorHAnsi" w:hAnsiTheme="minorHAnsi" w:cstheme="minorHAnsi"/>
          <w:b/>
          <w:bCs/>
          <w:color w:val="auto"/>
          <w:sz w:val="22"/>
          <w:szCs w:val="22"/>
        </w:rPr>
        <w:t>2</w:t>
      </w:r>
    </w:p>
    <w:p w14:paraId="522F0ADA" w14:textId="45F6EE8A" w:rsidR="009B164D" w:rsidRDefault="009B164D" w:rsidP="0079406E">
      <w:pPr>
        <w:pStyle w:val="Default"/>
        <w:rPr>
          <w:rFonts w:asciiTheme="minorHAnsi" w:hAnsiTheme="minorHAnsi" w:cstheme="minorBidi"/>
          <w:color w:val="auto"/>
          <w:sz w:val="22"/>
          <w:szCs w:val="22"/>
        </w:rPr>
      </w:pPr>
    </w:p>
    <w:tbl>
      <w:tblPr>
        <w:tblW w:w="8811" w:type="dxa"/>
        <w:tblLook w:val="04A0" w:firstRow="1" w:lastRow="0" w:firstColumn="1" w:lastColumn="0" w:noHBand="0" w:noVBand="1"/>
      </w:tblPr>
      <w:tblGrid>
        <w:gridCol w:w="324"/>
        <w:gridCol w:w="2486"/>
        <w:gridCol w:w="324"/>
        <w:gridCol w:w="836"/>
        <w:gridCol w:w="836"/>
        <w:gridCol w:w="1536"/>
        <w:gridCol w:w="836"/>
        <w:gridCol w:w="836"/>
        <w:gridCol w:w="1556"/>
        <w:gridCol w:w="271"/>
      </w:tblGrid>
      <w:tr w:rsidR="009B164D" w:rsidRPr="009B164D" w14:paraId="6B68E751" w14:textId="77777777" w:rsidTr="00DE1FD3">
        <w:trPr>
          <w:trHeight w:val="120"/>
        </w:trPr>
        <w:tc>
          <w:tcPr>
            <w:tcW w:w="324" w:type="dxa"/>
            <w:tcBorders>
              <w:top w:val="nil"/>
              <w:left w:val="nil"/>
              <w:bottom w:val="nil"/>
              <w:right w:val="nil"/>
            </w:tcBorders>
            <w:shd w:val="clear" w:color="000000" w:fill="FFFFFF"/>
            <w:noWrap/>
            <w:vAlign w:val="bottom"/>
            <w:hideMark/>
          </w:tcPr>
          <w:p w14:paraId="679E2CEA" w14:textId="6153429A"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nil"/>
              <w:bottom w:val="nil"/>
              <w:right w:val="nil"/>
            </w:tcBorders>
            <w:shd w:val="clear" w:color="000000" w:fill="FFFFFF"/>
            <w:noWrap/>
            <w:vAlign w:val="bottom"/>
            <w:hideMark/>
          </w:tcPr>
          <w:p w14:paraId="3A2DF0BE"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324" w:type="dxa"/>
            <w:tcBorders>
              <w:top w:val="nil"/>
              <w:left w:val="nil"/>
              <w:bottom w:val="nil"/>
              <w:right w:val="nil"/>
            </w:tcBorders>
            <w:shd w:val="clear" w:color="000000" w:fill="FFFFFF"/>
            <w:noWrap/>
            <w:vAlign w:val="bottom"/>
            <w:hideMark/>
          </w:tcPr>
          <w:p w14:paraId="0F796A70"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FF5141E"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8119D0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36" w:type="dxa"/>
            <w:tcBorders>
              <w:top w:val="nil"/>
              <w:left w:val="nil"/>
              <w:bottom w:val="nil"/>
              <w:right w:val="nil"/>
            </w:tcBorders>
            <w:shd w:val="clear" w:color="000000" w:fill="FFFFFF"/>
            <w:noWrap/>
            <w:vAlign w:val="bottom"/>
            <w:hideMark/>
          </w:tcPr>
          <w:p w14:paraId="16C24FD1"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377CCDD5"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49F1341A" w14:textId="77777777" w:rsidR="009B164D" w:rsidRPr="009B164D" w:rsidRDefault="009B164D" w:rsidP="009B164D">
            <w:pPr>
              <w:spacing w:after="0" w:line="240" w:lineRule="auto"/>
              <w:jc w:val="center"/>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56" w:type="dxa"/>
            <w:tcBorders>
              <w:top w:val="nil"/>
              <w:left w:val="nil"/>
              <w:bottom w:val="nil"/>
              <w:right w:val="nil"/>
            </w:tcBorders>
            <w:shd w:val="clear" w:color="000000" w:fill="FFFFFF"/>
            <w:noWrap/>
            <w:vAlign w:val="bottom"/>
            <w:hideMark/>
          </w:tcPr>
          <w:p w14:paraId="4568AD7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5BD3E79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7037B34E" w14:textId="77777777" w:rsidTr="00DE1FD3">
        <w:trPr>
          <w:trHeight w:val="315"/>
        </w:trPr>
        <w:tc>
          <w:tcPr>
            <w:tcW w:w="324" w:type="dxa"/>
            <w:tcBorders>
              <w:top w:val="nil"/>
              <w:left w:val="nil"/>
              <w:bottom w:val="nil"/>
              <w:right w:val="nil"/>
            </w:tcBorders>
            <w:shd w:val="clear" w:color="000000" w:fill="FFFFFF"/>
            <w:noWrap/>
            <w:vAlign w:val="bottom"/>
            <w:hideMark/>
          </w:tcPr>
          <w:p w14:paraId="327F0F9A"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single" w:sz="4" w:space="0" w:color="auto"/>
              <w:left w:val="single" w:sz="4" w:space="0" w:color="auto"/>
              <w:bottom w:val="nil"/>
              <w:right w:val="nil"/>
            </w:tcBorders>
            <w:shd w:val="clear" w:color="000000" w:fill="C00000"/>
            <w:noWrap/>
            <w:vAlign w:val="bottom"/>
            <w:hideMark/>
          </w:tcPr>
          <w:p w14:paraId="4F86667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31 March 2021</w:t>
            </w:r>
          </w:p>
        </w:tc>
        <w:tc>
          <w:tcPr>
            <w:tcW w:w="324" w:type="dxa"/>
            <w:tcBorders>
              <w:top w:val="single" w:sz="4" w:space="0" w:color="auto"/>
              <w:left w:val="nil"/>
              <w:bottom w:val="nil"/>
              <w:right w:val="nil"/>
            </w:tcBorders>
            <w:shd w:val="clear" w:color="000000" w:fill="C00000"/>
            <w:noWrap/>
            <w:vAlign w:val="bottom"/>
            <w:hideMark/>
          </w:tcPr>
          <w:p w14:paraId="721646DC"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5BA95F61"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0BBCF70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36" w:type="dxa"/>
            <w:tcBorders>
              <w:top w:val="single" w:sz="4" w:space="0" w:color="auto"/>
              <w:left w:val="nil"/>
              <w:bottom w:val="nil"/>
              <w:right w:val="nil"/>
            </w:tcBorders>
            <w:shd w:val="clear" w:color="000000" w:fill="C00000"/>
            <w:noWrap/>
            <w:vAlign w:val="bottom"/>
            <w:hideMark/>
          </w:tcPr>
          <w:p w14:paraId="6B5D01B5"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6A1771DD"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single" w:sz="4" w:space="0" w:color="auto"/>
              <w:left w:val="nil"/>
              <w:bottom w:val="nil"/>
              <w:right w:val="nil"/>
            </w:tcBorders>
            <w:shd w:val="clear" w:color="000000" w:fill="C00000"/>
            <w:noWrap/>
            <w:vAlign w:val="bottom"/>
            <w:hideMark/>
          </w:tcPr>
          <w:p w14:paraId="207827E5"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56" w:type="dxa"/>
            <w:tcBorders>
              <w:top w:val="single" w:sz="4" w:space="0" w:color="auto"/>
              <w:left w:val="nil"/>
              <w:bottom w:val="nil"/>
              <w:right w:val="single" w:sz="4" w:space="0" w:color="auto"/>
            </w:tcBorders>
            <w:shd w:val="clear" w:color="000000" w:fill="C00000"/>
            <w:noWrap/>
            <w:vAlign w:val="bottom"/>
            <w:hideMark/>
          </w:tcPr>
          <w:p w14:paraId="3C9F324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31 March 2022</w:t>
            </w:r>
          </w:p>
        </w:tc>
        <w:tc>
          <w:tcPr>
            <w:tcW w:w="271" w:type="dxa"/>
            <w:tcBorders>
              <w:top w:val="nil"/>
              <w:left w:val="nil"/>
              <w:bottom w:val="nil"/>
              <w:right w:val="nil"/>
            </w:tcBorders>
            <w:shd w:val="clear" w:color="000000" w:fill="FFFFFF"/>
            <w:noWrap/>
            <w:vAlign w:val="bottom"/>
            <w:hideMark/>
          </w:tcPr>
          <w:p w14:paraId="42592044"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90171AD" w14:textId="77777777" w:rsidTr="00DE1FD3">
        <w:trPr>
          <w:trHeight w:val="315"/>
        </w:trPr>
        <w:tc>
          <w:tcPr>
            <w:tcW w:w="324" w:type="dxa"/>
            <w:tcBorders>
              <w:top w:val="nil"/>
              <w:left w:val="nil"/>
              <w:bottom w:val="nil"/>
              <w:right w:val="nil"/>
            </w:tcBorders>
            <w:shd w:val="clear" w:color="000000" w:fill="FFFFFF"/>
            <w:noWrap/>
            <w:vAlign w:val="bottom"/>
            <w:hideMark/>
          </w:tcPr>
          <w:p w14:paraId="23E6B90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6555784B"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324" w:type="dxa"/>
            <w:tcBorders>
              <w:top w:val="nil"/>
              <w:left w:val="nil"/>
              <w:bottom w:val="nil"/>
              <w:right w:val="nil"/>
            </w:tcBorders>
            <w:shd w:val="clear" w:color="000000" w:fill="C00000"/>
            <w:noWrap/>
            <w:vAlign w:val="bottom"/>
            <w:hideMark/>
          </w:tcPr>
          <w:p w14:paraId="1AF4AFE9"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380D4F3E"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71A5CFF1"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536" w:type="dxa"/>
            <w:tcBorders>
              <w:top w:val="nil"/>
              <w:left w:val="nil"/>
              <w:bottom w:val="nil"/>
              <w:right w:val="nil"/>
            </w:tcBorders>
            <w:shd w:val="clear" w:color="000000" w:fill="C00000"/>
            <w:noWrap/>
            <w:vAlign w:val="bottom"/>
            <w:hideMark/>
          </w:tcPr>
          <w:p w14:paraId="01274944"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5B325ACB"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35D1F437" w14:textId="77777777" w:rsidR="00DE1FD3" w:rsidRPr="009B164D" w:rsidRDefault="00DE1FD3" w:rsidP="00DE1FD3">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Notes</w:t>
            </w:r>
          </w:p>
        </w:tc>
        <w:tc>
          <w:tcPr>
            <w:tcW w:w="1556" w:type="dxa"/>
            <w:tcBorders>
              <w:top w:val="nil"/>
              <w:left w:val="nil"/>
              <w:bottom w:val="nil"/>
              <w:right w:val="single" w:sz="4" w:space="0" w:color="auto"/>
            </w:tcBorders>
            <w:shd w:val="clear" w:color="000000" w:fill="C00000"/>
            <w:noWrap/>
            <w:vAlign w:val="bottom"/>
            <w:hideMark/>
          </w:tcPr>
          <w:p w14:paraId="5292B872" w14:textId="2492DB79"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61BADEC7"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605B2654" w14:textId="77777777" w:rsidTr="00DE1FD3">
        <w:trPr>
          <w:trHeight w:val="315"/>
        </w:trPr>
        <w:tc>
          <w:tcPr>
            <w:tcW w:w="324" w:type="dxa"/>
            <w:tcBorders>
              <w:top w:val="nil"/>
              <w:left w:val="nil"/>
              <w:bottom w:val="nil"/>
              <w:right w:val="nil"/>
            </w:tcBorders>
            <w:shd w:val="clear" w:color="000000" w:fill="FFFFFF"/>
            <w:noWrap/>
            <w:vAlign w:val="bottom"/>
            <w:hideMark/>
          </w:tcPr>
          <w:p w14:paraId="2772DD9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7CAB478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40,989</w:t>
            </w:r>
          </w:p>
        </w:tc>
        <w:tc>
          <w:tcPr>
            <w:tcW w:w="324" w:type="dxa"/>
            <w:tcBorders>
              <w:top w:val="nil"/>
              <w:left w:val="nil"/>
              <w:bottom w:val="nil"/>
              <w:right w:val="nil"/>
            </w:tcBorders>
            <w:shd w:val="clear" w:color="000000" w:fill="FFFFFF"/>
            <w:noWrap/>
            <w:vAlign w:val="bottom"/>
            <w:hideMark/>
          </w:tcPr>
          <w:p w14:paraId="51E44BA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3E3638E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Property, Plant and Equipment</w:t>
            </w:r>
          </w:p>
        </w:tc>
        <w:tc>
          <w:tcPr>
            <w:tcW w:w="836" w:type="dxa"/>
            <w:tcBorders>
              <w:top w:val="nil"/>
              <w:left w:val="nil"/>
              <w:bottom w:val="nil"/>
              <w:right w:val="nil"/>
            </w:tcBorders>
            <w:shd w:val="clear" w:color="000000" w:fill="FFFFFF"/>
            <w:noWrap/>
            <w:vAlign w:val="bottom"/>
            <w:hideMark/>
          </w:tcPr>
          <w:p w14:paraId="4130DDF7"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0AC0187D"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9</w:t>
            </w:r>
          </w:p>
        </w:tc>
        <w:tc>
          <w:tcPr>
            <w:tcW w:w="1556" w:type="dxa"/>
            <w:tcBorders>
              <w:top w:val="nil"/>
              <w:left w:val="nil"/>
              <w:bottom w:val="single" w:sz="4" w:space="0" w:color="auto"/>
              <w:right w:val="single" w:sz="4" w:space="0" w:color="auto"/>
            </w:tcBorders>
            <w:shd w:val="clear" w:color="000000" w:fill="FFFFFF"/>
            <w:noWrap/>
            <w:vAlign w:val="bottom"/>
            <w:hideMark/>
          </w:tcPr>
          <w:p w14:paraId="06781907" w14:textId="6F509BEF"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46,12</w:t>
            </w:r>
            <w:r w:rsidR="004D04F0">
              <w:rPr>
                <w:rFonts w:ascii="Calibri" w:eastAsia="Times New Roman" w:hAnsi="Calibri" w:cs="Calibri"/>
                <w:color w:val="000000"/>
                <w:lang w:eastAsia="en-GB"/>
              </w:rPr>
              <w:t>6</w:t>
            </w:r>
          </w:p>
        </w:tc>
        <w:tc>
          <w:tcPr>
            <w:tcW w:w="271" w:type="dxa"/>
            <w:tcBorders>
              <w:top w:val="nil"/>
              <w:left w:val="nil"/>
              <w:bottom w:val="nil"/>
              <w:right w:val="nil"/>
            </w:tcBorders>
            <w:shd w:val="clear" w:color="000000" w:fill="FFFFFF"/>
            <w:noWrap/>
            <w:vAlign w:val="bottom"/>
            <w:hideMark/>
          </w:tcPr>
          <w:p w14:paraId="4864DC10"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7051777" w14:textId="77777777" w:rsidTr="00DE1FD3">
        <w:trPr>
          <w:trHeight w:val="315"/>
        </w:trPr>
        <w:tc>
          <w:tcPr>
            <w:tcW w:w="324" w:type="dxa"/>
            <w:tcBorders>
              <w:top w:val="nil"/>
              <w:left w:val="nil"/>
              <w:bottom w:val="nil"/>
              <w:right w:val="nil"/>
            </w:tcBorders>
            <w:shd w:val="clear" w:color="000000" w:fill="FFFFFF"/>
            <w:noWrap/>
            <w:vAlign w:val="bottom"/>
            <w:hideMark/>
          </w:tcPr>
          <w:p w14:paraId="23DA608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0BB5BFC3"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40,989</w:t>
            </w:r>
          </w:p>
        </w:tc>
        <w:tc>
          <w:tcPr>
            <w:tcW w:w="324" w:type="dxa"/>
            <w:tcBorders>
              <w:top w:val="nil"/>
              <w:left w:val="nil"/>
              <w:bottom w:val="nil"/>
              <w:right w:val="nil"/>
            </w:tcBorders>
            <w:shd w:val="clear" w:color="000000" w:fill="C00000"/>
            <w:noWrap/>
            <w:vAlign w:val="bottom"/>
            <w:hideMark/>
          </w:tcPr>
          <w:p w14:paraId="568A4F77"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131767D8"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Long Term Assets</w:t>
            </w:r>
          </w:p>
        </w:tc>
        <w:tc>
          <w:tcPr>
            <w:tcW w:w="836" w:type="dxa"/>
            <w:tcBorders>
              <w:top w:val="nil"/>
              <w:left w:val="nil"/>
              <w:bottom w:val="nil"/>
              <w:right w:val="nil"/>
            </w:tcBorders>
            <w:shd w:val="clear" w:color="000000" w:fill="C00000"/>
            <w:noWrap/>
            <w:vAlign w:val="bottom"/>
            <w:hideMark/>
          </w:tcPr>
          <w:p w14:paraId="03F7744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4733B096"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250A5591" w14:textId="44BA0A0E"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46,12</w:t>
            </w:r>
            <w:r w:rsidR="004D04F0">
              <w:rPr>
                <w:rFonts w:ascii="Calibri" w:eastAsia="Times New Roman" w:hAnsi="Calibri" w:cs="Calibri"/>
                <w:b/>
                <w:bCs/>
                <w:color w:val="FFFFFF"/>
                <w:lang w:eastAsia="en-GB"/>
              </w:rPr>
              <w:t>6</w:t>
            </w:r>
          </w:p>
        </w:tc>
        <w:tc>
          <w:tcPr>
            <w:tcW w:w="271" w:type="dxa"/>
            <w:tcBorders>
              <w:top w:val="nil"/>
              <w:left w:val="nil"/>
              <w:bottom w:val="nil"/>
              <w:right w:val="nil"/>
            </w:tcBorders>
            <w:shd w:val="clear" w:color="000000" w:fill="FFFFFF"/>
            <w:noWrap/>
            <w:vAlign w:val="bottom"/>
            <w:hideMark/>
          </w:tcPr>
          <w:p w14:paraId="188164CF"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499746B" w14:textId="77777777" w:rsidTr="00DE1FD3">
        <w:trPr>
          <w:trHeight w:val="315"/>
        </w:trPr>
        <w:tc>
          <w:tcPr>
            <w:tcW w:w="324" w:type="dxa"/>
            <w:tcBorders>
              <w:top w:val="nil"/>
              <w:left w:val="nil"/>
              <w:bottom w:val="nil"/>
              <w:right w:val="nil"/>
            </w:tcBorders>
            <w:shd w:val="clear" w:color="000000" w:fill="FFFFFF"/>
            <w:noWrap/>
            <w:vAlign w:val="bottom"/>
            <w:hideMark/>
          </w:tcPr>
          <w:p w14:paraId="596207E5"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20D5C9F7"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237</w:t>
            </w:r>
          </w:p>
        </w:tc>
        <w:tc>
          <w:tcPr>
            <w:tcW w:w="324" w:type="dxa"/>
            <w:tcBorders>
              <w:top w:val="nil"/>
              <w:left w:val="nil"/>
              <w:bottom w:val="nil"/>
              <w:right w:val="nil"/>
            </w:tcBorders>
            <w:shd w:val="clear" w:color="000000" w:fill="FFE1E1"/>
            <w:noWrap/>
            <w:vAlign w:val="bottom"/>
            <w:hideMark/>
          </w:tcPr>
          <w:p w14:paraId="44B1C02D"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1672" w:type="dxa"/>
            <w:gridSpan w:val="2"/>
            <w:tcBorders>
              <w:top w:val="nil"/>
              <w:left w:val="nil"/>
              <w:bottom w:val="nil"/>
              <w:right w:val="nil"/>
            </w:tcBorders>
            <w:shd w:val="clear" w:color="000000" w:fill="FFE1E1"/>
            <w:noWrap/>
            <w:vAlign w:val="bottom"/>
            <w:hideMark/>
          </w:tcPr>
          <w:p w14:paraId="7226681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Inventories</w:t>
            </w:r>
          </w:p>
        </w:tc>
        <w:tc>
          <w:tcPr>
            <w:tcW w:w="1536" w:type="dxa"/>
            <w:tcBorders>
              <w:top w:val="nil"/>
              <w:left w:val="nil"/>
              <w:bottom w:val="nil"/>
              <w:right w:val="nil"/>
            </w:tcBorders>
            <w:shd w:val="clear" w:color="000000" w:fill="FFE1E1"/>
            <w:noWrap/>
            <w:vAlign w:val="bottom"/>
            <w:hideMark/>
          </w:tcPr>
          <w:p w14:paraId="46735FB1"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532AEB88"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309A9F44"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10</w:t>
            </w:r>
          </w:p>
        </w:tc>
        <w:tc>
          <w:tcPr>
            <w:tcW w:w="1556" w:type="dxa"/>
            <w:tcBorders>
              <w:top w:val="nil"/>
              <w:left w:val="nil"/>
              <w:bottom w:val="nil"/>
              <w:right w:val="single" w:sz="4" w:space="0" w:color="auto"/>
            </w:tcBorders>
            <w:shd w:val="clear" w:color="000000" w:fill="FFE1E1"/>
            <w:noWrap/>
            <w:vAlign w:val="bottom"/>
            <w:hideMark/>
          </w:tcPr>
          <w:p w14:paraId="36DCCBE5"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244</w:t>
            </w:r>
          </w:p>
        </w:tc>
        <w:tc>
          <w:tcPr>
            <w:tcW w:w="271" w:type="dxa"/>
            <w:tcBorders>
              <w:top w:val="nil"/>
              <w:left w:val="nil"/>
              <w:bottom w:val="nil"/>
              <w:right w:val="nil"/>
            </w:tcBorders>
            <w:shd w:val="clear" w:color="000000" w:fill="FFFFFF"/>
            <w:noWrap/>
            <w:vAlign w:val="bottom"/>
            <w:hideMark/>
          </w:tcPr>
          <w:p w14:paraId="4F86E20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568AC89" w14:textId="77777777" w:rsidTr="00DE1FD3">
        <w:trPr>
          <w:trHeight w:val="315"/>
        </w:trPr>
        <w:tc>
          <w:tcPr>
            <w:tcW w:w="324" w:type="dxa"/>
            <w:tcBorders>
              <w:top w:val="nil"/>
              <w:left w:val="nil"/>
              <w:bottom w:val="nil"/>
              <w:right w:val="nil"/>
            </w:tcBorders>
            <w:shd w:val="clear" w:color="000000" w:fill="FFFFFF"/>
            <w:noWrap/>
            <w:vAlign w:val="bottom"/>
            <w:hideMark/>
          </w:tcPr>
          <w:p w14:paraId="0E13F2D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2E588810"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5,238</w:t>
            </w:r>
          </w:p>
        </w:tc>
        <w:tc>
          <w:tcPr>
            <w:tcW w:w="324" w:type="dxa"/>
            <w:tcBorders>
              <w:top w:val="nil"/>
              <w:left w:val="nil"/>
              <w:bottom w:val="nil"/>
              <w:right w:val="nil"/>
            </w:tcBorders>
            <w:shd w:val="clear" w:color="000000" w:fill="FFFFFF"/>
            <w:noWrap/>
            <w:vAlign w:val="bottom"/>
            <w:hideMark/>
          </w:tcPr>
          <w:p w14:paraId="156892C0"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67D2876B"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Short Term Debtors</w:t>
            </w:r>
          </w:p>
        </w:tc>
        <w:tc>
          <w:tcPr>
            <w:tcW w:w="836" w:type="dxa"/>
            <w:tcBorders>
              <w:top w:val="nil"/>
              <w:left w:val="nil"/>
              <w:bottom w:val="nil"/>
              <w:right w:val="nil"/>
            </w:tcBorders>
            <w:shd w:val="clear" w:color="000000" w:fill="FFFFFF"/>
            <w:noWrap/>
            <w:vAlign w:val="bottom"/>
            <w:hideMark/>
          </w:tcPr>
          <w:p w14:paraId="12A21281"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6EAC914A"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11</w:t>
            </w:r>
          </w:p>
        </w:tc>
        <w:tc>
          <w:tcPr>
            <w:tcW w:w="1556" w:type="dxa"/>
            <w:tcBorders>
              <w:top w:val="nil"/>
              <w:left w:val="nil"/>
              <w:bottom w:val="nil"/>
              <w:right w:val="single" w:sz="4" w:space="0" w:color="auto"/>
            </w:tcBorders>
            <w:shd w:val="clear" w:color="000000" w:fill="FFFFFF"/>
            <w:noWrap/>
            <w:vAlign w:val="bottom"/>
            <w:hideMark/>
          </w:tcPr>
          <w:p w14:paraId="6D4EA716" w14:textId="1127D8D2"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w:t>
            </w:r>
            <w:r>
              <w:rPr>
                <w:rFonts w:ascii="Calibri" w:eastAsia="Times New Roman" w:hAnsi="Calibri" w:cs="Calibri"/>
                <w:color w:val="000000"/>
                <w:lang w:eastAsia="en-GB"/>
              </w:rPr>
              <w:t>596</w:t>
            </w:r>
          </w:p>
        </w:tc>
        <w:tc>
          <w:tcPr>
            <w:tcW w:w="271" w:type="dxa"/>
            <w:tcBorders>
              <w:top w:val="nil"/>
              <w:left w:val="nil"/>
              <w:bottom w:val="nil"/>
              <w:right w:val="nil"/>
            </w:tcBorders>
            <w:shd w:val="clear" w:color="000000" w:fill="FFFFFF"/>
            <w:noWrap/>
            <w:vAlign w:val="bottom"/>
            <w:hideMark/>
          </w:tcPr>
          <w:p w14:paraId="7D6CE3B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CBB7106" w14:textId="77777777" w:rsidTr="00DE1FD3">
        <w:trPr>
          <w:trHeight w:val="315"/>
        </w:trPr>
        <w:tc>
          <w:tcPr>
            <w:tcW w:w="324" w:type="dxa"/>
            <w:tcBorders>
              <w:top w:val="nil"/>
              <w:left w:val="nil"/>
              <w:bottom w:val="nil"/>
              <w:right w:val="nil"/>
            </w:tcBorders>
            <w:shd w:val="clear" w:color="000000" w:fill="FFFFFF"/>
            <w:noWrap/>
            <w:vAlign w:val="bottom"/>
            <w:hideMark/>
          </w:tcPr>
          <w:p w14:paraId="2BAFE18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156AF49F"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3,000</w:t>
            </w:r>
          </w:p>
        </w:tc>
        <w:tc>
          <w:tcPr>
            <w:tcW w:w="324" w:type="dxa"/>
            <w:tcBorders>
              <w:top w:val="nil"/>
              <w:left w:val="nil"/>
              <w:bottom w:val="nil"/>
              <w:right w:val="nil"/>
            </w:tcBorders>
            <w:shd w:val="clear" w:color="000000" w:fill="FFE1E1"/>
            <w:noWrap/>
            <w:vAlign w:val="bottom"/>
            <w:hideMark/>
          </w:tcPr>
          <w:p w14:paraId="43373AAC"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38D2BA31"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Short Term Investments</w:t>
            </w:r>
          </w:p>
        </w:tc>
        <w:tc>
          <w:tcPr>
            <w:tcW w:w="836" w:type="dxa"/>
            <w:tcBorders>
              <w:top w:val="nil"/>
              <w:left w:val="nil"/>
              <w:bottom w:val="nil"/>
              <w:right w:val="nil"/>
            </w:tcBorders>
            <w:shd w:val="clear" w:color="000000" w:fill="FFE1E1"/>
            <w:noWrap/>
            <w:vAlign w:val="bottom"/>
            <w:hideMark/>
          </w:tcPr>
          <w:p w14:paraId="073DBE40"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66B8458F"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12</w:t>
            </w:r>
          </w:p>
        </w:tc>
        <w:tc>
          <w:tcPr>
            <w:tcW w:w="1556" w:type="dxa"/>
            <w:tcBorders>
              <w:top w:val="nil"/>
              <w:left w:val="nil"/>
              <w:bottom w:val="nil"/>
              <w:right w:val="single" w:sz="4" w:space="0" w:color="auto"/>
            </w:tcBorders>
            <w:shd w:val="clear" w:color="000000" w:fill="FFE1E1"/>
            <w:noWrap/>
            <w:vAlign w:val="bottom"/>
            <w:hideMark/>
          </w:tcPr>
          <w:p w14:paraId="46517483"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3,000</w:t>
            </w:r>
          </w:p>
        </w:tc>
        <w:tc>
          <w:tcPr>
            <w:tcW w:w="271" w:type="dxa"/>
            <w:tcBorders>
              <w:top w:val="nil"/>
              <w:left w:val="nil"/>
              <w:bottom w:val="nil"/>
              <w:right w:val="nil"/>
            </w:tcBorders>
            <w:shd w:val="clear" w:color="000000" w:fill="FFFFFF"/>
            <w:noWrap/>
            <w:vAlign w:val="bottom"/>
            <w:hideMark/>
          </w:tcPr>
          <w:p w14:paraId="3DEF9F3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124B93C" w14:textId="77777777" w:rsidTr="00DE1FD3">
        <w:trPr>
          <w:trHeight w:val="315"/>
        </w:trPr>
        <w:tc>
          <w:tcPr>
            <w:tcW w:w="324" w:type="dxa"/>
            <w:tcBorders>
              <w:top w:val="nil"/>
              <w:left w:val="nil"/>
              <w:bottom w:val="nil"/>
              <w:right w:val="nil"/>
            </w:tcBorders>
            <w:shd w:val="clear" w:color="000000" w:fill="FFFFFF"/>
            <w:noWrap/>
            <w:vAlign w:val="bottom"/>
            <w:hideMark/>
          </w:tcPr>
          <w:p w14:paraId="2DEBB29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462E5824"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2,808</w:t>
            </w:r>
          </w:p>
        </w:tc>
        <w:tc>
          <w:tcPr>
            <w:tcW w:w="324" w:type="dxa"/>
            <w:tcBorders>
              <w:top w:val="nil"/>
              <w:left w:val="nil"/>
              <w:bottom w:val="nil"/>
              <w:right w:val="nil"/>
            </w:tcBorders>
            <w:shd w:val="clear" w:color="000000" w:fill="FFFFFF"/>
            <w:noWrap/>
            <w:vAlign w:val="bottom"/>
            <w:hideMark/>
          </w:tcPr>
          <w:p w14:paraId="7AF83364"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1ED88D20"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Cash and Cash Equivalents</w:t>
            </w:r>
          </w:p>
        </w:tc>
        <w:tc>
          <w:tcPr>
            <w:tcW w:w="836" w:type="dxa"/>
            <w:tcBorders>
              <w:top w:val="nil"/>
              <w:left w:val="nil"/>
              <w:bottom w:val="nil"/>
              <w:right w:val="nil"/>
            </w:tcBorders>
            <w:shd w:val="clear" w:color="000000" w:fill="FFFFFF"/>
            <w:noWrap/>
            <w:vAlign w:val="bottom"/>
            <w:hideMark/>
          </w:tcPr>
          <w:p w14:paraId="74AAB99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549F0C88"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12</w:t>
            </w:r>
          </w:p>
        </w:tc>
        <w:tc>
          <w:tcPr>
            <w:tcW w:w="1556" w:type="dxa"/>
            <w:tcBorders>
              <w:top w:val="nil"/>
              <w:left w:val="nil"/>
              <w:bottom w:val="nil"/>
              <w:right w:val="single" w:sz="4" w:space="0" w:color="auto"/>
            </w:tcBorders>
            <w:shd w:val="clear" w:color="000000" w:fill="FFFFFF"/>
            <w:noWrap/>
            <w:vAlign w:val="bottom"/>
            <w:hideMark/>
          </w:tcPr>
          <w:p w14:paraId="74B09140"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2,105</w:t>
            </w:r>
          </w:p>
        </w:tc>
        <w:tc>
          <w:tcPr>
            <w:tcW w:w="271" w:type="dxa"/>
            <w:tcBorders>
              <w:top w:val="nil"/>
              <w:left w:val="nil"/>
              <w:bottom w:val="nil"/>
              <w:right w:val="nil"/>
            </w:tcBorders>
            <w:shd w:val="clear" w:color="000000" w:fill="FFFFFF"/>
            <w:noWrap/>
            <w:vAlign w:val="bottom"/>
            <w:hideMark/>
          </w:tcPr>
          <w:p w14:paraId="34C127E8"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59CB1FA0" w14:textId="77777777" w:rsidTr="00DE1FD3">
        <w:trPr>
          <w:trHeight w:val="315"/>
        </w:trPr>
        <w:tc>
          <w:tcPr>
            <w:tcW w:w="324" w:type="dxa"/>
            <w:tcBorders>
              <w:top w:val="nil"/>
              <w:left w:val="nil"/>
              <w:bottom w:val="nil"/>
              <w:right w:val="nil"/>
            </w:tcBorders>
            <w:shd w:val="clear" w:color="000000" w:fill="FFFFFF"/>
            <w:noWrap/>
            <w:vAlign w:val="bottom"/>
            <w:hideMark/>
          </w:tcPr>
          <w:p w14:paraId="28E3175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2B03A88B"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11,283</w:t>
            </w:r>
          </w:p>
        </w:tc>
        <w:tc>
          <w:tcPr>
            <w:tcW w:w="324" w:type="dxa"/>
            <w:tcBorders>
              <w:top w:val="nil"/>
              <w:left w:val="nil"/>
              <w:bottom w:val="nil"/>
              <w:right w:val="nil"/>
            </w:tcBorders>
            <w:shd w:val="clear" w:color="000000" w:fill="C00000"/>
            <w:noWrap/>
            <w:vAlign w:val="bottom"/>
            <w:hideMark/>
          </w:tcPr>
          <w:p w14:paraId="4665B5F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nil"/>
              <w:right w:val="nil"/>
            </w:tcBorders>
            <w:shd w:val="clear" w:color="000000" w:fill="C00000"/>
            <w:noWrap/>
            <w:vAlign w:val="bottom"/>
            <w:hideMark/>
          </w:tcPr>
          <w:p w14:paraId="4702739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Current Assets</w:t>
            </w:r>
          </w:p>
        </w:tc>
        <w:tc>
          <w:tcPr>
            <w:tcW w:w="1536" w:type="dxa"/>
            <w:tcBorders>
              <w:top w:val="nil"/>
              <w:left w:val="nil"/>
              <w:bottom w:val="nil"/>
              <w:right w:val="nil"/>
            </w:tcBorders>
            <w:shd w:val="clear" w:color="000000" w:fill="C00000"/>
            <w:noWrap/>
            <w:vAlign w:val="bottom"/>
            <w:hideMark/>
          </w:tcPr>
          <w:p w14:paraId="441822F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6D016A43"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6A569010"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15E19C3E" w14:textId="50A8A064"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7,</w:t>
            </w:r>
            <w:r>
              <w:rPr>
                <w:rFonts w:ascii="Calibri" w:eastAsia="Times New Roman" w:hAnsi="Calibri" w:cs="Calibri"/>
                <w:b/>
                <w:bCs/>
                <w:color w:val="FFFFFF"/>
                <w:lang w:eastAsia="en-GB"/>
              </w:rPr>
              <w:t>945</w:t>
            </w:r>
          </w:p>
        </w:tc>
        <w:tc>
          <w:tcPr>
            <w:tcW w:w="271" w:type="dxa"/>
            <w:tcBorders>
              <w:top w:val="nil"/>
              <w:left w:val="nil"/>
              <w:bottom w:val="nil"/>
              <w:right w:val="nil"/>
            </w:tcBorders>
            <w:shd w:val="clear" w:color="000000" w:fill="FFFFFF"/>
            <w:noWrap/>
            <w:vAlign w:val="bottom"/>
            <w:hideMark/>
          </w:tcPr>
          <w:p w14:paraId="0B33B59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B48E8DD" w14:textId="77777777" w:rsidTr="00DE1FD3">
        <w:trPr>
          <w:trHeight w:val="315"/>
        </w:trPr>
        <w:tc>
          <w:tcPr>
            <w:tcW w:w="324" w:type="dxa"/>
            <w:tcBorders>
              <w:top w:val="nil"/>
              <w:left w:val="nil"/>
              <w:bottom w:val="nil"/>
              <w:right w:val="nil"/>
            </w:tcBorders>
            <w:shd w:val="clear" w:color="000000" w:fill="FFFFFF"/>
            <w:noWrap/>
            <w:vAlign w:val="bottom"/>
            <w:hideMark/>
          </w:tcPr>
          <w:p w14:paraId="608923E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08341D08"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(5,333)</w:t>
            </w:r>
          </w:p>
        </w:tc>
        <w:tc>
          <w:tcPr>
            <w:tcW w:w="324" w:type="dxa"/>
            <w:tcBorders>
              <w:top w:val="nil"/>
              <w:left w:val="nil"/>
              <w:bottom w:val="nil"/>
              <w:right w:val="nil"/>
            </w:tcBorders>
            <w:shd w:val="clear" w:color="000000" w:fill="FFE1E1"/>
            <w:noWrap/>
            <w:vAlign w:val="bottom"/>
            <w:hideMark/>
          </w:tcPr>
          <w:p w14:paraId="524A7EE4"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0EF2D98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Short Term Creditors</w:t>
            </w:r>
          </w:p>
        </w:tc>
        <w:tc>
          <w:tcPr>
            <w:tcW w:w="836" w:type="dxa"/>
            <w:tcBorders>
              <w:top w:val="nil"/>
              <w:left w:val="nil"/>
              <w:bottom w:val="nil"/>
              <w:right w:val="nil"/>
            </w:tcBorders>
            <w:shd w:val="clear" w:color="000000" w:fill="FFE1E1"/>
            <w:noWrap/>
            <w:vAlign w:val="bottom"/>
            <w:hideMark/>
          </w:tcPr>
          <w:p w14:paraId="158EFA30"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2920D27D"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14</w:t>
            </w:r>
          </w:p>
        </w:tc>
        <w:tc>
          <w:tcPr>
            <w:tcW w:w="1556" w:type="dxa"/>
            <w:tcBorders>
              <w:top w:val="nil"/>
              <w:left w:val="nil"/>
              <w:bottom w:val="nil"/>
              <w:right w:val="single" w:sz="4" w:space="0" w:color="auto"/>
            </w:tcBorders>
            <w:shd w:val="clear" w:color="000000" w:fill="FFE1E1"/>
            <w:noWrap/>
            <w:vAlign w:val="bottom"/>
            <w:hideMark/>
          </w:tcPr>
          <w:p w14:paraId="6B37D116" w14:textId="18006E89"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(4,</w:t>
            </w:r>
            <w:r>
              <w:rPr>
                <w:rFonts w:ascii="Calibri" w:eastAsia="Times New Roman" w:hAnsi="Calibri" w:cs="Calibri"/>
                <w:lang w:eastAsia="en-GB"/>
              </w:rPr>
              <w:t>4</w:t>
            </w:r>
            <w:r w:rsidRPr="009B164D">
              <w:rPr>
                <w:rFonts w:ascii="Calibri" w:eastAsia="Times New Roman" w:hAnsi="Calibri" w:cs="Calibri"/>
                <w:lang w:eastAsia="en-GB"/>
              </w:rPr>
              <w:t>49)</w:t>
            </w:r>
          </w:p>
        </w:tc>
        <w:tc>
          <w:tcPr>
            <w:tcW w:w="271" w:type="dxa"/>
            <w:tcBorders>
              <w:top w:val="nil"/>
              <w:left w:val="nil"/>
              <w:bottom w:val="nil"/>
              <w:right w:val="nil"/>
            </w:tcBorders>
            <w:shd w:val="clear" w:color="000000" w:fill="FFFFFF"/>
            <w:noWrap/>
            <w:vAlign w:val="bottom"/>
            <w:hideMark/>
          </w:tcPr>
          <w:p w14:paraId="575D245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6FB3862" w14:textId="77777777" w:rsidTr="00DE1FD3">
        <w:trPr>
          <w:trHeight w:val="315"/>
        </w:trPr>
        <w:tc>
          <w:tcPr>
            <w:tcW w:w="324" w:type="dxa"/>
            <w:tcBorders>
              <w:top w:val="nil"/>
              <w:left w:val="nil"/>
              <w:bottom w:val="nil"/>
              <w:right w:val="nil"/>
            </w:tcBorders>
            <w:shd w:val="clear" w:color="000000" w:fill="FFFFFF"/>
            <w:noWrap/>
            <w:vAlign w:val="bottom"/>
            <w:hideMark/>
          </w:tcPr>
          <w:p w14:paraId="271A416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354BBB1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(502)</w:t>
            </w:r>
          </w:p>
        </w:tc>
        <w:tc>
          <w:tcPr>
            <w:tcW w:w="324" w:type="dxa"/>
            <w:tcBorders>
              <w:top w:val="nil"/>
              <w:left w:val="nil"/>
              <w:bottom w:val="nil"/>
              <w:right w:val="nil"/>
            </w:tcBorders>
            <w:shd w:val="clear" w:color="000000" w:fill="FFFFFF"/>
            <w:noWrap/>
            <w:vAlign w:val="bottom"/>
            <w:hideMark/>
          </w:tcPr>
          <w:p w14:paraId="35558E24"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672" w:type="dxa"/>
            <w:gridSpan w:val="2"/>
            <w:tcBorders>
              <w:top w:val="nil"/>
              <w:left w:val="nil"/>
              <w:bottom w:val="nil"/>
              <w:right w:val="nil"/>
            </w:tcBorders>
            <w:shd w:val="clear" w:color="000000" w:fill="FFFFFF"/>
            <w:noWrap/>
            <w:vAlign w:val="bottom"/>
            <w:hideMark/>
          </w:tcPr>
          <w:p w14:paraId="2E3ACFAC"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Provisions</w:t>
            </w:r>
          </w:p>
        </w:tc>
        <w:tc>
          <w:tcPr>
            <w:tcW w:w="1536" w:type="dxa"/>
            <w:tcBorders>
              <w:top w:val="nil"/>
              <w:left w:val="nil"/>
              <w:bottom w:val="nil"/>
              <w:right w:val="nil"/>
            </w:tcBorders>
            <w:shd w:val="clear" w:color="000000" w:fill="FFFFFF"/>
            <w:noWrap/>
            <w:vAlign w:val="bottom"/>
            <w:hideMark/>
          </w:tcPr>
          <w:p w14:paraId="213DD61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5C4B440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4E7E0DFF"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14a</w:t>
            </w:r>
          </w:p>
        </w:tc>
        <w:tc>
          <w:tcPr>
            <w:tcW w:w="1556" w:type="dxa"/>
            <w:tcBorders>
              <w:top w:val="nil"/>
              <w:left w:val="nil"/>
              <w:bottom w:val="nil"/>
              <w:right w:val="single" w:sz="4" w:space="0" w:color="auto"/>
            </w:tcBorders>
            <w:shd w:val="clear" w:color="000000" w:fill="FFFFFF"/>
            <w:noWrap/>
            <w:vAlign w:val="bottom"/>
            <w:hideMark/>
          </w:tcPr>
          <w:p w14:paraId="54EBCBB9" w14:textId="08296BB0"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r>
              <w:rPr>
                <w:rFonts w:ascii="Calibri" w:eastAsia="Times New Roman" w:hAnsi="Calibri" w:cs="Calibri"/>
                <w:color w:val="000000"/>
                <w:lang w:eastAsia="en-GB"/>
              </w:rPr>
              <w:t>448</w:t>
            </w:r>
            <w:r w:rsidRPr="009B164D">
              <w:rPr>
                <w:rFonts w:ascii="Calibri" w:eastAsia="Times New Roman" w:hAnsi="Calibri" w:cs="Calibri"/>
                <w:color w:val="000000"/>
                <w:lang w:eastAsia="en-GB"/>
              </w:rPr>
              <w:t>)</w:t>
            </w:r>
          </w:p>
        </w:tc>
        <w:tc>
          <w:tcPr>
            <w:tcW w:w="271" w:type="dxa"/>
            <w:tcBorders>
              <w:top w:val="nil"/>
              <w:left w:val="nil"/>
              <w:bottom w:val="nil"/>
              <w:right w:val="nil"/>
            </w:tcBorders>
            <w:shd w:val="clear" w:color="000000" w:fill="FFFFFF"/>
            <w:noWrap/>
            <w:vAlign w:val="bottom"/>
            <w:hideMark/>
          </w:tcPr>
          <w:p w14:paraId="74F35B1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51A6794" w14:textId="77777777" w:rsidTr="00DE1FD3">
        <w:trPr>
          <w:trHeight w:val="315"/>
        </w:trPr>
        <w:tc>
          <w:tcPr>
            <w:tcW w:w="324" w:type="dxa"/>
            <w:tcBorders>
              <w:top w:val="nil"/>
              <w:left w:val="nil"/>
              <w:bottom w:val="nil"/>
              <w:right w:val="nil"/>
            </w:tcBorders>
            <w:shd w:val="clear" w:color="000000" w:fill="FFFFFF"/>
            <w:noWrap/>
            <w:vAlign w:val="bottom"/>
            <w:hideMark/>
          </w:tcPr>
          <w:p w14:paraId="5EAEE124"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75FFFE3D"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(5,835)</w:t>
            </w:r>
          </w:p>
        </w:tc>
        <w:tc>
          <w:tcPr>
            <w:tcW w:w="324" w:type="dxa"/>
            <w:tcBorders>
              <w:top w:val="nil"/>
              <w:left w:val="nil"/>
              <w:bottom w:val="nil"/>
              <w:right w:val="nil"/>
            </w:tcBorders>
            <w:shd w:val="clear" w:color="000000" w:fill="C00000"/>
            <w:noWrap/>
            <w:vAlign w:val="bottom"/>
            <w:hideMark/>
          </w:tcPr>
          <w:p w14:paraId="78C95408"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5EA9AA1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Current Liabilities</w:t>
            </w:r>
          </w:p>
        </w:tc>
        <w:tc>
          <w:tcPr>
            <w:tcW w:w="836" w:type="dxa"/>
            <w:tcBorders>
              <w:top w:val="nil"/>
              <w:left w:val="nil"/>
              <w:bottom w:val="nil"/>
              <w:right w:val="nil"/>
            </w:tcBorders>
            <w:shd w:val="clear" w:color="000000" w:fill="C00000"/>
            <w:noWrap/>
            <w:vAlign w:val="bottom"/>
            <w:hideMark/>
          </w:tcPr>
          <w:p w14:paraId="2DEE556C"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2B4FE4C1"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330795C2" w14:textId="5EF8C9EC"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(4,</w:t>
            </w:r>
            <w:r>
              <w:rPr>
                <w:rFonts w:ascii="Calibri" w:eastAsia="Times New Roman" w:hAnsi="Calibri" w:cs="Calibri"/>
                <w:b/>
                <w:bCs/>
                <w:color w:val="FFFFFF"/>
                <w:lang w:eastAsia="en-GB"/>
              </w:rPr>
              <w:t>897</w:t>
            </w:r>
            <w:r w:rsidRPr="009B164D">
              <w:rPr>
                <w:rFonts w:ascii="Calibri" w:eastAsia="Times New Roman" w:hAnsi="Calibri" w:cs="Calibri"/>
                <w:b/>
                <w:bCs/>
                <w:color w:val="FFFFFF"/>
                <w:lang w:eastAsia="en-GB"/>
              </w:rPr>
              <w:t>)</w:t>
            </w:r>
          </w:p>
        </w:tc>
        <w:tc>
          <w:tcPr>
            <w:tcW w:w="271" w:type="dxa"/>
            <w:tcBorders>
              <w:top w:val="nil"/>
              <w:left w:val="nil"/>
              <w:bottom w:val="nil"/>
              <w:right w:val="nil"/>
            </w:tcBorders>
            <w:shd w:val="clear" w:color="000000" w:fill="FFFFFF"/>
            <w:noWrap/>
            <w:vAlign w:val="bottom"/>
            <w:hideMark/>
          </w:tcPr>
          <w:p w14:paraId="4508FE8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0FF8309" w14:textId="77777777" w:rsidTr="00DE1FD3">
        <w:trPr>
          <w:trHeight w:val="315"/>
        </w:trPr>
        <w:tc>
          <w:tcPr>
            <w:tcW w:w="324" w:type="dxa"/>
            <w:tcBorders>
              <w:top w:val="nil"/>
              <w:left w:val="nil"/>
              <w:bottom w:val="nil"/>
              <w:right w:val="nil"/>
            </w:tcBorders>
            <w:shd w:val="clear" w:color="000000" w:fill="FFFFFF"/>
            <w:noWrap/>
            <w:vAlign w:val="bottom"/>
            <w:hideMark/>
          </w:tcPr>
          <w:p w14:paraId="6104520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7DCB0E3C"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color w:val="000000"/>
                <w:lang w:eastAsia="en-GB"/>
              </w:rPr>
              <w:t>(3,300)</w:t>
            </w:r>
          </w:p>
        </w:tc>
        <w:tc>
          <w:tcPr>
            <w:tcW w:w="324" w:type="dxa"/>
            <w:tcBorders>
              <w:top w:val="nil"/>
              <w:left w:val="nil"/>
              <w:bottom w:val="nil"/>
              <w:right w:val="nil"/>
            </w:tcBorders>
            <w:shd w:val="clear" w:color="000000" w:fill="FFE1E1"/>
            <w:noWrap/>
            <w:vAlign w:val="bottom"/>
            <w:hideMark/>
          </w:tcPr>
          <w:p w14:paraId="71EE0922"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53E14893"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Long Term Borrowing</w:t>
            </w:r>
          </w:p>
        </w:tc>
        <w:tc>
          <w:tcPr>
            <w:tcW w:w="836" w:type="dxa"/>
            <w:tcBorders>
              <w:top w:val="nil"/>
              <w:left w:val="nil"/>
              <w:bottom w:val="nil"/>
              <w:right w:val="nil"/>
            </w:tcBorders>
            <w:shd w:val="clear" w:color="000000" w:fill="FFE1E1"/>
            <w:noWrap/>
            <w:vAlign w:val="bottom"/>
            <w:hideMark/>
          </w:tcPr>
          <w:p w14:paraId="04AA068C"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09C9E5DB"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16.1</w:t>
            </w:r>
          </w:p>
        </w:tc>
        <w:tc>
          <w:tcPr>
            <w:tcW w:w="1556" w:type="dxa"/>
            <w:tcBorders>
              <w:top w:val="nil"/>
              <w:left w:val="nil"/>
              <w:bottom w:val="nil"/>
              <w:right w:val="single" w:sz="4" w:space="0" w:color="auto"/>
            </w:tcBorders>
            <w:shd w:val="clear" w:color="000000" w:fill="FFE1E1"/>
            <w:noWrap/>
            <w:vAlign w:val="bottom"/>
            <w:hideMark/>
          </w:tcPr>
          <w:p w14:paraId="2183B07E"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(3,218)</w:t>
            </w:r>
          </w:p>
        </w:tc>
        <w:tc>
          <w:tcPr>
            <w:tcW w:w="271" w:type="dxa"/>
            <w:tcBorders>
              <w:top w:val="nil"/>
              <w:left w:val="nil"/>
              <w:bottom w:val="nil"/>
              <w:right w:val="nil"/>
            </w:tcBorders>
            <w:shd w:val="clear" w:color="000000" w:fill="FFFFFF"/>
            <w:noWrap/>
            <w:vAlign w:val="bottom"/>
            <w:hideMark/>
          </w:tcPr>
          <w:p w14:paraId="5416928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4245F3AD" w14:textId="77777777" w:rsidTr="00DE1FD3">
        <w:trPr>
          <w:trHeight w:val="315"/>
        </w:trPr>
        <w:tc>
          <w:tcPr>
            <w:tcW w:w="324" w:type="dxa"/>
            <w:tcBorders>
              <w:top w:val="nil"/>
              <w:left w:val="nil"/>
              <w:bottom w:val="nil"/>
              <w:right w:val="nil"/>
            </w:tcBorders>
            <w:shd w:val="clear" w:color="000000" w:fill="FFFFFF"/>
            <w:noWrap/>
            <w:vAlign w:val="bottom"/>
            <w:hideMark/>
          </w:tcPr>
          <w:p w14:paraId="6552A2C5"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2E3B49BE"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(328,855)</w:t>
            </w:r>
          </w:p>
        </w:tc>
        <w:tc>
          <w:tcPr>
            <w:tcW w:w="324" w:type="dxa"/>
            <w:tcBorders>
              <w:top w:val="nil"/>
              <w:left w:val="nil"/>
              <w:bottom w:val="nil"/>
              <w:right w:val="nil"/>
            </w:tcBorders>
            <w:shd w:val="clear" w:color="000000" w:fill="FFFFFF"/>
            <w:noWrap/>
            <w:vAlign w:val="bottom"/>
            <w:hideMark/>
          </w:tcPr>
          <w:p w14:paraId="3388CBB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21FC5FE9"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Long Term Liabilities</w:t>
            </w:r>
          </w:p>
        </w:tc>
        <w:tc>
          <w:tcPr>
            <w:tcW w:w="836" w:type="dxa"/>
            <w:tcBorders>
              <w:top w:val="nil"/>
              <w:left w:val="nil"/>
              <w:bottom w:val="nil"/>
              <w:right w:val="nil"/>
            </w:tcBorders>
            <w:shd w:val="clear" w:color="000000" w:fill="FFFFFF"/>
            <w:noWrap/>
            <w:vAlign w:val="bottom"/>
            <w:hideMark/>
          </w:tcPr>
          <w:p w14:paraId="69F8301B"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715A5A11"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16.2</w:t>
            </w:r>
          </w:p>
        </w:tc>
        <w:tc>
          <w:tcPr>
            <w:tcW w:w="1556" w:type="dxa"/>
            <w:tcBorders>
              <w:top w:val="nil"/>
              <w:left w:val="nil"/>
              <w:bottom w:val="nil"/>
              <w:right w:val="single" w:sz="4" w:space="0" w:color="auto"/>
            </w:tcBorders>
            <w:shd w:val="clear" w:color="000000" w:fill="FFFFFF"/>
            <w:noWrap/>
            <w:vAlign w:val="bottom"/>
            <w:hideMark/>
          </w:tcPr>
          <w:p w14:paraId="323E2B59"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(334,435)</w:t>
            </w:r>
          </w:p>
        </w:tc>
        <w:tc>
          <w:tcPr>
            <w:tcW w:w="271" w:type="dxa"/>
            <w:tcBorders>
              <w:top w:val="nil"/>
              <w:left w:val="nil"/>
              <w:bottom w:val="nil"/>
              <w:right w:val="nil"/>
            </w:tcBorders>
            <w:shd w:val="clear" w:color="000000" w:fill="FFFFFF"/>
            <w:noWrap/>
            <w:vAlign w:val="bottom"/>
            <w:hideMark/>
          </w:tcPr>
          <w:p w14:paraId="1611C1D6"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060424CB" w14:textId="77777777" w:rsidTr="00DE1FD3">
        <w:trPr>
          <w:trHeight w:val="315"/>
        </w:trPr>
        <w:tc>
          <w:tcPr>
            <w:tcW w:w="324" w:type="dxa"/>
            <w:tcBorders>
              <w:top w:val="nil"/>
              <w:left w:val="nil"/>
              <w:bottom w:val="nil"/>
              <w:right w:val="nil"/>
            </w:tcBorders>
            <w:shd w:val="clear" w:color="000000" w:fill="FFFFFF"/>
            <w:noWrap/>
            <w:vAlign w:val="bottom"/>
            <w:hideMark/>
          </w:tcPr>
          <w:p w14:paraId="10A211E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nil"/>
              <w:bottom w:val="nil"/>
              <w:right w:val="nil"/>
            </w:tcBorders>
            <w:shd w:val="clear" w:color="000000" w:fill="C00000"/>
            <w:noWrap/>
            <w:vAlign w:val="bottom"/>
            <w:hideMark/>
          </w:tcPr>
          <w:p w14:paraId="3494E35E"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(332,155)</w:t>
            </w:r>
          </w:p>
        </w:tc>
        <w:tc>
          <w:tcPr>
            <w:tcW w:w="324" w:type="dxa"/>
            <w:tcBorders>
              <w:top w:val="nil"/>
              <w:left w:val="nil"/>
              <w:bottom w:val="nil"/>
              <w:right w:val="nil"/>
            </w:tcBorders>
            <w:shd w:val="clear" w:color="000000" w:fill="C00000"/>
            <w:noWrap/>
            <w:vAlign w:val="bottom"/>
            <w:hideMark/>
          </w:tcPr>
          <w:p w14:paraId="4EE365F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208" w:type="dxa"/>
            <w:gridSpan w:val="3"/>
            <w:tcBorders>
              <w:top w:val="nil"/>
              <w:left w:val="nil"/>
              <w:bottom w:val="nil"/>
              <w:right w:val="nil"/>
            </w:tcBorders>
            <w:shd w:val="clear" w:color="000000" w:fill="C00000"/>
            <w:noWrap/>
            <w:vAlign w:val="bottom"/>
            <w:hideMark/>
          </w:tcPr>
          <w:p w14:paraId="04CA8B6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Long Term Liabilities</w:t>
            </w:r>
          </w:p>
        </w:tc>
        <w:tc>
          <w:tcPr>
            <w:tcW w:w="836" w:type="dxa"/>
            <w:tcBorders>
              <w:top w:val="nil"/>
              <w:left w:val="nil"/>
              <w:bottom w:val="nil"/>
              <w:right w:val="nil"/>
            </w:tcBorders>
            <w:shd w:val="clear" w:color="000000" w:fill="C00000"/>
            <w:noWrap/>
            <w:vAlign w:val="bottom"/>
            <w:hideMark/>
          </w:tcPr>
          <w:p w14:paraId="6952680C"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196E83B5"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3FBF6715"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(337,653)</w:t>
            </w:r>
          </w:p>
        </w:tc>
        <w:tc>
          <w:tcPr>
            <w:tcW w:w="271" w:type="dxa"/>
            <w:tcBorders>
              <w:top w:val="nil"/>
              <w:left w:val="nil"/>
              <w:bottom w:val="nil"/>
              <w:right w:val="nil"/>
            </w:tcBorders>
            <w:shd w:val="clear" w:color="000000" w:fill="FFFFFF"/>
            <w:noWrap/>
            <w:vAlign w:val="bottom"/>
            <w:hideMark/>
          </w:tcPr>
          <w:p w14:paraId="2CE2708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2D6273D3" w14:textId="77777777" w:rsidTr="00DE1FD3">
        <w:trPr>
          <w:trHeight w:val="90"/>
        </w:trPr>
        <w:tc>
          <w:tcPr>
            <w:tcW w:w="324" w:type="dxa"/>
            <w:tcBorders>
              <w:top w:val="nil"/>
              <w:left w:val="nil"/>
              <w:bottom w:val="nil"/>
              <w:right w:val="nil"/>
            </w:tcBorders>
            <w:shd w:val="clear" w:color="000000" w:fill="FFFFFF"/>
            <w:noWrap/>
            <w:vAlign w:val="bottom"/>
            <w:hideMark/>
          </w:tcPr>
          <w:p w14:paraId="68043E3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05D4705F"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324" w:type="dxa"/>
            <w:tcBorders>
              <w:top w:val="nil"/>
              <w:left w:val="nil"/>
              <w:bottom w:val="nil"/>
              <w:right w:val="nil"/>
            </w:tcBorders>
            <w:shd w:val="clear" w:color="000000" w:fill="FFFFFF"/>
            <w:noWrap/>
            <w:vAlign w:val="bottom"/>
            <w:hideMark/>
          </w:tcPr>
          <w:p w14:paraId="41E7A78E"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F13D184"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659BA79"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536" w:type="dxa"/>
            <w:tcBorders>
              <w:top w:val="nil"/>
              <w:left w:val="nil"/>
              <w:bottom w:val="nil"/>
              <w:right w:val="nil"/>
            </w:tcBorders>
            <w:shd w:val="clear" w:color="000000" w:fill="FFFFFF"/>
            <w:noWrap/>
            <w:vAlign w:val="bottom"/>
            <w:hideMark/>
          </w:tcPr>
          <w:p w14:paraId="1B53A82C"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73676F41"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836" w:type="dxa"/>
            <w:tcBorders>
              <w:top w:val="nil"/>
              <w:left w:val="nil"/>
              <w:bottom w:val="nil"/>
              <w:right w:val="nil"/>
            </w:tcBorders>
            <w:shd w:val="clear" w:color="000000" w:fill="FFFFFF"/>
            <w:noWrap/>
            <w:vAlign w:val="bottom"/>
            <w:hideMark/>
          </w:tcPr>
          <w:p w14:paraId="6224178F" w14:textId="77777777" w:rsidR="00DE1FD3" w:rsidRPr="009B164D" w:rsidRDefault="00DE1FD3" w:rsidP="00DE1FD3">
            <w:pPr>
              <w:spacing w:after="0" w:line="240" w:lineRule="auto"/>
              <w:jc w:val="right"/>
              <w:rPr>
                <w:rFonts w:ascii="Calibri" w:eastAsia="Times New Roman" w:hAnsi="Calibri" w:cs="Calibri"/>
                <w:b/>
                <w:bCs/>
                <w:color w:val="000000"/>
                <w:sz w:val="16"/>
                <w:szCs w:val="16"/>
                <w:lang w:eastAsia="en-GB"/>
              </w:rPr>
            </w:pPr>
            <w:r w:rsidRPr="009B164D">
              <w:rPr>
                <w:rFonts w:ascii="Calibri" w:eastAsia="Times New Roman" w:hAnsi="Calibri" w:cs="Calibri"/>
                <w:b/>
                <w:bCs/>
                <w:color w:val="000000"/>
                <w:sz w:val="16"/>
                <w:szCs w:val="16"/>
                <w:lang w:eastAsia="en-GB"/>
              </w:rPr>
              <w:t> </w:t>
            </w:r>
          </w:p>
        </w:tc>
        <w:tc>
          <w:tcPr>
            <w:tcW w:w="1556" w:type="dxa"/>
            <w:tcBorders>
              <w:top w:val="nil"/>
              <w:left w:val="nil"/>
              <w:bottom w:val="nil"/>
              <w:right w:val="single" w:sz="4" w:space="0" w:color="auto"/>
            </w:tcBorders>
            <w:shd w:val="clear" w:color="000000" w:fill="FFFFFF"/>
            <w:noWrap/>
            <w:vAlign w:val="bottom"/>
            <w:hideMark/>
          </w:tcPr>
          <w:p w14:paraId="1DA8A809" w14:textId="77777777" w:rsidR="00DE1FD3" w:rsidRPr="009B164D" w:rsidRDefault="00DE1FD3" w:rsidP="00DE1FD3">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vAlign w:val="bottom"/>
            <w:hideMark/>
          </w:tcPr>
          <w:p w14:paraId="6A432800"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65A7F27E" w14:textId="77777777" w:rsidTr="00DE1FD3">
        <w:trPr>
          <w:trHeight w:val="315"/>
        </w:trPr>
        <w:tc>
          <w:tcPr>
            <w:tcW w:w="324" w:type="dxa"/>
            <w:tcBorders>
              <w:top w:val="nil"/>
              <w:left w:val="nil"/>
              <w:bottom w:val="nil"/>
              <w:right w:val="nil"/>
            </w:tcBorders>
            <w:shd w:val="clear" w:color="000000" w:fill="FFFFFF"/>
            <w:noWrap/>
            <w:vAlign w:val="bottom"/>
            <w:hideMark/>
          </w:tcPr>
          <w:p w14:paraId="350227B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C00000"/>
            <w:noWrap/>
            <w:vAlign w:val="bottom"/>
            <w:hideMark/>
          </w:tcPr>
          <w:p w14:paraId="2EBB5F71"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324" w:type="dxa"/>
            <w:tcBorders>
              <w:top w:val="nil"/>
              <w:left w:val="nil"/>
              <w:bottom w:val="nil"/>
              <w:right w:val="nil"/>
            </w:tcBorders>
            <w:shd w:val="clear" w:color="000000" w:fill="C00000"/>
            <w:noWrap/>
            <w:vAlign w:val="bottom"/>
            <w:hideMark/>
          </w:tcPr>
          <w:p w14:paraId="65494D76"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nil"/>
              <w:right w:val="nil"/>
            </w:tcBorders>
            <w:shd w:val="clear" w:color="000000" w:fill="C00000"/>
            <w:noWrap/>
            <w:vAlign w:val="bottom"/>
            <w:hideMark/>
          </w:tcPr>
          <w:p w14:paraId="482D98C9"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Liabilities</w:t>
            </w:r>
          </w:p>
        </w:tc>
        <w:tc>
          <w:tcPr>
            <w:tcW w:w="1536" w:type="dxa"/>
            <w:tcBorders>
              <w:top w:val="nil"/>
              <w:left w:val="nil"/>
              <w:bottom w:val="nil"/>
              <w:right w:val="nil"/>
            </w:tcBorders>
            <w:shd w:val="clear" w:color="000000" w:fill="C00000"/>
            <w:noWrap/>
            <w:vAlign w:val="bottom"/>
            <w:hideMark/>
          </w:tcPr>
          <w:p w14:paraId="184B2699"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16146B5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nil"/>
              <w:right w:val="nil"/>
            </w:tcBorders>
            <w:shd w:val="clear" w:color="000000" w:fill="C00000"/>
            <w:noWrap/>
            <w:vAlign w:val="bottom"/>
            <w:hideMark/>
          </w:tcPr>
          <w:p w14:paraId="2865AA97"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nil"/>
              <w:right w:val="single" w:sz="4" w:space="0" w:color="auto"/>
            </w:tcBorders>
            <w:shd w:val="clear" w:color="000000" w:fill="C00000"/>
            <w:noWrap/>
            <w:vAlign w:val="bottom"/>
            <w:hideMark/>
          </w:tcPr>
          <w:p w14:paraId="5F4E241E" w14:textId="238E72B1"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r w:rsidRPr="009B164D">
              <w:rPr>
                <w:rFonts w:ascii="Calibri" w:eastAsia="Times New Roman" w:hAnsi="Calibri" w:cs="Calibri"/>
                <w:b/>
                <w:bCs/>
                <w:color w:val="FFFFFF"/>
                <w:lang w:eastAsia="en-GB"/>
              </w:rPr>
              <w:t>)</w:t>
            </w:r>
          </w:p>
        </w:tc>
        <w:tc>
          <w:tcPr>
            <w:tcW w:w="271" w:type="dxa"/>
            <w:tcBorders>
              <w:top w:val="nil"/>
              <w:left w:val="nil"/>
              <w:bottom w:val="nil"/>
              <w:right w:val="nil"/>
            </w:tcBorders>
            <w:shd w:val="clear" w:color="000000" w:fill="FFFFFF"/>
            <w:noWrap/>
            <w:vAlign w:val="bottom"/>
            <w:hideMark/>
          </w:tcPr>
          <w:p w14:paraId="53CC74C1"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4F763F2B" w14:textId="77777777" w:rsidTr="00DE1FD3">
        <w:trPr>
          <w:trHeight w:val="315"/>
        </w:trPr>
        <w:tc>
          <w:tcPr>
            <w:tcW w:w="324" w:type="dxa"/>
            <w:tcBorders>
              <w:top w:val="nil"/>
              <w:left w:val="nil"/>
              <w:bottom w:val="nil"/>
              <w:right w:val="nil"/>
            </w:tcBorders>
            <w:shd w:val="clear" w:color="000000" w:fill="FFFFFF"/>
            <w:noWrap/>
            <w:vAlign w:val="bottom"/>
            <w:hideMark/>
          </w:tcPr>
          <w:p w14:paraId="770EB891"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E1E1"/>
            <w:noWrap/>
            <w:vAlign w:val="bottom"/>
            <w:hideMark/>
          </w:tcPr>
          <w:p w14:paraId="0ACB88FE"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(5,472)</w:t>
            </w:r>
          </w:p>
        </w:tc>
        <w:tc>
          <w:tcPr>
            <w:tcW w:w="324" w:type="dxa"/>
            <w:tcBorders>
              <w:top w:val="nil"/>
              <w:left w:val="nil"/>
              <w:bottom w:val="nil"/>
              <w:right w:val="nil"/>
            </w:tcBorders>
            <w:shd w:val="clear" w:color="000000" w:fill="FFE1E1"/>
            <w:noWrap/>
            <w:vAlign w:val="bottom"/>
            <w:hideMark/>
          </w:tcPr>
          <w:p w14:paraId="3D53248E"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3208" w:type="dxa"/>
            <w:gridSpan w:val="3"/>
            <w:tcBorders>
              <w:top w:val="nil"/>
              <w:left w:val="nil"/>
              <w:bottom w:val="nil"/>
              <w:right w:val="nil"/>
            </w:tcBorders>
            <w:shd w:val="clear" w:color="000000" w:fill="FFE1E1"/>
            <w:noWrap/>
            <w:vAlign w:val="bottom"/>
            <w:hideMark/>
          </w:tcPr>
          <w:p w14:paraId="39AE42D6" w14:textId="11C7D1DA"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Usable Reserves</w:t>
            </w:r>
          </w:p>
        </w:tc>
        <w:tc>
          <w:tcPr>
            <w:tcW w:w="836" w:type="dxa"/>
            <w:tcBorders>
              <w:top w:val="nil"/>
              <w:left w:val="nil"/>
              <w:bottom w:val="nil"/>
              <w:right w:val="nil"/>
            </w:tcBorders>
            <w:shd w:val="clear" w:color="000000" w:fill="FFE1E1"/>
            <w:noWrap/>
            <w:vAlign w:val="bottom"/>
            <w:hideMark/>
          </w:tcPr>
          <w:p w14:paraId="6D46F11E" w14:textId="77777777" w:rsidR="00DE1FD3" w:rsidRPr="009B164D" w:rsidRDefault="00DE1FD3" w:rsidP="00DE1FD3">
            <w:pPr>
              <w:spacing w:after="0" w:line="240" w:lineRule="auto"/>
              <w:rPr>
                <w:rFonts w:ascii="Calibri" w:eastAsia="Times New Roman" w:hAnsi="Calibri" w:cs="Calibri"/>
                <w:lang w:eastAsia="en-GB"/>
              </w:rPr>
            </w:pPr>
            <w:r w:rsidRPr="009B164D">
              <w:rPr>
                <w:rFonts w:ascii="Calibri" w:eastAsia="Times New Roman" w:hAnsi="Calibri" w:cs="Calibri"/>
                <w:lang w:eastAsia="en-GB"/>
              </w:rPr>
              <w:t> </w:t>
            </w:r>
          </w:p>
        </w:tc>
        <w:tc>
          <w:tcPr>
            <w:tcW w:w="836" w:type="dxa"/>
            <w:tcBorders>
              <w:top w:val="nil"/>
              <w:left w:val="nil"/>
              <w:bottom w:val="nil"/>
              <w:right w:val="nil"/>
            </w:tcBorders>
            <w:shd w:val="clear" w:color="000000" w:fill="FFE1E1"/>
            <w:noWrap/>
            <w:vAlign w:val="bottom"/>
            <w:hideMark/>
          </w:tcPr>
          <w:p w14:paraId="559D02E2" w14:textId="77777777" w:rsidR="00DE1FD3" w:rsidRPr="009B164D" w:rsidRDefault="00DE1FD3" w:rsidP="00DE1FD3">
            <w:pPr>
              <w:spacing w:after="0" w:line="240" w:lineRule="auto"/>
              <w:jc w:val="right"/>
              <w:rPr>
                <w:rFonts w:ascii="Calibri" w:eastAsia="Times New Roman" w:hAnsi="Calibri" w:cs="Calibri"/>
                <w:sz w:val="16"/>
                <w:szCs w:val="16"/>
                <w:lang w:eastAsia="en-GB"/>
              </w:rPr>
            </w:pPr>
            <w:r w:rsidRPr="009B164D">
              <w:rPr>
                <w:rFonts w:ascii="Calibri" w:eastAsia="Times New Roman" w:hAnsi="Calibri" w:cs="Calibri"/>
                <w:sz w:val="16"/>
                <w:szCs w:val="16"/>
                <w:lang w:eastAsia="en-GB"/>
              </w:rPr>
              <w:t>17</w:t>
            </w:r>
          </w:p>
        </w:tc>
        <w:tc>
          <w:tcPr>
            <w:tcW w:w="1556" w:type="dxa"/>
            <w:tcBorders>
              <w:top w:val="nil"/>
              <w:left w:val="nil"/>
              <w:bottom w:val="nil"/>
              <w:right w:val="single" w:sz="4" w:space="0" w:color="auto"/>
            </w:tcBorders>
            <w:shd w:val="clear" w:color="000000" w:fill="FFE1E1"/>
            <w:noWrap/>
            <w:vAlign w:val="bottom"/>
            <w:hideMark/>
          </w:tcPr>
          <w:p w14:paraId="03848307" w14:textId="77777777" w:rsidR="00DE1FD3" w:rsidRPr="009B164D" w:rsidRDefault="00DE1FD3" w:rsidP="00DE1FD3">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(5,711)</w:t>
            </w:r>
          </w:p>
        </w:tc>
        <w:tc>
          <w:tcPr>
            <w:tcW w:w="271" w:type="dxa"/>
            <w:tcBorders>
              <w:top w:val="nil"/>
              <w:left w:val="nil"/>
              <w:bottom w:val="nil"/>
              <w:right w:val="nil"/>
            </w:tcBorders>
            <w:shd w:val="clear" w:color="000000" w:fill="FFFFFF"/>
            <w:noWrap/>
            <w:vAlign w:val="bottom"/>
            <w:hideMark/>
          </w:tcPr>
          <w:p w14:paraId="0DA35EBD"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ED7B972" w14:textId="77777777" w:rsidTr="00DE1FD3">
        <w:trPr>
          <w:trHeight w:val="315"/>
        </w:trPr>
        <w:tc>
          <w:tcPr>
            <w:tcW w:w="324" w:type="dxa"/>
            <w:tcBorders>
              <w:top w:val="nil"/>
              <w:left w:val="nil"/>
              <w:bottom w:val="nil"/>
              <w:right w:val="nil"/>
            </w:tcBorders>
            <w:shd w:val="clear" w:color="000000" w:fill="FFFFFF"/>
            <w:noWrap/>
            <w:vAlign w:val="bottom"/>
            <w:hideMark/>
          </w:tcPr>
          <w:p w14:paraId="06622B8B"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nil"/>
              <w:right w:val="nil"/>
            </w:tcBorders>
            <w:shd w:val="clear" w:color="000000" w:fill="FFFFFF"/>
            <w:noWrap/>
            <w:vAlign w:val="bottom"/>
            <w:hideMark/>
          </w:tcPr>
          <w:p w14:paraId="7F2D1B94" w14:textId="77777777"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291,190</w:t>
            </w:r>
          </w:p>
        </w:tc>
        <w:tc>
          <w:tcPr>
            <w:tcW w:w="324" w:type="dxa"/>
            <w:tcBorders>
              <w:top w:val="nil"/>
              <w:left w:val="nil"/>
              <w:bottom w:val="nil"/>
              <w:right w:val="nil"/>
            </w:tcBorders>
            <w:shd w:val="clear" w:color="000000" w:fill="FFFFFF"/>
            <w:noWrap/>
            <w:vAlign w:val="bottom"/>
            <w:hideMark/>
          </w:tcPr>
          <w:p w14:paraId="008803CA"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208" w:type="dxa"/>
            <w:gridSpan w:val="3"/>
            <w:tcBorders>
              <w:top w:val="nil"/>
              <w:left w:val="nil"/>
              <w:bottom w:val="nil"/>
              <w:right w:val="nil"/>
            </w:tcBorders>
            <w:shd w:val="clear" w:color="000000" w:fill="FFFFFF"/>
            <w:noWrap/>
            <w:vAlign w:val="bottom"/>
            <w:hideMark/>
          </w:tcPr>
          <w:p w14:paraId="7D061C25" w14:textId="6990EF86"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Un</w:t>
            </w:r>
            <w:r w:rsidR="00BD4140">
              <w:rPr>
                <w:rFonts w:ascii="Calibri" w:eastAsia="Times New Roman" w:hAnsi="Calibri" w:cs="Calibri"/>
                <w:color w:val="000000"/>
                <w:lang w:eastAsia="en-GB"/>
              </w:rPr>
              <w:t>u</w:t>
            </w:r>
            <w:r w:rsidRPr="009B164D">
              <w:rPr>
                <w:rFonts w:ascii="Calibri" w:eastAsia="Times New Roman" w:hAnsi="Calibri" w:cs="Calibri"/>
                <w:color w:val="000000"/>
                <w:lang w:eastAsia="en-GB"/>
              </w:rPr>
              <w:t>sable Reserves</w:t>
            </w:r>
          </w:p>
        </w:tc>
        <w:tc>
          <w:tcPr>
            <w:tcW w:w="836" w:type="dxa"/>
            <w:tcBorders>
              <w:top w:val="nil"/>
              <w:left w:val="nil"/>
              <w:bottom w:val="nil"/>
              <w:right w:val="nil"/>
            </w:tcBorders>
            <w:shd w:val="clear" w:color="000000" w:fill="FFFFFF"/>
            <w:noWrap/>
            <w:vAlign w:val="bottom"/>
            <w:hideMark/>
          </w:tcPr>
          <w:p w14:paraId="6E72A762" w14:textId="77777777" w:rsidR="00DE1FD3" w:rsidRPr="009B164D" w:rsidRDefault="00DE1FD3" w:rsidP="00DE1FD3">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836" w:type="dxa"/>
            <w:tcBorders>
              <w:top w:val="nil"/>
              <w:left w:val="nil"/>
              <w:bottom w:val="nil"/>
              <w:right w:val="nil"/>
            </w:tcBorders>
            <w:shd w:val="clear" w:color="000000" w:fill="FFFFFF"/>
            <w:noWrap/>
            <w:vAlign w:val="bottom"/>
            <w:hideMark/>
          </w:tcPr>
          <w:p w14:paraId="3F8C4E37" w14:textId="77777777" w:rsidR="00DE1FD3" w:rsidRPr="009B164D" w:rsidRDefault="00DE1FD3" w:rsidP="00DE1FD3">
            <w:pPr>
              <w:spacing w:after="0" w:line="240" w:lineRule="auto"/>
              <w:jc w:val="right"/>
              <w:rPr>
                <w:rFonts w:ascii="Calibri" w:eastAsia="Times New Roman" w:hAnsi="Calibri" w:cs="Calibri"/>
                <w:color w:val="000000"/>
                <w:sz w:val="16"/>
                <w:szCs w:val="16"/>
                <w:lang w:eastAsia="en-GB"/>
              </w:rPr>
            </w:pPr>
            <w:r w:rsidRPr="009B164D">
              <w:rPr>
                <w:rFonts w:ascii="Calibri" w:eastAsia="Times New Roman" w:hAnsi="Calibri" w:cs="Calibri"/>
                <w:color w:val="000000"/>
                <w:sz w:val="16"/>
                <w:szCs w:val="16"/>
                <w:lang w:eastAsia="en-GB"/>
              </w:rPr>
              <w:t>18</w:t>
            </w:r>
          </w:p>
        </w:tc>
        <w:tc>
          <w:tcPr>
            <w:tcW w:w="1556" w:type="dxa"/>
            <w:tcBorders>
              <w:top w:val="nil"/>
              <w:left w:val="nil"/>
              <w:bottom w:val="nil"/>
              <w:right w:val="single" w:sz="4" w:space="0" w:color="auto"/>
            </w:tcBorders>
            <w:shd w:val="clear" w:color="000000" w:fill="FFFFFF"/>
            <w:noWrap/>
            <w:vAlign w:val="bottom"/>
            <w:hideMark/>
          </w:tcPr>
          <w:p w14:paraId="04A17850" w14:textId="19918B9F" w:rsidR="00DE1FD3" w:rsidRPr="009B164D" w:rsidRDefault="00DE1FD3" w:rsidP="00DE1FD3">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294,</w:t>
            </w:r>
            <w:r>
              <w:rPr>
                <w:rFonts w:ascii="Calibri" w:eastAsia="Times New Roman" w:hAnsi="Calibri" w:cs="Calibri"/>
                <w:color w:val="000000"/>
                <w:lang w:eastAsia="en-GB"/>
              </w:rPr>
              <w:t>1</w:t>
            </w:r>
            <w:r w:rsidR="004D04F0">
              <w:rPr>
                <w:rFonts w:ascii="Calibri" w:eastAsia="Times New Roman" w:hAnsi="Calibri" w:cs="Calibri"/>
                <w:color w:val="000000"/>
                <w:lang w:eastAsia="en-GB"/>
              </w:rPr>
              <w:t>90</w:t>
            </w:r>
          </w:p>
        </w:tc>
        <w:tc>
          <w:tcPr>
            <w:tcW w:w="271" w:type="dxa"/>
            <w:tcBorders>
              <w:top w:val="nil"/>
              <w:left w:val="nil"/>
              <w:bottom w:val="nil"/>
              <w:right w:val="nil"/>
            </w:tcBorders>
            <w:shd w:val="clear" w:color="000000" w:fill="FFFFFF"/>
            <w:noWrap/>
            <w:vAlign w:val="bottom"/>
            <w:hideMark/>
          </w:tcPr>
          <w:p w14:paraId="419150DB"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39E6C34B" w14:textId="77777777" w:rsidTr="00DE1FD3">
        <w:trPr>
          <w:trHeight w:val="315"/>
        </w:trPr>
        <w:tc>
          <w:tcPr>
            <w:tcW w:w="324" w:type="dxa"/>
            <w:tcBorders>
              <w:top w:val="nil"/>
              <w:left w:val="nil"/>
              <w:bottom w:val="nil"/>
              <w:right w:val="nil"/>
            </w:tcBorders>
            <w:shd w:val="clear" w:color="000000" w:fill="FFFFFF"/>
            <w:noWrap/>
            <w:vAlign w:val="bottom"/>
            <w:hideMark/>
          </w:tcPr>
          <w:p w14:paraId="34F24D17"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456" w:type="dxa"/>
            <w:tcBorders>
              <w:top w:val="nil"/>
              <w:left w:val="single" w:sz="4" w:space="0" w:color="auto"/>
              <w:bottom w:val="single" w:sz="4" w:space="0" w:color="auto"/>
              <w:right w:val="nil"/>
            </w:tcBorders>
            <w:shd w:val="clear" w:color="000000" w:fill="C00000"/>
            <w:noWrap/>
            <w:vAlign w:val="bottom"/>
            <w:hideMark/>
          </w:tcPr>
          <w:p w14:paraId="4E843CCD" w14:textId="77777777"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285,718</w:t>
            </w:r>
          </w:p>
        </w:tc>
        <w:tc>
          <w:tcPr>
            <w:tcW w:w="324" w:type="dxa"/>
            <w:tcBorders>
              <w:top w:val="nil"/>
              <w:left w:val="nil"/>
              <w:bottom w:val="single" w:sz="4" w:space="0" w:color="auto"/>
              <w:right w:val="nil"/>
            </w:tcBorders>
            <w:shd w:val="clear" w:color="000000" w:fill="C00000"/>
            <w:noWrap/>
            <w:vAlign w:val="bottom"/>
            <w:hideMark/>
          </w:tcPr>
          <w:p w14:paraId="421D6F52"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72" w:type="dxa"/>
            <w:gridSpan w:val="2"/>
            <w:tcBorders>
              <w:top w:val="nil"/>
              <w:left w:val="nil"/>
              <w:bottom w:val="single" w:sz="4" w:space="0" w:color="auto"/>
              <w:right w:val="nil"/>
            </w:tcBorders>
            <w:shd w:val="clear" w:color="000000" w:fill="C00000"/>
            <w:noWrap/>
            <w:vAlign w:val="bottom"/>
            <w:hideMark/>
          </w:tcPr>
          <w:p w14:paraId="7E44776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Total Reserves</w:t>
            </w:r>
          </w:p>
        </w:tc>
        <w:tc>
          <w:tcPr>
            <w:tcW w:w="1536" w:type="dxa"/>
            <w:tcBorders>
              <w:top w:val="nil"/>
              <w:left w:val="nil"/>
              <w:bottom w:val="single" w:sz="4" w:space="0" w:color="auto"/>
              <w:right w:val="nil"/>
            </w:tcBorders>
            <w:shd w:val="clear" w:color="000000" w:fill="C00000"/>
            <w:noWrap/>
            <w:vAlign w:val="bottom"/>
            <w:hideMark/>
          </w:tcPr>
          <w:p w14:paraId="23A48EDE"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single" w:sz="4" w:space="0" w:color="auto"/>
              <w:right w:val="nil"/>
            </w:tcBorders>
            <w:shd w:val="clear" w:color="000000" w:fill="C00000"/>
            <w:noWrap/>
            <w:vAlign w:val="bottom"/>
            <w:hideMark/>
          </w:tcPr>
          <w:p w14:paraId="7B09B130" w14:textId="77777777" w:rsidR="00DE1FD3" w:rsidRPr="009B164D" w:rsidRDefault="00DE1FD3" w:rsidP="00DE1FD3">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836" w:type="dxa"/>
            <w:tcBorders>
              <w:top w:val="nil"/>
              <w:left w:val="nil"/>
              <w:bottom w:val="single" w:sz="4" w:space="0" w:color="auto"/>
              <w:right w:val="nil"/>
            </w:tcBorders>
            <w:shd w:val="clear" w:color="000000" w:fill="C00000"/>
            <w:noWrap/>
            <w:vAlign w:val="bottom"/>
            <w:hideMark/>
          </w:tcPr>
          <w:p w14:paraId="3DDF76C6" w14:textId="77777777" w:rsidR="00DE1FD3" w:rsidRPr="009B164D" w:rsidRDefault="00DE1FD3" w:rsidP="00DE1FD3">
            <w:pPr>
              <w:spacing w:after="0" w:line="240" w:lineRule="auto"/>
              <w:jc w:val="right"/>
              <w:rPr>
                <w:rFonts w:ascii="Calibri" w:eastAsia="Times New Roman" w:hAnsi="Calibri" w:cs="Calibri"/>
                <w:b/>
                <w:bCs/>
                <w:color w:val="FFFFFF"/>
                <w:sz w:val="16"/>
                <w:szCs w:val="16"/>
                <w:lang w:eastAsia="en-GB"/>
              </w:rPr>
            </w:pPr>
            <w:r w:rsidRPr="009B164D">
              <w:rPr>
                <w:rFonts w:ascii="Calibri" w:eastAsia="Times New Roman" w:hAnsi="Calibri" w:cs="Calibri"/>
                <w:b/>
                <w:bCs/>
                <w:color w:val="FFFFFF"/>
                <w:sz w:val="16"/>
                <w:szCs w:val="16"/>
                <w:lang w:eastAsia="en-GB"/>
              </w:rPr>
              <w:t> </w:t>
            </w:r>
          </w:p>
        </w:tc>
        <w:tc>
          <w:tcPr>
            <w:tcW w:w="1556" w:type="dxa"/>
            <w:tcBorders>
              <w:top w:val="nil"/>
              <w:left w:val="nil"/>
              <w:bottom w:val="single" w:sz="4" w:space="0" w:color="auto"/>
              <w:right w:val="single" w:sz="4" w:space="0" w:color="auto"/>
            </w:tcBorders>
            <w:shd w:val="clear" w:color="000000" w:fill="C00000"/>
            <w:noWrap/>
            <w:vAlign w:val="bottom"/>
            <w:hideMark/>
          </w:tcPr>
          <w:p w14:paraId="40DC58FB" w14:textId="6EDECF95" w:rsidR="00DE1FD3" w:rsidRPr="009B164D" w:rsidRDefault="00DE1FD3" w:rsidP="00DE1FD3">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288,</w:t>
            </w:r>
            <w:r>
              <w:rPr>
                <w:rFonts w:ascii="Calibri" w:eastAsia="Times New Roman" w:hAnsi="Calibri" w:cs="Calibri"/>
                <w:b/>
                <w:bCs/>
                <w:color w:val="FFFFFF"/>
                <w:lang w:eastAsia="en-GB"/>
              </w:rPr>
              <w:t>47</w:t>
            </w:r>
            <w:r w:rsidR="004D04F0">
              <w:rPr>
                <w:rFonts w:ascii="Calibri" w:eastAsia="Times New Roman" w:hAnsi="Calibri" w:cs="Calibri"/>
                <w:b/>
                <w:bCs/>
                <w:color w:val="FFFFFF"/>
                <w:lang w:eastAsia="en-GB"/>
              </w:rPr>
              <w:t>9</w:t>
            </w:r>
          </w:p>
        </w:tc>
        <w:tc>
          <w:tcPr>
            <w:tcW w:w="271" w:type="dxa"/>
            <w:tcBorders>
              <w:top w:val="nil"/>
              <w:left w:val="nil"/>
              <w:bottom w:val="nil"/>
              <w:right w:val="nil"/>
            </w:tcBorders>
            <w:shd w:val="clear" w:color="000000" w:fill="FFFFFF"/>
            <w:noWrap/>
            <w:vAlign w:val="bottom"/>
            <w:hideMark/>
          </w:tcPr>
          <w:p w14:paraId="604E60DC"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9B164D" w14:paraId="70AD2CF4" w14:textId="77777777" w:rsidTr="00DE1FD3">
        <w:trPr>
          <w:trHeight w:val="120"/>
        </w:trPr>
        <w:tc>
          <w:tcPr>
            <w:tcW w:w="324" w:type="dxa"/>
            <w:tcBorders>
              <w:top w:val="nil"/>
              <w:left w:val="nil"/>
              <w:bottom w:val="nil"/>
              <w:right w:val="nil"/>
            </w:tcBorders>
            <w:shd w:val="clear" w:color="000000" w:fill="FFFFFF"/>
            <w:noWrap/>
            <w:vAlign w:val="bottom"/>
            <w:hideMark/>
          </w:tcPr>
          <w:p w14:paraId="64DEF93F"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1456" w:type="dxa"/>
            <w:tcBorders>
              <w:top w:val="nil"/>
              <w:left w:val="nil"/>
              <w:bottom w:val="nil"/>
              <w:right w:val="nil"/>
            </w:tcBorders>
            <w:shd w:val="clear" w:color="000000" w:fill="FFFFFF"/>
            <w:noWrap/>
            <w:vAlign w:val="bottom"/>
            <w:hideMark/>
          </w:tcPr>
          <w:p w14:paraId="590CE065"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324" w:type="dxa"/>
            <w:tcBorders>
              <w:top w:val="nil"/>
              <w:left w:val="nil"/>
              <w:bottom w:val="nil"/>
              <w:right w:val="nil"/>
            </w:tcBorders>
            <w:shd w:val="clear" w:color="000000" w:fill="FFFFFF"/>
            <w:noWrap/>
            <w:vAlign w:val="bottom"/>
            <w:hideMark/>
          </w:tcPr>
          <w:p w14:paraId="5E095BDB" w14:textId="77777777" w:rsidR="00DE1FD3" w:rsidRPr="009B164D" w:rsidRDefault="00DE1FD3" w:rsidP="00DE1FD3">
            <w:pPr>
              <w:spacing w:after="0" w:line="240" w:lineRule="auto"/>
              <w:rPr>
                <w:rFonts w:ascii="MV Boli" w:eastAsia="Times New Roman" w:hAnsi="MV Boli" w:cs="MV Boli"/>
                <w:color w:val="000000"/>
                <w:lang w:eastAsia="en-GB"/>
              </w:rPr>
            </w:pPr>
            <w:r w:rsidRPr="009B164D">
              <w:rPr>
                <w:rFonts w:ascii="MV Boli" w:eastAsia="Times New Roman" w:hAnsi="MV Boli" w:cs="MV Boli"/>
                <w:color w:val="000000"/>
                <w:lang w:eastAsia="en-GB"/>
              </w:rPr>
              <w:t> </w:t>
            </w:r>
          </w:p>
        </w:tc>
        <w:tc>
          <w:tcPr>
            <w:tcW w:w="836" w:type="dxa"/>
            <w:tcBorders>
              <w:top w:val="nil"/>
              <w:left w:val="nil"/>
              <w:bottom w:val="nil"/>
              <w:right w:val="nil"/>
            </w:tcBorders>
            <w:shd w:val="clear" w:color="000000" w:fill="FFFFFF"/>
            <w:noWrap/>
            <w:vAlign w:val="bottom"/>
            <w:hideMark/>
          </w:tcPr>
          <w:p w14:paraId="2815C03E"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657CE2A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36" w:type="dxa"/>
            <w:tcBorders>
              <w:top w:val="nil"/>
              <w:left w:val="nil"/>
              <w:bottom w:val="nil"/>
              <w:right w:val="nil"/>
            </w:tcBorders>
            <w:shd w:val="clear" w:color="000000" w:fill="FFFFFF"/>
            <w:noWrap/>
            <w:vAlign w:val="bottom"/>
            <w:hideMark/>
          </w:tcPr>
          <w:p w14:paraId="030F786F"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038BFF6A"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836" w:type="dxa"/>
            <w:tcBorders>
              <w:top w:val="nil"/>
              <w:left w:val="nil"/>
              <w:bottom w:val="nil"/>
              <w:right w:val="nil"/>
            </w:tcBorders>
            <w:shd w:val="clear" w:color="000000" w:fill="FFFFFF"/>
            <w:noWrap/>
            <w:vAlign w:val="bottom"/>
            <w:hideMark/>
          </w:tcPr>
          <w:p w14:paraId="2CD224C2" w14:textId="77777777" w:rsidR="00DE1FD3" w:rsidRPr="009B164D" w:rsidRDefault="00DE1FD3" w:rsidP="00DE1FD3">
            <w:pPr>
              <w:spacing w:after="0" w:line="240" w:lineRule="auto"/>
              <w:jc w:val="center"/>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556" w:type="dxa"/>
            <w:tcBorders>
              <w:top w:val="nil"/>
              <w:left w:val="nil"/>
              <w:bottom w:val="nil"/>
              <w:right w:val="nil"/>
            </w:tcBorders>
            <w:shd w:val="clear" w:color="000000" w:fill="FFFFFF"/>
            <w:noWrap/>
            <w:vAlign w:val="bottom"/>
            <w:hideMark/>
          </w:tcPr>
          <w:p w14:paraId="14D8E722"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6027C493" w14:textId="77777777" w:rsidR="00DE1FD3" w:rsidRPr="009B164D" w:rsidRDefault="00DE1FD3" w:rsidP="00DE1FD3">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DE1FD3" w:rsidRPr="00635F47" w14:paraId="7FF64393" w14:textId="77777777" w:rsidTr="00DE1FD3">
        <w:trPr>
          <w:trHeight w:val="315"/>
        </w:trPr>
        <w:tc>
          <w:tcPr>
            <w:tcW w:w="324" w:type="dxa"/>
            <w:tcBorders>
              <w:top w:val="nil"/>
              <w:left w:val="nil"/>
              <w:bottom w:val="nil"/>
              <w:right w:val="nil"/>
            </w:tcBorders>
            <w:shd w:val="clear" w:color="000000" w:fill="FFFFFF"/>
            <w:noWrap/>
            <w:vAlign w:val="bottom"/>
            <w:hideMark/>
          </w:tcPr>
          <w:p w14:paraId="3EA2843A"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3452" w:type="dxa"/>
            <w:gridSpan w:val="4"/>
            <w:tcBorders>
              <w:top w:val="nil"/>
              <w:left w:val="nil"/>
              <w:bottom w:val="nil"/>
              <w:right w:val="nil"/>
            </w:tcBorders>
            <w:shd w:val="clear" w:color="000000" w:fill="FFFFFF"/>
            <w:noWrap/>
            <w:vAlign w:val="bottom"/>
            <w:hideMark/>
          </w:tcPr>
          <w:p w14:paraId="7BB77B0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Balance Sheet Approved for Issue</w:t>
            </w:r>
          </w:p>
        </w:tc>
        <w:tc>
          <w:tcPr>
            <w:tcW w:w="1536" w:type="dxa"/>
            <w:tcBorders>
              <w:top w:val="nil"/>
              <w:left w:val="nil"/>
              <w:bottom w:val="nil"/>
              <w:right w:val="nil"/>
            </w:tcBorders>
            <w:shd w:val="clear" w:color="000000" w:fill="FFFFFF"/>
            <w:noWrap/>
            <w:vAlign w:val="bottom"/>
            <w:hideMark/>
          </w:tcPr>
          <w:p w14:paraId="48F7090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822B4A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76793358"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22B3BE8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64A0980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D872E9B" w14:textId="77777777" w:rsidTr="00DE1FD3">
        <w:trPr>
          <w:trHeight w:val="315"/>
        </w:trPr>
        <w:tc>
          <w:tcPr>
            <w:tcW w:w="324" w:type="dxa"/>
            <w:tcBorders>
              <w:top w:val="nil"/>
              <w:left w:val="nil"/>
              <w:bottom w:val="nil"/>
              <w:right w:val="nil"/>
            </w:tcBorders>
            <w:shd w:val="clear" w:color="000000" w:fill="FFFFFF"/>
            <w:noWrap/>
            <w:vAlign w:val="bottom"/>
            <w:hideMark/>
          </w:tcPr>
          <w:p w14:paraId="258B4D3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6C1E500E"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61F22CC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ADE7A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49BCA9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67B7675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204F4DD"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3327DDB"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1312FD8D"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5A95BD2C"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661EF702" w14:textId="77777777" w:rsidTr="00DE1FD3">
        <w:trPr>
          <w:trHeight w:val="315"/>
        </w:trPr>
        <w:tc>
          <w:tcPr>
            <w:tcW w:w="324" w:type="dxa"/>
            <w:tcBorders>
              <w:top w:val="nil"/>
              <w:left w:val="nil"/>
              <w:bottom w:val="nil"/>
              <w:right w:val="nil"/>
            </w:tcBorders>
            <w:shd w:val="clear" w:color="000000" w:fill="FFFFFF"/>
            <w:noWrap/>
            <w:vAlign w:val="bottom"/>
            <w:hideMark/>
          </w:tcPr>
          <w:p w14:paraId="0613C03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3EC096AD" w14:textId="79C5EC0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r w:rsidR="00B74525" w:rsidRPr="00770360">
              <w:rPr>
                <w:noProof/>
              </w:rPr>
              <w:drawing>
                <wp:inline distT="0" distB="0" distL="0" distR="0" wp14:anchorId="38FCCB72" wp14:editId="38478E02">
                  <wp:extent cx="1136650" cy="67520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6250" cy="692787"/>
                          </a:xfrm>
                          <a:prstGeom prst="rect">
                            <a:avLst/>
                          </a:prstGeom>
                          <a:noFill/>
                          <a:ln>
                            <a:noFill/>
                          </a:ln>
                        </pic:spPr>
                      </pic:pic>
                    </a:graphicData>
                  </a:graphic>
                </wp:inline>
              </w:drawing>
            </w:r>
          </w:p>
        </w:tc>
        <w:tc>
          <w:tcPr>
            <w:tcW w:w="324" w:type="dxa"/>
            <w:tcBorders>
              <w:top w:val="nil"/>
              <w:left w:val="nil"/>
              <w:bottom w:val="nil"/>
              <w:right w:val="nil"/>
            </w:tcBorders>
            <w:shd w:val="clear" w:color="000000" w:fill="FFFFFF"/>
            <w:noWrap/>
            <w:vAlign w:val="bottom"/>
            <w:hideMark/>
          </w:tcPr>
          <w:p w14:paraId="7D614F4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92A336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301BDB9"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74D81F7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3D3B4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2190CF5"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3612E2E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D969D58"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18055F91" w14:textId="77777777" w:rsidTr="00DE1FD3">
        <w:trPr>
          <w:trHeight w:val="315"/>
        </w:trPr>
        <w:tc>
          <w:tcPr>
            <w:tcW w:w="324" w:type="dxa"/>
            <w:tcBorders>
              <w:top w:val="nil"/>
              <w:left w:val="nil"/>
              <w:bottom w:val="nil"/>
              <w:right w:val="nil"/>
            </w:tcBorders>
            <w:shd w:val="clear" w:color="000000" w:fill="FFFFFF"/>
            <w:noWrap/>
            <w:vAlign w:val="bottom"/>
            <w:hideMark/>
          </w:tcPr>
          <w:p w14:paraId="4CF6F0DA"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456" w:type="dxa"/>
            <w:tcBorders>
              <w:top w:val="nil"/>
              <w:left w:val="nil"/>
              <w:bottom w:val="nil"/>
              <w:right w:val="nil"/>
            </w:tcBorders>
            <w:shd w:val="clear" w:color="000000" w:fill="FFFFFF"/>
            <w:noWrap/>
            <w:vAlign w:val="bottom"/>
            <w:hideMark/>
          </w:tcPr>
          <w:p w14:paraId="3882AEF7" w14:textId="5DDE1F24" w:rsidR="00DE1FD3" w:rsidRPr="00635F47" w:rsidRDefault="00DE1FD3" w:rsidP="00DE1FD3">
            <w:pPr>
              <w:spacing w:after="0" w:line="240" w:lineRule="auto"/>
              <w:jc w:val="right"/>
              <w:rPr>
                <w:rFonts w:eastAsia="Times New Roman" w:cstheme="minorHAnsi"/>
                <w:b/>
                <w:bCs/>
                <w:color w:val="000000"/>
                <w:lang w:eastAsia="en-GB"/>
              </w:rPr>
            </w:pPr>
          </w:p>
        </w:tc>
        <w:tc>
          <w:tcPr>
            <w:tcW w:w="324" w:type="dxa"/>
            <w:tcBorders>
              <w:top w:val="nil"/>
              <w:left w:val="nil"/>
              <w:bottom w:val="nil"/>
              <w:right w:val="nil"/>
            </w:tcBorders>
            <w:shd w:val="clear" w:color="000000" w:fill="FFFFFF"/>
            <w:noWrap/>
            <w:vAlign w:val="bottom"/>
            <w:hideMark/>
          </w:tcPr>
          <w:p w14:paraId="087F166C"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E8BD4CD"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56F6C5B"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E9C9528"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812FEEB"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2BCA399D" w14:textId="77777777" w:rsidR="00DE1FD3" w:rsidRPr="00635F47" w:rsidRDefault="00DE1FD3" w:rsidP="00DE1FD3">
            <w:pPr>
              <w:spacing w:after="0" w:line="240" w:lineRule="auto"/>
              <w:jc w:val="right"/>
              <w:rPr>
                <w:rFonts w:eastAsia="Times New Roman" w:cstheme="minorHAnsi"/>
                <w:b/>
                <w:bCs/>
                <w:color w:val="000000"/>
                <w:lang w:eastAsia="en-GB"/>
              </w:rPr>
            </w:pPr>
            <w:r w:rsidRPr="00635F47">
              <w:rPr>
                <w:rFonts w:eastAsia="Times New Roman" w:cstheme="minorHAnsi"/>
                <w:b/>
                <w:bCs/>
                <w:color w:val="000000"/>
                <w:lang w:eastAsia="en-GB"/>
              </w:rPr>
              <w:t> </w:t>
            </w:r>
          </w:p>
        </w:tc>
        <w:tc>
          <w:tcPr>
            <w:tcW w:w="1556" w:type="dxa"/>
            <w:tcBorders>
              <w:top w:val="nil"/>
              <w:left w:val="nil"/>
              <w:bottom w:val="nil"/>
              <w:right w:val="nil"/>
            </w:tcBorders>
            <w:shd w:val="clear" w:color="000000" w:fill="FFFFFF"/>
            <w:noWrap/>
            <w:vAlign w:val="bottom"/>
            <w:hideMark/>
          </w:tcPr>
          <w:p w14:paraId="0811176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12BA8177"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6509B3D" w14:textId="77777777" w:rsidTr="00DE1FD3">
        <w:trPr>
          <w:trHeight w:val="315"/>
        </w:trPr>
        <w:tc>
          <w:tcPr>
            <w:tcW w:w="324" w:type="dxa"/>
            <w:tcBorders>
              <w:top w:val="nil"/>
              <w:left w:val="nil"/>
              <w:bottom w:val="nil"/>
              <w:right w:val="nil"/>
            </w:tcBorders>
            <w:shd w:val="clear" w:color="000000" w:fill="FFFFFF"/>
            <w:noWrap/>
            <w:vAlign w:val="bottom"/>
            <w:hideMark/>
          </w:tcPr>
          <w:p w14:paraId="212FED08"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6660" w:type="dxa"/>
            <w:gridSpan w:val="7"/>
            <w:tcBorders>
              <w:top w:val="nil"/>
              <w:left w:val="nil"/>
              <w:bottom w:val="nil"/>
              <w:right w:val="nil"/>
            </w:tcBorders>
            <w:shd w:val="clear" w:color="000000" w:fill="FFFFFF"/>
            <w:noWrap/>
            <w:vAlign w:val="bottom"/>
            <w:hideMark/>
          </w:tcPr>
          <w:p w14:paraId="46A51DF4"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Signed: Stephen Mold - Police, Fire and Crime Commissioner</w:t>
            </w:r>
          </w:p>
        </w:tc>
        <w:tc>
          <w:tcPr>
            <w:tcW w:w="1556" w:type="dxa"/>
            <w:tcBorders>
              <w:top w:val="nil"/>
              <w:left w:val="nil"/>
              <w:bottom w:val="nil"/>
              <w:right w:val="nil"/>
            </w:tcBorders>
            <w:shd w:val="clear" w:color="000000" w:fill="FFFFFF"/>
            <w:noWrap/>
            <w:vAlign w:val="bottom"/>
            <w:hideMark/>
          </w:tcPr>
          <w:p w14:paraId="477AEF8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52432E3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0E1DF24E" w14:textId="77777777" w:rsidTr="00DE1FD3">
        <w:trPr>
          <w:trHeight w:val="315"/>
        </w:trPr>
        <w:tc>
          <w:tcPr>
            <w:tcW w:w="324" w:type="dxa"/>
            <w:tcBorders>
              <w:top w:val="nil"/>
              <w:left w:val="nil"/>
              <w:bottom w:val="nil"/>
              <w:right w:val="nil"/>
            </w:tcBorders>
            <w:shd w:val="clear" w:color="000000" w:fill="FFFFFF"/>
            <w:noWrap/>
            <w:vAlign w:val="bottom"/>
            <w:hideMark/>
          </w:tcPr>
          <w:p w14:paraId="0D607A4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493EFCA2" w14:textId="3A428160"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Date:</w:t>
            </w:r>
            <w:r w:rsidR="00B74525">
              <w:rPr>
                <w:rFonts w:eastAsia="Times New Roman" w:cstheme="minorHAnsi"/>
                <w:b/>
                <w:bCs/>
                <w:color w:val="000000"/>
                <w:lang w:eastAsia="en-GB"/>
              </w:rPr>
              <w:t xml:space="preserve"> 1</w:t>
            </w:r>
            <w:r w:rsidR="00B74525" w:rsidRPr="00B74525">
              <w:rPr>
                <w:rFonts w:eastAsia="Times New Roman" w:cstheme="minorHAnsi"/>
                <w:b/>
                <w:bCs/>
                <w:color w:val="000000"/>
                <w:vertAlign w:val="superscript"/>
                <w:lang w:eastAsia="en-GB"/>
              </w:rPr>
              <w:t>st</w:t>
            </w:r>
            <w:r w:rsidR="00B74525">
              <w:rPr>
                <w:rFonts w:eastAsia="Times New Roman" w:cstheme="minorHAnsi"/>
                <w:b/>
                <w:bCs/>
                <w:color w:val="000000"/>
                <w:lang w:eastAsia="en-GB"/>
              </w:rPr>
              <w:t xml:space="preserve"> June 2023</w:t>
            </w:r>
          </w:p>
        </w:tc>
        <w:tc>
          <w:tcPr>
            <w:tcW w:w="324" w:type="dxa"/>
            <w:tcBorders>
              <w:top w:val="nil"/>
              <w:left w:val="nil"/>
              <w:bottom w:val="nil"/>
              <w:right w:val="nil"/>
            </w:tcBorders>
            <w:shd w:val="clear" w:color="000000" w:fill="FFFFFF"/>
            <w:noWrap/>
            <w:vAlign w:val="bottom"/>
            <w:hideMark/>
          </w:tcPr>
          <w:p w14:paraId="106EB7B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028A60F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1B69EC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25F5F0DE"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6726447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21CB46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624208AB"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1A5370E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06D187A" w14:textId="77777777" w:rsidTr="00DE1FD3">
        <w:trPr>
          <w:trHeight w:val="315"/>
        </w:trPr>
        <w:tc>
          <w:tcPr>
            <w:tcW w:w="324" w:type="dxa"/>
            <w:tcBorders>
              <w:top w:val="nil"/>
              <w:left w:val="nil"/>
              <w:bottom w:val="nil"/>
              <w:right w:val="nil"/>
            </w:tcBorders>
            <w:shd w:val="clear" w:color="000000" w:fill="FFFFFF"/>
            <w:noWrap/>
            <w:vAlign w:val="bottom"/>
            <w:hideMark/>
          </w:tcPr>
          <w:p w14:paraId="2DE5654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546AADC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1B98ACF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B30502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77ED80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78318C4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FDF91E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EED2C8C"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4BD2EAB3"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582A7D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550CFCEC" w14:textId="77777777" w:rsidTr="00DE1FD3">
        <w:trPr>
          <w:trHeight w:val="315"/>
        </w:trPr>
        <w:tc>
          <w:tcPr>
            <w:tcW w:w="324" w:type="dxa"/>
            <w:tcBorders>
              <w:top w:val="nil"/>
              <w:left w:val="nil"/>
              <w:bottom w:val="nil"/>
              <w:right w:val="nil"/>
            </w:tcBorders>
            <w:shd w:val="clear" w:color="000000" w:fill="FFFFFF"/>
            <w:noWrap/>
            <w:vAlign w:val="bottom"/>
            <w:hideMark/>
          </w:tcPr>
          <w:p w14:paraId="6450DD74"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D4CA2E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50114F4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31A4F53"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6361ED6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EDD88D8"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3D7AD0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4167263"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3C2F0F5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46B579C"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0E60262D" w14:textId="77777777" w:rsidTr="00DE1FD3">
        <w:trPr>
          <w:trHeight w:val="315"/>
        </w:trPr>
        <w:tc>
          <w:tcPr>
            <w:tcW w:w="324" w:type="dxa"/>
            <w:tcBorders>
              <w:top w:val="nil"/>
              <w:left w:val="nil"/>
              <w:bottom w:val="nil"/>
              <w:right w:val="nil"/>
            </w:tcBorders>
            <w:shd w:val="clear" w:color="000000" w:fill="FFFFFF"/>
            <w:noWrap/>
            <w:vAlign w:val="bottom"/>
            <w:hideMark/>
          </w:tcPr>
          <w:p w14:paraId="6E4FD04F"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6F75A18" w14:textId="6418E82D"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r w:rsidR="00B74525">
              <w:rPr>
                <w:noProof/>
              </w:rPr>
              <w:drawing>
                <wp:inline distT="0" distB="0" distL="0" distR="0" wp14:anchorId="2A8FE5CF" wp14:editId="7D2957F9">
                  <wp:extent cx="1406525" cy="44608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2801" cy="448072"/>
                          </a:xfrm>
                          <a:prstGeom prst="rect">
                            <a:avLst/>
                          </a:prstGeom>
                        </pic:spPr>
                      </pic:pic>
                    </a:graphicData>
                  </a:graphic>
                </wp:inline>
              </w:drawing>
            </w:r>
          </w:p>
        </w:tc>
        <w:tc>
          <w:tcPr>
            <w:tcW w:w="324" w:type="dxa"/>
            <w:tcBorders>
              <w:top w:val="nil"/>
              <w:left w:val="nil"/>
              <w:bottom w:val="nil"/>
              <w:right w:val="nil"/>
            </w:tcBorders>
            <w:shd w:val="clear" w:color="000000" w:fill="FFFFFF"/>
            <w:noWrap/>
            <w:vAlign w:val="bottom"/>
            <w:hideMark/>
          </w:tcPr>
          <w:p w14:paraId="5A47F3B4"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55D27F2"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1D22371"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3C9C2193" w14:textId="77777777" w:rsidR="00DE1FD3"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p w14:paraId="1D7409B3" w14:textId="77777777" w:rsidR="00201A18" w:rsidRDefault="00201A18" w:rsidP="00DE1FD3">
            <w:pPr>
              <w:spacing w:after="0" w:line="240" w:lineRule="auto"/>
              <w:rPr>
                <w:rFonts w:eastAsia="Times New Roman" w:cstheme="minorHAnsi"/>
                <w:b/>
                <w:bCs/>
                <w:color w:val="000000"/>
                <w:lang w:eastAsia="en-GB"/>
              </w:rPr>
            </w:pPr>
          </w:p>
          <w:p w14:paraId="5961D70D" w14:textId="77777777" w:rsidR="00201A18" w:rsidRDefault="00201A18" w:rsidP="00DE1FD3">
            <w:pPr>
              <w:spacing w:after="0" w:line="240" w:lineRule="auto"/>
              <w:rPr>
                <w:rFonts w:eastAsia="Times New Roman" w:cstheme="minorHAnsi"/>
                <w:b/>
                <w:bCs/>
                <w:color w:val="000000"/>
                <w:lang w:eastAsia="en-GB"/>
              </w:rPr>
            </w:pPr>
          </w:p>
          <w:p w14:paraId="65A66630" w14:textId="07A4D3E6" w:rsidR="00201A18" w:rsidRPr="00635F47" w:rsidRDefault="00201A18" w:rsidP="00DE1FD3">
            <w:pPr>
              <w:spacing w:after="0" w:line="240" w:lineRule="auto"/>
              <w:rPr>
                <w:rFonts w:eastAsia="Times New Roman" w:cstheme="minorHAnsi"/>
                <w:b/>
                <w:bCs/>
                <w:color w:val="000000"/>
                <w:lang w:eastAsia="en-GB"/>
              </w:rPr>
            </w:pPr>
          </w:p>
        </w:tc>
        <w:tc>
          <w:tcPr>
            <w:tcW w:w="836" w:type="dxa"/>
            <w:tcBorders>
              <w:top w:val="nil"/>
              <w:left w:val="nil"/>
              <w:bottom w:val="nil"/>
              <w:right w:val="nil"/>
            </w:tcBorders>
            <w:shd w:val="clear" w:color="000000" w:fill="FFFFFF"/>
            <w:noWrap/>
            <w:vAlign w:val="bottom"/>
            <w:hideMark/>
          </w:tcPr>
          <w:p w14:paraId="3BAB2BDC"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0BE6A65"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14046582"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7B6E447"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BB5477A" w14:textId="77777777" w:rsidTr="00DE1FD3">
        <w:trPr>
          <w:trHeight w:val="315"/>
        </w:trPr>
        <w:tc>
          <w:tcPr>
            <w:tcW w:w="324" w:type="dxa"/>
            <w:tcBorders>
              <w:top w:val="nil"/>
              <w:left w:val="nil"/>
              <w:bottom w:val="nil"/>
              <w:right w:val="nil"/>
            </w:tcBorders>
            <w:shd w:val="clear" w:color="000000" w:fill="FFFFFF"/>
            <w:noWrap/>
            <w:vAlign w:val="bottom"/>
            <w:hideMark/>
          </w:tcPr>
          <w:p w14:paraId="19A5508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5824" w:type="dxa"/>
            <w:gridSpan w:val="6"/>
            <w:tcBorders>
              <w:top w:val="nil"/>
              <w:left w:val="nil"/>
              <w:bottom w:val="nil"/>
              <w:right w:val="nil"/>
            </w:tcBorders>
            <w:shd w:val="clear" w:color="000000" w:fill="FFFFFF"/>
            <w:noWrap/>
            <w:vAlign w:val="bottom"/>
            <w:hideMark/>
          </w:tcPr>
          <w:p w14:paraId="760F567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Signed: Helen King - Chief Finance Officer &amp; S151 Officer</w:t>
            </w:r>
          </w:p>
        </w:tc>
        <w:tc>
          <w:tcPr>
            <w:tcW w:w="836" w:type="dxa"/>
            <w:tcBorders>
              <w:top w:val="nil"/>
              <w:left w:val="nil"/>
              <w:bottom w:val="nil"/>
              <w:right w:val="nil"/>
            </w:tcBorders>
            <w:shd w:val="clear" w:color="000000" w:fill="FFFFFF"/>
            <w:noWrap/>
            <w:vAlign w:val="bottom"/>
            <w:hideMark/>
          </w:tcPr>
          <w:p w14:paraId="4575AE2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4EA72FF0"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7EE6EA3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74BF674D" w14:textId="77777777" w:rsidTr="00DE1FD3">
        <w:trPr>
          <w:trHeight w:val="315"/>
        </w:trPr>
        <w:tc>
          <w:tcPr>
            <w:tcW w:w="324" w:type="dxa"/>
            <w:tcBorders>
              <w:top w:val="nil"/>
              <w:left w:val="nil"/>
              <w:bottom w:val="nil"/>
              <w:right w:val="nil"/>
            </w:tcBorders>
            <w:shd w:val="clear" w:color="000000" w:fill="FFFFFF"/>
            <w:noWrap/>
            <w:vAlign w:val="bottom"/>
            <w:hideMark/>
          </w:tcPr>
          <w:p w14:paraId="7484165E"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0A5B0884" w14:textId="68C617D4"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Date:</w:t>
            </w:r>
            <w:r w:rsidR="00B74525">
              <w:rPr>
                <w:rFonts w:eastAsia="Times New Roman" w:cstheme="minorHAnsi"/>
                <w:b/>
                <w:bCs/>
                <w:color w:val="000000"/>
                <w:lang w:eastAsia="en-GB"/>
              </w:rPr>
              <w:t xml:space="preserve"> 1</w:t>
            </w:r>
            <w:r w:rsidR="00B74525" w:rsidRPr="00B74525">
              <w:rPr>
                <w:rFonts w:eastAsia="Times New Roman" w:cstheme="minorHAnsi"/>
                <w:b/>
                <w:bCs/>
                <w:color w:val="000000"/>
                <w:vertAlign w:val="superscript"/>
                <w:lang w:eastAsia="en-GB"/>
              </w:rPr>
              <w:t>st</w:t>
            </w:r>
            <w:r w:rsidR="00B74525">
              <w:rPr>
                <w:rFonts w:eastAsia="Times New Roman" w:cstheme="minorHAnsi"/>
                <w:b/>
                <w:bCs/>
                <w:color w:val="000000"/>
                <w:lang w:eastAsia="en-GB"/>
              </w:rPr>
              <w:t xml:space="preserve"> June 2023</w:t>
            </w:r>
          </w:p>
        </w:tc>
        <w:tc>
          <w:tcPr>
            <w:tcW w:w="324" w:type="dxa"/>
            <w:tcBorders>
              <w:top w:val="nil"/>
              <w:left w:val="nil"/>
              <w:bottom w:val="nil"/>
              <w:right w:val="nil"/>
            </w:tcBorders>
            <w:shd w:val="clear" w:color="000000" w:fill="FFFFFF"/>
            <w:noWrap/>
            <w:vAlign w:val="bottom"/>
            <w:hideMark/>
          </w:tcPr>
          <w:p w14:paraId="616266E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7117EB0"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1535DB37"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4E278613"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5D4F707A"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B9ACF89"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0D18A51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58259E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r w:rsidR="00DE1FD3" w:rsidRPr="00635F47" w14:paraId="35F7FF9B" w14:textId="77777777" w:rsidTr="00DE1FD3">
        <w:trPr>
          <w:trHeight w:val="315"/>
        </w:trPr>
        <w:tc>
          <w:tcPr>
            <w:tcW w:w="324" w:type="dxa"/>
            <w:tcBorders>
              <w:top w:val="nil"/>
              <w:left w:val="nil"/>
              <w:bottom w:val="nil"/>
              <w:right w:val="nil"/>
            </w:tcBorders>
            <w:shd w:val="clear" w:color="000000" w:fill="FFFFFF"/>
            <w:noWrap/>
            <w:vAlign w:val="bottom"/>
            <w:hideMark/>
          </w:tcPr>
          <w:p w14:paraId="6DEAEF41"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1456" w:type="dxa"/>
            <w:tcBorders>
              <w:top w:val="nil"/>
              <w:left w:val="nil"/>
              <w:bottom w:val="nil"/>
              <w:right w:val="nil"/>
            </w:tcBorders>
            <w:shd w:val="clear" w:color="000000" w:fill="FFFFFF"/>
            <w:noWrap/>
            <w:vAlign w:val="bottom"/>
            <w:hideMark/>
          </w:tcPr>
          <w:p w14:paraId="68E97B3C"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324" w:type="dxa"/>
            <w:tcBorders>
              <w:top w:val="nil"/>
              <w:left w:val="nil"/>
              <w:bottom w:val="nil"/>
              <w:right w:val="nil"/>
            </w:tcBorders>
            <w:shd w:val="clear" w:color="000000" w:fill="FFFFFF"/>
            <w:noWrap/>
            <w:vAlign w:val="bottom"/>
            <w:hideMark/>
          </w:tcPr>
          <w:p w14:paraId="602998EB"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6DC4D55"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3C8F872D"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1536" w:type="dxa"/>
            <w:tcBorders>
              <w:top w:val="nil"/>
              <w:left w:val="nil"/>
              <w:bottom w:val="nil"/>
              <w:right w:val="nil"/>
            </w:tcBorders>
            <w:shd w:val="clear" w:color="000000" w:fill="FFFFFF"/>
            <w:noWrap/>
            <w:vAlign w:val="bottom"/>
            <w:hideMark/>
          </w:tcPr>
          <w:p w14:paraId="6941A642" w14:textId="1983E5EA" w:rsidR="00DE1FD3" w:rsidRPr="00635F47" w:rsidRDefault="00DE1FD3" w:rsidP="00DE1FD3">
            <w:pPr>
              <w:spacing w:after="0" w:line="240" w:lineRule="auto"/>
              <w:rPr>
                <w:rFonts w:eastAsia="Times New Roman" w:cstheme="minorHAnsi"/>
                <w:b/>
                <w:bCs/>
                <w:color w:val="000000"/>
                <w:lang w:eastAsia="en-GB"/>
              </w:rPr>
            </w:pPr>
          </w:p>
        </w:tc>
        <w:tc>
          <w:tcPr>
            <w:tcW w:w="836" w:type="dxa"/>
            <w:tcBorders>
              <w:top w:val="nil"/>
              <w:left w:val="nil"/>
              <w:bottom w:val="nil"/>
              <w:right w:val="nil"/>
            </w:tcBorders>
            <w:shd w:val="clear" w:color="000000" w:fill="FFFFFF"/>
            <w:noWrap/>
            <w:vAlign w:val="bottom"/>
            <w:hideMark/>
          </w:tcPr>
          <w:p w14:paraId="169414CF" w14:textId="77777777" w:rsidR="00DE1FD3" w:rsidRPr="00635F47" w:rsidRDefault="00DE1FD3" w:rsidP="00DE1FD3">
            <w:pPr>
              <w:spacing w:after="0" w:line="240" w:lineRule="auto"/>
              <w:rPr>
                <w:rFonts w:eastAsia="Times New Roman" w:cstheme="minorHAnsi"/>
                <w:b/>
                <w:bCs/>
                <w:color w:val="000000"/>
                <w:lang w:eastAsia="en-GB"/>
              </w:rPr>
            </w:pPr>
            <w:r w:rsidRPr="00635F47">
              <w:rPr>
                <w:rFonts w:eastAsia="Times New Roman" w:cstheme="minorHAnsi"/>
                <w:b/>
                <w:bCs/>
                <w:color w:val="000000"/>
                <w:lang w:eastAsia="en-GB"/>
              </w:rPr>
              <w:t> </w:t>
            </w:r>
          </w:p>
        </w:tc>
        <w:tc>
          <w:tcPr>
            <w:tcW w:w="836" w:type="dxa"/>
            <w:tcBorders>
              <w:top w:val="nil"/>
              <w:left w:val="nil"/>
              <w:bottom w:val="nil"/>
              <w:right w:val="nil"/>
            </w:tcBorders>
            <w:shd w:val="clear" w:color="000000" w:fill="FFFFFF"/>
            <w:noWrap/>
            <w:vAlign w:val="bottom"/>
            <w:hideMark/>
          </w:tcPr>
          <w:p w14:paraId="49EF1314" w14:textId="77777777" w:rsidR="00DE1FD3" w:rsidRPr="00635F47" w:rsidRDefault="00DE1FD3" w:rsidP="00DE1FD3">
            <w:pPr>
              <w:spacing w:after="0" w:line="240" w:lineRule="auto"/>
              <w:jc w:val="center"/>
              <w:rPr>
                <w:rFonts w:eastAsia="Times New Roman" w:cstheme="minorHAnsi"/>
                <w:color w:val="000000"/>
                <w:lang w:eastAsia="en-GB"/>
              </w:rPr>
            </w:pPr>
            <w:r w:rsidRPr="00635F47">
              <w:rPr>
                <w:rFonts w:eastAsia="Times New Roman" w:cstheme="minorHAnsi"/>
                <w:color w:val="000000"/>
                <w:lang w:eastAsia="en-GB"/>
              </w:rPr>
              <w:t> </w:t>
            </w:r>
          </w:p>
        </w:tc>
        <w:tc>
          <w:tcPr>
            <w:tcW w:w="1556" w:type="dxa"/>
            <w:tcBorders>
              <w:top w:val="nil"/>
              <w:left w:val="nil"/>
              <w:bottom w:val="nil"/>
              <w:right w:val="nil"/>
            </w:tcBorders>
            <w:shd w:val="clear" w:color="000000" w:fill="FFFFFF"/>
            <w:noWrap/>
            <w:vAlign w:val="bottom"/>
            <w:hideMark/>
          </w:tcPr>
          <w:p w14:paraId="73BBC3D9"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c>
          <w:tcPr>
            <w:tcW w:w="271" w:type="dxa"/>
            <w:tcBorders>
              <w:top w:val="nil"/>
              <w:left w:val="nil"/>
              <w:bottom w:val="nil"/>
              <w:right w:val="nil"/>
            </w:tcBorders>
            <w:shd w:val="clear" w:color="000000" w:fill="FFFFFF"/>
            <w:noWrap/>
            <w:vAlign w:val="bottom"/>
            <w:hideMark/>
          </w:tcPr>
          <w:p w14:paraId="05555705" w14:textId="77777777" w:rsidR="00DE1FD3" w:rsidRPr="00635F47" w:rsidRDefault="00DE1FD3" w:rsidP="00DE1FD3">
            <w:pPr>
              <w:spacing w:after="0" w:line="240" w:lineRule="auto"/>
              <w:rPr>
                <w:rFonts w:eastAsia="Times New Roman" w:cstheme="minorHAnsi"/>
                <w:color w:val="000000"/>
                <w:lang w:eastAsia="en-GB"/>
              </w:rPr>
            </w:pPr>
            <w:r w:rsidRPr="00635F47">
              <w:rPr>
                <w:rFonts w:eastAsia="Times New Roman" w:cstheme="minorHAnsi"/>
                <w:color w:val="000000"/>
                <w:lang w:eastAsia="en-GB"/>
              </w:rPr>
              <w:t> </w:t>
            </w:r>
          </w:p>
        </w:tc>
      </w:tr>
    </w:tbl>
    <w:p w14:paraId="597E71AC" w14:textId="3FDABFA5" w:rsidR="00BC203C" w:rsidRPr="00635F47" w:rsidRDefault="00BC203C" w:rsidP="0079406E">
      <w:pPr>
        <w:pStyle w:val="Default"/>
        <w:rPr>
          <w:rFonts w:asciiTheme="minorHAnsi" w:hAnsiTheme="minorHAnsi" w:cstheme="minorHAnsi"/>
          <w:noProof/>
          <w:sz w:val="22"/>
          <w:szCs w:val="22"/>
          <w:lang w:eastAsia="en-GB"/>
        </w:rPr>
      </w:pPr>
    </w:p>
    <w:p w14:paraId="62DBA754" w14:textId="77777777" w:rsidR="00BC203C" w:rsidRPr="00635F47" w:rsidRDefault="00BC203C" w:rsidP="0079406E">
      <w:pPr>
        <w:pStyle w:val="Default"/>
        <w:rPr>
          <w:rFonts w:asciiTheme="minorHAnsi" w:hAnsiTheme="minorHAnsi" w:cstheme="minorHAnsi"/>
          <w:noProof/>
          <w:sz w:val="22"/>
          <w:szCs w:val="22"/>
          <w:lang w:eastAsia="en-GB"/>
        </w:rPr>
      </w:pPr>
    </w:p>
    <w:p w14:paraId="07B2C211" w14:textId="77777777" w:rsidR="0098609F" w:rsidRPr="00635F47" w:rsidRDefault="0098609F" w:rsidP="0079406E">
      <w:pPr>
        <w:pStyle w:val="Default"/>
        <w:rPr>
          <w:rFonts w:asciiTheme="minorHAnsi" w:hAnsiTheme="minorHAnsi" w:cstheme="minorHAnsi"/>
          <w:color w:val="auto"/>
          <w:sz w:val="22"/>
          <w:szCs w:val="22"/>
        </w:rPr>
      </w:pPr>
    </w:p>
    <w:p w14:paraId="6FCBAA97" w14:textId="77777777" w:rsidR="0098609F" w:rsidRPr="00635F47" w:rsidRDefault="0098609F" w:rsidP="0079406E">
      <w:pPr>
        <w:pStyle w:val="Default"/>
        <w:rPr>
          <w:rFonts w:asciiTheme="minorHAnsi" w:hAnsiTheme="minorHAnsi" w:cstheme="minorHAnsi"/>
          <w:b/>
          <w:bCs/>
          <w:color w:val="auto"/>
          <w:sz w:val="22"/>
          <w:szCs w:val="22"/>
        </w:rPr>
      </w:pPr>
    </w:p>
    <w:p w14:paraId="735C4755" w14:textId="0192A0E4" w:rsidR="0098609F" w:rsidRPr="00635F47" w:rsidRDefault="0098609F" w:rsidP="0079406E">
      <w:pPr>
        <w:pStyle w:val="Default"/>
        <w:rPr>
          <w:rFonts w:asciiTheme="minorHAnsi" w:hAnsiTheme="minorHAnsi" w:cstheme="minorHAnsi"/>
          <w:b/>
          <w:bCs/>
          <w:color w:val="auto"/>
          <w:sz w:val="22"/>
          <w:szCs w:val="22"/>
        </w:rPr>
      </w:pPr>
    </w:p>
    <w:p w14:paraId="7133027F" w14:textId="77777777" w:rsidR="005573D1" w:rsidRPr="00635F47" w:rsidRDefault="005573D1" w:rsidP="0079406E">
      <w:pPr>
        <w:pStyle w:val="Default"/>
        <w:rPr>
          <w:rFonts w:asciiTheme="minorHAnsi" w:hAnsiTheme="minorHAnsi" w:cstheme="minorHAnsi"/>
          <w:b/>
          <w:bCs/>
          <w:color w:val="auto"/>
          <w:sz w:val="22"/>
          <w:szCs w:val="22"/>
        </w:rPr>
      </w:pPr>
    </w:p>
    <w:p w14:paraId="3629780C" w14:textId="5C2CE148" w:rsidR="00E6262D" w:rsidRPr="00635F47" w:rsidRDefault="00E6262D" w:rsidP="0079406E">
      <w:pPr>
        <w:pStyle w:val="Default"/>
        <w:rPr>
          <w:rFonts w:asciiTheme="minorHAnsi" w:hAnsiTheme="minorHAnsi" w:cstheme="minorHAnsi"/>
          <w:b/>
          <w:bCs/>
          <w:color w:val="auto"/>
          <w:sz w:val="22"/>
          <w:szCs w:val="22"/>
        </w:rPr>
      </w:pPr>
    </w:p>
    <w:p w14:paraId="47B941A1" w14:textId="61ED027B"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lastRenderedPageBreak/>
        <w:t xml:space="preserve">CASH FLOW STATEMENT </w:t>
      </w:r>
    </w:p>
    <w:p w14:paraId="08690427" w14:textId="5C3E573E" w:rsidR="002924B0" w:rsidRPr="00635F47" w:rsidRDefault="00103626" w:rsidP="0079406E">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F</w:t>
      </w:r>
      <w:r w:rsidR="002E48DD" w:rsidRPr="00635F47">
        <w:rPr>
          <w:rFonts w:asciiTheme="minorHAnsi" w:hAnsiTheme="minorHAnsi" w:cstheme="minorHAnsi"/>
          <w:b/>
          <w:bCs/>
          <w:color w:val="auto"/>
          <w:sz w:val="22"/>
          <w:szCs w:val="22"/>
        </w:rPr>
        <w:t xml:space="preserve">OR THE </w:t>
      </w:r>
      <w:r w:rsidR="00FD6F48" w:rsidRPr="00635F47">
        <w:rPr>
          <w:rFonts w:asciiTheme="minorHAnsi" w:hAnsiTheme="minorHAnsi" w:cstheme="minorHAnsi"/>
          <w:b/>
          <w:bCs/>
          <w:color w:val="auto"/>
          <w:sz w:val="22"/>
          <w:szCs w:val="22"/>
        </w:rPr>
        <w:t>TWELVE</w:t>
      </w:r>
      <w:r w:rsidR="003D6304" w:rsidRPr="00635F47">
        <w:rPr>
          <w:rFonts w:asciiTheme="minorHAnsi" w:hAnsiTheme="minorHAnsi" w:cstheme="minorHAnsi"/>
          <w:b/>
          <w:bCs/>
          <w:color w:val="auto"/>
          <w:sz w:val="22"/>
          <w:szCs w:val="22"/>
        </w:rPr>
        <w:t xml:space="preserve"> MONTHS</w:t>
      </w:r>
      <w:r w:rsidR="002E48DD" w:rsidRPr="00635F47">
        <w:rPr>
          <w:rFonts w:asciiTheme="minorHAnsi" w:hAnsiTheme="minorHAnsi" w:cstheme="minorHAnsi"/>
          <w:b/>
          <w:bCs/>
          <w:color w:val="auto"/>
          <w:sz w:val="22"/>
          <w:szCs w:val="22"/>
        </w:rPr>
        <w:t xml:space="preserve"> ENDED 31 March 20</w:t>
      </w:r>
      <w:r w:rsidR="004F5BD2" w:rsidRPr="00635F47">
        <w:rPr>
          <w:rFonts w:asciiTheme="minorHAnsi" w:hAnsiTheme="minorHAnsi" w:cstheme="minorHAnsi"/>
          <w:b/>
          <w:bCs/>
          <w:color w:val="auto"/>
          <w:sz w:val="22"/>
          <w:szCs w:val="22"/>
        </w:rPr>
        <w:t>2</w:t>
      </w:r>
      <w:r w:rsidR="00BA09D5" w:rsidRPr="00635F47">
        <w:rPr>
          <w:rFonts w:asciiTheme="minorHAnsi" w:hAnsiTheme="minorHAnsi" w:cstheme="minorHAnsi"/>
          <w:b/>
          <w:bCs/>
          <w:color w:val="auto"/>
          <w:sz w:val="22"/>
          <w:szCs w:val="22"/>
        </w:rPr>
        <w:t>2</w:t>
      </w:r>
    </w:p>
    <w:p w14:paraId="045592CA" w14:textId="7629E247" w:rsidR="009B164D" w:rsidRDefault="009B164D" w:rsidP="0079406E">
      <w:pPr>
        <w:pStyle w:val="Default"/>
        <w:rPr>
          <w:rFonts w:asciiTheme="minorHAnsi" w:hAnsiTheme="minorHAnsi" w:cstheme="minorBidi"/>
          <w:color w:val="auto"/>
          <w:sz w:val="22"/>
          <w:szCs w:val="22"/>
        </w:rPr>
      </w:pPr>
    </w:p>
    <w:tbl>
      <w:tblPr>
        <w:tblW w:w="10716" w:type="dxa"/>
        <w:tblLook w:val="04A0" w:firstRow="1" w:lastRow="0" w:firstColumn="1" w:lastColumn="0" w:noHBand="0" w:noVBand="1"/>
      </w:tblPr>
      <w:tblGrid>
        <w:gridCol w:w="266"/>
        <w:gridCol w:w="1596"/>
        <w:gridCol w:w="6696"/>
        <w:gridCol w:w="316"/>
        <w:gridCol w:w="1716"/>
        <w:gridCol w:w="266"/>
      </w:tblGrid>
      <w:tr w:rsidR="009B164D" w:rsidRPr="009B164D" w14:paraId="1F660008" w14:textId="77777777" w:rsidTr="009B164D">
        <w:trPr>
          <w:trHeight w:val="120"/>
        </w:trPr>
        <w:tc>
          <w:tcPr>
            <w:tcW w:w="196" w:type="dxa"/>
            <w:tcBorders>
              <w:top w:val="nil"/>
              <w:left w:val="nil"/>
              <w:bottom w:val="nil"/>
              <w:right w:val="nil"/>
            </w:tcBorders>
            <w:shd w:val="clear" w:color="000000" w:fill="FFFFFF"/>
            <w:noWrap/>
            <w:vAlign w:val="bottom"/>
            <w:hideMark/>
          </w:tcPr>
          <w:p w14:paraId="222201C0" w14:textId="55FDCAB0"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nil"/>
              <w:bottom w:val="nil"/>
              <w:right w:val="nil"/>
            </w:tcBorders>
            <w:shd w:val="clear" w:color="000000" w:fill="FFFFFF"/>
            <w:noWrap/>
            <w:vAlign w:val="bottom"/>
            <w:hideMark/>
          </w:tcPr>
          <w:p w14:paraId="0DA9E93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4A638006"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663338C0" w14:textId="77777777" w:rsidR="009B164D" w:rsidRPr="009B164D" w:rsidRDefault="009B164D" w:rsidP="009B164D">
            <w:pPr>
              <w:spacing w:after="0" w:line="240" w:lineRule="auto"/>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c>
          <w:tcPr>
            <w:tcW w:w="1716" w:type="dxa"/>
            <w:tcBorders>
              <w:top w:val="nil"/>
              <w:left w:val="nil"/>
              <w:bottom w:val="nil"/>
              <w:right w:val="nil"/>
            </w:tcBorders>
            <w:shd w:val="clear" w:color="000000" w:fill="FFFFFF"/>
            <w:noWrap/>
            <w:hideMark/>
          </w:tcPr>
          <w:p w14:paraId="5614FE08" w14:textId="77777777" w:rsidR="009B164D" w:rsidRPr="009B164D" w:rsidRDefault="009B164D" w:rsidP="009B164D">
            <w:pPr>
              <w:spacing w:after="0" w:line="240" w:lineRule="auto"/>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c>
          <w:tcPr>
            <w:tcW w:w="196" w:type="dxa"/>
            <w:tcBorders>
              <w:top w:val="nil"/>
              <w:left w:val="nil"/>
              <w:bottom w:val="nil"/>
              <w:right w:val="nil"/>
            </w:tcBorders>
            <w:shd w:val="clear" w:color="000000" w:fill="FFFFFF"/>
            <w:noWrap/>
            <w:hideMark/>
          </w:tcPr>
          <w:p w14:paraId="7E626267" w14:textId="77777777" w:rsidR="009B164D" w:rsidRPr="009B164D" w:rsidRDefault="009B164D" w:rsidP="009B164D">
            <w:pPr>
              <w:spacing w:after="0" w:line="240" w:lineRule="auto"/>
              <w:jc w:val="right"/>
              <w:rPr>
                <w:rFonts w:ascii="Calibri" w:eastAsia="Times New Roman" w:hAnsi="Calibri" w:cs="Calibri"/>
                <w:color w:val="FFFFFF"/>
                <w:lang w:eastAsia="en-GB"/>
              </w:rPr>
            </w:pPr>
            <w:r w:rsidRPr="009B164D">
              <w:rPr>
                <w:rFonts w:ascii="Calibri" w:eastAsia="Times New Roman" w:hAnsi="Calibri" w:cs="Calibri"/>
                <w:color w:val="FFFFFF"/>
                <w:lang w:eastAsia="en-GB"/>
              </w:rPr>
              <w:t> </w:t>
            </w:r>
          </w:p>
        </w:tc>
      </w:tr>
      <w:tr w:rsidR="009B164D" w:rsidRPr="009B164D" w14:paraId="2751A2A7" w14:textId="77777777" w:rsidTr="009B164D">
        <w:trPr>
          <w:trHeight w:val="585"/>
        </w:trPr>
        <w:tc>
          <w:tcPr>
            <w:tcW w:w="196" w:type="dxa"/>
            <w:tcBorders>
              <w:top w:val="nil"/>
              <w:left w:val="nil"/>
              <w:bottom w:val="nil"/>
              <w:right w:val="nil"/>
            </w:tcBorders>
            <w:shd w:val="clear" w:color="000000" w:fill="FFFFFF"/>
            <w:noWrap/>
            <w:vAlign w:val="bottom"/>
            <w:hideMark/>
          </w:tcPr>
          <w:p w14:paraId="271BFB1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single" w:sz="4" w:space="0" w:color="auto"/>
              <w:left w:val="single" w:sz="4" w:space="0" w:color="auto"/>
              <w:bottom w:val="nil"/>
              <w:right w:val="nil"/>
            </w:tcBorders>
            <w:shd w:val="clear" w:color="000000" w:fill="C00000"/>
            <w:vAlign w:val="bottom"/>
            <w:hideMark/>
          </w:tcPr>
          <w:p w14:paraId="777B6B9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2020/21</w:t>
            </w:r>
          </w:p>
        </w:tc>
        <w:tc>
          <w:tcPr>
            <w:tcW w:w="6696" w:type="dxa"/>
            <w:tcBorders>
              <w:top w:val="single" w:sz="4" w:space="0" w:color="auto"/>
              <w:left w:val="nil"/>
              <w:bottom w:val="nil"/>
              <w:right w:val="nil"/>
            </w:tcBorders>
            <w:shd w:val="clear" w:color="000000" w:fill="C00000"/>
            <w:noWrap/>
            <w:vAlign w:val="bottom"/>
            <w:hideMark/>
          </w:tcPr>
          <w:p w14:paraId="54DAF3A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16" w:type="dxa"/>
            <w:tcBorders>
              <w:top w:val="single" w:sz="4" w:space="0" w:color="auto"/>
              <w:left w:val="nil"/>
              <w:bottom w:val="nil"/>
              <w:right w:val="nil"/>
            </w:tcBorders>
            <w:shd w:val="clear" w:color="000000" w:fill="C00000"/>
            <w:hideMark/>
          </w:tcPr>
          <w:p w14:paraId="6EC1C38D"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single" w:sz="4" w:space="0" w:color="auto"/>
              <w:left w:val="nil"/>
              <w:bottom w:val="nil"/>
              <w:right w:val="single" w:sz="4" w:space="0" w:color="auto"/>
            </w:tcBorders>
            <w:shd w:val="clear" w:color="000000" w:fill="C00000"/>
            <w:vAlign w:val="bottom"/>
            <w:hideMark/>
          </w:tcPr>
          <w:p w14:paraId="1A77E46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2021/22</w:t>
            </w:r>
          </w:p>
        </w:tc>
        <w:tc>
          <w:tcPr>
            <w:tcW w:w="196" w:type="dxa"/>
            <w:tcBorders>
              <w:top w:val="nil"/>
              <w:left w:val="nil"/>
              <w:bottom w:val="nil"/>
              <w:right w:val="nil"/>
            </w:tcBorders>
            <w:shd w:val="clear" w:color="000000" w:fill="FFFFFF"/>
            <w:noWrap/>
            <w:hideMark/>
          </w:tcPr>
          <w:p w14:paraId="0482C1C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62EAF1B" w14:textId="77777777" w:rsidTr="009B164D">
        <w:trPr>
          <w:trHeight w:val="300"/>
        </w:trPr>
        <w:tc>
          <w:tcPr>
            <w:tcW w:w="196" w:type="dxa"/>
            <w:tcBorders>
              <w:top w:val="nil"/>
              <w:left w:val="nil"/>
              <w:bottom w:val="nil"/>
              <w:right w:val="nil"/>
            </w:tcBorders>
            <w:shd w:val="clear" w:color="000000" w:fill="FFFFFF"/>
            <w:noWrap/>
            <w:vAlign w:val="bottom"/>
            <w:hideMark/>
          </w:tcPr>
          <w:p w14:paraId="01D9979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13995B2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6696" w:type="dxa"/>
            <w:tcBorders>
              <w:top w:val="nil"/>
              <w:left w:val="nil"/>
              <w:bottom w:val="nil"/>
              <w:right w:val="nil"/>
            </w:tcBorders>
            <w:shd w:val="clear" w:color="000000" w:fill="C00000"/>
            <w:noWrap/>
            <w:vAlign w:val="bottom"/>
            <w:hideMark/>
          </w:tcPr>
          <w:p w14:paraId="7D4B35E5"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316" w:type="dxa"/>
            <w:tcBorders>
              <w:top w:val="nil"/>
              <w:left w:val="nil"/>
              <w:bottom w:val="nil"/>
              <w:right w:val="nil"/>
            </w:tcBorders>
            <w:shd w:val="clear" w:color="000000" w:fill="C00000"/>
            <w:noWrap/>
            <w:hideMark/>
          </w:tcPr>
          <w:p w14:paraId="495F88A7"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710A4F3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96" w:type="dxa"/>
            <w:tcBorders>
              <w:top w:val="nil"/>
              <w:left w:val="nil"/>
              <w:bottom w:val="nil"/>
              <w:right w:val="nil"/>
            </w:tcBorders>
            <w:shd w:val="clear" w:color="000000" w:fill="FFFFFF"/>
            <w:noWrap/>
            <w:hideMark/>
          </w:tcPr>
          <w:p w14:paraId="338F294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78CCEF1" w14:textId="77777777" w:rsidTr="009B164D">
        <w:trPr>
          <w:trHeight w:val="60"/>
        </w:trPr>
        <w:tc>
          <w:tcPr>
            <w:tcW w:w="196" w:type="dxa"/>
            <w:tcBorders>
              <w:top w:val="nil"/>
              <w:left w:val="nil"/>
              <w:bottom w:val="nil"/>
              <w:right w:val="nil"/>
            </w:tcBorders>
            <w:shd w:val="clear" w:color="000000" w:fill="FFFFFF"/>
            <w:noWrap/>
            <w:vAlign w:val="bottom"/>
            <w:hideMark/>
          </w:tcPr>
          <w:p w14:paraId="1800686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hideMark/>
          </w:tcPr>
          <w:p w14:paraId="62B1860A"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4F7012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19934AD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hideMark/>
          </w:tcPr>
          <w:p w14:paraId="42AB0926"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368AD7F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3502C62" w14:textId="77777777" w:rsidTr="009B164D">
        <w:trPr>
          <w:trHeight w:val="405"/>
        </w:trPr>
        <w:tc>
          <w:tcPr>
            <w:tcW w:w="196" w:type="dxa"/>
            <w:tcBorders>
              <w:top w:val="nil"/>
              <w:left w:val="nil"/>
              <w:bottom w:val="nil"/>
              <w:right w:val="nil"/>
            </w:tcBorders>
            <w:shd w:val="clear" w:color="000000" w:fill="FFFFFF"/>
            <w:noWrap/>
            <w:vAlign w:val="bottom"/>
            <w:hideMark/>
          </w:tcPr>
          <w:p w14:paraId="3FEBB8B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5119EAB1"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(5,142)</w:t>
            </w:r>
          </w:p>
        </w:tc>
        <w:tc>
          <w:tcPr>
            <w:tcW w:w="6696" w:type="dxa"/>
            <w:tcBorders>
              <w:top w:val="nil"/>
              <w:left w:val="nil"/>
              <w:bottom w:val="nil"/>
              <w:right w:val="nil"/>
            </w:tcBorders>
            <w:shd w:val="clear" w:color="000000" w:fill="C00000"/>
            <w:noWrap/>
            <w:vAlign w:val="bottom"/>
            <w:hideMark/>
          </w:tcPr>
          <w:p w14:paraId="6A4D7A90"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Surplus on the provision of services</w:t>
            </w:r>
          </w:p>
        </w:tc>
        <w:tc>
          <w:tcPr>
            <w:tcW w:w="316" w:type="dxa"/>
            <w:tcBorders>
              <w:top w:val="nil"/>
              <w:left w:val="nil"/>
              <w:bottom w:val="nil"/>
              <w:right w:val="nil"/>
            </w:tcBorders>
            <w:shd w:val="clear" w:color="000000" w:fill="C00000"/>
            <w:noWrap/>
            <w:hideMark/>
          </w:tcPr>
          <w:p w14:paraId="3963E697"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4892077F" w14:textId="3B0EBEB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85</w:t>
            </w:r>
            <w:r w:rsidRPr="009B164D">
              <w:rPr>
                <w:rFonts w:ascii="Calibri" w:eastAsia="Times New Roman" w:hAnsi="Calibri" w:cs="Calibri"/>
                <w:b/>
                <w:bCs/>
                <w:color w:val="FFFFFF"/>
                <w:lang w:eastAsia="en-GB"/>
              </w:rPr>
              <w:t>)</w:t>
            </w:r>
          </w:p>
        </w:tc>
        <w:tc>
          <w:tcPr>
            <w:tcW w:w="196" w:type="dxa"/>
            <w:tcBorders>
              <w:top w:val="nil"/>
              <w:left w:val="nil"/>
              <w:bottom w:val="nil"/>
              <w:right w:val="nil"/>
            </w:tcBorders>
            <w:shd w:val="clear" w:color="000000" w:fill="FFFFFF"/>
            <w:noWrap/>
            <w:hideMark/>
          </w:tcPr>
          <w:p w14:paraId="253668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BFF7BFC" w14:textId="77777777" w:rsidTr="009B164D">
        <w:trPr>
          <w:trHeight w:val="30"/>
        </w:trPr>
        <w:tc>
          <w:tcPr>
            <w:tcW w:w="196" w:type="dxa"/>
            <w:tcBorders>
              <w:top w:val="nil"/>
              <w:left w:val="nil"/>
              <w:bottom w:val="nil"/>
              <w:right w:val="nil"/>
            </w:tcBorders>
            <w:shd w:val="clear" w:color="000000" w:fill="FFFFFF"/>
            <w:noWrap/>
            <w:vAlign w:val="bottom"/>
            <w:hideMark/>
          </w:tcPr>
          <w:p w14:paraId="25C373D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63F901D"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5F888B4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14547F2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089F033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574C0F9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97E37D9" w14:textId="77777777" w:rsidTr="009B164D">
        <w:trPr>
          <w:trHeight w:val="300"/>
        </w:trPr>
        <w:tc>
          <w:tcPr>
            <w:tcW w:w="196" w:type="dxa"/>
            <w:tcBorders>
              <w:top w:val="nil"/>
              <w:left w:val="nil"/>
              <w:bottom w:val="nil"/>
              <w:right w:val="nil"/>
            </w:tcBorders>
            <w:shd w:val="clear" w:color="000000" w:fill="FFFFFF"/>
            <w:noWrap/>
            <w:vAlign w:val="bottom"/>
            <w:hideMark/>
          </w:tcPr>
          <w:p w14:paraId="334441B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C9B160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1,648</w:t>
            </w:r>
          </w:p>
        </w:tc>
        <w:tc>
          <w:tcPr>
            <w:tcW w:w="6696" w:type="dxa"/>
            <w:tcBorders>
              <w:top w:val="nil"/>
              <w:left w:val="nil"/>
              <w:bottom w:val="nil"/>
              <w:right w:val="nil"/>
            </w:tcBorders>
            <w:shd w:val="clear" w:color="000000" w:fill="FFFFFF"/>
            <w:noWrap/>
            <w:vAlign w:val="bottom"/>
            <w:hideMark/>
          </w:tcPr>
          <w:p w14:paraId="44A7E12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Depreciation and impairment</w:t>
            </w:r>
          </w:p>
        </w:tc>
        <w:tc>
          <w:tcPr>
            <w:tcW w:w="316" w:type="dxa"/>
            <w:tcBorders>
              <w:top w:val="nil"/>
              <w:left w:val="nil"/>
              <w:bottom w:val="nil"/>
              <w:right w:val="nil"/>
            </w:tcBorders>
            <w:shd w:val="clear" w:color="000000" w:fill="FFFFFF"/>
            <w:noWrap/>
            <w:vAlign w:val="bottom"/>
            <w:hideMark/>
          </w:tcPr>
          <w:p w14:paraId="777494B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E7B0A20" w14:textId="21DDFD95"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w:t>
            </w:r>
            <w:r w:rsidR="004D04F0">
              <w:rPr>
                <w:rFonts w:ascii="Calibri" w:eastAsia="Times New Roman" w:hAnsi="Calibri" w:cs="Calibri"/>
                <w:color w:val="000000"/>
                <w:lang w:eastAsia="en-GB"/>
              </w:rPr>
              <w:t>30</w:t>
            </w:r>
          </w:p>
        </w:tc>
        <w:tc>
          <w:tcPr>
            <w:tcW w:w="196" w:type="dxa"/>
            <w:tcBorders>
              <w:top w:val="nil"/>
              <w:left w:val="nil"/>
              <w:bottom w:val="nil"/>
              <w:right w:val="nil"/>
            </w:tcBorders>
            <w:shd w:val="clear" w:color="000000" w:fill="FFFFFF"/>
            <w:noWrap/>
            <w:hideMark/>
          </w:tcPr>
          <w:p w14:paraId="6140440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378EDD8" w14:textId="77777777" w:rsidTr="009B164D">
        <w:trPr>
          <w:trHeight w:val="300"/>
        </w:trPr>
        <w:tc>
          <w:tcPr>
            <w:tcW w:w="196" w:type="dxa"/>
            <w:tcBorders>
              <w:top w:val="nil"/>
              <w:left w:val="nil"/>
              <w:bottom w:val="nil"/>
              <w:right w:val="nil"/>
            </w:tcBorders>
            <w:shd w:val="clear" w:color="000000" w:fill="FFFFFF"/>
            <w:noWrap/>
            <w:vAlign w:val="bottom"/>
            <w:hideMark/>
          </w:tcPr>
          <w:p w14:paraId="7A317D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7A22FAC"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noWrap/>
            <w:vAlign w:val="bottom"/>
            <w:hideMark/>
          </w:tcPr>
          <w:p w14:paraId="040BB4D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Movement in Impairment for Bad Debts</w:t>
            </w:r>
          </w:p>
        </w:tc>
        <w:tc>
          <w:tcPr>
            <w:tcW w:w="316" w:type="dxa"/>
            <w:tcBorders>
              <w:top w:val="nil"/>
              <w:left w:val="nil"/>
              <w:bottom w:val="nil"/>
              <w:right w:val="nil"/>
            </w:tcBorders>
            <w:shd w:val="clear" w:color="000000" w:fill="FFFFFF"/>
            <w:noWrap/>
            <w:vAlign w:val="bottom"/>
            <w:hideMark/>
          </w:tcPr>
          <w:p w14:paraId="5024C63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DD5E5D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01DFD84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5B0850C" w14:textId="77777777" w:rsidTr="009B164D">
        <w:trPr>
          <w:trHeight w:val="300"/>
        </w:trPr>
        <w:tc>
          <w:tcPr>
            <w:tcW w:w="196" w:type="dxa"/>
            <w:tcBorders>
              <w:top w:val="nil"/>
              <w:left w:val="nil"/>
              <w:bottom w:val="nil"/>
              <w:right w:val="nil"/>
            </w:tcBorders>
            <w:shd w:val="clear" w:color="000000" w:fill="FFFFFF"/>
            <w:noWrap/>
            <w:vAlign w:val="bottom"/>
            <w:hideMark/>
          </w:tcPr>
          <w:p w14:paraId="514926F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7E69156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(1,326)</w:t>
            </w:r>
          </w:p>
        </w:tc>
        <w:tc>
          <w:tcPr>
            <w:tcW w:w="6696" w:type="dxa"/>
            <w:tcBorders>
              <w:top w:val="nil"/>
              <w:left w:val="nil"/>
              <w:bottom w:val="nil"/>
              <w:right w:val="nil"/>
            </w:tcBorders>
            <w:shd w:val="clear" w:color="000000" w:fill="FFFFFF"/>
            <w:noWrap/>
            <w:vAlign w:val="bottom"/>
            <w:hideMark/>
          </w:tcPr>
          <w:p w14:paraId="20681EF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Creditors</w:t>
            </w:r>
          </w:p>
        </w:tc>
        <w:tc>
          <w:tcPr>
            <w:tcW w:w="316" w:type="dxa"/>
            <w:tcBorders>
              <w:top w:val="nil"/>
              <w:left w:val="nil"/>
              <w:bottom w:val="nil"/>
              <w:right w:val="nil"/>
            </w:tcBorders>
            <w:shd w:val="clear" w:color="000000" w:fill="FFFFFF"/>
            <w:noWrap/>
            <w:vAlign w:val="bottom"/>
            <w:hideMark/>
          </w:tcPr>
          <w:p w14:paraId="5578A2E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100E421A" w14:textId="1B161C1F"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(9</w:t>
            </w:r>
            <w:r w:rsidR="00412D14">
              <w:rPr>
                <w:rFonts w:ascii="Calibri" w:eastAsia="Times New Roman" w:hAnsi="Calibri" w:cs="Calibri"/>
                <w:color w:val="000000"/>
                <w:lang w:eastAsia="en-GB"/>
              </w:rPr>
              <w:t>38</w:t>
            </w: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0E0A8C2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60E60EA" w14:textId="77777777" w:rsidTr="009B164D">
        <w:trPr>
          <w:trHeight w:val="300"/>
        </w:trPr>
        <w:tc>
          <w:tcPr>
            <w:tcW w:w="196" w:type="dxa"/>
            <w:tcBorders>
              <w:top w:val="nil"/>
              <w:left w:val="nil"/>
              <w:bottom w:val="nil"/>
              <w:right w:val="nil"/>
            </w:tcBorders>
            <w:shd w:val="clear" w:color="000000" w:fill="FFFFFF"/>
            <w:noWrap/>
            <w:vAlign w:val="bottom"/>
            <w:hideMark/>
          </w:tcPr>
          <w:p w14:paraId="1FECEA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EDA47F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(1,963)</w:t>
            </w:r>
          </w:p>
        </w:tc>
        <w:tc>
          <w:tcPr>
            <w:tcW w:w="6696" w:type="dxa"/>
            <w:tcBorders>
              <w:top w:val="nil"/>
              <w:left w:val="nil"/>
              <w:bottom w:val="nil"/>
              <w:right w:val="nil"/>
            </w:tcBorders>
            <w:shd w:val="clear" w:color="000000" w:fill="FFFFFF"/>
            <w:noWrap/>
            <w:vAlign w:val="bottom"/>
            <w:hideMark/>
          </w:tcPr>
          <w:p w14:paraId="77077E2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 in Debtors</w:t>
            </w:r>
          </w:p>
        </w:tc>
        <w:tc>
          <w:tcPr>
            <w:tcW w:w="316" w:type="dxa"/>
            <w:tcBorders>
              <w:top w:val="nil"/>
              <w:left w:val="nil"/>
              <w:bottom w:val="nil"/>
              <w:right w:val="nil"/>
            </w:tcBorders>
            <w:shd w:val="clear" w:color="000000" w:fill="FFFFFF"/>
            <w:noWrap/>
            <w:vAlign w:val="bottom"/>
            <w:hideMark/>
          </w:tcPr>
          <w:p w14:paraId="757FC3E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18B9364" w14:textId="6C240AB8"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w:t>
            </w:r>
            <w:r w:rsidR="00412D14">
              <w:rPr>
                <w:rFonts w:ascii="Calibri" w:eastAsia="Times New Roman" w:hAnsi="Calibri" w:cs="Calibri"/>
                <w:color w:val="000000"/>
                <w:lang w:eastAsia="en-GB"/>
              </w:rPr>
              <w:t>642</w:t>
            </w:r>
          </w:p>
        </w:tc>
        <w:tc>
          <w:tcPr>
            <w:tcW w:w="196" w:type="dxa"/>
            <w:tcBorders>
              <w:top w:val="nil"/>
              <w:left w:val="nil"/>
              <w:bottom w:val="nil"/>
              <w:right w:val="nil"/>
            </w:tcBorders>
            <w:shd w:val="clear" w:color="000000" w:fill="FFFFFF"/>
            <w:noWrap/>
            <w:hideMark/>
          </w:tcPr>
          <w:p w14:paraId="22A243C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294628B" w14:textId="77777777" w:rsidTr="009B164D">
        <w:trPr>
          <w:trHeight w:val="300"/>
        </w:trPr>
        <w:tc>
          <w:tcPr>
            <w:tcW w:w="196" w:type="dxa"/>
            <w:tcBorders>
              <w:top w:val="nil"/>
              <w:left w:val="nil"/>
              <w:bottom w:val="nil"/>
              <w:right w:val="nil"/>
            </w:tcBorders>
            <w:shd w:val="clear" w:color="000000" w:fill="FFFFFF"/>
            <w:noWrap/>
            <w:vAlign w:val="bottom"/>
            <w:hideMark/>
          </w:tcPr>
          <w:p w14:paraId="30A8B90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3CE9748"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(29)</w:t>
            </w:r>
          </w:p>
        </w:tc>
        <w:tc>
          <w:tcPr>
            <w:tcW w:w="6696" w:type="dxa"/>
            <w:tcBorders>
              <w:top w:val="nil"/>
              <w:left w:val="nil"/>
              <w:bottom w:val="nil"/>
              <w:right w:val="nil"/>
            </w:tcBorders>
            <w:shd w:val="clear" w:color="000000" w:fill="FFFFFF"/>
            <w:noWrap/>
            <w:vAlign w:val="bottom"/>
            <w:hideMark/>
          </w:tcPr>
          <w:p w14:paraId="378E944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 in Inventories</w:t>
            </w:r>
          </w:p>
        </w:tc>
        <w:tc>
          <w:tcPr>
            <w:tcW w:w="316" w:type="dxa"/>
            <w:tcBorders>
              <w:top w:val="nil"/>
              <w:left w:val="nil"/>
              <w:bottom w:val="nil"/>
              <w:right w:val="nil"/>
            </w:tcBorders>
            <w:shd w:val="clear" w:color="000000" w:fill="FFFFFF"/>
            <w:noWrap/>
            <w:vAlign w:val="bottom"/>
            <w:hideMark/>
          </w:tcPr>
          <w:p w14:paraId="73DB299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9D6FF0A"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(7)</w:t>
            </w:r>
          </w:p>
        </w:tc>
        <w:tc>
          <w:tcPr>
            <w:tcW w:w="196" w:type="dxa"/>
            <w:tcBorders>
              <w:top w:val="nil"/>
              <w:left w:val="nil"/>
              <w:bottom w:val="nil"/>
              <w:right w:val="nil"/>
            </w:tcBorders>
            <w:shd w:val="clear" w:color="000000" w:fill="FFFFFF"/>
            <w:noWrap/>
            <w:hideMark/>
          </w:tcPr>
          <w:p w14:paraId="0802E83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06E8A05" w14:textId="77777777" w:rsidTr="009B164D">
        <w:trPr>
          <w:trHeight w:val="285"/>
        </w:trPr>
        <w:tc>
          <w:tcPr>
            <w:tcW w:w="196" w:type="dxa"/>
            <w:tcBorders>
              <w:top w:val="nil"/>
              <w:left w:val="nil"/>
              <w:bottom w:val="nil"/>
              <w:right w:val="nil"/>
            </w:tcBorders>
            <w:shd w:val="clear" w:color="000000" w:fill="FFFFFF"/>
            <w:noWrap/>
            <w:vAlign w:val="bottom"/>
            <w:hideMark/>
          </w:tcPr>
          <w:p w14:paraId="41956E6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CB91B4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(4,347)</w:t>
            </w:r>
          </w:p>
        </w:tc>
        <w:tc>
          <w:tcPr>
            <w:tcW w:w="6696" w:type="dxa"/>
            <w:tcBorders>
              <w:top w:val="nil"/>
              <w:left w:val="nil"/>
              <w:bottom w:val="nil"/>
              <w:right w:val="nil"/>
            </w:tcBorders>
            <w:shd w:val="clear" w:color="000000" w:fill="FFFFFF"/>
            <w:noWrap/>
            <w:vAlign w:val="bottom"/>
            <w:hideMark/>
          </w:tcPr>
          <w:p w14:paraId="0458D6B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Additions of PPE Assets</w:t>
            </w:r>
          </w:p>
        </w:tc>
        <w:tc>
          <w:tcPr>
            <w:tcW w:w="316" w:type="dxa"/>
            <w:tcBorders>
              <w:top w:val="nil"/>
              <w:left w:val="nil"/>
              <w:bottom w:val="nil"/>
              <w:right w:val="nil"/>
            </w:tcBorders>
            <w:shd w:val="clear" w:color="000000" w:fill="FFFFFF"/>
            <w:noWrap/>
            <w:vAlign w:val="bottom"/>
            <w:hideMark/>
          </w:tcPr>
          <w:p w14:paraId="5F32662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B86A69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(2,843)</w:t>
            </w:r>
          </w:p>
        </w:tc>
        <w:tc>
          <w:tcPr>
            <w:tcW w:w="196" w:type="dxa"/>
            <w:tcBorders>
              <w:top w:val="nil"/>
              <w:left w:val="nil"/>
              <w:bottom w:val="nil"/>
              <w:right w:val="nil"/>
            </w:tcBorders>
            <w:shd w:val="clear" w:color="000000" w:fill="FFFFFF"/>
            <w:noWrap/>
            <w:hideMark/>
          </w:tcPr>
          <w:p w14:paraId="67B0B07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7FC43BC" w14:textId="77777777" w:rsidTr="009B164D">
        <w:trPr>
          <w:trHeight w:val="600"/>
        </w:trPr>
        <w:tc>
          <w:tcPr>
            <w:tcW w:w="196" w:type="dxa"/>
            <w:tcBorders>
              <w:top w:val="nil"/>
              <w:left w:val="nil"/>
              <w:bottom w:val="nil"/>
              <w:right w:val="nil"/>
            </w:tcBorders>
            <w:shd w:val="clear" w:color="000000" w:fill="FFFFFF"/>
            <w:noWrap/>
            <w:vAlign w:val="bottom"/>
            <w:hideMark/>
          </w:tcPr>
          <w:p w14:paraId="2BB18B8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54380BB"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6,378</w:t>
            </w:r>
          </w:p>
        </w:tc>
        <w:tc>
          <w:tcPr>
            <w:tcW w:w="6696" w:type="dxa"/>
            <w:tcBorders>
              <w:top w:val="nil"/>
              <w:left w:val="nil"/>
              <w:bottom w:val="nil"/>
              <w:right w:val="nil"/>
            </w:tcBorders>
            <w:shd w:val="clear" w:color="000000" w:fill="FFFFFF"/>
            <w:vAlign w:val="bottom"/>
            <w:hideMark/>
          </w:tcPr>
          <w:p w14:paraId="19AE697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Movement in Pension Liability (difference between employer's contributions paid and IAS19 adjustments)</w:t>
            </w:r>
          </w:p>
        </w:tc>
        <w:tc>
          <w:tcPr>
            <w:tcW w:w="316" w:type="dxa"/>
            <w:tcBorders>
              <w:top w:val="nil"/>
              <w:left w:val="nil"/>
              <w:bottom w:val="nil"/>
              <w:right w:val="nil"/>
            </w:tcBorders>
            <w:shd w:val="clear" w:color="000000" w:fill="FFFFFF"/>
            <w:noWrap/>
            <w:vAlign w:val="bottom"/>
            <w:hideMark/>
          </w:tcPr>
          <w:p w14:paraId="53113FE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7CCEE1C" w14:textId="5A12F82A"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w:t>
            </w:r>
            <w:r w:rsidR="00412D14">
              <w:rPr>
                <w:rFonts w:ascii="Calibri" w:eastAsia="Times New Roman" w:hAnsi="Calibri" w:cs="Calibri"/>
                <w:color w:val="000000"/>
                <w:lang w:eastAsia="en-GB"/>
              </w:rPr>
              <w:t>342</w:t>
            </w:r>
          </w:p>
        </w:tc>
        <w:tc>
          <w:tcPr>
            <w:tcW w:w="196" w:type="dxa"/>
            <w:tcBorders>
              <w:top w:val="nil"/>
              <w:left w:val="nil"/>
              <w:bottom w:val="nil"/>
              <w:right w:val="nil"/>
            </w:tcBorders>
            <w:shd w:val="clear" w:color="000000" w:fill="FFFFFF"/>
            <w:noWrap/>
            <w:hideMark/>
          </w:tcPr>
          <w:p w14:paraId="6BD791A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53D6C37" w14:textId="77777777" w:rsidTr="009B164D">
        <w:trPr>
          <w:trHeight w:val="300"/>
        </w:trPr>
        <w:tc>
          <w:tcPr>
            <w:tcW w:w="196" w:type="dxa"/>
            <w:tcBorders>
              <w:top w:val="nil"/>
              <w:left w:val="nil"/>
              <w:bottom w:val="nil"/>
              <w:right w:val="nil"/>
            </w:tcBorders>
            <w:shd w:val="clear" w:color="000000" w:fill="FFFFFF"/>
            <w:noWrap/>
            <w:vAlign w:val="bottom"/>
            <w:hideMark/>
          </w:tcPr>
          <w:p w14:paraId="33BF4B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CBE77E8"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noWrap/>
            <w:vAlign w:val="bottom"/>
            <w:hideMark/>
          </w:tcPr>
          <w:p w14:paraId="420AE62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Long Term Liabilities</w:t>
            </w:r>
          </w:p>
        </w:tc>
        <w:tc>
          <w:tcPr>
            <w:tcW w:w="316" w:type="dxa"/>
            <w:tcBorders>
              <w:top w:val="nil"/>
              <w:left w:val="nil"/>
              <w:bottom w:val="nil"/>
              <w:right w:val="nil"/>
            </w:tcBorders>
            <w:shd w:val="clear" w:color="000000" w:fill="FFFFFF"/>
            <w:noWrap/>
            <w:vAlign w:val="bottom"/>
            <w:hideMark/>
          </w:tcPr>
          <w:p w14:paraId="372C756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FA1E23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406F347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BBE570A" w14:textId="77777777" w:rsidTr="009B164D">
        <w:trPr>
          <w:trHeight w:val="300"/>
        </w:trPr>
        <w:tc>
          <w:tcPr>
            <w:tcW w:w="196" w:type="dxa"/>
            <w:tcBorders>
              <w:top w:val="nil"/>
              <w:left w:val="nil"/>
              <w:bottom w:val="nil"/>
              <w:right w:val="nil"/>
            </w:tcBorders>
            <w:shd w:val="clear" w:color="000000" w:fill="FFFFFF"/>
            <w:noWrap/>
            <w:vAlign w:val="bottom"/>
            <w:hideMark/>
          </w:tcPr>
          <w:p w14:paraId="206D346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881072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(3,000)</w:t>
            </w:r>
          </w:p>
        </w:tc>
        <w:tc>
          <w:tcPr>
            <w:tcW w:w="6696" w:type="dxa"/>
            <w:tcBorders>
              <w:top w:val="nil"/>
              <w:left w:val="nil"/>
              <w:bottom w:val="nil"/>
              <w:right w:val="nil"/>
            </w:tcBorders>
            <w:shd w:val="clear" w:color="000000" w:fill="FFFFFF"/>
            <w:noWrap/>
            <w:vAlign w:val="bottom"/>
            <w:hideMark/>
          </w:tcPr>
          <w:p w14:paraId="28FC169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Increase/Decrease(-) in Investments</w:t>
            </w:r>
          </w:p>
        </w:tc>
        <w:tc>
          <w:tcPr>
            <w:tcW w:w="316" w:type="dxa"/>
            <w:tcBorders>
              <w:top w:val="nil"/>
              <w:left w:val="nil"/>
              <w:bottom w:val="nil"/>
              <w:right w:val="nil"/>
            </w:tcBorders>
            <w:shd w:val="clear" w:color="000000" w:fill="FFFFFF"/>
            <w:noWrap/>
            <w:vAlign w:val="bottom"/>
            <w:hideMark/>
          </w:tcPr>
          <w:p w14:paraId="69FAA9B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04EBB8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777D449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375A5EF" w14:textId="77777777" w:rsidTr="009B164D">
        <w:trPr>
          <w:trHeight w:val="300"/>
        </w:trPr>
        <w:tc>
          <w:tcPr>
            <w:tcW w:w="196" w:type="dxa"/>
            <w:tcBorders>
              <w:top w:val="nil"/>
              <w:left w:val="nil"/>
              <w:bottom w:val="nil"/>
              <w:right w:val="nil"/>
            </w:tcBorders>
            <w:shd w:val="clear" w:color="000000" w:fill="FFFFFF"/>
            <w:noWrap/>
            <w:vAlign w:val="bottom"/>
            <w:hideMark/>
          </w:tcPr>
          <w:p w14:paraId="701DD50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3814DF2"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3,300</w:t>
            </w:r>
          </w:p>
        </w:tc>
        <w:tc>
          <w:tcPr>
            <w:tcW w:w="6696" w:type="dxa"/>
            <w:tcBorders>
              <w:top w:val="nil"/>
              <w:left w:val="nil"/>
              <w:bottom w:val="nil"/>
              <w:right w:val="nil"/>
            </w:tcBorders>
            <w:shd w:val="clear" w:color="000000" w:fill="FFFFFF"/>
            <w:vAlign w:val="bottom"/>
            <w:hideMark/>
          </w:tcPr>
          <w:p w14:paraId="52981AF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Proceeds from Borrowing</w:t>
            </w:r>
          </w:p>
        </w:tc>
        <w:tc>
          <w:tcPr>
            <w:tcW w:w="316" w:type="dxa"/>
            <w:tcBorders>
              <w:top w:val="nil"/>
              <w:left w:val="nil"/>
              <w:bottom w:val="nil"/>
              <w:right w:val="nil"/>
            </w:tcBorders>
            <w:shd w:val="clear" w:color="000000" w:fill="FFFFFF"/>
            <w:noWrap/>
            <w:vAlign w:val="bottom"/>
            <w:hideMark/>
          </w:tcPr>
          <w:p w14:paraId="304EB48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671114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(82)</w:t>
            </w:r>
          </w:p>
        </w:tc>
        <w:tc>
          <w:tcPr>
            <w:tcW w:w="196" w:type="dxa"/>
            <w:tcBorders>
              <w:top w:val="nil"/>
              <w:left w:val="nil"/>
              <w:bottom w:val="nil"/>
              <w:right w:val="nil"/>
            </w:tcBorders>
            <w:shd w:val="clear" w:color="000000" w:fill="FFFFFF"/>
            <w:noWrap/>
            <w:hideMark/>
          </w:tcPr>
          <w:p w14:paraId="4AB100B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0642A03" w14:textId="77777777" w:rsidTr="009B164D">
        <w:trPr>
          <w:trHeight w:val="330"/>
        </w:trPr>
        <w:tc>
          <w:tcPr>
            <w:tcW w:w="196" w:type="dxa"/>
            <w:tcBorders>
              <w:top w:val="nil"/>
              <w:left w:val="nil"/>
              <w:bottom w:val="nil"/>
              <w:right w:val="nil"/>
            </w:tcBorders>
            <w:shd w:val="clear" w:color="000000" w:fill="FFFFFF"/>
            <w:noWrap/>
            <w:vAlign w:val="bottom"/>
            <w:hideMark/>
          </w:tcPr>
          <w:p w14:paraId="536B64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9F919BE"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w:t>
            </w:r>
          </w:p>
        </w:tc>
        <w:tc>
          <w:tcPr>
            <w:tcW w:w="6696" w:type="dxa"/>
            <w:tcBorders>
              <w:top w:val="nil"/>
              <w:left w:val="nil"/>
              <w:bottom w:val="nil"/>
              <w:right w:val="nil"/>
            </w:tcBorders>
            <w:shd w:val="clear" w:color="000000" w:fill="FFFFFF"/>
            <w:vAlign w:val="bottom"/>
            <w:hideMark/>
          </w:tcPr>
          <w:p w14:paraId="445D6D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Derecognition of PPE Assets</w:t>
            </w:r>
          </w:p>
        </w:tc>
        <w:tc>
          <w:tcPr>
            <w:tcW w:w="316" w:type="dxa"/>
            <w:tcBorders>
              <w:top w:val="nil"/>
              <w:left w:val="nil"/>
              <w:bottom w:val="nil"/>
              <w:right w:val="nil"/>
            </w:tcBorders>
            <w:shd w:val="clear" w:color="000000" w:fill="FFFFFF"/>
            <w:noWrap/>
            <w:vAlign w:val="bottom"/>
            <w:hideMark/>
          </w:tcPr>
          <w:p w14:paraId="4F4F307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C03C38A" w14:textId="15EA416A"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12</w:t>
            </w:r>
            <w:r w:rsidR="00F837F8">
              <w:rPr>
                <w:rFonts w:ascii="Calibri" w:eastAsia="Times New Roman" w:hAnsi="Calibri" w:cs="Calibri"/>
                <w:color w:val="000000"/>
                <w:lang w:eastAsia="en-GB"/>
              </w:rPr>
              <w:t>9</w:t>
            </w:r>
          </w:p>
        </w:tc>
        <w:tc>
          <w:tcPr>
            <w:tcW w:w="196" w:type="dxa"/>
            <w:tcBorders>
              <w:top w:val="nil"/>
              <w:left w:val="nil"/>
              <w:bottom w:val="nil"/>
              <w:right w:val="nil"/>
            </w:tcBorders>
            <w:shd w:val="clear" w:color="000000" w:fill="FFFFFF"/>
            <w:noWrap/>
            <w:hideMark/>
          </w:tcPr>
          <w:p w14:paraId="27714B5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0F76825" w14:textId="77777777" w:rsidTr="009B164D">
        <w:trPr>
          <w:trHeight w:val="300"/>
        </w:trPr>
        <w:tc>
          <w:tcPr>
            <w:tcW w:w="196" w:type="dxa"/>
            <w:tcBorders>
              <w:top w:val="nil"/>
              <w:left w:val="nil"/>
              <w:bottom w:val="nil"/>
              <w:right w:val="nil"/>
            </w:tcBorders>
            <w:shd w:val="clear" w:color="000000" w:fill="FFFFFF"/>
            <w:noWrap/>
            <w:vAlign w:val="bottom"/>
            <w:hideMark/>
          </w:tcPr>
          <w:p w14:paraId="5DAC940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single" w:sz="4" w:space="0" w:color="auto"/>
              <w:right w:val="nil"/>
            </w:tcBorders>
            <w:shd w:val="clear" w:color="000000" w:fill="FFE1E1"/>
            <w:noWrap/>
            <w:vAlign w:val="bottom"/>
            <w:hideMark/>
          </w:tcPr>
          <w:p w14:paraId="40B7895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541</w:t>
            </w:r>
          </w:p>
        </w:tc>
        <w:tc>
          <w:tcPr>
            <w:tcW w:w="6696" w:type="dxa"/>
            <w:tcBorders>
              <w:top w:val="nil"/>
              <w:left w:val="nil"/>
              <w:bottom w:val="nil"/>
              <w:right w:val="nil"/>
            </w:tcBorders>
            <w:shd w:val="clear" w:color="000000" w:fill="FFFFFF"/>
            <w:vAlign w:val="bottom"/>
            <w:hideMark/>
          </w:tcPr>
          <w:p w14:paraId="5C1C9C4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Non Cash Movements</w:t>
            </w:r>
          </w:p>
        </w:tc>
        <w:tc>
          <w:tcPr>
            <w:tcW w:w="316" w:type="dxa"/>
            <w:tcBorders>
              <w:top w:val="nil"/>
              <w:left w:val="nil"/>
              <w:bottom w:val="nil"/>
              <w:right w:val="nil"/>
            </w:tcBorders>
            <w:shd w:val="clear" w:color="000000" w:fill="FFFFFF"/>
            <w:noWrap/>
            <w:vAlign w:val="bottom"/>
            <w:hideMark/>
          </w:tcPr>
          <w:p w14:paraId="50A5440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6F2FF617" w14:textId="6D0CC1D0" w:rsidR="009B164D" w:rsidRPr="009B164D" w:rsidRDefault="009B164D" w:rsidP="004D04F0">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w:t>
            </w:r>
            <w:r w:rsidR="004D04F0">
              <w:rPr>
                <w:rFonts w:ascii="Calibri" w:eastAsia="Times New Roman" w:hAnsi="Calibri" w:cs="Calibri"/>
                <w:color w:val="000000"/>
                <w:lang w:eastAsia="en-GB"/>
              </w:rPr>
              <w:t>0</w:t>
            </w:r>
            <w:r w:rsidRPr="009B164D">
              <w:rPr>
                <w:rFonts w:ascii="Calibri" w:eastAsia="Times New Roman" w:hAnsi="Calibri" w:cs="Calibri"/>
                <w:color w:val="000000"/>
                <w:lang w:eastAsia="en-GB"/>
              </w:rPr>
              <w:t>)</w:t>
            </w:r>
          </w:p>
        </w:tc>
        <w:tc>
          <w:tcPr>
            <w:tcW w:w="196" w:type="dxa"/>
            <w:tcBorders>
              <w:top w:val="nil"/>
              <w:left w:val="nil"/>
              <w:bottom w:val="nil"/>
              <w:right w:val="nil"/>
            </w:tcBorders>
            <w:shd w:val="clear" w:color="000000" w:fill="FFFFFF"/>
            <w:noWrap/>
            <w:hideMark/>
          </w:tcPr>
          <w:p w14:paraId="1E00D4F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02C5E648" w14:textId="77777777" w:rsidTr="009B164D">
        <w:trPr>
          <w:trHeight w:val="315"/>
        </w:trPr>
        <w:tc>
          <w:tcPr>
            <w:tcW w:w="196" w:type="dxa"/>
            <w:tcBorders>
              <w:top w:val="nil"/>
              <w:left w:val="nil"/>
              <w:bottom w:val="nil"/>
              <w:right w:val="nil"/>
            </w:tcBorders>
            <w:shd w:val="clear" w:color="000000" w:fill="FFFFFF"/>
            <w:noWrap/>
            <w:vAlign w:val="bottom"/>
            <w:hideMark/>
          </w:tcPr>
          <w:p w14:paraId="4E6307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8215623"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(3,940)</w:t>
            </w:r>
          </w:p>
        </w:tc>
        <w:tc>
          <w:tcPr>
            <w:tcW w:w="6696" w:type="dxa"/>
            <w:tcBorders>
              <w:top w:val="nil"/>
              <w:left w:val="nil"/>
              <w:bottom w:val="nil"/>
              <w:right w:val="nil"/>
            </w:tcBorders>
            <w:shd w:val="clear" w:color="000000" w:fill="FFFFFF"/>
            <w:vAlign w:val="bottom"/>
            <w:hideMark/>
          </w:tcPr>
          <w:p w14:paraId="41F25F9F"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Net cashflows from operating activities</w:t>
            </w:r>
          </w:p>
        </w:tc>
        <w:tc>
          <w:tcPr>
            <w:tcW w:w="316" w:type="dxa"/>
            <w:tcBorders>
              <w:top w:val="nil"/>
              <w:left w:val="nil"/>
              <w:bottom w:val="nil"/>
              <w:right w:val="nil"/>
            </w:tcBorders>
            <w:shd w:val="clear" w:color="000000" w:fill="FFFFFF"/>
            <w:noWrap/>
            <w:vAlign w:val="bottom"/>
            <w:hideMark/>
          </w:tcPr>
          <w:p w14:paraId="0A4B279D"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716" w:type="dxa"/>
            <w:tcBorders>
              <w:top w:val="single" w:sz="4" w:space="0" w:color="auto"/>
              <w:left w:val="nil"/>
              <w:bottom w:val="nil"/>
              <w:right w:val="single" w:sz="4" w:space="0" w:color="auto"/>
            </w:tcBorders>
            <w:shd w:val="clear" w:color="000000" w:fill="FFE1E1"/>
            <w:noWrap/>
            <w:vAlign w:val="bottom"/>
            <w:hideMark/>
          </w:tcPr>
          <w:p w14:paraId="003B6524"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(722)</w:t>
            </w:r>
          </w:p>
        </w:tc>
        <w:tc>
          <w:tcPr>
            <w:tcW w:w="196" w:type="dxa"/>
            <w:tcBorders>
              <w:top w:val="nil"/>
              <w:left w:val="nil"/>
              <w:bottom w:val="nil"/>
              <w:right w:val="nil"/>
            </w:tcBorders>
            <w:shd w:val="clear" w:color="000000" w:fill="FFFFFF"/>
            <w:noWrap/>
            <w:hideMark/>
          </w:tcPr>
          <w:p w14:paraId="01A3C4E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CC4C07F" w14:textId="77777777" w:rsidTr="009B164D">
        <w:trPr>
          <w:trHeight w:val="210"/>
        </w:trPr>
        <w:tc>
          <w:tcPr>
            <w:tcW w:w="196" w:type="dxa"/>
            <w:tcBorders>
              <w:top w:val="nil"/>
              <w:left w:val="nil"/>
              <w:bottom w:val="nil"/>
              <w:right w:val="nil"/>
            </w:tcBorders>
            <w:shd w:val="clear" w:color="000000" w:fill="FFFFFF"/>
            <w:noWrap/>
            <w:vAlign w:val="bottom"/>
            <w:hideMark/>
          </w:tcPr>
          <w:p w14:paraId="7D200C8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518D177F"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vAlign w:val="bottom"/>
            <w:hideMark/>
          </w:tcPr>
          <w:p w14:paraId="2CCB312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316" w:type="dxa"/>
            <w:tcBorders>
              <w:top w:val="nil"/>
              <w:left w:val="nil"/>
              <w:bottom w:val="nil"/>
              <w:right w:val="nil"/>
            </w:tcBorders>
            <w:shd w:val="clear" w:color="000000" w:fill="FFFFFF"/>
            <w:noWrap/>
            <w:vAlign w:val="bottom"/>
            <w:hideMark/>
          </w:tcPr>
          <w:p w14:paraId="0A28E8E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5E7CA47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6EBD3C7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F26A428" w14:textId="77777777" w:rsidTr="009B164D">
        <w:trPr>
          <w:trHeight w:val="315"/>
        </w:trPr>
        <w:tc>
          <w:tcPr>
            <w:tcW w:w="196" w:type="dxa"/>
            <w:tcBorders>
              <w:top w:val="nil"/>
              <w:left w:val="nil"/>
              <w:bottom w:val="nil"/>
              <w:right w:val="nil"/>
            </w:tcBorders>
            <w:shd w:val="clear" w:color="000000" w:fill="FFFFFF"/>
            <w:noWrap/>
            <w:vAlign w:val="bottom"/>
            <w:hideMark/>
          </w:tcPr>
          <w:p w14:paraId="5319B54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1C4D6434"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vAlign w:val="bottom"/>
            <w:hideMark/>
          </w:tcPr>
          <w:p w14:paraId="6009E3D3" w14:textId="77777777" w:rsidR="009B164D" w:rsidRPr="009B164D" w:rsidRDefault="009B164D" w:rsidP="009B164D">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Net cashflows from investing activities</w:t>
            </w:r>
          </w:p>
        </w:tc>
        <w:tc>
          <w:tcPr>
            <w:tcW w:w="316" w:type="dxa"/>
            <w:tcBorders>
              <w:top w:val="nil"/>
              <w:left w:val="nil"/>
              <w:bottom w:val="nil"/>
              <w:right w:val="nil"/>
            </w:tcBorders>
            <w:shd w:val="clear" w:color="000000" w:fill="FFFFFF"/>
            <w:noWrap/>
            <w:vAlign w:val="bottom"/>
            <w:hideMark/>
          </w:tcPr>
          <w:p w14:paraId="7675F3A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6127F34"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2EA6C6D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E1C6374" w14:textId="77777777" w:rsidTr="009B164D">
        <w:trPr>
          <w:trHeight w:val="315"/>
        </w:trPr>
        <w:tc>
          <w:tcPr>
            <w:tcW w:w="196" w:type="dxa"/>
            <w:tcBorders>
              <w:top w:val="nil"/>
              <w:left w:val="nil"/>
              <w:bottom w:val="nil"/>
              <w:right w:val="nil"/>
            </w:tcBorders>
            <w:shd w:val="clear" w:color="000000" w:fill="FFFFFF"/>
            <w:noWrap/>
            <w:vAlign w:val="bottom"/>
            <w:hideMark/>
          </w:tcPr>
          <w:p w14:paraId="1874770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470677D2"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60</w:t>
            </w:r>
          </w:p>
        </w:tc>
        <w:tc>
          <w:tcPr>
            <w:tcW w:w="6696" w:type="dxa"/>
            <w:tcBorders>
              <w:top w:val="nil"/>
              <w:left w:val="nil"/>
              <w:bottom w:val="nil"/>
              <w:right w:val="nil"/>
            </w:tcBorders>
            <w:shd w:val="clear" w:color="000000" w:fill="FFFFFF"/>
            <w:vAlign w:val="bottom"/>
            <w:hideMark/>
          </w:tcPr>
          <w:p w14:paraId="5E2F82F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Proceeds from Sale of Assets</w:t>
            </w:r>
          </w:p>
        </w:tc>
        <w:tc>
          <w:tcPr>
            <w:tcW w:w="316" w:type="dxa"/>
            <w:tcBorders>
              <w:top w:val="nil"/>
              <w:left w:val="nil"/>
              <w:bottom w:val="nil"/>
              <w:right w:val="nil"/>
            </w:tcBorders>
            <w:shd w:val="clear" w:color="000000" w:fill="FFFFFF"/>
            <w:noWrap/>
            <w:vAlign w:val="bottom"/>
            <w:hideMark/>
          </w:tcPr>
          <w:p w14:paraId="5FBF0E3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3F9277A7"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19</w:t>
            </w:r>
          </w:p>
        </w:tc>
        <w:tc>
          <w:tcPr>
            <w:tcW w:w="196" w:type="dxa"/>
            <w:tcBorders>
              <w:top w:val="nil"/>
              <w:left w:val="nil"/>
              <w:bottom w:val="nil"/>
              <w:right w:val="nil"/>
            </w:tcBorders>
            <w:shd w:val="clear" w:color="000000" w:fill="FFFFFF"/>
            <w:noWrap/>
            <w:hideMark/>
          </w:tcPr>
          <w:p w14:paraId="710529A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FB96C08" w14:textId="77777777" w:rsidTr="009B164D">
        <w:trPr>
          <w:trHeight w:val="315"/>
        </w:trPr>
        <w:tc>
          <w:tcPr>
            <w:tcW w:w="196" w:type="dxa"/>
            <w:tcBorders>
              <w:top w:val="nil"/>
              <w:left w:val="nil"/>
              <w:bottom w:val="nil"/>
              <w:right w:val="nil"/>
            </w:tcBorders>
            <w:shd w:val="clear" w:color="000000" w:fill="FFFFFF"/>
            <w:noWrap/>
            <w:vAlign w:val="bottom"/>
            <w:hideMark/>
          </w:tcPr>
          <w:p w14:paraId="52204D5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3C446B69"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6696" w:type="dxa"/>
            <w:tcBorders>
              <w:top w:val="nil"/>
              <w:left w:val="nil"/>
              <w:bottom w:val="nil"/>
              <w:right w:val="nil"/>
            </w:tcBorders>
            <w:shd w:val="clear" w:color="000000" w:fill="FFFFFF"/>
            <w:noWrap/>
            <w:vAlign w:val="bottom"/>
            <w:hideMark/>
          </w:tcPr>
          <w:p w14:paraId="27D95C5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58B803C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6755CB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7F7251C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AE96EB4" w14:textId="77777777" w:rsidTr="009B164D">
        <w:trPr>
          <w:trHeight w:val="315"/>
        </w:trPr>
        <w:tc>
          <w:tcPr>
            <w:tcW w:w="196" w:type="dxa"/>
            <w:tcBorders>
              <w:top w:val="nil"/>
              <w:left w:val="nil"/>
              <w:bottom w:val="nil"/>
              <w:right w:val="nil"/>
            </w:tcBorders>
            <w:shd w:val="clear" w:color="000000" w:fill="FFFFFF"/>
            <w:noWrap/>
            <w:vAlign w:val="bottom"/>
            <w:hideMark/>
          </w:tcPr>
          <w:p w14:paraId="6772563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C00000"/>
            <w:noWrap/>
            <w:vAlign w:val="bottom"/>
            <w:hideMark/>
          </w:tcPr>
          <w:p w14:paraId="286301C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(3,880)</w:t>
            </w:r>
          </w:p>
        </w:tc>
        <w:tc>
          <w:tcPr>
            <w:tcW w:w="6696" w:type="dxa"/>
            <w:tcBorders>
              <w:top w:val="nil"/>
              <w:left w:val="nil"/>
              <w:bottom w:val="nil"/>
              <w:right w:val="nil"/>
            </w:tcBorders>
            <w:shd w:val="clear" w:color="000000" w:fill="C00000"/>
            <w:noWrap/>
            <w:vAlign w:val="bottom"/>
            <w:hideMark/>
          </w:tcPr>
          <w:p w14:paraId="79482228"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Increase /Decrease (-) in cash and cash equivalents</w:t>
            </w:r>
          </w:p>
        </w:tc>
        <w:tc>
          <w:tcPr>
            <w:tcW w:w="316" w:type="dxa"/>
            <w:tcBorders>
              <w:top w:val="nil"/>
              <w:left w:val="nil"/>
              <w:bottom w:val="nil"/>
              <w:right w:val="nil"/>
            </w:tcBorders>
            <w:shd w:val="clear" w:color="000000" w:fill="C00000"/>
            <w:noWrap/>
            <w:vAlign w:val="bottom"/>
            <w:hideMark/>
          </w:tcPr>
          <w:p w14:paraId="5F5343D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nil"/>
              <w:left w:val="nil"/>
              <w:bottom w:val="nil"/>
              <w:right w:val="single" w:sz="4" w:space="0" w:color="auto"/>
            </w:tcBorders>
            <w:shd w:val="clear" w:color="000000" w:fill="C00000"/>
            <w:noWrap/>
            <w:vAlign w:val="bottom"/>
            <w:hideMark/>
          </w:tcPr>
          <w:p w14:paraId="185DFA0E"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(703)</w:t>
            </w:r>
          </w:p>
        </w:tc>
        <w:tc>
          <w:tcPr>
            <w:tcW w:w="196" w:type="dxa"/>
            <w:tcBorders>
              <w:top w:val="nil"/>
              <w:left w:val="nil"/>
              <w:bottom w:val="nil"/>
              <w:right w:val="nil"/>
            </w:tcBorders>
            <w:shd w:val="clear" w:color="000000" w:fill="FFFFFF"/>
            <w:noWrap/>
            <w:hideMark/>
          </w:tcPr>
          <w:p w14:paraId="684E9CF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2962D87" w14:textId="77777777" w:rsidTr="009B164D">
        <w:trPr>
          <w:trHeight w:val="315"/>
        </w:trPr>
        <w:tc>
          <w:tcPr>
            <w:tcW w:w="196" w:type="dxa"/>
            <w:tcBorders>
              <w:top w:val="nil"/>
              <w:left w:val="nil"/>
              <w:bottom w:val="nil"/>
              <w:right w:val="nil"/>
            </w:tcBorders>
            <w:shd w:val="clear" w:color="000000" w:fill="FFFFFF"/>
            <w:noWrap/>
            <w:vAlign w:val="bottom"/>
            <w:hideMark/>
          </w:tcPr>
          <w:p w14:paraId="5848AC3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77044027"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6,688</w:t>
            </w:r>
          </w:p>
        </w:tc>
        <w:tc>
          <w:tcPr>
            <w:tcW w:w="6696" w:type="dxa"/>
            <w:tcBorders>
              <w:top w:val="nil"/>
              <w:left w:val="nil"/>
              <w:bottom w:val="nil"/>
              <w:right w:val="nil"/>
            </w:tcBorders>
            <w:shd w:val="clear" w:color="000000" w:fill="FFFFFF"/>
            <w:noWrap/>
            <w:vAlign w:val="bottom"/>
            <w:hideMark/>
          </w:tcPr>
          <w:p w14:paraId="791E078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Cash and Cash equivalents at the beginning of the reporting period</w:t>
            </w:r>
          </w:p>
        </w:tc>
        <w:tc>
          <w:tcPr>
            <w:tcW w:w="316" w:type="dxa"/>
            <w:tcBorders>
              <w:top w:val="nil"/>
              <w:left w:val="nil"/>
              <w:bottom w:val="nil"/>
              <w:right w:val="nil"/>
            </w:tcBorders>
            <w:shd w:val="clear" w:color="000000" w:fill="FFFFFF"/>
            <w:noWrap/>
            <w:vAlign w:val="bottom"/>
            <w:hideMark/>
          </w:tcPr>
          <w:p w14:paraId="1013036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447780E1"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2,808</w:t>
            </w:r>
          </w:p>
        </w:tc>
        <w:tc>
          <w:tcPr>
            <w:tcW w:w="196" w:type="dxa"/>
            <w:tcBorders>
              <w:top w:val="nil"/>
              <w:left w:val="nil"/>
              <w:bottom w:val="nil"/>
              <w:right w:val="nil"/>
            </w:tcBorders>
            <w:shd w:val="clear" w:color="000000" w:fill="FFFFFF"/>
            <w:noWrap/>
            <w:hideMark/>
          </w:tcPr>
          <w:p w14:paraId="3798237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AB13C2E" w14:textId="77777777" w:rsidTr="009B164D">
        <w:trPr>
          <w:trHeight w:val="315"/>
        </w:trPr>
        <w:tc>
          <w:tcPr>
            <w:tcW w:w="196" w:type="dxa"/>
            <w:tcBorders>
              <w:top w:val="nil"/>
              <w:left w:val="nil"/>
              <w:bottom w:val="nil"/>
              <w:right w:val="nil"/>
            </w:tcBorders>
            <w:shd w:val="clear" w:color="000000" w:fill="FFFFFF"/>
            <w:noWrap/>
            <w:vAlign w:val="bottom"/>
            <w:hideMark/>
          </w:tcPr>
          <w:p w14:paraId="365D79F2"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single" w:sz="4" w:space="0" w:color="auto"/>
              <w:bottom w:val="nil"/>
              <w:right w:val="nil"/>
            </w:tcBorders>
            <w:shd w:val="clear" w:color="000000" w:fill="FFE1E1"/>
            <w:noWrap/>
            <w:vAlign w:val="bottom"/>
            <w:hideMark/>
          </w:tcPr>
          <w:p w14:paraId="3B1C13F4"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 </w:t>
            </w:r>
          </w:p>
        </w:tc>
        <w:tc>
          <w:tcPr>
            <w:tcW w:w="6696" w:type="dxa"/>
            <w:tcBorders>
              <w:top w:val="nil"/>
              <w:left w:val="nil"/>
              <w:bottom w:val="nil"/>
              <w:right w:val="nil"/>
            </w:tcBorders>
            <w:shd w:val="clear" w:color="000000" w:fill="FFFFFF"/>
            <w:noWrap/>
            <w:vAlign w:val="bottom"/>
            <w:hideMark/>
          </w:tcPr>
          <w:p w14:paraId="3F3645B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vAlign w:val="bottom"/>
            <w:hideMark/>
          </w:tcPr>
          <w:p w14:paraId="201D61A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single" w:sz="4" w:space="0" w:color="auto"/>
            </w:tcBorders>
            <w:shd w:val="clear" w:color="000000" w:fill="FFE1E1"/>
            <w:noWrap/>
            <w:vAlign w:val="bottom"/>
            <w:hideMark/>
          </w:tcPr>
          <w:p w14:paraId="2238649E" w14:textId="77777777" w:rsidR="009B164D" w:rsidRPr="009B164D" w:rsidRDefault="009B164D" w:rsidP="009B164D">
            <w:pPr>
              <w:spacing w:after="0" w:line="240" w:lineRule="auto"/>
              <w:jc w:val="right"/>
              <w:rPr>
                <w:rFonts w:ascii="Calibri" w:eastAsia="Times New Roman" w:hAnsi="Calibri" w:cs="Calibri"/>
                <w:b/>
                <w:bCs/>
                <w:lang w:eastAsia="en-GB"/>
              </w:rPr>
            </w:pPr>
            <w:r w:rsidRPr="009B164D">
              <w:rPr>
                <w:rFonts w:ascii="Calibri" w:eastAsia="Times New Roman" w:hAnsi="Calibri" w:cs="Calibri"/>
                <w:b/>
                <w:bCs/>
                <w:lang w:eastAsia="en-GB"/>
              </w:rPr>
              <w:t> </w:t>
            </w:r>
          </w:p>
        </w:tc>
        <w:tc>
          <w:tcPr>
            <w:tcW w:w="196" w:type="dxa"/>
            <w:tcBorders>
              <w:top w:val="nil"/>
              <w:left w:val="nil"/>
              <w:bottom w:val="nil"/>
              <w:right w:val="nil"/>
            </w:tcBorders>
            <w:shd w:val="clear" w:color="000000" w:fill="FFFFFF"/>
            <w:noWrap/>
            <w:hideMark/>
          </w:tcPr>
          <w:p w14:paraId="6878BB2A"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49F40698" w14:textId="77777777" w:rsidTr="009B164D">
        <w:trPr>
          <w:trHeight w:val="315"/>
        </w:trPr>
        <w:tc>
          <w:tcPr>
            <w:tcW w:w="196" w:type="dxa"/>
            <w:tcBorders>
              <w:top w:val="nil"/>
              <w:left w:val="nil"/>
              <w:bottom w:val="nil"/>
              <w:right w:val="nil"/>
            </w:tcBorders>
            <w:shd w:val="clear" w:color="000000" w:fill="FFFFFF"/>
            <w:noWrap/>
            <w:vAlign w:val="bottom"/>
            <w:hideMark/>
          </w:tcPr>
          <w:p w14:paraId="7C5EAF9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single" w:sz="4" w:space="0" w:color="auto"/>
              <w:left w:val="single" w:sz="4" w:space="0" w:color="auto"/>
              <w:bottom w:val="single" w:sz="4" w:space="0" w:color="auto"/>
              <w:right w:val="nil"/>
            </w:tcBorders>
            <w:shd w:val="clear" w:color="000000" w:fill="C00000"/>
            <w:noWrap/>
            <w:vAlign w:val="bottom"/>
            <w:hideMark/>
          </w:tcPr>
          <w:p w14:paraId="57821515"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2,808</w:t>
            </w:r>
          </w:p>
        </w:tc>
        <w:tc>
          <w:tcPr>
            <w:tcW w:w="6696" w:type="dxa"/>
            <w:tcBorders>
              <w:top w:val="single" w:sz="4" w:space="0" w:color="auto"/>
              <w:left w:val="nil"/>
              <w:bottom w:val="single" w:sz="4" w:space="0" w:color="auto"/>
              <w:right w:val="nil"/>
            </w:tcBorders>
            <w:shd w:val="clear" w:color="000000" w:fill="C00000"/>
            <w:noWrap/>
            <w:vAlign w:val="bottom"/>
            <w:hideMark/>
          </w:tcPr>
          <w:p w14:paraId="346FA484"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Cash and Cash equivalents at the end of the reporting period</w:t>
            </w:r>
          </w:p>
        </w:tc>
        <w:tc>
          <w:tcPr>
            <w:tcW w:w="316" w:type="dxa"/>
            <w:tcBorders>
              <w:top w:val="single" w:sz="4" w:space="0" w:color="auto"/>
              <w:left w:val="nil"/>
              <w:bottom w:val="single" w:sz="4" w:space="0" w:color="auto"/>
              <w:right w:val="nil"/>
            </w:tcBorders>
            <w:shd w:val="clear" w:color="000000" w:fill="C00000"/>
            <w:noWrap/>
            <w:vAlign w:val="bottom"/>
            <w:hideMark/>
          </w:tcPr>
          <w:p w14:paraId="3A072648"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716" w:type="dxa"/>
            <w:tcBorders>
              <w:top w:val="single" w:sz="4" w:space="0" w:color="auto"/>
              <w:left w:val="nil"/>
              <w:bottom w:val="single" w:sz="4" w:space="0" w:color="auto"/>
              <w:right w:val="single" w:sz="4" w:space="0" w:color="auto"/>
            </w:tcBorders>
            <w:shd w:val="clear" w:color="000000" w:fill="C00000"/>
            <w:noWrap/>
            <w:vAlign w:val="bottom"/>
            <w:hideMark/>
          </w:tcPr>
          <w:p w14:paraId="3F54793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2,105</w:t>
            </w:r>
          </w:p>
        </w:tc>
        <w:tc>
          <w:tcPr>
            <w:tcW w:w="196" w:type="dxa"/>
            <w:tcBorders>
              <w:top w:val="nil"/>
              <w:left w:val="nil"/>
              <w:bottom w:val="nil"/>
              <w:right w:val="nil"/>
            </w:tcBorders>
            <w:shd w:val="clear" w:color="000000" w:fill="FFFFFF"/>
            <w:noWrap/>
            <w:hideMark/>
          </w:tcPr>
          <w:p w14:paraId="26BA08E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6343B43B" w14:textId="77777777" w:rsidTr="009B164D">
        <w:trPr>
          <w:trHeight w:val="225"/>
        </w:trPr>
        <w:tc>
          <w:tcPr>
            <w:tcW w:w="196" w:type="dxa"/>
            <w:tcBorders>
              <w:top w:val="nil"/>
              <w:left w:val="nil"/>
              <w:bottom w:val="nil"/>
              <w:right w:val="nil"/>
            </w:tcBorders>
            <w:shd w:val="clear" w:color="000000" w:fill="FFFFFF"/>
            <w:noWrap/>
            <w:vAlign w:val="bottom"/>
            <w:hideMark/>
          </w:tcPr>
          <w:p w14:paraId="31ADC10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96" w:type="dxa"/>
            <w:tcBorders>
              <w:top w:val="nil"/>
              <w:left w:val="nil"/>
              <w:bottom w:val="nil"/>
              <w:right w:val="nil"/>
            </w:tcBorders>
            <w:shd w:val="clear" w:color="000000" w:fill="FFFFFF"/>
            <w:noWrap/>
            <w:vAlign w:val="bottom"/>
            <w:hideMark/>
          </w:tcPr>
          <w:p w14:paraId="71D3BC4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6696" w:type="dxa"/>
            <w:tcBorders>
              <w:top w:val="nil"/>
              <w:left w:val="nil"/>
              <w:bottom w:val="nil"/>
              <w:right w:val="nil"/>
            </w:tcBorders>
            <w:shd w:val="clear" w:color="000000" w:fill="FFFFFF"/>
            <w:noWrap/>
            <w:vAlign w:val="bottom"/>
            <w:hideMark/>
          </w:tcPr>
          <w:p w14:paraId="62EBD91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316" w:type="dxa"/>
            <w:tcBorders>
              <w:top w:val="nil"/>
              <w:left w:val="nil"/>
              <w:bottom w:val="nil"/>
              <w:right w:val="nil"/>
            </w:tcBorders>
            <w:shd w:val="clear" w:color="000000" w:fill="FFFFFF"/>
            <w:noWrap/>
            <w:hideMark/>
          </w:tcPr>
          <w:p w14:paraId="0CF4692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716" w:type="dxa"/>
            <w:tcBorders>
              <w:top w:val="nil"/>
              <w:left w:val="nil"/>
              <w:bottom w:val="nil"/>
              <w:right w:val="nil"/>
            </w:tcBorders>
            <w:shd w:val="clear" w:color="000000" w:fill="FFFFFF"/>
            <w:noWrap/>
            <w:vAlign w:val="bottom"/>
            <w:hideMark/>
          </w:tcPr>
          <w:p w14:paraId="1771D0B0"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hideMark/>
          </w:tcPr>
          <w:p w14:paraId="045F9E2C"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379D682C" w14:textId="4FD9EB6F" w:rsidR="00B93B94" w:rsidRPr="007F07C2" w:rsidRDefault="00B93B94" w:rsidP="0079406E">
      <w:pPr>
        <w:pStyle w:val="Default"/>
        <w:rPr>
          <w:rFonts w:asciiTheme="minorHAnsi" w:hAnsiTheme="minorHAnsi"/>
          <w:b/>
          <w:bCs/>
          <w:color w:val="auto"/>
          <w:sz w:val="28"/>
          <w:szCs w:val="28"/>
        </w:rPr>
      </w:pPr>
    </w:p>
    <w:p w14:paraId="2CB24045" w14:textId="77777777" w:rsidR="00B93B94" w:rsidRPr="007F07C2" w:rsidRDefault="00B93B94" w:rsidP="0079406E">
      <w:pPr>
        <w:pStyle w:val="Default"/>
        <w:rPr>
          <w:rFonts w:asciiTheme="minorHAnsi" w:hAnsiTheme="minorHAnsi"/>
          <w:b/>
          <w:bCs/>
          <w:color w:val="auto"/>
          <w:sz w:val="28"/>
          <w:szCs w:val="28"/>
        </w:rPr>
      </w:pPr>
    </w:p>
    <w:p w14:paraId="4D585A34" w14:textId="77777777" w:rsidR="00B93B94" w:rsidRPr="007F07C2" w:rsidRDefault="00B93B94" w:rsidP="0079406E">
      <w:pPr>
        <w:pStyle w:val="Default"/>
        <w:rPr>
          <w:rFonts w:asciiTheme="minorHAnsi" w:hAnsiTheme="minorHAnsi"/>
          <w:b/>
          <w:bCs/>
          <w:color w:val="auto"/>
          <w:sz w:val="28"/>
          <w:szCs w:val="28"/>
        </w:rPr>
      </w:pPr>
    </w:p>
    <w:p w14:paraId="51894D23" w14:textId="77777777" w:rsidR="00B93B94" w:rsidRPr="007F07C2" w:rsidRDefault="00B93B94" w:rsidP="0079406E">
      <w:pPr>
        <w:pStyle w:val="Default"/>
        <w:rPr>
          <w:rFonts w:asciiTheme="minorHAnsi" w:hAnsiTheme="minorHAnsi"/>
          <w:b/>
          <w:bCs/>
          <w:color w:val="auto"/>
          <w:sz w:val="28"/>
          <w:szCs w:val="28"/>
        </w:rPr>
      </w:pPr>
    </w:p>
    <w:p w14:paraId="1B612629" w14:textId="77777777" w:rsidR="009B7B6C" w:rsidRPr="007F07C2" w:rsidRDefault="009B7B6C" w:rsidP="0079406E">
      <w:pPr>
        <w:pStyle w:val="Default"/>
        <w:rPr>
          <w:rFonts w:asciiTheme="minorHAnsi" w:hAnsiTheme="minorHAnsi"/>
          <w:b/>
          <w:bCs/>
          <w:color w:val="auto"/>
          <w:sz w:val="28"/>
          <w:szCs w:val="28"/>
        </w:rPr>
      </w:pPr>
    </w:p>
    <w:p w14:paraId="7901C2B1" w14:textId="77777777" w:rsidR="009B7B6C" w:rsidRPr="007F07C2" w:rsidRDefault="009B7B6C" w:rsidP="0079406E">
      <w:pPr>
        <w:pStyle w:val="Default"/>
        <w:rPr>
          <w:rFonts w:asciiTheme="minorHAnsi" w:hAnsiTheme="minorHAnsi"/>
          <w:b/>
          <w:bCs/>
          <w:color w:val="auto"/>
          <w:sz w:val="28"/>
          <w:szCs w:val="28"/>
        </w:rPr>
      </w:pPr>
    </w:p>
    <w:p w14:paraId="5396EB4C" w14:textId="77777777" w:rsidR="009B7B6C" w:rsidRPr="007F07C2" w:rsidRDefault="009B7B6C" w:rsidP="0079406E">
      <w:pPr>
        <w:pStyle w:val="Default"/>
        <w:rPr>
          <w:rFonts w:asciiTheme="minorHAnsi" w:hAnsiTheme="minorHAnsi"/>
          <w:b/>
          <w:bCs/>
          <w:color w:val="auto"/>
          <w:sz w:val="28"/>
          <w:szCs w:val="28"/>
        </w:rPr>
      </w:pPr>
    </w:p>
    <w:p w14:paraId="5FCDAB22" w14:textId="77777777" w:rsidR="009B7B6C" w:rsidRPr="007F07C2" w:rsidRDefault="009B7B6C" w:rsidP="0079406E">
      <w:pPr>
        <w:pStyle w:val="Default"/>
        <w:rPr>
          <w:rFonts w:asciiTheme="minorHAnsi" w:hAnsiTheme="minorHAnsi"/>
          <w:b/>
          <w:bCs/>
          <w:color w:val="auto"/>
          <w:sz w:val="28"/>
          <w:szCs w:val="28"/>
        </w:rPr>
      </w:pPr>
    </w:p>
    <w:p w14:paraId="702B2019" w14:textId="77777777" w:rsidR="009B7B6C" w:rsidRPr="007F07C2" w:rsidRDefault="009B7B6C" w:rsidP="0079406E">
      <w:pPr>
        <w:pStyle w:val="Default"/>
        <w:rPr>
          <w:rFonts w:asciiTheme="minorHAnsi" w:hAnsiTheme="minorHAnsi"/>
          <w:b/>
          <w:bCs/>
          <w:color w:val="auto"/>
          <w:sz w:val="28"/>
          <w:szCs w:val="28"/>
        </w:rPr>
      </w:pPr>
    </w:p>
    <w:p w14:paraId="417B5CBD" w14:textId="77777777" w:rsidR="009B7B6C" w:rsidRPr="007F07C2" w:rsidRDefault="009B7B6C" w:rsidP="0079406E">
      <w:pPr>
        <w:pStyle w:val="Default"/>
        <w:rPr>
          <w:rFonts w:asciiTheme="minorHAnsi" w:hAnsiTheme="minorHAnsi"/>
          <w:b/>
          <w:bCs/>
          <w:color w:val="auto"/>
          <w:sz w:val="28"/>
          <w:szCs w:val="28"/>
        </w:rPr>
      </w:pPr>
    </w:p>
    <w:p w14:paraId="34A189AA" w14:textId="609A33FE" w:rsidR="00B60D1C" w:rsidRDefault="00B60D1C" w:rsidP="0079406E">
      <w:pPr>
        <w:pStyle w:val="Default"/>
        <w:rPr>
          <w:rFonts w:asciiTheme="minorHAnsi" w:hAnsiTheme="minorHAnsi"/>
          <w:b/>
          <w:bCs/>
          <w:color w:val="auto"/>
          <w:sz w:val="28"/>
          <w:szCs w:val="28"/>
        </w:rPr>
      </w:pPr>
    </w:p>
    <w:p w14:paraId="16C98D4A" w14:textId="4D3E0694" w:rsidR="007220F7" w:rsidRDefault="007220F7" w:rsidP="0079406E">
      <w:pPr>
        <w:pStyle w:val="Default"/>
        <w:rPr>
          <w:rFonts w:asciiTheme="minorHAnsi" w:hAnsiTheme="minorHAnsi"/>
          <w:b/>
          <w:bCs/>
          <w:color w:val="auto"/>
          <w:sz w:val="28"/>
          <w:szCs w:val="28"/>
        </w:rPr>
      </w:pPr>
    </w:p>
    <w:p w14:paraId="5F8F4C88" w14:textId="1777E569" w:rsidR="007220F7" w:rsidRDefault="007220F7" w:rsidP="0079406E">
      <w:pPr>
        <w:pStyle w:val="Default"/>
        <w:rPr>
          <w:rFonts w:asciiTheme="minorHAnsi" w:hAnsiTheme="minorHAnsi"/>
          <w:b/>
          <w:bCs/>
          <w:color w:val="auto"/>
          <w:sz w:val="28"/>
          <w:szCs w:val="28"/>
        </w:rPr>
      </w:pPr>
    </w:p>
    <w:p w14:paraId="6DA8A51D" w14:textId="79D33DAC" w:rsidR="007220F7" w:rsidRDefault="007220F7" w:rsidP="0079406E">
      <w:pPr>
        <w:pStyle w:val="Default"/>
        <w:rPr>
          <w:rFonts w:asciiTheme="minorHAnsi" w:hAnsiTheme="minorHAnsi"/>
          <w:b/>
          <w:bCs/>
          <w:color w:val="auto"/>
          <w:sz w:val="28"/>
          <w:szCs w:val="28"/>
        </w:rPr>
      </w:pPr>
    </w:p>
    <w:p w14:paraId="4729888D" w14:textId="77777777" w:rsidR="009B164D" w:rsidRDefault="009B164D" w:rsidP="0079406E">
      <w:pPr>
        <w:pStyle w:val="Default"/>
        <w:rPr>
          <w:rFonts w:asciiTheme="minorHAnsi" w:hAnsiTheme="minorHAnsi"/>
          <w:b/>
          <w:bCs/>
          <w:color w:val="auto"/>
          <w:sz w:val="28"/>
          <w:szCs w:val="28"/>
        </w:rPr>
      </w:pPr>
    </w:p>
    <w:p w14:paraId="6AE223C5" w14:textId="4C507F1E" w:rsidR="00103626" w:rsidRPr="007F07C2" w:rsidRDefault="00103626"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lastRenderedPageBreak/>
        <w:t xml:space="preserve">NOTES TO THE ACCOUNTS </w:t>
      </w:r>
    </w:p>
    <w:p w14:paraId="008321F3" w14:textId="57873116" w:rsidR="00103626" w:rsidRPr="00635F47" w:rsidRDefault="00103626" w:rsidP="0079406E">
      <w:pPr>
        <w:pStyle w:val="Default"/>
        <w:rPr>
          <w:rFonts w:asciiTheme="minorHAnsi" w:hAnsiTheme="minorHAnsi"/>
          <w:color w:val="auto"/>
          <w:sz w:val="22"/>
          <w:szCs w:val="22"/>
        </w:rPr>
      </w:pPr>
      <w:r w:rsidRPr="00635F47">
        <w:rPr>
          <w:rFonts w:asciiTheme="minorHAnsi" w:hAnsiTheme="minorHAnsi"/>
          <w:color w:val="auto"/>
          <w:sz w:val="22"/>
          <w:szCs w:val="22"/>
        </w:rPr>
        <w:t xml:space="preserve">The notes provided in the following pages are intended to aid interpretation of the financial statements set out on pages </w:t>
      </w:r>
      <w:r w:rsidR="00590822" w:rsidRPr="00635F47">
        <w:rPr>
          <w:rFonts w:asciiTheme="minorHAnsi" w:hAnsiTheme="minorHAnsi"/>
          <w:color w:val="auto"/>
          <w:sz w:val="22"/>
          <w:szCs w:val="22"/>
        </w:rPr>
        <w:t>2</w:t>
      </w:r>
      <w:r w:rsidR="0039276D">
        <w:rPr>
          <w:rFonts w:asciiTheme="minorHAnsi" w:hAnsiTheme="minorHAnsi"/>
          <w:color w:val="auto"/>
          <w:sz w:val="22"/>
          <w:szCs w:val="22"/>
        </w:rPr>
        <w:t>2</w:t>
      </w:r>
      <w:r w:rsidR="003D680F" w:rsidRPr="00635F47">
        <w:rPr>
          <w:rFonts w:asciiTheme="minorHAnsi" w:hAnsiTheme="minorHAnsi"/>
          <w:color w:val="auto"/>
          <w:sz w:val="22"/>
          <w:szCs w:val="22"/>
        </w:rPr>
        <w:t xml:space="preserve"> to </w:t>
      </w:r>
      <w:r w:rsidR="0039276D">
        <w:rPr>
          <w:rFonts w:asciiTheme="minorHAnsi" w:hAnsiTheme="minorHAnsi"/>
          <w:color w:val="auto"/>
          <w:sz w:val="22"/>
          <w:szCs w:val="22"/>
        </w:rPr>
        <w:t>25</w:t>
      </w:r>
      <w:r w:rsidRPr="00635F47">
        <w:rPr>
          <w:rFonts w:asciiTheme="minorHAnsi" w:hAnsiTheme="minorHAnsi"/>
          <w:color w:val="auto"/>
          <w:sz w:val="22"/>
          <w:szCs w:val="22"/>
        </w:rPr>
        <w:t xml:space="preserve"> and provide further information upon the financial perform</w:t>
      </w:r>
      <w:r w:rsidR="004F5BD2" w:rsidRPr="00635F47">
        <w:rPr>
          <w:rFonts w:asciiTheme="minorHAnsi" w:hAnsiTheme="minorHAnsi"/>
          <w:color w:val="auto"/>
          <w:sz w:val="22"/>
          <w:szCs w:val="22"/>
        </w:rPr>
        <w:t>ance of the Authority during 202</w:t>
      </w:r>
      <w:r w:rsidR="00EE0919" w:rsidRPr="00635F47">
        <w:rPr>
          <w:rFonts w:asciiTheme="minorHAnsi" w:hAnsiTheme="minorHAnsi"/>
          <w:color w:val="auto"/>
          <w:sz w:val="22"/>
          <w:szCs w:val="22"/>
        </w:rPr>
        <w:t>1</w:t>
      </w:r>
      <w:r w:rsidRPr="00635F47">
        <w:rPr>
          <w:rFonts w:asciiTheme="minorHAnsi" w:hAnsiTheme="minorHAnsi"/>
          <w:color w:val="auto"/>
          <w:sz w:val="22"/>
          <w:szCs w:val="22"/>
        </w:rPr>
        <w:t>/</w:t>
      </w:r>
      <w:r w:rsidR="004F5BD2" w:rsidRPr="00635F47">
        <w:rPr>
          <w:rFonts w:asciiTheme="minorHAnsi" w:hAnsiTheme="minorHAnsi"/>
          <w:color w:val="auto"/>
          <w:sz w:val="22"/>
          <w:szCs w:val="22"/>
        </w:rPr>
        <w:t>2</w:t>
      </w:r>
      <w:r w:rsidR="00EE0919" w:rsidRPr="00635F47">
        <w:rPr>
          <w:rFonts w:asciiTheme="minorHAnsi" w:hAnsiTheme="minorHAnsi"/>
          <w:color w:val="auto"/>
          <w:sz w:val="22"/>
          <w:szCs w:val="22"/>
        </w:rPr>
        <w:t>2</w:t>
      </w:r>
      <w:r w:rsidRPr="00635F47">
        <w:rPr>
          <w:rFonts w:asciiTheme="minorHAnsi" w:hAnsiTheme="minorHAnsi"/>
          <w:color w:val="auto"/>
          <w:sz w:val="22"/>
          <w:szCs w:val="22"/>
        </w:rPr>
        <w:t xml:space="preserve">. </w:t>
      </w:r>
    </w:p>
    <w:p w14:paraId="41BA119D" w14:textId="77777777" w:rsidR="00814211" w:rsidRPr="00DE1AE6" w:rsidRDefault="00814211" w:rsidP="0079406E">
      <w:pPr>
        <w:pStyle w:val="Default"/>
        <w:rPr>
          <w:rFonts w:asciiTheme="minorHAnsi" w:hAnsiTheme="minorHAnsi"/>
          <w:color w:val="auto"/>
          <w:sz w:val="22"/>
          <w:szCs w:val="22"/>
        </w:rPr>
      </w:pPr>
    </w:p>
    <w:p w14:paraId="0424A037" w14:textId="08C34929" w:rsidR="00103626" w:rsidRPr="00DE1AE6" w:rsidRDefault="00103626" w:rsidP="00DE1AE6">
      <w:pPr>
        <w:pStyle w:val="Default"/>
        <w:rPr>
          <w:rFonts w:asciiTheme="minorHAnsi" w:hAnsiTheme="minorHAnsi"/>
          <w:b/>
          <w:bCs/>
          <w:color w:val="auto"/>
          <w:sz w:val="28"/>
          <w:szCs w:val="28"/>
        </w:rPr>
      </w:pPr>
      <w:r w:rsidRPr="007F07C2">
        <w:rPr>
          <w:rFonts w:asciiTheme="minorHAnsi" w:hAnsiTheme="minorHAnsi"/>
          <w:b/>
          <w:bCs/>
          <w:color w:val="auto"/>
          <w:sz w:val="28"/>
          <w:szCs w:val="28"/>
        </w:rPr>
        <w:t>1 Expenditure and Funding Analysis</w:t>
      </w:r>
    </w:p>
    <w:p w14:paraId="287CD77E" w14:textId="54760CE7" w:rsidR="009B164D" w:rsidRDefault="00103626" w:rsidP="00DE1AE6">
      <w:pPr>
        <w:pStyle w:val="Default"/>
        <w:rPr>
          <w:rFonts w:asciiTheme="minorHAnsi" w:hAnsiTheme="minorHAnsi" w:cstheme="minorBidi"/>
          <w:color w:val="auto"/>
          <w:sz w:val="22"/>
          <w:szCs w:val="22"/>
        </w:rPr>
      </w:pPr>
      <w:r w:rsidRPr="007F07C2">
        <w:rPr>
          <w:rFonts w:asciiTheme="minorHAnsi" w:hAnsiTheme="minorHAnsi"/>
          <w:color w:val="auto"/>
          <w:sz w:val="22"/>
          <w:szCs w:val="22"/>
        </w:rPr>
        <w:t>This statement shows how annual expenditure is used and funded from resources (government grants, rents, council tax and business rates) by local authorities in comparison with those resources consumed or earned by authorities in accordance with proper accounting practices. Income and expenditure accounted for under proper accounting practices is presented more fully in the Comprehensive Inc</w:t>
      </w:r>
      <w:r w:rsidR="00207F3A" w:rsidRPr="007F07C2">
        <w:rPr>
          <w:rFonts w:asciiTheme="minorHAnsi" w:hAnsiTheme="minorHAnsi"/>
          <w:color w:val="auto"/>
          <w:sz w:val="22"/>
          <w:szCs w:val="22"/>
        </w:rPr>
        <w:t xml:space="preserve">ome and Expenditure Statement. </w:t>
      </w:r>
    </w:p>
    <w:tbl>
      <w:tblPr>
        <w:tblW w:w="11008" w:type="dxa"/>
        <w:tblLook w:val="04A0" w:firstRow="1" w:lastRow="0" w:firstColumn="1" w:lastColumn="0" w:noHBand="0" w:noVBand="1"/>
      </w:tblPr>
      <w:tblGrid>
        <w:gridCol w:w="266"/>
        <w:gridCol w:w="1058"/>
        <w:gridCol w:w="1168"/>
        <w:gridCol w:w="1417"/>
        <w:gridCol w:w="2364"/>
        <w:gridCol w:w="1619"/>
        <w:gridCol w:w="1315"/>
        <w:gridCol w:w="1535"/>
        <w:gridCol w:w="266"/>
      </w:tblGrid>
      <w:tr w:rsidR="009B164D" w:rsidRPr="009B164D" w14:paraId="4DDF0AA1" w14:textId="77777777" w:rsidTr="00DE1AE6">
        <w:trPr>
          <w:trHeight w:val="92"/>
        </w:trPr>
        <w:tc>
          <w:tcPr>
            <w:tcW w:w="266" w:type="dxa"/>
            <w:tcBorders>
              <w:top w:val="nil"/>
              <w:left w:val="nil"/>
              <w:bottom w:val="nil"/>
              <w:right w:val="nil"/>
            </w:tcBorders>
            <w:shd w:val="clear" w:color="000000" w:fill="FFFFFF"/>
            <w:noWrap/>
            <w:vAlign w:val="bottom"/>
            <w:hideMark/>
          </w:tcPr>
          <w:p w14:paraId="616113E5" w14:textId="0E1DCE3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nil"/>
              <w:bottom w:val="nil"/>
              <w:right w:val="nil"/>
            </w:tcBorders>
            <w:shd w:val="clear" w:color="000000" w:fill="FFFFFF"/>
            <w:noWrap/>
            <w:vAlign w:val="bottom"/>
            <w:hideMark/>
          </w:tcPr>
          <w:p w14:paraId="6445228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168" w:type="dxa"/>
            <w:tcBorders>
              <w:top w:val="nil"/>
              <w:left w:val="nil"/>
              <w:bottom w:val="nil"/>
              <w:right w:val="nil"/>
            </w:tcBorders>
            <w:shd w:val="clear" w:color="000000" w:fill="FFFFFF"/>
            <w:noWrap/>
            <w:vAlign w:val="bottom"/>
            <w:hideMark/>
          </w:tcPr>
          <w:p w14:paraId="4B49F220"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417" w:type="dxa"/>
            <w:tcBorders>
              <w:top w:val="nil"/>
              <w:left w:val="nil"/>
              <w:bottom w:val="nil"/>
              <w:right w:val="nil"/>
            </w:tcBorders>
            <w:shd w:val="clear" w:color="000000" w:fill="FFFFFF"/>
            <w:noWrap/>
            <w:vAlign w:val="bottom"/>
            <w:hideMark/>
          </w:tcPr>
          <w:p w14:paraId="6EDA9D1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364" w:type="dxa"/>
            <w:tcBorders>
              <w:top w:val="nil"/>
              <w:left w:val="nil"/>
              <w:bottom w:val="nil"/>
              <w:right w:val="nil"/>
            </w:tcBorders>
            <w:shd w:val="clear" w:color="000000" w:fill="FFFFFF"/>
            <w:noWrap/>
            <w:hideMark/>
          </w:tcPr>
          <w:p w14:paraId="53C9C25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619" w:type="dxa"/>
            <w:tcBorders>
              <w:top w:val="nil"/>
              <w:left w:val="nil"/>
              <w:bottom w:val="nil"/>
              <w:right w:val="nil"/>
            </w:tcBorders>
            <w:shd w:val="clear" w:color="000000" w:fill="FFFFFF"/>
            <w:noWrap/>
            <w:hideMark/>
          </w:tcPr>
          <w:p w14:paraId="7E325468"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315" w:type="dxa"/>
            <w:tcBorders>
              <w:top w:val="nil"/>
              <w:left w:val="nil"/>
              <w:bottom w:val="nil"/>
              <w:right w:val="nil"/>
            </w:tcBorders>
            <w:shd w:val="clear" w:color="000000" w:fill="FFFFFF"/>
            <w:noWrap/>
            <w:hideMark/>
          </w:tcPr>
          <w:p w14:paraId="6BDD05D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535" w:type="dxa"/>
            <w:tcBorders>
              <w:top w:val="nil"/>
              <w:left w:val="nil"/>
              <w:bottom w:val="nil"/>
              <w:right w:val="nil"/>
            </w:tcBorders>
            <w:shd w:val="clear" w:color="000000" w:fill="FFFFFF"/>
            <w:noWrap/>
            <w:hideMark/>
          </w:tcPr>
          <w:p w14:paraId="19356D2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31A97AF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DF0164F" w14:textId="77777777" w:rsidTr="00DE1AE6">
        <w:trPr>
          <w:trHeight w:val="1468"/>
        </w:trPr>
        <w:tc>
          <w:tcPr>
            <w:tcW w:w="266" w:type="dxa"/>
            <w:tcBorders>
              <w:top w:val="nil"/>
              <w:left w:val="nil"/>
              <w:bottom w:val="nil"/>
              <w:right w:val="nil"/>
            </w:tcBorders>
            <w:shd w:val="clear" w:color="000000" w:fill="FFFFFF"/>
            <w:noWrap/>
            <w:vAlign w:val="bottom"/>
            <w:hideMark/>
          </w:tcPr>
          <w:p w14:paraId="00A7A57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4" w:space="0" w:color="auto"/>
              <w:left w:val="single" w:sz="4" w:space="0" w:color="auto"/>
              <w:bottom w:val="nil"/>
              <w:right w:val="nil"/>
            </w:tcBorders>
            <w:shd w:val="clear" w:color="000000" w:fill="C00000"/>
            <w:hideMark/>
          </w:tcPr>
          <w:p w14:paraId="3A83C469"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Net Surplus Chargeable to the General Fund</w:t>
            </w:r>
          </w:p>
        </w:tc>
        <w:tc>
          <w:tcPr>
            <w:tcW w:w="1168" w:type="dxa"/>
            <w:tcBorders>
              <w:top w:val="single" w:sz="4" w:space="0" w:color="auto"/>
              <w:left w:val="nil"/>
              <w:bottom w:val="nil"/>
              <w:right w:val="nil"/>
            </w:tcBorders>
            <w:shd w:val="clear" w:color="000000" w:fill="C00000"/>
            <w:hideMark/>
          </w:tcPr>
          <w:p w14:paraId="6C12C57D"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Adjustments between Funding and Accounting Basis</w:t>
            </w:r>
          </w:p>
        </w:tc>
        <w:tc>
          <w:tcPr>
            <w:tcW w:w="1417" w:type="dxa"/>
            <w:tcBorders>
              <w:top w:val="single" w:sz="4" w:space="0" w:color="auto"/>
              <w:left w:val="nil"/>
              <w:bottom w:val="nil"/>
              <w:right w:val="nil"/>
            </w:tcBorders>
            <w:shd w:val="clear" w:color="000000" w:fill="C00000"/>
            <w:hideMark/>
          </w:tcPr>
          <w:p w14:paraId="272F2D72" w14:textId="7A809EA5"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2020</w:t>
            </w:r>
            <w:r w:rsidR="00914701">
              <w:rPr>
                <w:rFonts w:ascii="Calibri" w:eastAsia="Times New Roman" w:hAnsi="Calibri" w:cs="Calibri"/>
                <w:b/>
                <w:bCs/>
                <w:color w:val="FFFFFF"/>
                <w:sz w:val="18"/>
                <w:szCs w:val="18"/>
                <w:lang w:eastAsia="en-GB"/>
              </w:rPr>
              <w:t>/</w:t>
            </w:r>
            <w:r w:rsidRPr="009B164D">
              <w:rPr>
                <w:rFonts w:ascii="Calibri" w:eastAsia="Times New Roman" w:hAnsi="Calibri" w:cs="Calibri"/>
                <w:b/>
                <w:bCs/>
                <w:color w:val="FFFFFF"/>
                <w:sz w:val="18"/>
                <w:szCs w:val="18"/>
                <w:lang w:eastAsia="en-GB"/>
              </w:rPr>
              <w:t xml:space="preserve">21 Net Surplus in the Comprehensive Income and Expenditure Statement </w:t>
            </w:r>
          </w:p>
        </w:tc>
        <w:tc>
          <w:tcPr>
            <w:tcW w:w="2364" w:type="dxa"/>
            <w:tcBorders>
              <w:top w:val="single" w:sz="4" w:space="0" w:color="auto"/>
              <w:left w:val="nil"/>
              <w:bottom w:val="nil"/>
              <w:right w:val="nil"/>
            </w:tcBorders>
            <w:shd w:val="clear" w:color="000000" w:fill="C00000"/>
            <w:hideMark/>
          </w:tcPr>
          <w:p w14:paraId="57EF2A95"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 </w:t>
            </w:r>
          </w:p>
        </w:tc>
        <w:tc>
          <w:tcPr>
            <w:tcW w:w="1619" w:type="dxa"/>
            <w:tcBorders>
              <w:top w:val="single" w:sz="4" w:space="0" w:color="auto"/>
              <w:left w:val="nil"/>
              <w:bottom w:val="nil"/>
              <w:right w:val="nil"/>
            </w:tcBorders>
            <w:shd w:val="clear" w:color="000000" w:fill="C00000"/>
            <w:hideMark/>
          </w:tcPr>
          <w:p w14:paraId="0D416A80"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Net Surplus Chargeable to the General Fund</w:t>
            </w:r>
          </w:p>
        </w:tc>
        <w:tc>
          <w:tcPr>
            <w:tcW w:w="1315" w:type="dxa"/>
            <w:tcBorders>
              <w:top w:val="single" w:sz="4" w:space="0" w:color="auto"/>
              <w:left w:val="nil"/>
              <w:bottom w:val="nil"/>
              <w:right w:val="nil"/>
            </w:tcBorders>
            <w:shd w:val="clear" w:color="000000" w:fill="C00000"/>
            <w:hideMark/>
          </w:tcPr>
          <w:p w14:paraId="219F7835" w14:textId="77777777"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Adjustments between Funding and Accounting Basis</w:t>
            </w:r>
          </w:p>
        </w:tc>
        <w:tc>
          <w:tcPr>
            <w:tcW w:w="1535" w:type="dxa"/>
            <w:tcBorders>
              <w:top w:val="single" w:sz="4" w:space="0" w:color="auto"/>
              <w:left w:val="nil"/>
              <w:bottom w:val="nil"/>
              <w:right w:val="single" w:sz="4" w:space="0" w:color="auto"/>
            </w:tcBorders>
            <w:shd w:val="clear" w:color="000000" w:fill="C00000"/>
            <w:hideMark/>
          </w:tcPr>
          <w:p w14:paraId="7DD35C92" w14:textId="14EB754D" w:rsidR="009B164D" w:rsidRPr="009B164D" w:rsidRDefault="009B164D" w:rsidP="009B164D">
            <w:pPr>
              <w:spacing w:after="0" w:line="240" w:lineRule="auto"/>
              <w:jc w:val="right"/>
              <w:rPr>
                <w:rFonts w:ascii="Calibri" w:eastAsia="Times New Roman" w:hAnsi="Calibri" w:cs="Calibri"/>
                <w:b/>
                <w:bCs/>
                <w:color w:val="FFFFFF"/>
                <w:sz w:val="18"/>
                <w:szCs w:val="18"/>
                <w:lang w:eastAsia="en-GB"/>
              </w:rPr>
            </w:pPr>
            <w:r w:rsidRPr="009B164D">
              <w:rPr>
                <w:rFonts w:ascii="Calibri" w:eastAsia="Times New Roman" w:hAnsi="Calibri" w:cs="Calibri"/>
                <w:b/>
                <w:bCs/>
                <w:color w:val="FFFFFF"/>
                <w:sz w:val="18"/>
                <w:szCs w:val="18"/>
                <w:lang w:eastAsia="en-GB"/>
              </w:rPr>
              <w:t>2021</w:t>
            </w:r>
            <w:r w:rsidR="00914701">
              <w:rPr>
                <w:rFonts w:ascii="Calibri" w:eastAsia="Times New Roman" w:hAnsi="Calibri" w:cs="Calibri"/>
                <w:b/>
                <w:bCs/>
                <w:color w:val="FFFFFF"/>
                <w:sz w:val="18"/>
                <w:szCs w:val="18"/>
                <w:lang w:eastAsia="en-GB"/>
              </w:rPr>
              <w:t>/</w:t>
            </w:r>
            <w:r w:rsidRPr="009B164D">
              <w:rPr>
                <w:rFonts w:ascii="Calibri" w:eastAsia="Times New Roman" w:hAnsi="Calibri" w:cs="Calibri"/>
                <w:b/>
                <w:bCs/>
                <w:color w:val="FFFFFF"/>
                <w:sz w:val="18"/>
                <w:szCs w:val="18"/>
                <w:lang w:eastAsia="en-GB"/>
              </w:rPr>
              <w:t xml:space="preserve">22 Net Surplus in the Comprehensive Income and Expenditure Statement </w:t>
            </w:r>
          </w:p>
        </w:tc>
        <w:tc>
          <w:tcPr>
            <w:tcW w:w="266" w:type="dxa"/>
            <w:tcBorders>
              <w:top w:val="nil"/>
              <w:left w:val="nil"/>
              <w:bottom w:val="nil"/>
              <w:right w:val="nil"/>
            </w:tcBorders>
            <w:shd w:val="clear" w:color="000000" w:fill="FFFFFF"/>
            <w:noWrap/>
            <w:vAlign w:val="bottom"/>
            <w:hideMark/>
          </w:tcPr>
          <w:p w14:paraId="30934CA5"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1EBC3294" w14:textId="77777777" w:rsidTr="00DE1AE6">
        <w:trPr>
          <w:trHeight w:val="243"/>
        </w:trPr>
        <w:tc>
          <w:tcPr>
            <w:tcW w:w="266" w:type="dxa"/>
            <w:tcBorders>
              <w:top w:val="nil"/>
              <w:left w:val="nil"/>
              <w:bottom w:val="nil"/>
              <w:right w:val="nil"/>
            </w:tcBorders>
            <w:shd w:val="clear" w:color="000000" w:fill="FFFFFF"/>
            <w:noWrap/>
            <w:vAlign w:val="bottom"/>
            <w:hideMark/>
          </w:tcPr>
          <w:p w14:paraId="1E94894D"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C00000"/>
            <w:noWrap/>
            <w:hideMark/>
          </w:tcPr>
          <w:p w14:paraId="43641614"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168" w:type="dxa"/>
            <w:tcBorders>
              <w:top w:val="nil"/>
              <w:left w:val="nil"/>
              <w:bottom w:val="nil"/>
              <w:right w:val="nil"/>
            </w:tcBorders>
            <w:shd w:val="clear" w:color="000000" w:fill="C00000"/>
            <w:noWrap/>
            <w:hideMark/>
          </w:tcPr>
          <w:p w14:paraId="71AFE590"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417" w:type="dxa"/>
            <w:tcBorders>
              <w:top w:val="nil"/>
              <w:left w:val="nil"/>
              <w:bottom w:val="nil"/>
              <w:right w:val="nil"/>
            </w:tcBorders>
            <w:shd w:val="clear" w:color="000000" w:fill="C00000"/>
            <w:noWrap/>
            <w:hideMark/>
          </w:tcPr>
          <w:p w14:paraId="0406BF8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364" w:type="dxa"/>
            <w:tcBorders>
              <w:top w:val="nil"/>
              <w:left w:val="nil"/>
              <w:bottom w:val="nil"/>
              <w:right w:val="nil"/>
            </w:tcBorders>
            <w:shd w:val="clear" w:color="000000" w:fill="C00000"/>
            <w:noWrap/>
            <w:hideMark/>
          </w:tcPr>
          <w:p w14:paraId="11EE350D"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619" w:type="dxa"/>
            <w:tcBorders>
              <w:top w:val="nil"/>
              <w:left w:val="nil"/>
              <w:bottom w:val="nil"/>
              <w:right w:val="nil"/>
            </w:tcBorders>
            <w:shd w:val="clear" w:color="000000" w:fill="C00000"/>
            <w:noWrap/>
            <w:hideMark/>
          </w:tcPr>
          <w:p w14:paraId="7A75DE21"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315" w:type="dxa"/>
            <w:tcBorders>
              <w:top w:val="nil"/>
              <w:left w:val="nil"/>
              <w:bottom w:val="nil"/>
              <w:right w:val="nil"/>
            </w:tcBorders>
            <w:shd w:val="clear" w:color="000000" w:fill="C00000"/>
            <w:noWrap/>
            <w:hideMark/>
          </w:tcPr>
          <w:p w14:paraId="16D790DA"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1535" w:type="dxa"/>
            <w:tcBorders>
              <w:top w:val="nil"/>
              <w:left w:val="nil"/>
              <w:bottom w:val="nil"/>
              <w:right w:val="single" w:sz="4" w:space="0" w:color="auto"/>
            </w:tcBorders>
            <w:shd w:val="clear" w:color="000000" w:fill="C00000"/>
            <w:noWrap/>
            <w:hideMark/>
          </w:tcPr>
          <w:p w14:paraId="66DCAE3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FFFFFF"/>
            <w:noWrap/>
            <w:vAlign w:val="bottom"/>
            <w:hideMark/>
          </w:tcPr>
          <w:p w14:paraId="3B148EE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57B78025" w14:textId="77777777" w:rsidTr="00DE1AE6">
        <w:trPr>
          <w:trHeight w:val="243"/>
        </w:trPr>
        <w:tc>
          <w:tcPr>
            <w:tcW w:w="266" w:type="dxa"/>
            <w:tcBorders>
              <w:top w:val="nil"/>
              <w:left w:val="nil"/>
              <w:bottom w:val="nil"/>
              <w:right w:val="nil"/>
            </w:tcBorders>
            <w:shd w:val="clear" w:color="000000" w:fill="FFFFFF"/>
            <w:noWrap/>
            <w:vAlign w:val="bottom"/>
            <w:hideMark/>
          </w:tcPr>
          <w:p w14:paraId="34ED23B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FFFF"/>
            <w:noWrap/>
            <w:vAlign w:val="bottom"/>
            <w:hideMark/>
          </w:tcPr>
          <w:p w14:paraId="088110E9"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21,501</w:t>
            </w:r>
          </w:p>
        </w:tc>
        <w:tc>
          <w:tcPr>
            <w:tcW w:w="1168" w:type="dxa"/>
            <w:tcBorders>
              <w:top w:val="single" w:sz="8" w:space="0" w:color="FF0000"/>
              <w:left w:val="nil"/>
              <w:bottom w:val="single" w:sz="8" w:space="0" w:color="FF0000"/>
              <w:right w:val="nil"/>
            </w:tcBorders>
            <w:shd w:val="clear" w:color="000000" w:fill="FFFFFF"/>
            <w:noWrap/>
            <w:vAlign w:val="bottom"/>
            <w:hideMark/>
          </w:tcPr>
          <w:p w14:paraId="5A7268C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1,426</w:t>
            </w:r>
          </w:p>
        </w:tc>
        <w:tc>
          <w:tcPr>
            <w:tcW w:w="1417" w:type="dxa"/>
            <w:tcBorders>
              <w:top w:val="single" w:sz="8" w:space="0" w:color="FF0000"/>
              <w:left w:val="nil"/>
              <w:bottom w:val="single" w:sz="8" w:space="0" w:color="FF0000"/>
              <w:right w:val="nil"/>
            </w:tcBorders>
            <w:shd w:val="clear" w:color="000000" w:fill="FFE1E1"/>
            <w:noWrap/>
            <w:vAlign w:val="bottom"/>
            <w:hideMark/>
          </w:tcPr>
          <w:p w14:paraId="722B561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22,927</w:t>
            </w:r>
          </w:p>
        </w:tc>
        <w:tc>
          <w:tcPr>
            <w:tcW w:w="2364" w:type="dxa"/>
            <w:tcBorders>
              <w:top w:val="single" w:sz="8" w:space="0" w:color="FF0000"/>
              <w:left w:val="nil"/>
              <w:bottom w:val="nil"/>
              <w:right w:val="nil"/>
            </w:tcBorders>
            <w:shd w:val="clear" w:color="000000" w:fill="FFFFFF"/>
            <w:noWrap/>
            <w:vAlign w:val="bottom"/>
            <w:hideMark/>
          </w:tcPr>
          <w:p w14:paraId="039387FB"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Fire and Rescue Services</w:t>
            </w:r>
          </w:p>
        </w:tc>
        <w:tc>
          <w:tcPr>
            <w:tcW w:w="1619" w:type="dxa"/>
            <w:tcBorders>
              <w:top w:val="nil"/>
              <w:left w:val="nil"/>
              <w:bottom w:val="nil"/>
              <w:right w:val="nil"/>
            </w:tcBorders>
            <w:shd w:val="clear" w:color="000000" w:fill="FFFFFF"/>
            <w:noWrap/>
            <w:vAlign w:val="bottom"/>
            <w:hideMark/>
          </w:tcPr>
          <w:p w14:paraId="4DD45BF5" w14:textId="27E5C248"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23</w:t>
            </w:r>
            <w:r w:rsidR="004D04F0">
              <w:rPr>
                <w:rFonts w:ascii="Calibri" w:eastAsia="Times New Roman" w:hAnsi="Calibri" w:cs="Calibri"/>
                <w:b/>
                <w:bCs/>
                <w:color w:val="000000"/>
                <w:lang w:eastAsia="en-GB"/>
              </w:rPr>
              <w:t>7</w:t>
            </w:r>
          </w:p>
        </w:tc>
        <w:tc>
          <w:tcPr>
            <w:tcW w:w="1315" w:type="dxa"/>
            <w:tcBorders>
              <w:top w:val="single" w:sz="8" w:space="0" w:color="FF0000"/>
              <w:left w:val="nil"/>
              <w:bottom w:val="single" w:sz="8" w:space="0" w:color="FF0000"/>
              <w:right w:val="nil"/>
            </w:tcBorders>
            <w:shd w:val="clear" w:color="000000" w:fill="FFFFFF"/>
            <w:noWrap/>
            <w:vAlign w:val="bottom"/>
            <w:hideMark/>
          </w:tcPr>
          <w:p w14:paraId="66D8B38C" w14:textId="3E5F095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9,</w:t>
            </w:r>
            <w:r w:rsidR="00412D14">
              <w:rPr>
                <w:rFonts w:ascii="Calibri" w:eastAsia="Times New Roman" w:hAnsi="Calibri" w:cs="Calibri"/>
                <w:b/>
                <w:bCs/>
                <w:color w:val="000000"/>
                <w:lang w:eastAsia="en-GB"/>
              </w:rPr>
              <w:t>4</w:t>
            </w:r>
            <w:r w:rsidR="004D04F0">
              <w:rPr>
                <w:rFonts w:ascii="Calibri" w:eastAsia="Times New Roman" w:hAnsi="Calibri" w:cs="Calibri"/>
                <w:b/>
                <w:bCs/>
                <w:color w:val="000000"/>
                <w:lang w:eastAsia="en-GB"/>
              </w:rPr>
              <w:t>23</w:t>
            </w:r>
          </w:p>
        </w:tc>
        <w:tc>
          <w:tcPr>
            <w:tcW w:w="1535" w:type="dxa"/>
            <w:tcBorders>
              <w:top w:val="single" w:sz="8" w:space="0" w:color="FF0000"/>
              <w:left w:val="nil"/>
              <w:bottom w:val="single" w:sz="8" w:space="0" w:color="FF0000"/>
              <w:right w:val="single" w:sz="4" w:space="0" w:color="auto"/>
            </w:tcBorders>
            <w:shd w:val="clear" w:color="000000" w:fill="FFE1E1"/>
            <w:noWrap/>
            <w:vAlign w:val="bottom"/>
            <w:hideMark/>
          </w:tcPr>
          <w:p w14:paraId="226CF121" w14:textId="3A27630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26,</w:t>
            </w:r>
            <w:r w:rsidR="00412D14">
              <w:rPr>
                <w:rFonts w:ascii="Calibri" w:eastAsia="Times New Roman" w:hAnsi="Calibri" w:cs="Calibri"/>
                <w:b/>
                <w:bCs/>
                <w:color w:val="000000"/>
                <w:lang w:eastAsia="en-GB"/>
              </w:rPr>
              <w:t>6</w:t>
            </w:r>
            <w:r w:rsidR="004D04F0">
              <w:rPr>
                <w:rFonts w:ascii="Calibri" w:eastAsia="Times New Roman" w:hAnsi="Calibri" w:cs="Calibri"/>
                <w:b/>
                <w:bCs/>
                <w:color w:val="000000"/>
                <w:lang w:eastAsia="en-GB"/>
              </w:rPr>
              <w:t>60</w:t>
            </w:r>
          </w:p>
        </w:tc>
        <w:tc>
          <w:tcPr>
            <w:tcW w:w="266" w:type="dxa"/>
            <w:tcBorders>
              <w:top w:val="nil"/>
              <w:left w:val="nil"/>
              <w:bottom w:val="nil"/>
              <w:right w:val="nil"/>
            </w:tcBorders>
            <w:shd w:val="clear" w:color="000000" w:fill="FFFFFF"/>
            <w:noWrap/>
            <w:vAlign w:val="bottom"/>
            <w:hideMark/>
          </w:tcPr>
          <w:p w14:paraId="486B4EB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7B998429" w14:textId="77777777" w:rsidTr="00DE1AE6">
        <w:trPr>
          <w:trHeight w:val="231"/>
        </w:trPr>
        <w:tc>
          <w:tcPr>
            <w:tcW w:w="266" w:type="dxa"/>
            <w:tcBorders>
              <w:top w:val="nil"/>
              <w:left w:val="nil"/>
              <w:bottom w:val="nil"/>
              <w:right w:val="nil"/>
            </w:tcBorders>
            <w:shd w:val="clear" w:color="000000" w:fill="FFFFFF"/>
            <w:noWrap/>
            <w:vAlign w:val="bottom"/>
            <w:hideMark/>
          </w:tcPr>
          <w:p w14:paraId="35BBF81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8" w:space="0" w:color="FF0000"/>
              <w:left w:val="single" w:sz="4" w:space="0" w:color="auto"/>
              <w:bottom w:val="nil"/>
              <w:right w:val="nil"/>
            </w:tcBorders>
            <w:shd w:val="clear" w:color="000000" w:fill="C00000"/>
            <w:noWrap/>
            <w:vAlign w:val="bottom"/>
            <w:hideMark/>
          </w:tcPr>
          <w:p w14:paraId="07294C5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21,501</w:t>
            </w:r>
          </w:p>
        </w:tc>
        <w:tc>
          <w:tcPr>
            <w:tcW w:w="1168" w:type="dxa"/>
            <w:tcBorders>
              <w:top w:val="nil"/>
              <w:left w:val="nil"/>
              <w:bottom w:val="nil"/>
              <w:right w:val="nil"/>
            </w:tcBorders>
            <w:shd w:val="clear" w:color="000000" w:fill="C00000"/>
            <w:noWrap/>
            <w:vAlign w:val="bottom"/>
            <w:hideMark/>
          </w:tcPr>
          <w:p w14:paraId="56638CF6"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1,426</w:t>
            </w:r>
          </w:p>
        </w:tc>
        <w:tc>
          <w:tcPr>
            <w:tcW w:w="1417" w:type="dxa"/>
            <w:tcBorders>
              <w:top w:val="nil"/>
              <w:left w:val="nil"/>
              <w:bottom w:val="nil"/>
              <w:right w:val="nil"/>
            </w:tcBorders>
            <w:shd w:val="clear" w:color="000000" w:fill="C00000"/>
            <w:noWrap/>
            <w:vAlign w:val="bottom"/>
            <w:hideMark/>
          </w:tcPr>
          <w:p w14:paraId="442398E7"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22,927</w:t>
            </w:r>
          </w:p>
        </w:tc>
        <w:tc>
          <w:tcPr>
            <w:tcW w:w="2364" w:type="dxa"/>
            <w:tcBorders>
              <w:top w:val="nil"/>
              <w:left w:val="nil"/>
              <w:bottom w:val="nil"/>
              <w:right w:val="nil"/>
            </w:tcBorders>
            <w:shd w:val="clear" w:color="000000" w:fill="C00000"/>
            <w:noWrap/>
            <w:vAlign w:val="bottom"/>
            <w:hideMark/>
          </w:tcPr>
          <w:p w14:paraId="24ADA019"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Net Cost of Services</w:t>
            </w:r>
          </w:p>
        </w:tc>
        <w:tc>
          <w:tcPr>
            <w:tcW w:w="1619" w:type="dxa"/>
            <w:tcBorders>
              <w:top w:val="single" w:sz="8" w:space="0" w:color="FF0000"/>
              <w:left w:val="nil"/>
              <w:bottom w:val="nil"/>
              <w:right w:val="nil"/>
            </w:tcBorders>
            <w:shd w:val="clear" w:color="000000" w:fill="C00000"/>
            <w:noWrap/>
            <w:vAlign w:val="bottom"/>
            <w:hideMark/>
          </w:tcPr>
          <w:p w14:paraId="33E3B22E" w14:textId="236D15E9"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17,</w:t>
            </w:r>
            <w:r w:rsidR="00412D14">
              <w:rPr>
                <w:rFonts w:ascii="Calibri" w:eastAsia="Times New Roman" w:hAnsi="Calibri" w:cs="Calibri"/>
                <w:b/>
                <w:bCs/>
                <w:color w:val="FFFFFF"/>
                <w:lang w:eastAsia="en-GB"/>
              </w:rPr>
              <w:t>23</w:t>
            </w:r>
            <w:r w:rsidR="004D04F0">
              <w:rPr>
                <w:rFonts w:ascii="Calibri" w:eastAsia="Times New Roman" w:hAnsi="Calibri" w:cs="Calibri"/>
                <w:b/>
                <w:bCs/>
                <w:color w:val="FFFFFF"/>
                <w:lang w:eastAsia="en-GB"/>
              </w:rPr>
              <w:t>7</w:t>
            </w:r>
          </w:p>
        </w:tc>
        <w:tc>
          <w:tcPr>
            <w:tcW w:w="1315" w:type="dxa"/>
            <w:tcBorders>
              <w:top w:val="nil"/>
              <w:left w:val="nil"/>
              <w:bottom w:val="nil"/>
              <w:right w:val="nil"/>
            </w:tcBorders>
            <w:shd w:val="clear" w:color="000000" w:fill="C00000"/>
            <w:noWrap/>
            <w:vAlign w:val="bottom"/>
            <w:hideMark/>
          </w:tcPr>
          <w:p w14:paraId="4137530C" w14:textId="5B5B4F74"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c>
          <w:tcPr>
            <w:tcW w:w="1535" w:type="dxa"/>
            <w:tcBorders>
              <w:top w:val="nil"/>
              <w:left w:val="nil"/>
              <w:bottom w:val="nil"/>
              <w:right w:val="single" w:sz="4" w:space="0" w:color="auto"/>
            </w:tcBorders>
            <w:shd w:val="clear" w:color="000000" w:fill="C00000"/>
            <w:noWrap/>
            <w:vAlign w:val="bottom"/>
            <w:hideMark/>
          </w:tcPr>
          <w:p w14:paraId="0279C004" w14:textId="6C7145F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26,</w:t>
            </w:r>
            <w:r w:rsidR="00412D14">
              <w:rPr>
                <w:rFonts w:ascii="Calibri" w:eastAsia="Times New Roman" w:hAnsi="Calibri" w:cs="Calibri"/>
                <w:b/>
                <w:bCs/>
                <w:color w:val="FFFFFF"/>
                <w:lang w:eastAsia="en-GB"/>
              </w:rPr>
              <w:t>6</w:t>
            </w:r>
            <w:r w:rsidR="004D04F0">
              <w:rPr>
                <w:rFonts w:ascii="Calibri" w:eastAsia="Times New Roman" w:hAnsi="Calibri" w:cs="Calibri"/>
                <w:b/>
                <w:bCs/>
                <w:color w:val="FFFFFF"/>
                <w:lang w:eastAsia="en-GB"/>
              </w:rPr>
              <w:t>60</w:t>
            </w:r>
          </w:p>
        </w:tc>
        <w:tc>
          <w:tcPr>
            <w:tcW w:w="266" w:type="dxa"/>
            <w:tcBorders>
              <w:top w:val="nil"/>
              <w:left w:val="nil"/>
              <w:bottom w:val="nil"/>
              <w:right w:val="nil"/>
            </w:tcBorders>
            <w:shd w:val="clear" w:color="000000" w:fill="FFFFFF"/>
            <w:noWrap/>
            <w:vAlign w:val="bottom"/>
            <w:hideMark/>
          </w:tcPr>
          <w:p w14:paraId="13C805F7"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29E8CFA4" w14:textId="77777777" w:rsidTr="00DE1AE6">
        <w:trPr>
          <w:trHeight w:val="243"/>
        </w:trPr>
        <w:tc>
          <w:tcPr>
            <w:tcW w:w="266" w:type="dxa"/>
            <w:tcBorders>
              <w:top w:val="nil"/>
              <w:left w:val="nil"/>
              <w:bottom w:val="nil"/>
              <w:right w:val="nil"/>
            </w:tcBorders>
            <w:shd w:val="clear" w:color="000000" w:fill="FFFFFF"/>
            <w:noWrap/>
            <w:vAlign w:val="bottom"/>
            <w:hideMark/>
          </w:tcPr>
          <w:p w14:paraId="4B7008E9"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FFFF"/>
            <w:noWrap/>
            <w:vAlign w:val="bottom"/>
            <w:hideMark/>
          </w:tcPr>
          <w:p w14:paraId="2412C1C4"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(24,482)</w:t>
            </w:r>
          </w:p>
        </w:tc>
        <w:tc>
          <w:tcPr>
            <w:tcW w:w="1168" w:type="dxa"/>
            <w:tcBorders>
              <w:top w:val="nil"/>
              <w:left w:val="nil"/>
              <w:bottom w:val="nil"/>
              <w:right w:val="nil"/>
            </w:tcBorders>
            <w:shd w:val="clear" w:color="000000" w:fill="FFFFFF"/>
            <w:noWrap/>
            <w:vAlign w:val="bottom"/>
            <w:hideMark/>
          </w:tcPr>
          <w:p w14:paraId="7EA03DFD"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6,697</w:t>
            </w:r>
          </w:p>
        </w:tc>
        <w:tc>
          <w:tcPr>
            <w:tcW w:w="1417" w:type="dxa"/>
            <w:tcBorders>
              <w:top w:val="nil"/>
              <w:left w:val="nil"/>
              <w:bottom w:val="nil"/>
              <w:right w:val="nil"/>
            </w:tcBorders>
            <w:shd w:val="clear" w:color="000000" w:fill="FFE1E1"/>
            <w:noWrap/>
            <w:vAlign w:val="bottom"/>
            <w:hideMark/>
          </w:tcPr>
          <w:p w14:paraId="6476FF2E"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(17,785)</w:t>
            </w:r>
          </w:p>
        </w:tc>
        <w:tc>
          <w:tcPr>
            <w:tcW w:w="2364" w:type="dxa"/>
            <w:tcBorders>
              <w:top w:val="nil"/>
              <w:left w:val="nil"/>
              <w:bottom w:val="nil"/>
              <w:right w:val="nil"/>
            </w:tcBorders>
            <w:shd w:val="clear" w:color="000000" w:fill="FFFFFF"/>
            <w:noWrap/>
            <w:vAlign w:val="bottom"/>
            <w:hideMark/>
          </w:tcPr>
          <w:p w14:paraId="442873AF"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Other Income and Expenditure</w:t>
            </w:r>
          </w:p>
        </w:tc>
        <w:tc>
          <w:tcPr>
            <w:tcW w:w="1619" w:type="dxa"/>
            <w:tcBorders>
              <w:top w:val="nil"/>
              <w:left w:val="nil"/>
              <w:bottom w:val="nil"/>
              <w:right w:val="nil"/>
            </w:tcBorders>
            <w:shd w:val="clear" w:color="000000" w:fill="FFFFFF"/>
            <w:noWrap/>
            <w:vAlign w:val="bottom"/>
            <w:hideMark/>
          </w:tcPr>
          <w:p w14:paraId="5EEAD099" w14:textId="1FF8CC4A"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475</w:t>
            </w:r>
            <w:r w:rsidRPr="009B164D">
              <w:rPr>
                <w:rFonts w:ascii="Calibri" w:eastAsia="Times New Roman" w:hAnsi="Calibri" w:cs="Calibri"/>
                <w:b/>
                <w:bCs/>
                <w:color w:val="000000"/>
                <w:lang w:eastAsia="en-GB"/>
              </w:rPr>
              <w:t>)</w:t>
            </w:r>
          </w:p>
        </w:tc>
        <w:tc>
          <w:tcPr>
            <w:tcW w:w="1315" w:type="dxa"/>
            <w:tcBorders>
              <w:top w:val="nil"/>
              <w:left w:val="nil"/>
              <w:bottom w:val="nil"/>
              <w:right w:val="nil"/>
            </w:tcBorders>
            <w:shd w:val="clear" w:color="000000" w:fill="FFFFFF"/>
            <w:noWrap/>
            <w:vAlign w:val="bottom"/>
            <w:hideMark/>
          </w:tcPr>
          <w:p w14:paraId="7151571E" w14:textId="77777777"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w:t>
            </w:r>
          </w:p>
        </w:tc>
        <w:tc>
          <w:tcPr>
            <w:tcW w:w="1535" w:type="dxa"/>
            <w:tcBorders>
              <w:top w:val="nil"/>
              <w:left w:val="nil"/>
              <w:bottom w:val="nil"/>
              <w:right w:val="single" w:sz="4" w:space="0" w:color="auto"/>
            </w:tcBorders>
            <w:shd w:val="clear" w:color="000000" w:fill="FFE1E1"/>
            <w:noWrap/>
            <w:vAlign w:val="bottom"/>
            <w:hideMark/>
          </w:tcPr>
          <w:p w14:paraId="58881C6C" w14:textId="08E20E55" w:rsidR="009B164D" w:rsidRPr="009B164D" w:rsidRDefault="009B164D" w:rsidP="009B164D">
            <w:pPr>
              <w:spacing w:after="0" w:line="240" w:lineRule="auto"/>
              <w:jc w:val="right"/>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(17,</w:t>
            </w:r>
            <w:r w:rsidR="00412D14">
              <w:rPr>
                <w:rFonts w:ascii="Calibri" w:eastAsia="Times New Roman" w:hAnsi="Calibri" w:cs="Calibri"/>
                <w:b/>
                <w:bCs/>
                <w:color w:val="000000"/>
                <w:lang w:eastAsia="en-GB"/>
              </w:rPr>
              <w:t>475</w:t>
            </w:r>
            <w:r w:rsidRPr="009B164D">
              <w:rPr>
                <w:rFonts w:ascii="Calibri" w:eastAsia="Times New Roman" w:hAnsi="Calibri" w:cs="Calibri"/>
                <w:b/>
                <w:bCs/>
                <w:color w:val="000000"/>
                <w:lang w:eastAsia="en-GB"/>
              </w:rPr>
              <w:t>)</w:t>
            </w:r>
          </w:p>
        </w:tc>
        <w:tc>
          <w:tcPr>
            <w:tcW w:w="266" w:type="dxa"/>
            <w:tcBorders>
              <w:top w:val="nil"/>
              <w:left w:val="nil"/>
              <w:bottom w:val="nil"/>
              <w:right w:val="nil"/>
            </w:tcBorders>
            <w:shd w:val="clear" w:color="000000" w:fill="FFFFFF"/>
            <w:noWrap/>
            <w:vAlign w:val="bottom"/>
            <w:hideMark/>
          </w:tcPr>
          <w:p w14:paraId="78B74541"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9B164D" w:rsidRPr="009B164D" w14:paraId="3A0D8DFC" w14:textId="77777777" w:rsidTr="00DE1AE6">
        <w:trPr>
          <w:trHeight w:val="231"/>
        </w:trPr>
        <w:tc>
          <w:tcPr>
            <w:tcW w:w="266" w:type="dxa"/>
            <w:tcBorders>
              <w:top w:val="nil"/>
              <w:left w:val="nil"/>
              <w:bottom w:val="nil"/>
              <w:right w:val="nil"/>
            </w:tcBorders>
            <w:shd w:val="clear" w:color="000000" w:fill="FFFFFF"/>
            <w:noWrap/>
            <w:vAlign w:val="bottom"/>
            <w:hideMark/>
          </w:tcPr>
          <w:p w14:paraId="63729853"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single" w:sz="8" w:space="0" w:color="FF0000"/>
              <w:left w:val="single" w:sz="4" w:space="0" w:color="auto"/>
              <w:bottom w:val="nil"/>
              <w:right w:val="nil"/>
            </w:tcBorders>
            <w:shd w:val="clear" w:color="000000" w:fill="C00000"/>
            <w:noWrap/>
            <w:vAlign w:val="bottom"/>
            <w:hideMark/>
          </w:tcPr>
          <w:p w14:paraId="3E4A888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(2,981)</w:t>
            </w:r>
          </w:p>
        </w:tc>
        <w:tc>
          <w:tcPr>
            <w:tcW w:w="1168" w:type="dxa"/>
            <w:tcBorders>
              <w:top w:val="single" w:sz="8" w:space="0" w:color="FF0000"/>
              <w:left w:val="nil"/>
              <w:bottom w:val="nil"/>
              <w:right w:val="nil"/>
            </w:tcBorders>
            <w:shd w:val="clear" w:color="000000" w:fill="C00000"/>
            <w:noWrap/>
            <w:vAlign w:val="bottom"/>
            <w:hideMark/>
          </w:tcPr>
          <w:p w14:paraId="4C63D3B2"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8,123</w:t>
            </w:r>
          </w:p>
        </w:tc>
        <w:tc>
          <w:tcPr>
            <w:tcW w:w="1417" w:type="dxa"/>
            <w:tcBorders>
              <w:top w:val="single" w:sz="8" w:space="0" w:color="FF0000"/>
              <w:left w:val="nil"/>
              <w:bottom w:val="nil"/>
              <w:right w:val="nil"/>
            </w:tcBorders>
            <w:shd w:val="clear" w:color="000000" w:fill="C00000"/>
            <w:noWrap/>
            <w:vAlign w:val="bottom"/>
            <w:hideMark/>
          </w:tcPr>
          <w:p w14:paraId="2CBD1FC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5,142</w:t>
            </w:r>
          </w:p>
        </w:tc>
        <w:tc>
          <w:tcPr>
            <w:tcW w:w="2364" w:type="dxa"/>
            <w:tcBorders>
              <w:top w:val="nil"/>
              <w:left w:val="nil"/>
              <w:bottom w:val="nil"/>
              <w:right w:val="nil"/>
            </w:tcBorders>
            <w:shd w:val="clear" w:color="000000" w:fill="C00000"/>
            <w:noWrap/>
            <w:vAlign w:val="bottom"/>
            <w:hideMark/>
          </w:tcPr>
          <w:p w14:paraId="6E797733" w14:textId="77777777" w:rsidR="009B164D" w:rsidRPr="009B164D" w:rsidRDefault="009B164D" w:rsidP="009B164D">
            <w:pPr>
              <w:spacing w:after="0" w:line="240" w:lineRule="auto"/>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(Surplus) or Deficit</w:t>
            </w:r>
          </w:p>
        </w:tc>
        <w:tc>
          <w:tcPr>
            <w:tcW w:w="1619" w:type="dxa"/>
            <w:tcBorders>
              <w:top w:val="single" w:sz="8" w:space="0" w:color="FF0000"/>
              <w:left w:val="nil"/>
              <w:bottom w:val="nil"/>
              <w:right w:val="nil"/>
            </w:tcBorders>
            <w:shd w:val="clear" w:color="000000" w:fill="C00000"/>
            <w:noWrap/>
            <w:vAlign w:val="bottom"/>
            <w:hideMark/>
          </w:tcPr>
          <w:p w14:paraId="44DED22B" w14:textId="26EA9AF4"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(23</w:t>
            </w:r>
            <w:r w:rsidR="004D04F0">
              <w:rPr>
                <w:rFonts w:ascii="Calibri" w:eastAsia="Times New Roman" w:hAnsi="Calibri" w:cs="Calibri"/>
                <w:b/>
                <w:bCs/>
                <w:color w:val="FFFFFF"/>
                <w:lang w:eastAsia="en-GB"/>
              </w:rPr>
              <w:t>8</w:t>
            </w:r>
            <w:r w:rsidRPr="009B164D">
              <w:rPr>
                <w:rFonts w:ascii="Calibri" w:eastAsia="Times New Roman" w:hAnsi="Calibri" w:cs="Calibri"/>
                <w:b/>
                <w:bCs/>
                <w:color w:val="FFFFFF"/>
                <w:lang w:eastAsia="en-GB"/>
              </w:rPr>
              <w:t>)</w:t>
            </w:r>
          </w:p>
        </w:tc>
        <w:tc>
          <w:tcPr>
            <w:tcW w:w="1315" w:type="dxa"/>
            <w:tcBorders>
              <w:top w:val="single" w:sz="8" w:space="0" w:color="FF0000"/>
              <w:left w:val="nil"/>
              <w:bottom w:val="nil"/>
              <w:right w:val="nil"/>
            </w:tcBorders>
            <w:shd w:val="clear" w:color="000000" w:fill="C00000"/>
            <w:noWrap/>
            <w:vAlign w:val="bottom"/>
            <w:hideMark/>
          </w:tcPr>
          <w:p w14:paraId="3331922A" w14:textId="1FD72B16"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c>
          <w:tcPr>
            <w:tcW w:w="1535" w:type="dxa"/>
            <w:tcBorders>
              <w:top w:val="single" w:sz="8" w:space="0" w:color="FF0000"/>
              <w:left w:val="nil"/>
              <w:bottom w:val="nil"/>
              <w:right w:val="single" w:sz="4" w:space="0" w:color="auto"/>
            </w:tcBorders>
            <w:shd w:val="clear" w:color="000000" w:fill="C00000"/>
            <w:noWrap/>
            <w:vAlign w:val="bottom"/>
            <w:hideMark/>
          </w:tcPr>
          <w:p w14:paraId="0FC1273C" w14:textId="162040B1"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9,</w:t>
            </w:r>
            <w:r w:rsidR="00412D14">
              <w:rPr>
                <w:rFonts w:ascii="Calibri" w:eastAsia="Times New Roman" w:hAnsi="Calibri" w:cs="Calibri"/>
                <w:b/>
                <w:bCs/>
                <w:color w:val="FFFFFF"/>
                <w:lang w:eastAsia="en-GB"/>
              </w:rPr>
              <w:t>1</w:t>
            </w:r>
            <w:r w:rsidR="004D04F0">
              <w:rPr>
                <w:rFonts w:ascii="Calibri" w:eastAsia="Times New Roman" w:hAnsi="Calibri" w:cs="Calibri"/>
                <w:b/>
                <w:bCs/>
                <w:color w:val="FFFFFF"/>
                <w:lang w:eastAsia="en-GB"/>
              </w:rPr>
              <w:t>85</w:t>
            </w:r>
          </w:p>
        </w:tc>
        <w:tc>
          <w:tcPr>
            <w:tcW w:w="266" w:type="dxa"/>
            <w:tcBorders>
              <w:top w:val="nil"/>
              <w:left w:val="nil"/>
              <w:bottom w:val="nil"/>
              <w:right w:val="nil"/>
            </w:tcBorders>
            <w:shd w:val="clear" w:color="000000" w:fill="FFFFFF"/>
            <w:noWrap/>
            <w:vAlign w:val="bottom"/>
            <w:hideMark/>
          </w:tcPr>
          <w:p w14:paraId="000AD156"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492D30" w:rsidRPr="009B164D" w14:paraId="7DF62B50" w14:textId="77777777" w:rsidTr="00DE1AE6">
        <w:trPr>
          <w:trHeight w:val="243"/>
        </w:trPr>
        <w:tc>
          <w:tcPr>
            <w:tcW w:w="266" w:type="dxa"/>
            <w:tcBorders>
              <w:top w:val="nil"/>
              <w:left w:val="nil"/>
              <w:bottom w:val="nil"/>
              <w:right w:val="nil"/>
            </w:tcBorders>
            <w:shd w:val="clear" w:color="000000" w:fill="FFFFFF"/>
            <w:noWrap/>
            <w:vAlign w:val="bottom"/>
            <w:hideMark/>
          </w:tcPr>
          <w:p w14:paraId="350CC9CD" w14:textId="77777777" w:rsidR="00492D30" w:rsidRPr="009B164D" w:rsidRDefault="00492D30" w:rsidP="00492D30">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single" w:sz="4" w:space="0" w:color="auto"/>
              <w:bottom w:val="nil"/>
              <w:right w:val="nil"/>
            </w:tcBorders>
            <w:shd w:val="clear" w:color="000000" w:fill="FFE1E1"/>
            <w:noWrap/>
            <w:hideMark/>
          </w:tcPr>
          <w:p w14:paraId="46A68900" w14:textId="186BBB82" w:rsidR="00492D30" w:rsidRPr="009B164D" w:rsidRDefault="00492D30" w:rsidP="00492D30">
            <w:pPr>
              <w:spacing w:after="0" w:line="240" w:lineRule="auto"/>
              <w:jc w:val="right"/>
              <w:rPr>
                <w:rFonts w:ascii="Calibri" w:eastAsia="Times New Roman" w:hAnsi="Calibri" w:cs="Calibri"/>
                <w:b/>
                <w:bCs/>
                <w:color w:val="000000"/>
                <w:lang w:eastAsia="en-GB"/>
              </w:rPr>
            </w:pPr>
            <w:r w:rsidRPr="00E019D9">
              <w:t>(1,940)</w:t>
            </w:r>
          </w:p>
        </w:tc>
        <w:tc>
          <w:tcPr>
            <w:tcW w:w="1168" w:type="dxa"/>
            <w:tcBorders>
              <w:top w:val="nil"/>
              <w:left w:val="nil"/>
              <w:bottom w:val="nil"/>
              <w:right w:val="nil"/>
            </w:tcBorders>
            <w:shd w:val="clear" w:color="000000" w:fill="FFFFFF"/>
            <w:noWrap/>
            <w:hideMark/>
          </w:tcPr>
          <w:p w14:paraId="7DE2A26F" w14:textId="780523D8" w:rsidR="00492D30" w:rsidRPr="009B164D" w:rsidRDefault="00492D30" w:rsidP="00492D30">
            <w:pPr>
              <w:spacing w:after="0" w:line="240" w:lineRule="auto"/>
              <w:rPr>
                <w:rFonts w:ascii="Calibri" w:eastAsia="Times New Roman" w:hAnsi="Calibri" w:cs="Calibri"/>
                <w:b/>
                <w:bCs/>
                <w:color w:val="000000"/>
                <w:lang w:eastAsia="en-GB"/>
              </w:rPr>
            </w:pPr>
          </w:p>
        </w:tc>
        <w:tc>
          <w:tcPr>
            <w:tcW w:w="1417" w:type="dxa"/>
            <w:tcBorders>
              <w:top w:val="nil"/>
              <w:left w:val="nil"/>
              <w:bottom w:val="nil"/>
              <w:right w:val="nil"/>
            </w:tcBorders>
            <w:shd w:val="clear" w:color="000000" w:fill="FFFFFF"/>
            <w:noWrap/>
            <w:hideMark/>
          </w:tcPr>
          <w:p w14:paraId="7A7E6991" w14:textId="783D0974" w:rsidR="00492D30" w:rsidRPr="009B164D" w:rsidRDefault="00492D30" w:rsidP="00492D30">
            <w:pPr>
              <w:spacing w:after="0" w:line="240" w:lineRule="auto"/>
              <w:rPr>
                <w:rFonts w:ascii="Calibri" w:eastAsia="Times New Roman" w:hAnsi="Calibri" w:cs="Calibri"/>
                <w:b/>
                <w:bCs/>
                <w:color w:val="000000"/>
                <w:lang w:eastAsia="en-GB"/>
              </w:rPr>
            </w:pPr>
          </w:p>
        </w:tc>
        <w:tc>
          <w:tcPr>
            <w:tcW w:w="2364" w:type="dxa"/>
            <w:tcBorders>
              <w:top w:val="nil"/>
              <w:left w:val="nil"/>
              <w:bottom w:val="nil"/>
              <w:right w:val="nil"/>
            </w:tcBorders>
            <w:shd w:val="clear" w:color="000000" w:fill="FFFFFF"/>
            <w:hideMark/>
          </w:tcPr>
          <w:p w14:paraId="5EA4D995" w14:textId="274920D2" w:rsidR="00492D30" w:rsidRPr="009B164D" w:rsidRDefault="00492D30" w:rsidP="00492D30">
            <w:pPr>
              <w:spacing w:after="0" w:line="240" w:lineRule="auto"/>
              <w:rPr>
                <w:rFonts w:ascii="Calibri" w:eastAsia="Times New Roman" w:hAnsi="Calibri" w:cs="Calibri"/>
                <w:color w:val="000000"/>
                <w:lang w:eastAsia="en-GB"/>
              </w:rPr>
            </w:pPr>
            <w:r w:rsidRPr="00E019D9">
              <w:t>Opening Revenue Reserves</w:t>
            </w:r>
          </w:p>
        </w:tc>
        <w:tc>
          <w:tcPr>
            <w:tcW w:w="1619" w:type="dxa"/>
            <w:tcBorders>
              <w:top w:val="nil"/>
              <w:left w:val="nil"/>
              <w:bottom w:val="nil"/>
              <w:right w:val="nil"/>
            </w:tcBorders>
            <w:shd w:val="clear" w:color="000000" w:fill="FFE1E1"/>
            <w:noWrap/>
            <w:hideMark/>
          </w:tcPr>
          <w:p w14:paraId="753C1758" w14:textId="74DE0422" w:rsidR="00492D30" w:rsidRPr="009B164D" w:rsidRDefault="00492D30" w:rsidP="00492D30">
            <w:pPr>
              <w:spacing w:after="0" w:line="240" w:lineRule="auto"/>
              <w:jc w:val="right"/>
              <w:rPr>
                <w:rFonts w:ascii="Calibri" w:eastAsia="Times New Roman" w:hAnsi="Calibri" w:cs="Calibri"/>
                <w:b/>
                <w:bCs/>
                <w:color w:val="000000"/>
                <w:lang w:eastAsia="en-GB"/>
              </w:rPr>
            </w:pPr>
            <w:r w:rsidRPr="00E019D9">
              <w:t>(4,92</w:t>
            </w:r>
            <w:r w:rsidR="004D04F0">
              <w:t>1</w:t>
            </w:r>
            <w:r w:rsidRPr="00E019D9">
              <w:t>)</w:t>
            </w:r>
          </w:p>
        </w:tc>
        <w:tc>
          <w:tcPr>
            <w:tcW w:w="1315" w:type="dxa"/>
            <w:tcBorders>
              <w:top w:val="nil"/>
              <w:left w:val="nil"/>
              <w:bottom w:val="nil"/>
              <w:right w:val="nil"/>
            </w:tcBorders>
            <w:shd w:val="clear" w:color="000000" w:fill="FFFFFF"/>
            <w:noWrap/>
            <w:vAlign w:val="bottom"/>
            <w:hideMark/>
          </w:tcPr>
          <w:p w14:paraId="1D589297" w14:textId="77777777" w:rsidR="00492D30" w:rsidRPr="009B164D" w:rsidRDefault="00492D30"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1535" w:type="dxa"/>
            <w:tcBorders>
              <w:top w:val="nil"/>
              <w:left w:val="nil"/>
              <w:bottom w:val="nil"/>
              <w:right w:val="single" w:sz="4" w:space="0" w:color="auto"/>
            </w:tcBorders>
            <w:shd w:val="clear" w:color="000000" w:fill="FFFFFF"/>
            <w:noWrap/>
            <w:vAlign w:val="bottom"/>
            <w:hideMark/>
          </w:tcPr>
          <w:p w14:paraId="69FC7C00" w14:textId="77777777" w:rsidR="00492D30" w:rsidRPr="009B164D" w:rsidRDefault="00492D30"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162E0157" w14:textId="77777777" w:rsidR="00492D30" w:rsidRPr="009B164D" w:rsidRDefault="00492D30" w:rsidP="00492D30">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r w:rsidR="00412D14" w:rsidRPr="009B164D" w14:paraId="4775FF20" w14:textId="77777777" w:rsidTr="00DE1AE6">
        <w:trPr>
          <w:trHeight w:val="243"/>
        </w:trPr>
        <w:tc>
          <w:tcPr>
            <w:tcW w:w="266" w:type="dxa"/>
            <w:tcBorders>
              <w:top w:val="nil"/>
              <w:left w:val="nil"/>
              <w:bottom w:val="nil"/>
              <w:right w:val="nil"/>
            </w:tcBorders>
            <w:shd w:val="clear" w:color="000000" w:fill="FFFFFF"/>
            <w:noWrap/>
            <w:vAlign w:val="bottom"/>
          </w:tcPr>
          <w:p w14:paraId="3F705DA6" w14:textId="77777777" w:rsidR="00412D14" w:rsidRPr="009B164D" w:rsidRDefault="00412D14" w:rsidP="00492D30">
            <w:pPr>
              <w:spacing w:after="0" w:line="240" w:lineRule="auto"/>
              <w:rPr>
                <w:rFonts w:ascii="Calibri" w:eastAsia="Times New Roman" w:hAnsi="Calibri" w:cs="Calibri"/>
                <w:color w:val="000000"/>
                <w:lang w:eastAsia="en-GB"/>
              </w:rPr>
            </w:pPr>
          </w:p>
        </w:tc>
        <w:tc>
          <w:tcPr>
            <w:tcW w:w="1058" w:type="dxa"/>
            <w:tcBorders>
              <w:top w:val="single" w:sz="8" w:space="0" w:color="FF0000"/>
              <w:left w:val="single" w:sz="4" w:space="0" w:color="auto"/>
              <w:bottom w:val="single" w:sz="4" w:space="0" w:color="auto"/>
              <w:right w:val="nil"/>
            </w:tcBorders>
            <w:shd w:val="clear" w:color="000000" w:fill="C00000"/>
            <w:noWrap/>
          </w:tcPr>
          <w:p w14:paraId="54C56CAA" w14:textId="5B76EC68" w:rsidR="00412D14" w:rsidRPr="00DF23A6" w:rsidRDefault="00412D14" w:rsidP="00492D30">
            <w:pPr>
              <w:spacing w:after="0" w:line="240" w:lineRule="auto"/>
              <w:jc w:val="right"/>
              <w:rPr>
                <w:rFonts w:ascii="Calibri" w:eastAsia="Times New Roman" w:hAnsi="Calibri" w:cs="Calibri"/>
                <w:lang w:eastAsia="en-GB"/>
              </w:rPr>
            </w:pPr>
            <w:r w:rsidRPr="00492D30">
              <w:rPr>
                <w:b/>
                <w:bCs/>
              </w:rPr>
              <w:t>(</w:t>
            </w:r>
            <w:r>
              <w:rPr>
                <w:b/>
                <w:bCs/>
              </w:rPr>
              <w:t>4,921</w:t>
            </w:r>
            <w:r w:rsidRPr="00492D30">
              <w:rPr>
                <w:b/>
                <w:bCs/>
              </w:rPr>
              <w:t>)</w:t>
            </w:r>
          </w:p>
        </w:tc>
        <w:tc>
          <w:tcPr>
            <w:tcW w:w="1168" w:type="dxa"/>
            <w:tcBorders>
              <w:top w:val="nil"/>
              <w:left w:val="nil"/>
              <w:bottom w:val="single" w:sz="4" w:space="0" w:color="auto"/>
              <w:right w:val="nil"/>
            </w:tcBorders>
            <w:shd w:val="clear" w:color="000000" w:fill="FFFFFF"/>
            <w:noWrap/>
          </w:tcPr>
          <w:p w14:paraId="34E69AE9" w14:textId="700E30F4" w:rsidR="00412D14" w:rsidRPr="00DF23A6" w:rsidRDefault="00412D14" w:rsidP="00492D30">
            <w:pPr>
              <w:spacing w:after="0" w:line="240" w:lineRule="auto"/>
              <w:rPr>
                <w:rFonts w:ascii="Calibri" w:eastAsia="Times New Roman" w:hAnsi="Calibri" w:cs="Calibri"/>
                <w:lang w:eastAsia="en-GB"/>
              </w:rPr>
            </w:pPr>
          </w:p>
        </w:tc>
        <w:tc>
          <w:tcPr>
            <w:tcW w:w="1417" w:type="dxa"/>
            <w:tcBorders>
              <w:top w:val="nil"/>
              <w:left w:val="nil"/>
              <w:bottom w:val="single" w:sz="4" w:space="0" w:color="auto"/>
              <w:right w:val="nil"/>
            </w:tcBorders>
            <w:shd w:val="clear" w:color="000000" w:fill="FFFFFF"/>
            <w:noWrap/>
          </w:tcPr>
          <w:p w14:paraId="0DD1BEBB" w14:textId="6B78F4B4" w:rsidR="00412D14" w:rsidRPr="00DF23A6" w:rsidRDefault="00412D14" w:rsidP="00492D30">
            <w:pPr>
              <w:spacing w:after="0" w:line="240" w:lineRule="auto"/>
              <w:rPr>
                <w:rFonts w:ascii="Calibri" w:eastAsia="Times New Roman" w:hAnsi="Calibri" w:cs="Calibri"/>
                <w:lang w:eastAsia="en-GB"/>
              </w:rPr>
            </w:pPr>
          </w:p>
        </w:tc>
        <w:tc>
          <w:tcPr>
            <w:tcW w:w="2364" w:type="dxa"/>
            <w:tcBorders>
              <w:top w:val="single" w:sz="8" w:space="0" w:color="FF0000"/>
              <w:left w:val="nil"/>
              <w:bottom w:val="single" w:sz="4" w:space="0" w:color="auto"/>
              <w:right w:val="nil"/>
            </w:tcBorders>
            <w:shd w:val="clear" w:color="000000" w:fill="C00000"/>
          </w:tcPr>
          <w:p w14:paraId="428EB67E" w14:textId="11F6EECD" w:rsidR="00412D14" w:rsidRPr="00DF23A6" w:rsidRDefault="00412D14" w:rsidP="00492D30">
            <w:pPr>
              <w:spacing w:after="0" w:line="240" w:lineRule="auto"/>
              <w:rPr>
                <w:rFonts w:ascii="Calibri" w:eastAsia="Times New Roman" w:hAnsi="Calibri" w:cs="Calibri"/>
                <w:lang w:eastAsia="en-GB"/>
              </w:rPr>
            </w:pPr>
            <w:r w:rsidRPr="00492D30">
              <w:rPr>
                <w:b/>
                <w:bCs/>
              </w:rPr>
              <w:t>Closing Usable Reserves at 31 March</w:t>
            </w:r>
          </w:p>
        </w:tc>
        <w:tc>
          <w:tcPr>
            <w:tcW w:w="1619" w:type="dxa"/>
            <w:tcBorders>
              <w:top w:val="single" w:sz="8" w:space="0" w:color="FF0000"/>
              <w:left w:val="nil"/>
              <w:bottom w:val="single" w:sz="4" w:space="0" w:color="auto"/>
              <w:right w:val="nil"/>
            </w:tcBorders>
            <w:shd w:val="clear" w:color="000000" w:fill="C00000"/>
            <w:noWrap/>
          </w:tcPr>
          <w:p w14:paraId="77FBE034" w14:textId="1740B05C" w:rsidR="00412D14" w:rsidRPr="00DF23A6" w:rsidRDefault="00412D14" w:rsidP="00492D30">
            <w:pPr>
              <w:spacing w:after="0" w:line="240" w:lineRule="auto"/>
              <w:jc w:val="right"/>
              <w:rPr>
                <w:rFonts w:ascii="Calibri" w:eastAsia="Times New Roman" w:hAnsi="Calibri" w:cs="Calibri"/>
                <w:lang w:eastAsia="en-GB"/>
              </w:rPr>
            </w:pPr>
            <w:r w:rsidRPr="00492D30">
              <w:rPr>
                <w:b/>
                <w:bCs/>
              </w:rPr>
              <w:t>(5,</w:t>
            </w:r>
            <w:r>
              <w:rPr>
                <w:b/>
                <w:bCs/>
              </w:rPr>
              <w:t>159)</w:t>
            </w:r>
          </w:p>
        </w:tc>
        <w:tc>
          <w:tcPr>
            <w:tcW w:w="1315" w:type="dxa"/>
            <w:tcBorders>
              <w:top w:val="nil"/>
              <w:left w:val="nil"/>
              <w:bottom w:val="single" w:sz="4" w:space="0" w:color="auto"/>
              <w:right w:val="nil"/>
            </w:tcBorders>
            <w:shd w:val="clear" w:color="000000" w:fill="FFFFFF"/>
            <w:noWrap/>
            <w:vAlign w:val="bottom"/>
          </w:tcPr>
          <w:p w14:paraId="14D52254" w14:textId="3B627C3C" w:rsidR="00412D14" w:rsidRPr="009B164D" w:rsidRDefault="00412D14"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color w:val="000000"/>
                <w:lang w:eastAsia="en-GB"/>
              </w:rPr>
              <w:t> </w:t>
            </w:r>
          </w:p>
        </w:tc>
        <w:tc>
          <w:tcPr>
            <w:tcW w:w="1535" w:type="dxa"/>
            <w:tcBorders>
              <w:top w:val="nil"/>
              <w:left w:val="nil"/>
              <w:bottom w:val="single" w:sz="4" w:space="0" w:color="auto"/>
              <w:right w:val="single" w:sz="4" w:space="0" w:color="auto"/>
            </w:tcBorders>
            <w:shd w:val="clear" w:color="000000" w:fill="FFFFFF"/>
            <w:noWrap/>
            <w:vAlign w:val="bottom"/>
          </w:tcPr>
          <w:p w14:paraId="4F92B8AC" w14:textId="4C44CB22" w:rsidR="00412D14" w:rsidRPr="009B164D" w:rsidRDefault="00412D14" w:rsidP="00492D30">
            <w:pPr>
              <w:spacing w:after="0" w:line="240" w:lineRule="auto"/>
              <w:rPr>
                <w:rFonts w:ascii="Calibri" w:eastAsia="Times New Roman" w:hAnsi="Calibri" w:cs="Calibri"/>
                <w:b/>
                <w:bCs/>
                <w:color w:val="000000"/>
                <w:lang w:eastAsia="en-GB"/>
              </w:rPr>
            </w:pPr>
            <w:r w:rsidRPr="009B164D">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tcPr>
          <w:p w14:paraId="4AC37540" w14:textId="77777777" w:rsidR="00412D14" w:rsidRPr="009B164D" w:rsidRDefault="00412D14" w:rsidP="00492D30">
            <w:pPr>
              <w:spacing w:after="0" w:line="240" w:lineRule="auto"/>
              <w:rPr>
                <w:rFonts w:ascii="Calibri" w:eastAsia="Times New Roman" w:hAnsi="Calibri" w:cs="Calibri"/>
                <w:color w:val="000000"/>
                <w:lang w:eastAsia="en-GB"/>
              </w:rPr>
            </w:pPr>
          </w:p>
        </w:tc>
      </w:tr>
      <w:tr w:rsidR="00412D14" w:rsidRPr="009B164D" w14:paraId="62BCF0D8" w14:textId="77777777" w:rsidTr="00DE1AE6">
        <w:trPr>
          <w:trHeight w:val="92"/>
        </w:trPr>
        <w:tc>
          <w:tcPr>
            <w:tcW w:w="266" w:type="dxa"/>
            <w:tcBorders>
              <w:top w:val="nil"/>
              <w:left w:val="nil"/>
              <w:bottom w:val="nil"/>
              <w:right w:val="nil"/>
            </w:tcBorders>
            <w:shd w:val="clear" w:color="000000" w:fill="FFFFFF"/>
            <w:noWrap/>
            <w:vAlign w:val="bottom"/>
            <w:hideMark/>
          </w:tcPr>
          <w:p w14:paraId="58A7A2A2" w14:textId="77777777" w:rsidR="00412D14" w:rsidRPr="009B164D" w:rsidRDefault="00412D14"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c>
          <w:tcPr>
            <w:tcW w:w="1058" w:type="dxa"/>
            <w:tcBorders>
              <w:top w:val="nil"/>
              <w:left w:val="nil"/>
              <w:bottom w:val="nil"/>
              <w:right w:val="nil"/>
            </w:tcBorders>
            <w:shd w:val="clear" w:color="000000" w:fill="FFFFFF"/>
            <w:noWrap/>
            <w:vAlign w:val="bottom"/>
          </w:tcPr>
          <w:p w14:paraId="32170ED9" w14:textId="27F4A66D" w:rsidR="00412D14" w:rsidRPr="009B164D" w:rsidRDefault="00412D14" w:rsidP="009B164D">
            <w:pPr>
              <w:spacing w:after="0" w:line="240" w:lineRule="auto"/>
              <w:rPr>
                <w:rFonts w:ascii="Calibri" w:eastAsia="Times New Roman" w:hAnsi="Calibri" w:cs="Calibri"/>
                <w:color w:val="000000"/>
                <w:lang w:eastAsia="en-GB"/>
              </w:rPr>
            </w:pPr>
          </w:p>
        </w:tc>
        <w:tc>
          <w:tcPr>
            <w:tcW w:w="1168" w:type="dxa"/>
            <w:tcBorders>
              <w:top w:val="nil"/>
              <w:left w:val="nil"/>
              <w:bottom w:val="nil"/>
              <w:right w:val="nil"/>
            </w:tcBorders>
            <w:shd w:val="clear" w:color="000000" w:fill="FFFFFF"/>
            <w:noWrap/>
            <w:vAlign w:val="bottom"/>
          </w:tcPr>
          <w:p w14:paraId="39A1672F" w14:textId="0ABA4BA5" w:rsidR="00412D14" w:rsidRPr="009B164D" w:rsidRDefault="00412D14" w:rsidP="009B164D">
            <w:pPr>
              <w:spacing w:after="0" w:line="240" w:lineRule="auto"/>
              <w:rPr>
                <w:rFonts w:ascii="Calibri" w:eastAsia="Times New Roman" w:hAnsi="Calibri" w:cs="Calibri"/>
                <w:color w:val="000000"/>
                <w:lang w:eastAsia="en-GB"/>
              </w:rPr>
            </w:pPr>
          </w:p>
        </w:tc>
        <w:tc>
          <w:tcPr>
            <w:tcW w:w="1417" w:type="dxa"/>
            <w:tcBorders>
              <w:top w:val="nil"/>
              <w:left w:val="nil"/>
              <w:bottom w:val="nil"/>
              <w:right w:val="nil"/>
            </w:tcBorders>
            <w:shd w:val="clear" w:color="000000" w:fill="FFFFFF"/>
            <w:noWrap/>
            <w:vAlign w:val="bottom"/>
          </w:tcPr>
          <w:p w14:paraId="00005370" w14:textId="6CEE3D80" w:rsidR="00412D14" w:rsidRPr="009B164D" w:rsidRDefault="00412D14" w:rsidP="009B164D">
            <w:pPr>
              <w:spacing w:after="0" w:line="240" w:lineRule="auto"/>
              <w:rPr>
                <w:rFonts w:ascii="Calibri" w:eastAsia="Times New Roman" w:hAnsi="Calibri" w:cs="Calibri"/>
                <w:color w:val="000000"/>
                <w:lang w:eastAsia="en-GB"/>
              </w:rPr>
            </w:pPr>
          </w:p>
        </w:tc>
        <w:tc>
          <w:tcPr>
            <w:tcW w:w="2364" w:type="dxa"/>
            <w:tcBorders>
              <w:top w:val="nil"/>
              <w:left w:val="nil"/>
              <w:bottom w:val="nil"/>
              <w:right w:val="nil"/>
            </w:tcBorders>
            <w:shd w:val="clear" w:color="000000" w:fill="FFFFFF"/>
            <w:noWrap/>
          </w:tcPr>
          <w:p w14:paraId="278DAF9A" w14:textId="01A33328" w:rsidR="00412D14" w:rsidRPr="009B164D" w:rsidRDefault="00412D14" w:rsidP="009B164D">
            <w:pPr>
              <w:spacing w:after="0" w:line="240" w:lineRule="auto"/>
              <w:rPr>
                <w:rFonts w:ascii="Calibri" w:eastAsia="Times New Roman" w:hAnsi="Calibri" w:cs="Calibri"/>
                <w:b/>
                <w:bCs/>
                <w:color w:val="000000"/>
                <w:lang w:eastAsia="en-GB"/>
              </w:rPr>
            </w:pPr>
          </w:p>
        </w:tc>
        <w:tc>
          <w:tcPr>
            <w:tcW w:w="1619" w:type="dxa"/>
            <w:tcBorders>
              <w:top w:val="nil"/>
              <w:left w:val="nil"/>
              <w:bottom w:val="nil"/>
              <w:right w:val="nil"/>
            </w:tcBorders>
            <w:shd w:val="clear" w:color="000000" w:fill="FFFFFF"/>
            <w:noWrap/>
          </w:tcPr>
          <w:p w14:paraId="01967E78" w14:textId="7BD3A664" w:rsidR="00412D14" w:rsidRPr="009B164D" w:rsidRDefault="00412D14" w:rsidP="009B164D">
            <w:pPr>
              <w:spacing w:after="0" w:line="240" w:lineRule="auto"/>
              <w:rPr>
                <w:rFonts w:ascii="Calibri" w:eastAsia="Times New Roman" w:hAnsi="Calibri" w:cs="Calibri"/>
                <w:b/>
                <w:bCs/>
                <w:color w:val="000000"/>
                <w:lang w:eastAsia="en-GB"/>
              </w:rPr>
            </w:pPr>
          </w:p>
        </w:tc>
        <w:tc>
          <w:tcPr>
            <w:tcW w:w="1315" w:type="dxa"/>
            <w:tcBorders>
              <w:top w:val="nil"/>
              <w:left w:val="nil"/>
              <w:bottom w:val="nil"/>
              <w:right w:val="nil"/>
            </w:tcBorders>
            <w:shd w:val="clear" w:color="000000" w:fill="FFFFFF"/>
            <w:noWrap/>
          </w:tcPr>
          <w:p w14:paraId="057E627E" w14:textId="2D644C66" w:rsidR="00412D14" w:rsidRPr="009B164D" w:rsidRDefault="00412D14" w:rsidP="009B164D">
            <w:pPr>
              <w:spacing w:after="0" w:line="240" w:lineRule="auto"/>
              <w:rPr>
                <w:rFonts w:ascii="Calibri" w:eastAsia="Times New Roman" w:hAnsi="Calibri" w:cs="Calibri"/>
                <w:b/>
                <w:bCs/>
                <w:color w:val="000000"/>
                <w:lang w:eastAsia="en-GB"/>
              </w:rPr>
            </w:pPr>
          </w:p>
        </w:tc>
        <w:tc>
          <w:tcPr>
            <w:tcW w:w="1535" w:type="dxa"/>
            <w:tcBorders>
              <w:top w:val="nil"/>
              <w:left w:val="nil"/>
              <w:bottom w:val="nil"/>
              <w:right w:val="nil"/>
            </w:tcBorders>
            <w:shd w:val="clear" w:color="000000" w:fill="FFFFFF"/>
            <w:noWrap/>
          </w:tcPr>
          <w:p w14:paraId="5C952549" w14:textId="268DEA5A" w:rsidR="00412D14" w:rsidRPr="009B164D" w:rsidRDefault="00412D14" w:rsidP="009B164D">
            <w:pPr>
              <w:spacing w:after="0" w:line="240" w:lineRule="auto"/>
              <w:rPr>
                <w:rFonts w:ascii="Calibri" w:eastAsia="Times New Roman" w:hAnsi="Calibri" w:cs="Calibri"/>
                <w:b/>
                <w:bCs/>
                <w:color w:val="000000"/>
                <w:lang w:eastAsia="en-GB"/>
              </w:rPr>
            </w:pPr>
          </w:p>
        </w:tc>
        <w:tc>
          <w:tcPr>
            <w:tcW w:w="266" w:type="dxa"/>
            <w:tcBorders>
              <w:top w:val="nil"/>
              <w:left w:val="nil"/>
              <w:bottom w:val="nil"/>
              <w:right w:val="nil"/>
            </w:tcBorders>
            <w:shd w:val="clear" w:color="000000" w:fill="FFFFFF"/>
            <w:noWrap/>
            <w:vAlign w:val="bottom"/>
            <w:hideMark/>
          </w:tcPr>
          <w:p w14:paraId="60C4389E" w14:textId="77777777" w:rsidR="00412D14" w:rsidRPr="009B164D" w:rsidRDefault="00412D14"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 </w:t>
            </w:r>
          </w:p>
        </w:tc>
      </w:tr>
    </w:tbl>
    <w:p w14:paraId="4E2EAAC7" w14:textId="6E1FC92F" w:rsidR="00BB3F43" w:rsidRPr="007F07C2" w:rsidRDefault="0012570C" w:rsidP="0079406E">
      <w:pPr>
        <w:pStyle w:val="Default"/>
        <w:rPr>
          <w:rFonts w:asciiTheme="minorHAnsi" w:hAnsiTheme="minorHAnsi"/>
          <w:color w:val="auto"/>
          <w:sz w:val="22"/>
          <w:szCs w:val="22"/>
        </w:rPr>
      </w:pPr>
      <w:r w:rsidRPr="007F07C2">
        <w:rPr>
          <w:rFonts w:asciiTheme="minorHAnsi" w:hAnsiTheme="minorHAnsi"/>
          <w:color w:val="auto"/>
          <w:sz w:val="22"/>
          <w:szCs w:val="22"/>
        </w:rPr>
        <w:t>Note 7</w:t>
      </w:r>
      <w:r w:rsidR="007D7D00" w:rsidRPr="007F07C2">
        <w:rPr>
          <w:rFonts w:asciiTheme="minorHAnsi" w:hAnsiTheme="minorHAnsi"/>
          <w:color w:val="auto"/>
          <w:sz w:val="22"/>
          <w:szCs w:val="22"/>
        </w:rPr>
        <w:t xml:space="preserve"> outlines the breakdown of the Adjustments between Funding and Accounting Basis</w:t>
      </w:r>
    </w:p>
    <w:p w14:paraId="6F5A67C3" w14:textId="77777777" w:rsidR="00625A0D" w:rsidRPr="00DE1AE6" w:rsidRDefault="00625A0D" w:rsidP="0079406E">
      <w:pPr>
        <w:pStyle w:val="Default"/>
        <w:rPr>
          <w:rFonts w:asciiTheme="minorHAnsi" w:hAnsiTheme="minorHAnsi"/>
          <w:color w:val="auto"/>
          <w:sz w:val="22"/>
          <w:szCs w:val="22"/>
        </w:rPr>
      </w:pPr>
    </w:p>
    <w:p w14:paraId="7A4B8B03" w14:textId="77777777" w:rsidR="00103626" w:rsidRPr="007F07C2" w:rsidRDefault="00A871C7"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2</w:t>
      </w:r>
      <w:r w:rsidR="00103626" w:rsidRPr="007F07C2">
        <w:rPr>
          <w:rFonts w:asciiTheme="minorHAnsi" w:hAnsiTheme="minorHAnsi"/>
          <w:b/>
          <w:bCs/>
          <w:color w:val="auto"/>
          <w:sz w:val="28"/>
          <w:szCs w:val="28"/>
        </w:rPr>
        <w:t xml:space="preserve"> Accounting standards that have been issued but not adopted </w:t>
      </w:r>
    </w:p>
    <w:p w14:paraId="1761A824" w14:textId="77777777" w:rsidR="005573D1" w:rsidRPr="005573D1" w:rsidRDefault="005573D1" w:rsidP="00DE1AE6">
      <w:pPr>
        <w:pStyle w:val="Default"/>
        <w:rPr>
          <w:rFonts w:asciiTheme="minorHAnsi" w:hAnsiTheme="minorHAnsi"/>
          <w:color w:val="auto"/>
          <w:sz w:val="22"/>
          <w:szCs w:val="22"/>
        </w:rPr>
      </w:pPr>
      <w:r w:rsidRPr="00DE1AE6">
        <w:rPr>
          <w:rFonts w:asciiTheme="minorHAnsi" w:hAnsiTheme="minorHAnsi"/>
          <w:color w:val="auto"/>
          <w:sz w:val="22"/>
          <w:szCs w:val="22"/>
        </w:rPr>
        <w:t>Under</w:t>
      </w:r>
      <w:r w:rsidRPr="005573D1">
        <w:rPr>
          <w:rFonts w:asciiTheme="minorHAnsi" w:hAnsiTheme="minorHAnsi"/>
          <w:color w:val="auto"/>
          <w:sz w:val="22"/>
          <w:szCs w:val="22"/>
        </w:rPr>
        <w:t xml:space="preserve">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2021/22 are:</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187C2427"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ab/>
      </w:r>
      <w:r w:rsidRPr="005573D1">
        <w:rPr>
          <w:rFonts w:asciiTheme="minorHAnsi" w:hAnsiTheme="minorHAnsi"/>
          <w:color w:val="auto"/>
          <w:sz w:val="22"/>
          <w:szCs w:val="22"/>
        </w:rPr>
        <w:tab/>
      </w:r>
    </w:p>
    <w:p w14:paraId="6D83B30C"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IFRS 1 (First-time adoption) – amendment relates to foreign operations of acquired subsidiaries transitioning to IFRS </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7078CD1D" w14:textId="77777777"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IAS 37 (Onerous contracts) – clarifies the intention of the standard</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6561D82E" w14:textId="37997305"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IFRS 16 (Leases) – amendment removes a misleading example that is not referenced in the Code material </w:t>
      </w:r>
      <w:r w:rsidRPr="005573D1">
        <w:rPr>
          <w:rFonts w:asciiTheme="minorHAnsi" w:hAnsiTheme="minorHAnsi"/>
          <w:color w:val="auto"/>
          <w:sz w:val="22"/>
          <w:szCs w:val="22"/>
        </w:rPr>
        <w:tab/>
      </w:r>
    </w:p>
    <w:p w14:paraId="602835BC" w14:textId="345EE58F" w:rsidR="005573D1" w:rsidRPr="005573D1" w:rsidRDefault="005573D1" w:rsidP="005573D1">
      <w:pPr>
        <w:pStyle w:val="Default"/>
        <w:tabs>
          <w:tab w:val="left" w:pos="7230"/>
        </w:tabs>
        <w:rPr>
          <w:rFonts w:asciiTheme="minorHAnsi" w:hAnsiTheme="minorHAnsi"/>
          <w:color w:val="auto"/>
          <w:sz w:val="22"/>
          <w:szCs w:val="22"/>
        </w:rPr>
      </w:pPr>
      <w:r w:rsidRPr="005573D1">
        <w:rPr>
          <w:rFonts w:asciiTheme="minorHAnsi" w:hAnsiTheme="minorHAnsi"/>
          <w:color w:val="auto"/>
          <w:sz w:val="22"/>
          <w:szCs w:val="22"/>
        </w:rPr>
        <w:t xml:space="preserve">• IAS 41 (Agriculture) – one of a small number of IFRSs that are only expected to apply to local authorities in limited circumstances. </w:t>
      </w:r>
      <w:r w:rsidRPr="005573D1">
        <w:rPr>
          <w:rFonts w:asciiTheme="minorHAnsi" w:hAnsiTheme="minorHAnsi"/>
          <w:color w:val="auto"/>
          <w:sz w:val="22"/>
          <w:szCs w:val="22"/>
        </w:rPr>
        <w:tab/>
      </w:r>
      <w:r w:rsidRPr="005573D1">
        <w:rPr>
          <w:rFonts w:asciiTheme="minorHAnsi" w:hAnsiTheme="minorHAnsi"/>
          <w:color w:val="auto"/>
          <w:sz w:val="22"/>
          <w:szCs w:val="22"/>
        </w:rPr>
        <w:tab/>
      </w:r>
      <w:r w:rsidRPr="005573D1">
        <w:rPr>
          <w:rFonts w:asciiTheme="minorHAnsi" w:hAnsiTheme="minorHAnsi"/>
          <w:color w:val="auto"/>
          <w:sz w:val="22"/>
          <w:szCs w:val="22"/>
        </w:rPr>
        <w:tab/>
      </w:r>
      <w:r w:rsidRPr="005573D1">
        <w:rPr>
          <w:rFonts w:asciiTheme="minorHAnsi" w:hAnsiTheme="minorHAnsi"/>
          <w:color w:val="auto"/>
          <w:sz w:val="22"/>
          <w:szCs w:val="22"/>
        </w:rPr>
        <w:tab/>
      </w:r>
    </w:p>
    <w:p w14:paraId="4A2A6402" w14:textId="01A257A0" w:rsidR="00266501" w:rsidRDefault="005573D1" w:rsidP="005573D1">
      <w:pPr>
        <w:pStyle w:val="Default"/>
        <w:tabs>
          <w:tab w:val="left" w:pos="7230"/>
        </w:tabs>
        <w:rPr>
          <w:rFonts w:asciiTheme="minorHAnsi" w:hAnsiTheme="minorHAnsi"/>
          <w:b/>
          <w:bCs/>
          <w:color w:val="auto"/>
          <w:sz w:val="28"/>
          <w:szCs w:val="28"/>
        </w:rPr>
      </w:pPr>
      <w:r w:rsidRPr="005573D1">
        <w:rPr>
          <w:rFonts w:asciiTheme="minorHAnsi" w:hAnsiTheme="minorHAnsi"/>
          <w:color w:val="auto"/>
          <w:sz w:val="22"/>
          <w:szCs w:val="22"/>
        </w:rPr>
        <w:t>• Property, Plant and Equipment: Proceeds before Intended Use (Amendments to IAS 16)</w:t>
      </w:r>
      <w:r w:rsidRPr="005573D1">
        <w:rPr>
          <w:rFonts w:asciiTheme="minorHAnsi" w:hAnsiTheme="minorHAnsi"/>
          <w:b/>
          <w:bCs/>
          <w:color w:val="auto"/>
          <w:sz w:val="28"/>
          <w:szCs w:val="28"/>
        </w:rPr>
        <w:tab/>
      </w:r>
      <w:r w:rsidRPr="005573D1">
        <w:rPr>
          <w:rFonts w:asciiTheme="minorHAnsi" w:hAnsiTheme="minorHAnsi"/>
          <w:b/>
          <w:bCs/>
          <w:color w:val="auto"/>
          <w:sz w:val="28"/>
          <w:szCs w:val="28"/>
        </w:rPr>
        <w:tab/>
      </w:r>
    </w:p>
    <w:p w14:paraId="044762F9" w14:textId="77777777" w:rsidR="00354CD3" w:rsidRPr="00DE1AE6" w:rsidRDefault="00354CD3" w:rsidP="00155509">
      <w:pPr>
        <w:pStyle w:val="Default"/>
        <w:tabs>
          <w:tab w:val="left" w:pos="7230"/>
        </w:tabs>
        <w:rPr>
          <w:rFonts w:asciiTheme="minorHAnsi" w:hAnsiTheme="minorHAnsi"/>
          <w:b/>
          <w:bCs/>
          <w:color w:val="auto"/>
          <w:sz w:val="22"/>
          <w:szCs w:val="22"/>
        </w:rPr>
      </w:pPr>
    </w:p>
    <w:p w14:paraId="1BAF1F80" w14:textId="5C7420EB" w:rsidR="009B164D" w:rsidRPr="009B164D" w:rsidRDefault="00A871C7" w:rsidP="009B164D">
      <w:pPr>
        <w:pStyle w:val="Default"/>
        <w:tabs>
          <w:tab w:val="left" w:pos="7230"/>
        </w:tabs>
        <w:rPr>
          <w:rFonts w:asciiTheme="minorHAnsi" w:hAnsiTheme="minorHAnsi"/>
          <w:b/>
          <w:bCs/>
          <w:color w:val="auto"/>
          <w:sz w:val="28"/>
          <w:szCs w:val="28"/>
        </w:rPr>
      </w:pPr>
      <w:r w:rsidRPr="007F07C2">
        <w:rPr>
          <w:rFonts w:asciiTheme="minorHAnsi" w:hAnsiTheme="minorHAnsi"/>
          <w:b/>
          <w:bCs/>
          <w:color w:val="auto"/>
          <w:sz w:val="28"/>
          <w:szCs w:val="28"/>
        </w:rPr>
        <w:t>3</w:t>
      </w:r>
      <w:r w:rsidR="00D0063E" w:rsidRPr="007F07C2">
        <w:rPr>
          <w:rFonts w:asciiTheme="minorHAnsi" w:hAnsiTheme="minorHAnsi"/>
          <w:b/>
          <w:bCs/>
          <w:color w:val="auto"/>
          <w:sz w:val="28"/>
          <w:szCs w:val="28"/>
        </w:rPr>
        <w:t xml:space="preserve"> </w:t>
      </w:r>
      <w:r w:rsidR="00F572C0" w:rsidRPr="007F07C2">
        <w:rPr>
          <w:rFonts w:asciiTheme="minorHAnsi" w:hAnsiTheme="minorHAnsi"/>
          <w:b/>
          <w:bCs/>
          <w:color w:val="auto"/>
          <w:sz w:val="28"/>
          <w:szCs w:val="28"/>
        </w:rPr>
        <w:t>Taxation and Non-Specific Grant Income</w:t>
      </w:r>
    </w:p>
    <w:tbl>
      <w:tblPr>
        <w:tblW w:w="7990" w:type="dxa"/>
        <w:tblLook w:val="04A0" w:firstRow="1" w:lastRow="0" w:firstColumn="1" w:lastColumn="0" w:noHBand="0" w:noVBand="1"/>
      </w:tblPr>
      <w:tblGrid>
        <w:gridCol w:w="271"/>
        <w:gridCol w:w="1896"/>
        <w:gridCol w:w="3656"/>
        <w:gridCol w:w="1896"/>
        <w:gridCol w:w="271"/>
      </w:tblGrid>
      <w:tr w:rsidR="009B164D" w:rsidRPr="009B164D" w14:paraId="1F5B4C75" w14:textId="77777777" w:rsidTr="00492D30">
        <w:trPr>
          <w:trHeight w:val="120"/>
        </w:trPr>
        <w:tc>
          <w:tcPr>
            <w:tcW w:w="271" w:type="dxa"/>
            <w:tcBorders>
              <w:top w:val="nil"/>
              <w:left w:val="nil"/>
              <w:bottom w:val="nil"/>
              <w:right w:val="nil"/>
            </w:tcBorders>
            <w:shd w:val="clear" w:color="000000" w:fill="FFFFFF"/>
            <w:noWrap/>
            <w:vAlign w:val="bottom"/>
            <w:hideMark/>
          </w:tcPr>
          <w:p w14:paraId="636AF1BB" w14:textId="34B4EB2E"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nil"/>
              <w:bottom w:val="nil"/>
              <w:right w:val="nil"/>
            </w:tcBorders>
            <w:shd w:val="clear" w:color="000000" w:fill="FFFFFF"/>
            <w:noWrap/>
            <w:vAlign w:val="bottom"/>
            <w:hideMark/>
          </w:tcPr>
          <w:p w14:paraId="18C86D00" w14:textId="77777777" w:rsidR="009B164D" w:rsidRPr="00492D30" w:rsidRDefault="009B164D" w:rsidP="009B164D">
            <w:pPr>
              <w:spacing w:after="0" w:line="240" w:lineRule="auto"/>
              <w:rPr>
                <w:rFonts w:ascii="Calibri" w:eastAsia="Times New Roman" w:hAnsi="Calibri" w:cs="Calibri"/>
                <w:color w:val="000000"/>
                <w:sz w:val="16"/>
                <w:szCs w:val="16"/>
                <w:lang w:eastAsia="en-GB"/>
              </w:rPr>
            </w:pPr>
            <w:r w:rsidRPr="009B164D">
              <w:rPr>
                <w:rFonts w:ascii="Calibri" w:eastAsia="Times New Roman" w:hAnsi="Calibri" w:cs="Calibri"/>
                <w:color w:val="000000"/>
                <w:sz w:val="24"/>
                <w:szCs w:val="24"/>
                <w:lang w:eastAsia="en-GB"/>
              </w:rPr>
              <w:t> </w:t>
            </w:r>
          </w:p>
        </w:tc>
        <w:tc>
          <w:tcPr>
            <w:tcW w:w="3656" w:type="dxa"/>
            <w:tcBorders>
              <w:top w:val="nil"/>
              <w:left w:val="nil"/>
              <w:bottom w:val="nil"/>
              <w:right w:val="nil"/>
            </w:tcBorders>
            <w:shd w:val="clear" w:color="000000" w:fill="FFFFFF"/>
            <w:noWrap/>
            <w:vAlign w:val="bottom"/>
            <w:hideMark/>
          </w:tcPr>
          <w:p w14:paraId="5C0A5936"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nil"/>
              <w:bottom w:val="nil"/>
              <w:right w:val="nil"/>
            </w:tcBorders>
            <w:shd w:val="clear" w:color="000000" w:fill="FFFFFF"/>
            <w:noWrap/>
            <w:vAlign w:val="bottom"/>
            <w:hideMark/>
          </w:tcPr>
          <w:p w14:paraId="140D6002"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6028FC13"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5B41E511" w14:textId="77777777" w:rsidTr="00492D30">
        <w:trPr>
          <w:trHeight w:val="570"/>
        </w:trPr>
        <w:tc>
          <w:tcPr>
            <w:tcW w:w="271" w:type="dxa"/>
            <w:tcBorders>
              <w:top w:val="nil"/>
              <w:left w:val="nil"/>
              <w:bottom w:val="nil"/>
              <w:right w:val="nil"/>
            </w:tcBorders>
            <w:shd w:val="clear" w:color="000000" w:fill="FFFFFF"/>
            <w:noWrap/>
            <w:vAlign w:val="bottom"/>
            <w:hideMark/>
          </w:tcPr>
          <w:p w14:paraId="0C90D908"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single" w:sz="4" w:space="0" w:color="auto"/>
              <w:left w:val="single" w:sz="4" w:space="0" w:color="auto"/>
              <w:bottom w:val="nil"/>
              <w:right w:val="nil"/>
            </w:tcBorders>
            <w:shd w:val="clear" w:color="000000" w:fill="C00000"/>
            <w:vAlign w:val="bottom"/>
            <w:hideMark/>
          </w:tcPr>
          <w:p w14:paraId="2BE2C80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12 Months to           31 March 2021</w:t>
            </w:r>
          </w:p>
        </w:tc>
        <w:tc>
          <w:tcPr>
            <w:tcW w:w="3656" w:type="dxa"/>
            <w:vMerge w:val="restart"/>
            <w:tcBorders>
              <w:top w:val="single" w:sz="4" w:space="0" w:color="auto"/>
              <w:left w:val="nil"/>
              <w:bottom w:val="nil"/>
              <w:right w:val="nil"/>
            </w:tcBorders>
            <w:shd w:val="clear" w:color="000000" w:fill="C00000"/>
            <w:vAlign w:val="center"/>
            <w:hideMark/>
          </w:tcPr>
          <w:p w14:paraId="36213A6B"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Council Tax and Non Domestic Rates Income</w:t>
            </w:r>
          </w:p>
        </w:tc>
        <w:tc>
          <w:tcPr>
            <w:tcW w:w="1896" w:type="dxa"/>
            <w:tcBorders>
              <w:top w:val="single" w:sz="4" w:space="0" w:color="auto"/>
              <w:left w:val="nil"/>
              <w:bottom w:val="nil"/>
              <w:right w:val="single" w:sz="4" w:space="0" w:color="auto"/>
            </w:tcBorders>
            <w:shd w:val="clear" w:color="000000" w:fill="C00000"/>
            <w:vAlign w:val="bottom"/>
            <w:hideMark/>
          </w:tcPr>
          <w:p w14:paraId="33CAEE58"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12 Months to           31 March 2022</w:t>
            </w:r>
          </w:p>
        </w:tc>
        <w:tc>
          <w:tcPr>
            <w:tcW w:w="271" w:type="dxa"/>
            <w:tcBorders>
              <w:top w:val="nil"/>
              <w:left w:val="nil"/>
              <w:bottom w:val="nil"/>
              <w:right w:val="nil"/>
            </w:tcBorders>
            <w:shd w:val="clear" w:color="000000" w:fill="FFFFFF"/>
            <w:noWrap/>
            <w:vAlign w:val="bottom"/>
            <w:hideMark/>
          </w:tcPr>
          <w:p w14:paraId="0B2666C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4595EE25" w14:textId="77777777" w:rsidTr="00492D30">
        <w:trPr>
          <w:trHeight w:val="390"/>
        </w:trPr>
        <w:tc>
          <w:tcPr>
            <w:tcW w:w="271" w:type="dxa"/>
            <w:tcBorders>
              <w:top w:val="nil"/>
              <w:left w:val="nil"/>
              <w:bottom w:val="nil"/>
              <w:right w:val="nil"/>
            </w:tcBorders>
            <w:shd w:val="clear" w:color="000000" w:fill="FFFFFF"/>
            <w:noWrap/>
            <w:vAlign w:val="bottom"/>
            <w:hideMark/>
          </w:tcPr>
          <w:p w14:paraId="09FD91EC"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C00000"/>
            <w:noWrap/>
            <w:vAlign w:val="bottom"/>
            <w:hideMark/>
          </w:tcPr>
          <w:p w14:paraId="5FD3CEEB"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3656" w:type="dxa"/>
            <w:vMerge/>
            <w:tcBorders>
              <w:top w:val="single" w:sz="4" w:space="0" w:color="auto"/>
              <w:left w:val="nil"/>
              <w:bottom w:val="nil"/>
              <w:right w:val="nil"/>
            </w:tcBorders>
            <w:vAlign w:val="center"/>
            <w:hideMark/>
          </w:tcPr>
          <w:p w14:paraId="5BB5F273" w14:textId="77777777" w:rsidR="009B164D" w:rsidRPr="009B164D" w:rsidRDefault="009B164D" w:rsidP="009B164D">
            <w:pPr>
              <w:spacing w:after="0" w:line="240" w:lineRule="auto"/>
              <w:rPr>
                <w:rFonts w:ascii="Calibri" w:eastAsia="Times New Roman" w:hAnsi="Calibri" w:cs="Calibri"/>
                <w:b/>
                <w:bCs/>
                <w:color w:val="FFFFFF"/>
                <w:lang w:eastAsia="en-GB"/>
              </w:rPr>
            </w:pPr>
          </w:p>
        </w:tc>
        <w:tc>
          <w:tcPr>
            <w:tcW w:w="1896" w:type="dxa"/>
            <w:tcBorders>
              <w:top w:val="nil"/>
              <w:left w:val="nil"/>
              <w:bottom w:val="nil"/>
              <w:right w:val="single" w:sz="4" w:space="0" w:color="auto"/>
            </w:tcBorders>
            <w:shd w:val="clear" w:color="000000" w:fill="C00000"/>
            <w:vAlign w:val="center"/>
            <w:hideMark/>
          </w:tcPr>
          <w:p w14:paraId="6E2300E3"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4FE5FFDF"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52E8D982" w14:textId="77777777" w:rsidTr="00492D30">
        <w:trPr>
          <w:trHeight w:val="315"/>
        </w:trPr>
        <w:tc>
          <w:tcPr>
            <w:tcW w:w="271" w:type="dxa"/>
            <w:tcBorders>
              <w:top w:val="nil"/>
              <w:left w:val="nil"/>
              <w:bottom w:val="nil"/>
              <w:right w:val="nil"/>
            </w:tcBorders>
            <w:shd w:val="clear" w:color="000000" w:fill="FFFFFF"/>
            <w:noWrap/>
            <w:vAlign w:val="bottom"/>
            <w:hideMark/>
          </w:tcPr>
          <w:p w14:paraId="23DDDD01"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117447DB"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(15,571)</w:t>
            </w:r>
          </w:p>
        </w:tc>
        <w:tc>
          <w:tcPr>
            <w:tcW w:w="3656" w:type="dxa"/>
            <w:tcBorders>
              <w:top w:val="nil"/>
              <w:left w:val="nil"/>
              <w:bottom w:val="nil"/>
              <w:right w:val="nil"/>
            </w:tcBorders>
            <w:shd w:val="clear" w:color="000000" w:fill="FFFFFF"/>
            <w:noWrap/>
            <w:vAlign w:val="center"/>
            <w:hideMark/>
          </w:tcPr>
          <w:p w14:paraId="34F563E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Council Tax Funding</w:t>
            </w:r>
          </w:p>
        </w:tc>
        <w:tc>
          <w:tcPr>
            <w:tcW w:w="1896" w:type="dxa"/>
            <w:tcBorders>
              <w:top w:val="nil"/>
              <w:left w:val="nil"/>
              <w:bottom w:val="nil"/>
              <w:right w:val="single" w:sz="4" w:space="0" w:color="auto"/>
            </w:tcBorders>
            <w:shd w:val="clear" w:color="000000" w:fill="FFFFFF"/>
            <w:noWrap/>
            <w:vAlign w:val="bottom"/>
            <w:hideMark/>
          </w:tcPr>
          <w:p w14:paraId="4505F8AC"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(15,609)</w:t>
            </w:r>
          </w:p>
        </w:tc>
        <w:tc>
          <w:tcPr>
            <w:tcW w:w="271" w:type="dxa"/>
            <w:tcBorders>
              <w:top w:val="nil"/>
              <w:left w:val="nil"/>
              <w:bottom w:val="nil"/>
              <w:right w:val="nil"/>
            </w:tcBorders>
            <w:shd w:val="clear" w:color="000000" w:fill="FFFFFF"/>
            <w:noWrap/>
            <w:vAlign w:val="bottom"/>
            <w:hideMark/>
          </w:tcPr>
          <w:p w14:paraId="1121A5F8"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48156B0E" w14:textId="77777777" w:rsidTr="00492D30">
        <w:trPr>
          <w:trHeight w:val="315"/>
        </w:trPr>
        <w:tc>
          <w:tcPr>
            <w:tcW w:w="271" w:type="dxa"/>
            <w:tcBorders>
              <w:top w:val="nil"/>
              <w:left w:val="nil"/>
              <w:bottom w:val="nil"/>
              <w:right w:val="nil"/>
            </w:tcBorders>
            <w:shd w:val="clear" w:color="000000" w:fill="FFFFFF"/>
            <w:noWrap/>
            <w:vAlign w:val="bottom"/>
            <w:hideMark/>
          </w:tcPr>
          <w:p w14:paraId="49ED35D4"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2C36EB8C"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(2,085)</w:t>
            </w:r>
          </w:p>
        </w:tc>
        <w:tc>
          <w:tcPr>
            <w:tcW w:w="3656" w:type="dxa"/>
            <w:tcBorders>
              <w:top w:val="nil"/>
              <w:left w:val="nil"/>
              <w:bottom w:val="nil"/>
              <w:right w:val="nil"/>
            </w:tcBorders>
            <w:shd w:val="clear" w:color="000000" w:fill="FFFFFF"/>
            <w:noWrap/>
            <w:vAlign w:val="center"/>
            <w:hideMark/>
          </w:tcPr>
          <w:p w14:paraId="51F7120E"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Revenue Support Grant</w:t>
            </w:r>
          </w:p>
        </w:tc>
        <w:tc>
          <w:tcPr>
            <w:tcW w:w="1896" w:type="dxa"/>
            <w:tcBorders>
              <w:top w:val="nil"/>
              <w:left w:val="nil"/>
              <w:bottom w:val="nil"/>
              <w:right w:val="single" w:sz="4" w:space="0" w:color="auto"/>
            </w:tcBorders>
            <w:shd w:val="clear" w:color="000000" w:fill="FFFFFF"/>
            <w:noWrap/>
            <w:vAlign w:val="bottom"/>
            <w:hideMark/>
          </w:tcPr>
          <w:p w14:paraId="0E7C85C5"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(2,279)</w:t>
            </w:r>
          </w:p>
        </w:tc>
        <w:tc>
          <w:tcPr>
            <w:tcW w:w="271" w:type="dxa"/>
            <w:tcBorders>
              <w:top w:val="nil"/>
              <w:left w:val="nil"/>
              <w:bottom w:val="nil"/>
              <w:right w:val="nil"/>
            </w:tcBorders>
            <w:shd w:val="clear" w:color="000000" w:fill="FFFFFF"/>
            <w:noWrap/>
            <w:vAlign w:val="bottom"/>
            <w:hideMark/>
          </w:tcPr>
          <w:p w14:paraId="5A249282"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734089D2" w14:textId="77777777" w:rsidTr="00492D30">
        <w:trPr>
          <w:trHeight w:val="315"/>
        </w:trPr>
        <w:tc>
          <w:tcPr>
            <w:tcW w:w="271" w:type="dxa"/>
            <w:tcBorders>
              <w:top w:val="nil"/>
              <w:left w:val="nil"/>
              <w:bottom w:val="nil"/>
              <w:right w:val="nil"/>
            </w:tcBorders>
            <w:shd w:val="clear" w:color="000000" w:fill="FFFFFF"/>
            <w:noWrap/>
            <w:vAlign w:val="bottom"/>
            <w:hideMark/>
          </w:tcPr>
          <w:p w14:paraId="78B8CC27"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nil"/>
              <w:right w:val="nil"/>
            </w:tcBorders>
            <w:shd w:val="clear" w:color="000000" w:fill="FFFFFF"/>
            <w:noWrap/>
            <w:vAlign w:val="bottom"/>
            <w:hideMark/>
          </w:tcPr>
          <w:p w14:paraId="647CECBA" w14:textId="77777777" w:rsidR="009B164D" w:rsidRPr="009B164D" w:rsidRDefault="009B164D" w:rsidP="009B164D">
            <w:pPr>
              <w:spacing w:after="0" w:line="240" w:lineRule="auto"/>
              <w:jc w:val="right"/>
              <w:rPr>
                <w:rFonts w:ascii="Calibri" w:eastAsia="Times New Roman" w:hAnsi="Calibri" w:cs="Calibri"/>
                <w:lang w:eastAsia="en-GB"/>
              </w:rPr>
            </w:pPr>
            <w:r w:rsidRPr="009B164D">
              <w:rPr>
                <w:rFonts w:ascii="Calibri" w:eastAsia="Times New Roman" w:hAnsi="Calibri" w:cs="Calibri"/>
                <w:lang w:eastAsia="en-GB"/>
              </w:rPr>
              <w:t>(6,686)</w:t>
            </w:r>
          </w:p>
        </w:tc>
        <w:tc>
          <w:tcPr>
            <w:tcW w:w="3656" w:type="dxa"/>
            <w:tcBorders>
              <w:top w:val="nil"/>
              <w:left w:val="nil"/>
              <w:bottom w:val="nil"/>
              <w:right w:val="nil"/>
            </w:tcBorders>
            <w:shd w:val="clear" w:color="000000" w:fill="FFFFFF"/>
            <w:noWrap/>
            <w:vAlign w:val="center"/>
            <w:hideMark/>
          </w:tcPr>
          <w:p w14:paraId="27927F74" w14:textId="77777777" w:rsidR="009B164D" w:rsidRPr="009B164D" w:rsidRDefault="009B164D" w:rsidP="009B164D">
            <w:pPr>
              <w:spacing w:after="0" w:line="240" w:lineRule="auto"/>
              <w:rPr>
                <w:rFonts w:ascii="Calibri" w:eastAsia="Times New Roman" w:hAnsi="Calibri" w:cs="Calibri"/>
                <w:color w:val="000000"/>
                <w:lang w:eastAsia="en-GB"/>
              </w:rPr>
            </w:pPr>
            <w:r w:rsidRPr="009B164D">
              <w:rPr>
                <w:rFonts w:ascii="Calibri" w:eastAsia="Times New Roman" w:hAnsi="Calibri" w:cs="Calibri"/>
                <w:color w:val="000000"/>
                <w:lang w:eastAsia="en-GB"/>
              </w:rPr>
              <w:t>Non Domestic Rates Funding</w:t>
            </w:r>
          </w:p>
        </w:tc>
        <w:tc>
          <w:tcPr>
            <w:tcW w:w="1896" w:type="dxa"/>
            <w:tcBorders>
              <w:top w:val="nil"/>
              <w:left w:val="nil"/>
              <w:bottom w:val="nil"/>
              <w:right w:val="single" w:sz="4" w:space="0" w:color="auto"/>
            </w:tcBorders>
            <w:shd w:val="clear" w:color="000000" w:fill="FFFFFF"/>
            <w:noWrap/>
            <w:vAlign w:val="bottom"/>
            <w:hideMark/>
          </w:tcPr>
          <w:p w14:paraId="3A303D7D" w14:textId="77777777" w:rsidR="009B164D" w:rsidRPr="009B164D" w:rsidRDefault="009B164D" w:rsidP="009B164D">
            <w:pPr>
              <w:spacing w:after="0" w:line="240" w:lineRule="auto"/>
              <w:jc w:val="right"/>
              <w:rPr>
                <w:rFonts w:ascii="Calibri" w:eastAsia="Times New Roman" w:hAnsi="Calibri" w:cs="Calibri"/>
                <w:color w:val="000000"/>
                <w:lang w:eastAsia="en-GB"/>
              </w:rPr>
            </w:pPr>
            <w:r w:rsidRPr="009B164D">
              <w:rPr>
                <w:rFonts w:ascii="Calibri" w:eastAsia="Times New Roman" w:hAnsi="Calibri" w:cs="Calibri"/>
                <w:color w:val="000000"/>
                <w:lang w:eastAsia="en-GB"/>
              </w:rPr>
              <w:t>(6,349)</w:t>
            </w:r>
          </w:p>
        </w:tc>
        <w:tc>
          <w:tcPr>
            <w:tcW w:w="271" w:type="dxa"/>
            <w:tcBorders>
              <w:top w:val="nil"/>
              <w:left w:val="nil"/>
              <w:bottom w:val="nil"/>
              <w:right w:val="nil"/>
            </w:tcBorders>
            <w:shd w:val="clear" w:color="000000" w:fill="FFFFFF"/>
            <w:noWrap/>
            <w:vAlign w:val="bottom"/>
            <w:hideMark/>
          </w:tcPr>
          <w:p w14:paraId="67B3AEA9"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r w:rsidR="009B164D" w:rsidRPr="009B164D" w14:paraId="3D48E005" w14:textId="77777777" w:rsidTr="00492D30">
        <w:trPr>
          <w:trHeight w:val="315"/>
        </w:trPr>
        <w:tc>
          <w:tcPr>
            <w:tcW w:w="271" w:type="dxa"/>
            <w:tcBorders>
              <w:top w:val="nil"/>
              <w:left w:val="nil"/>
              <w:bottom w:val="nil"/>
              <w:right w:val="nil"/>
            </w:tcBorders>
            <w:shd w:val="clear" w:color="000000" w:fill="FFFFFF"/>
            <w:noWrap/>
            <w:vAlign w:val="bottom"/>
            <w:hideMark/>
          </w:tcPr>
          <w:p w14:paraId="0DF423DF"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c>
          <w:tcPr>
            <w:tcW w:w="1896" w:type="dxa"/>
            <w:tcBorders>
              <w:top w:val="nil"/>
              <w:left w:val="single" w:sz="4" w:space="0" w:color="auto"/>
              <w:bottom w:val="single" w:sz="4" w:space="0" w:color="auto"/>
              <w:right w:val="nil"/>
            </w:tcBorders>
            <w:shd w:val="clear" w:color="000000" w:fill="C00000"/>
            <w:noWrap/>
            <w:vAlign w:val="bottom"/>
            <w:hideMark/>
          </w:tcPr>
          <w:p w14:paraId="6A10C8BF"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(24,342)</w:t>
            </w:r>
          </w:p>
        </w:tc>
        <w:tc>
          <w:tcPr>
            <w:tcW w:w="3656" w:type="dxa"/>
            <w:tcBorders>
              <w:top w:val="nil"/>
              <w:left w:val="nil"/>
              <w:bottom w:val="single" w:sz="4" w:space="0" w:color="auto"/>
              <w:right w:val="nil"/>
            </w:tcBorders>
            <w:shd w:val="clear" w:color="000000" w:fill="C00000"/>
            <w:noWrap/>
            <w:vAlign w:val="center"/>
            <w:hideMark/>
          </w:tcPr>
          <w:p w14:paraId="20F24412" w14:textId="77777777" w:rsidR="009B164D" w:rsidRPr="009B164D" w:rsidRDefault="009B164D" w:rsidP="009B164D">
            <w:pPr>
              <w:spacing w:after="0" w:line="240" w:lineRule="auto"/>
              <w:jc w:val="center"/>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 </w:t>
            </w:r>
          </w:p>
        </w:tc>
        <w:tc>
          <w:tcPr>
            <w:tcW w:w="1896" w:type="dxa"/>
            <w:tcBorders>
              <w:top w:val="nil"/>
              <w:left w:val="nil"/>
              <w:bottom w:val="single" w:sz="4" w:space="0" w:color="auto"/>
              <w:right w:val="single" w:sz="4" w:space="0" w:color="auto"/>
            </w:tcBorders>
            <w:shd w:val="clear" w:color="000000" w:fill="C00000"/>
            <w:noWrap/>
            <w:vAlign w:val="bottom"/>
            <w:hideMark/>
          </w:tcPr>
          <w:p w14:paraId="092A239C" w14:textId="77777777" w:rsidR="009B164D" w:rsidRPr="009B164D" w:rsidRDefault="009B164D" w:rsidP="009B164D">
            <w:pPr>
              <w:spacing w:after="0" w:line="240" w:lineRule="auto"/>
              <w:jc w:val="right"/>
              <w:rPr>
                <w:rFonts w:ascii="Calibri" w:eastAsia="Times New Roman" w:hAnsi="Calibri" w:cs="Calibri"/>
                <w:b/>
                <w:bCs/>
                <w:color w:val="FFFFFF"/>
                <w:lang w:eastAsia="en-GB"/>
              </w:rPr>
            </w:pPr>
            <w:r w:rsidRPr="009B164D">
              <w:rPr>
                <w:rFonts w:ascii="Calibri" w:eastAsia="Times New Roman" w:hAnsi="Calibri" w:cs="Calibri"/>
                <w:b/>
                <w:bCs/>
                <w:color w:val="FFFFFF"/>
                <w:lang w:eastAsia="en-GB"/>
              </w:rPr>
              <w:t>(24,237)</w:t>
            </w:r>
          </w:p>
        </w:tc>
        <w:tc>
          <w:tcPr>
            <w:tcW w:w="271" w:type="dxa"/>
            <w:tcBorders>
              <w:top w:val="nil"/>
              <w:left w:val="nil"/>
              <w:bottom w:val="nil"/>
              <w:right w:val="nil"/>
            </w:tcBorders>
            <w:shd w:val="clear" w:color="000000" w:fill="FFFFFF"/>
            <w:noWrap/>
            <w:vAlign w:val="bottom"/>
            <w:hideMark/>
          </w:tcPr>
          <w:p w14:paraId="30A4CC93" w14:textId="77777777" w:rsidR="009B164D" w:rsidRPr="009B164D" w:rsidRDefault="009B164D" w:rsidP="009B164D">
            <w:pPr>
              <w:spacing w:after="0" w:line="240" w:lineRule="auto"/>
              <w:rPr>
                <w:rFonts w:ascii="Calibri" w:eastAsia="Times New Roman" w:hAnsi="Calibri" w:cs="Calibri"/>
                <w:color w:val="000000"/>
                <w:sz w:val="24"/>
                <w:szCs w:val="24"/>
                <w:lang w:eastAsia="en-GB"/>
              </w:rPr>
            </w:pPr>
            <w:r w:rsidRPr="009B164D">
              <w:rPr>
                <w:rFonts w:ascii="Calibri" w:eastAsia="Times New Roman" w:hAnsi="Calibri" w:cs="Calibri"/>
                <w:color w:val="000000"/>
                <w:sz w:val="24"/>
                <w:szCs w:val="24"/>
                <w:lang w:eastAsia="en-GB"/>
              </w:rPr>
              <w:t> </w:t>
            </w:r>
          </w:p>
        </w:tc>
      </w:tr>
    </w:tbl>
    <w:p w14:paraId="7F768C6D" w14:textId="3B3EE2EE" w:rsidR="00E45F1E" w:rsidRPr="00DE1AE6" w:rsidRDefault="00E55282"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lastRenderedPageBreak/>
        <w:t>4</w:t>
      </w:r>
      <w:r w:rsidR="00103626" w:rsidRPr="007F07C2">
        <w:rPr>
          <w:rFonts w:asciiTheme="minorHAnsi" w:hAnsiTheme="minorHAnsi"/>
          <w:b/>
          <w:bCs/>
          <w:color w:val="auto"/>
          <w:sz w:val="28"/>
          <w:szCs w:val="28"/>
        </w:rPr>
        <w:t xml:space="preserve"> Events after the Balance Sheet date </w:t>
      </w:r>
    </w:p>
    <w:p w14:paraId="5C267FB3" w14:textId="16D16C85" w:rsidR="00CA4860" w:rsidRDefault="00D65A28" w:rsidP="0079406E">
      <w:pPr>
        <w:pStyle w:val="Default"/>
        <w:rPr>
          <w:rFonts w:asciiTheme="minorHAnsi" w:hAnsiTheme="minorHAnsi"/>
          <w:color w:val="auto"/>
          <w:sz w:val="22"/>
          <w:szCs w:val="22"/>
        </w:rPr>
      </w:pPr>
      <w:r w:rsidRPr="00D65A28">
        <w:rPr>
          <w:rFonts w:asciiTheme="minorHAnsi" w:hAnsiTheme="minorHAnsi"/>
          <w:color w:val="auto"/>
          <w:sz w:val="22"/>
          <w:szCs w:val="22"/>
        </w:rPr>
        <w:t>The statement of accounts was authorised for issue by the Chief Finance Officer in July 2022 and no post balance sheet event had been reported at this date</w:t>
      </w:r>
      <w:r>
        <w:rPr>
          <w:rFonts w:asciiTheme="minorHAnsi" w:hAnsiTheme="minorHAnsi"/>
          <w:color w:val="auto"/>
          <w:sz w:val="22"/>
          <w:szCs w:val="22"/>
        </w:rPr>
        <w:t>.</w:t>
      </w:r>
    </w:p>
    <w:p w14:paraId="34B820DC" w14:textId="77777777" w:rsidR="00D65A28" w:rsidRPr="00DE1AE6" w:rsidRDefault="00D65A28" w:rsidP="0079406E">
      <w:pPr>
        <w:pStyle w:val="Default"/>
        <w:rPr>
          <w:rFonts w:asciiTheme="minorHAnsi" w:hAnsiTheme="minorHAnsi"/>
          <w:b/>
          <w:bCs/>
          <w:color w:val="auto"/>
          <w:sz w:val="22"/>
          <w:szCs w:val="22"/>
        </w:rPr>
      </w:pPr>
    </w:p>
    <w:p w14:paraId="4BFDDCAE" w14:textId="77777777" w:rsidR="00E45F1E" w:rsidRPr="007F07C2" w:rsidRDefault="00E55282"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t>5</w:t>
      </w:r>
      <w:r w:rsidR="00103626" w:rsidRPr="007F07C2">
        <w:rPr>
          <w:rFonts w:asciiTheme="minorHAnsi" w:hAnsiTheme="minorHAnsi"/>
          <w:b/>
          <w:bCs/>
          <w:color w:val="auto"/>
          <w:sz w:val="28"/>
          <w:szCs w:val="28"/>
        </w:rPr>
        <w:t xml:space="preserve"> Assumptions made about the future and other major sou</w:t>
      </w:r>
      <w:r w:rsidR="002012D6" w:rsidRPr="007F07C2">
        <w:rPr>
          <w:rFonts w:asciiTheme="minorHAnsi" w:hAnsiTheme="minorHAnsi"/>
          <w:b/>
          <w:bCs/>
          <w:color w:val="auto"/>
          <w:sz w:val="28"/>
          <w:szCs w:val="28"/>
        </w:rPr>
        <w:t xml:space="preserve">rces of estimation uncertainty </w:t>
      </w:r>
    </w:p>
    <w:p w14:paraId="6507EA35" w14:textId="77777777" w:rsidR="00FF20E0" w:rsidRPr="00635F47" w:rsidRDefault="00FF20E0" w:rsidP="00FF20E0">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statement of 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 </w:t>
      </w:r>
    </w:p>
    <w:p w14:paraId="7BB0DBC7" w14:textId="77777777" w:rsidR="00FF20E0" w:rsidRPr="00635F47" w:rsidRDefault="00FF20E0" w:rsidP="00FF20E0">
      <w:pPr>
        <w:pStyle w:val="Default"/>
        <w:rPr>
          <w:rFonts w:asciiTheme="minorHAnsi" w:hAnsiTheme="minorHAnsi" w:cstheme="minorHAnsi"/>
          <w:color w:val="auto"/>
          <w:sz w:val="22"/>
          <w:szCs w:val="22"/>
        </w:rPr>
      </w:pPr>
    </w:p>
    <w:p w14:paraId="4AEC4A0B" w14:textId="7872F6B9" w:rsidR="003F55C5" w:rsidRDefault="00FF20E0" w:rsidP="00FF20E0">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items in the Balance Sheet at 31 March 202</w:t>
      </w:r>
      <w:r w:rsidR="00D65A28" w:rsidRPr="00635F47">
        <w:rPr>
          <w:rFonts w:asciiTheme="minorHAnsi" w:hAnsiTheme="minorHAnsi" w:cstheme="minorHAnsi"/>
          <w:color w:val="auto"/>
          <w:sz w:val="22"/>
          <w:szCs w:val="22"/>
        </w:rPr>
        <w:t>2</w:t>
      </w:r>
      <w:r w:rsidRPr="00635F47">
        <w:rPr>
          <w:rFonts w:asciiTheme="minorHAnsi" w:hAnsiTheme="minorHAnsi" w:cstheme="minorHAnsi"/>
          <w:color w:val="auto"/>
          <w:sz w:val="22"/>
          <w:szCs w:val="22"/>
        </w:rPr>
        <w:t xml:space="preserve"> for which there is a risk of material adjustment in the forthcoming financial year are as follows:</w:t>
      </w:r>
    </w:p>
    <w:p w14:paraId="6D702053" w14:textId="77777777" w:rsidR="0039276D" w:rsidRPr="00635F47" w:rsidRDefault="0039276D" w:rsidP="00FF20E0">
      <w:pPr>
        <w:pStyle w:val="Default"/>
        <w:rPr>
          <w:rFonts w:asciiTheme="minorHAnsi" w:hAnsiTheme="minorHAnsi" w:cstheme="minorHAnsi"/>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68"/>
        <w:gridCol w:w="4819"/>
        <w:gridCol w:w="3969"/>
      </w:tblGrid>
      <w:tr w:rsidR="00103626" w:rsidRPr="00635F47" w14:paraId="29DB4E4B" w14:textId="77777777" w:rsidTr="006E5B46">
        <w:trPr>
          <w:trHeight w:val="229"/>
        </w:trPr>
        <w:tc>
          <w:tcPr>
            <w:tcW w:w="1668" w:type="dxa"/>
          </w:tcPr>
          <w:p w14:paraId="65E15F6F"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Item </w:t>
            </w:r>
          </w:p>
        </w:tc>
        <w:tc>
          <w:tcPr>
            <w:tcW w:w="4819" w:type="dxa"/>
          </w:tcPr>
          <w:p w14:paraId="1217248E"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Uncertainties </w:t>
            </w:r>
          </w:p>
        </w:tc>
        <w:tc>
          <w:tcPr>
            <w:tcW w:w="3969" w:type="dxa"/>
          </w:tcPr>
          <w:p w14:paraId="0699D536" w14:textId="77777777" w:rsidR="00103626" w:rsidRPr="00635F47" w:rsidRDefault="00103626" w:rsidP="0079406E">
            <w:pPr>
              <w:pStyle w:val="Default"/>
              <w:rPr>
                <w:rFonts w:asciiTheme="minorHAnsi" w:hAnsiTheme="minorHAnsi" w:cstheme="minorHAnsi"/>
                <w:b/>
                <w:bCs/>
                <w:sz w:val="22"/>
                <w:szCs w:val="22"/>
              </w:rPr>
            </w:pPr>
            <w:r w:rsidRPr="00635F47">
              <w:rPr>
                <w:rFonts w:asciiTheme="minorHAnsi" w:hAnsiTheme="minorHAnsi" w:cstheme="minorHAnsi"/>
                <w:b/>
                <w:bCs/>
                <w:sz w:val="22"/>
                <w:szCs w:val="22"/>
              </w:rPr>
              <w:t xml:space="preserve">Effect if actual results differ from assumptions </w:t>
            </w:r>
          </w:p>
          <w:p w14:paraId="1CE21F66" w14:textId="1DE21DB1" w:rsidR="00D65A28" w:rsidRPr="00635F47" w:rsidRDefault="00D65A28" w:rsidP="0079406E">
            <w:pPr>
              <w:pStyle w:val="Default"/>
              <w:rPr>
                <w:rFonts w:asciiTheme="minorHAnsi" w:hAnsiTheme="minorHAnsi" w:cstheme="minorHAnsi"/>
                <w:sz w:val="22"/>
                <w:szCs w:val="22"/>
              </w:rPr>
            </w:pPr>
          </w:p>
        </w:tc>
      </w:tr>
      <w:tr w:rsidR="00FF20E0" w:rsidRPr="00635F47" w14:paraId="6CC104D8" w14:textId="77777777" w:rsidTr="006E5B46">
        <w:trPr>
          <w:trHeight w:val="1369"/>
        </w:trPr>
        <w:tc>
          <w:tcPr>
            <w:tcW w:w="1668" w:type="dxa"/>
          </w:tcPr>
          <w:p w14:paraId="5D575C99" w14:textId="77777777" w:rsidR="00FF20E0" w:rsidRPr="00635F47" w:rsidRDefault="00FF20E0" w:rsidP="00FF20E0">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Property, Plant and Equipment </w:t>
            </w:r>
          </w:p>
        </w:tc>
        <w:tc>
          <w:tcPr>
            <w:tcW w:w="4819" w:type="dxa"/>
          </w:tcPr>
          <w:p w14:paraId="4D3C5A93" w14:textId="77777777"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Assets are depreciated over useful lives that are dependent on assumptions about the level of repairs and maintenance that will be incurred for each asset. The current economic climate makes it uncertain that the Authority will be able to sustain its current spending on repairs and maintenance, bringing into doubt the useful lives assigned to assets.</w:t>
            </w:r>
          </w:p>
          <w:p w14:paraId="37E97134" w14:textId="77777777" w:rsidR="00FF20E0" w:rsidRPr="00635F47" w:rsidRDefault="00FF20E0" w:rsidP="00D65A28">
            <w:pPr>
              <w:pStyle w:val="Default"/>
              <w:rPr>
                <w:rFonts w:asciiTheme="minorHAnsi" w:hAnsiTheme="minorHAnsi" w:cstheme="minorHAnsi"/>
                <w:color w:val="auto"/>
                <w:sz w:val="22"/>
                <w:szCs w:val="22"/>
              </w:rPr>
            </w:pPr>
          </w:p>
        </w:tc>
        <w:tc>
          <w:tcPr>
            <w:tcW w:w="3969" w:type="dxa"/>
          </w:tcPr>
          <w:p w14:paraId="1B5446CA" w14:textId="192BB541"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If the useful economic life (UEL) of assets is reduced, depreciation will increase and the carrying value of assets will decrease. It is estimated that the annual depreciation charge for buildings would increase by £</w:t>
            </w:r>
            <w:r w:rsidR="005573D1" w:rsidRPr="00635F47">
              <w:rPr>
                <w:rFonts w:asciiTheme="minorHAnsi" w:hAnsiTheme="minorHAnsi" w:cstheme="minorHAnsi"/>
                <w:color w:val="auto"/>
                <w:sz w:val="22"/>
                <w:szCs w:val="22"/>
              </w:rPr>
              <w:t>24</w:t>
            </w:r>
            <w:r w:rsidRPr="00635F47">
              <w:rPr>
                <w:rFonts w:asciiTheme="minorHAnsi" w:hAnsiTheme="minorHAnsi" w:cstheme="minorHAnsi"/>
                <w:color w:val="auto"/>
                <w:sz w:val="22"/>
                <w:szCs w:val="22"/>
              </w:rPr>
              <w:t>k for every year that useful lives had to be reduced.</w:t>
            </w:r>
          </w:p>
          <w:p w14:paraId="0D22025B" w14:textId="77777777" w:rsidR="00FF20E0" w:rsidRPr="00635F47" w:rsidRDefault="00FF20E0" w:rsidP="00D65A28">
            <w:pPr>
              <w:pStyle w:val="Default"/>
              <w:rPr>
                <w:rFonts w:asciiTheme="minorHAnsi" w:hAnsiTheme="minorHAnsi" w:cstheme="minorHAnsi"/>
                <w:color w:val="auto"/>
                <w:sz w:val="22"/>
                <w:szCs w:val="22"/>
              </w:rPr>
            </w:pPr>
          </w:p>
        </w:tc>
      </w:tr>
      <w:tr w:rsidR="00FF20E0" w:rsidRPr="00635F47" w14:paraId="77E68C44" w14:textId="77777777" w:rsidTr="006E5B46">
        <w:trPr>
          <w:trHeight w:val="1369"/>
        </w:trPr>
        <w:tc>
          <w:tcPr>
            <w:tcW w:w="1668" w:type="dxa"/>
          </w:tcPr>
          <w:p w14:paraId="43E3BD9E" w14:textId="77777777" w:rsidR="00FF20E0" w:rsidRPr="00635F47" w:rsidRDefault="00FF20E0" w:rsidP="00FF20E0">
            <w:pPr>
              <w:pStyle w:val="Default"/>
              <w:rPr>
                <w:rFonts w:asciiTheme="minorHAnsi" w:hAnsiTheme="minorHAnsi" w:cstheme="minorHAnsi"/>
                <w:b/>
                <w:bCs/>
                <w:sz w:val="22"/>
                <w:szCs w:val="22"/>
              </w:rPr>
            </w:pPr>
            <w:r w:rsidRPr="00635F47">
              <w:rPr>
                <w:rFonts w:asciiTheme="minorHAnsi" w:hAnsiTheme="minorHAnsi" w:cstheme="minorHAnsi"/>
                <w:b/>
                <w:bCs/>
                <w:sz w:val="22"/>
                <w:szCs w:val="22"/>
              </w:rPr>
              <w:t xml:space="preserve">Pensions Liability </w:t>
            </w:r>
          </w:p>
        </w:tc>
        <w:tc>
          <w:tcPr>
            <w:tcW w:w="4819" w:type="dxa"/>
          </w:tcPr>
          <w:p w14:paraId="67AB445B" w14:textId="77777777"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Estimation of the net pension liability to pay pensions depends on a number of complex actuarial assumptions/judgements relating to the discount rate used, salary increases, changes in retirement ages, mortality rates and expected return on assets. A firm of consulting actuaries is engaged to provide the Authority with expert advice about the assumptions to be applied.</w:t>
            </w:r>
          </w:p>
          <w:p w14:paraId="554D7662" w14:textId="77777777" w:rsidR="00FF20E0" w:rsidRPr="00635F47" w:rsidRDefault="00FF20E0"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 </w:t>
            </w:r>
          </w:p>
        </w:tc>
        <w:tc>
          <w:tcPr>
            <w:tcW w:w="3969" w:type="dxa"/>
          </w:tcPr>
          <w:p w14:paraId="560A83E9" w14:textId="30C5A47C" w:rsidR="00D65A28" w:rsidRPr="00635F47" w:rsidRDefault="00D65A28"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The carrying value of the Fire Staff pension liability as at 31 March 202</w:t>
            </w:r>
            <w:r w:rsidR="007C4875" w:rsidRPr="00635F47">
              <w:rPr>
                <w:rFonts w:asciiTheme="minorHAnsi" w:hAnsiTheme="minorHAnsi" w:cstheme="minorHAnsi"/>
                <w:color w:val="auto"/>
                <w:sz w:val="22"/>
                <w:szCs w:val="22"/>
              </w:rPr>
              <w:t>2</w:t>
            </w:r>
            <w:r w:rsidRPr="00635F47">
              <w:rPr>
                <w:rFonts w:asciiTheme="minorHAnsi" w:hAnsiTheme="minorHAnsi" w:cstheme="minorHAnsi"/>
                <w:color w:val="auto"/>
                <w:sz w:val="22"/>
                <w:szCs w:val="22"/>
              </w:rPr>
              <w:t xml:space="preserve"> is £</w:t>
            </w:r>
            <w:r w:rsidR="005573D1" w:rsidRPr="00635F47">
              <w:rPr>
                <w:rFonts w:asciiTheme="minorHAnsi" w:hAnsiTheme="minorHAnsi" w:cstheme="minorHAnsi"/>
                <w:color w:val="auto"/>
                <w:sz w:val="22"/>
                <w:szCs w:val="22"/>
              </w:rPr>
              <w:t>334</w:t>
            </w:r>
            <w:r w:rsidRPr="00635F47">
              <w:rPr>
                <w:rFonts w:asciiTheme="minorHAnsi" w:hAnsiTheme="minorHAnsi" w:cstheme="minorHAnsi"/>
                <w:color w:val="auto"/>
                <w:sz w:val="22"/>
                <w:szCs w:val="22"/>
              </w:rPr>
              <w:t>m.  The effect on the net pensions’ liability as a result of changes in individual assumptions is detailed within the Pensions Note 26.</w:t>
            </w:r>
          </w:p>
          <w:p w14:paraId="42A2BAD6" w14:textId="59443451" w:rsidR="00FF20E0" w:rsidRPr="00635F47" w:rsidRDefault="00FF20E0" w:rsidP="00D65A28">
            <w:pPr>
              <w:pStyle w:val="Default"/>
              <w:rPr>
                <w:rFonts w:asciiTheme="minorHAnsi" w:hAnsiTheme="minorHAnsi" w:cstheme="minorHAnsi"/>
                <w:color w:val="auto"/>
                <w:sz w:val="22"/>
                <w:szCs w:val="22"/>
              </w:rPr>
            </w:pPr>
          </w:p>
        </w:tc>
      </w:tr>
      <w:tr w:rsidR="00FF20E0" w:rsidRPr="00635F47" w14:paraId="47217E04" w14:textId="77777777" w:rsidTr="005573D1">
        <w:trPr>
          <w:trHeight w:val="2848"/>
        </w:trPr>
        <w:tc>
          <w:tcPr>
            <w:tcW w:w="1668" w:type="dxa"/>
          </w:tcPr>
          <w:p w14:paraId="629FF573" w14:textId="77777777" w:rsidR="00FF20E0" w:rsidRPr="00635F47" w:rsidRDefault="00FF20E0" w:rsidP="00FF20E0">
            <w:pPr>
              <w:pStyle w:val="Default"/>
              <w:rPr>
                <w:rFonts w:asciiTheme="minorHAnsi" w:hAnsiTheme="minorHAnsi" w:cstheme="minorHAnsi"/>
                <w:b/>
                <w:bCs/>
                <w:sz w:val="22"/>
                <w:szCs w:val="22"/>
              </w:rPr>
            </w:pPr>
            <w:r w:rsidRPr="00635F47">
              <w:rPr>
                <w:rFonts w:asciiTheme="minorHAnsi" w:hAnsiTheme="minorHAnsi" w:cstheme="minorHAnsi"/>
                <w:b/>
                <w:bCs/>
                <w:sz w:val="22"/>
                <w:szCs w:val="22"/>
              </w:rPr>
              <w:t>Council Tax (CT) and Business Rates (BR)</w:t>
            </w:r>
          </w:p>
        </w:tc>
        <w:tc>
          <w:tcPr>
            <w:tcW w:w="4819" w:type="dxa"/>
          </w:tcPr>
          <w:p w14:paraId="4047F965" w14:textId="77777777" w:rsidR="006150A9" w:rsidRPr="00635F47" w:rsidRDefault="006150A9" w:rsidP="006150A9">
            <w:pPr>
              <w:rPr>
                <w:rFonts w:cstheme="minorHAnsi"/>
                <w:color w:val="000000"/>
              </w:rPr>
            </w:pPr>
            <w:r w:rsidRPr="00635F47">
              <w:rPr>
                <w:rFonts w:cstheme="minorHAnsi"/>
                <w:color w:val="000000"/>
              </w:rPr>
              <w:t>The two local billing authorities were unable to complete their returns and therefore the result of the CT and BR outturn have been estimated.</w:t>
            </w:r>
          </w:p>
          <w:p w14:paraId="440C3EFE" w14:textId="77777777" w:rsidR="00FF20E0" w:rsidRPr="00635F47" w:rsidRDefault="00FF20E0" w:rsidP="00D65A28">
            <w:pPr>
              <w:pStyle w:val="Default"/>
              <w:rPr>
                <w:rFonts w:asciiTheme="minorHAnsi" w:hAnsiTheme="minorHAnsi" w:cstheme="minorHAnsi"/>
                <w:color w:val="auto"/>
                <w:sz w:val="22"/>
                <w:szCs w:val="22"/>
                <w:highlight w:val="yellow"/>
              </w:rPr>
            </w:pPr>
          </w:p>
        </w:tc>
        <w:tc>
          <w:tcPr>
            <w:tcW w:w="3969" w:type="dxa"/>
          </w:tcPr>
          <w:p w14:paraId="29362C26" w14:textId="475214B3" w:rsidR="006150A9" w:rsidRPr="00635F47" w:rsidRDefault="006150A9" w:rsidP="00D65A28">
            <w:pPr>
              <w:pStyle w:val="Default"/>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estimation technique is to assume the equivalent debtor, creditor or cash balance for the size of the Council compared to historical trends and published forecast information where available. Material differences in either CT and/or BR outturn positions would have a material impact on Council Tax and </w:t>
            </w:r>
            <w:r w:rsidR="0065190C" w:rsidRPr="00635F47">
              <w:rPr>
                <w:rFonts w:asciiTheme="minorHAnsi" w:hAnsiTheme="minorHAnsi" w:cstheme="minorHAnsi"/>
                <w:color w:val="auto"/>
                <w:sz w:val="22"/>
                <w:szCs w:val="22"/>
              </w:rPr>
              <w:t>BR</w:t>
            </w:r>
            <w:r w:rsidRPr="00635F47">
              <w:rPr>
                <w:rFonts w:asciiTheme="minorHAnsi" w:hAnsiTheme="minorHAnsi" w:cstheme="minorHAnsi"/>
                <w:color w:val="auto"/>
                <w:sz w:val="22"/>
                <w:szCs w:val="22"/>
              </w:rPr>
              <w:t xml:space="preserve"> funding NCFRA will receive in the 2023/24 financial year and for future years, however due to the recommended accounting treatment for these items there would be no impact on the NCFRA reserves position as at the 31st March 2022 of any material differences between the estimate used and the actual values when they become available.</w:t>
            </w:r>
          </w:p>
          <w:p w14:paraId="24D98073" w14:textId="3C51CD1A" w:rsidR="006150A9" w:rsidRPr="00635F47" w:rsidRDefault="006150A9" w:rsidP="00D65A28">
            <w:pPr>
              <w:pStyle w:val="Default"/>
              <w:rPr>
                <w:rFonts w:asciiTheme="minorHAnsi" w:hAnsiTheme="minorHAnsi" w:cstheme="minorHAnsi"/>
                <w:color w:val="auto"/>
                <w:sz w:val="22"/>
                <w:szCs w:val="22"/>
                <w:highlight w:val="yellow"/>
              </w:rPr>
            </w:pPr>
          </w:p>
        </w:tc>
      </w:tr>
    </w:tbl>
    <w:p w14:paraId="08D0319D" w14:textId="231A19D8" w:rsidR="00BE7015" w:rsidRPr="007F07C2" w:rsidRDefault="00E55282" w:rsidP="0079406E">
      <w:pPr>
        <w:autoSpaceDE w:val="0"/>
        <w:autoSpaceDN w:val="0"/>
        <w:adjustRightInd w:val="0"/>
        <w:spacing w:after="0" w:line="240" w:lineRule="auto"/>
        <w:rPr>
          <w:rFonts w:cs="Arial"/>
          <w:b/>
          <w:bCs/>
          <w:color w:val="000000"/>
          <w:sz w:val="28"/>
          <w:szCs w:val="28"/>
        </w:rPr>
      </w:pPr>
      <w:r w:rsidRPr="007F07C2">
        <w:rPr>
          <w:rFonts w:cs="Arial"/>
          <w:b/>
          <w:bCs/>
          <w:color w:val="000000"/>
          <w:sz w:val="28"/>
          <w:szCs w:val="28"/>
        </w:rPr>
        <w:t>6</w:t>
      </w:r>
      <w:r w:rsidR="0079406E" w:rsidRPr="007F07C2">
        <w:rPr>
          <w:rFonts w:cs="Arial"/>
          <w:b/>
          <w:bCs/>
          <w:color w:val="000000"/>
          <w:sz w:val="28"/>
          <w:szCs w:val="28"/>
        </w:rPr>
        <w:t xml:space="preserve"> Material items of income and expenditure</w:t>
      </w:r>
    </w:p>
    <w:p w14:paraId="6F43419B" w14:textId="43A9F243" w:rsidR="00492D30" w:rsidRDefault="0079406E" w:rsidP="0079406E">
      <w:pPr>
        <w:autoSpaceDE w:val="0"/>
        <w:autoSpaceDN w:val="0"/>
        <w:adjustRightInd w:val="0"/>
        <w:spacing w:after="0" w:line="240" w:lineRule="auto"/>
        <w:rPr>
          <w:rFonts w:cs="Arial"/>
          <w:color w:val="000000"/>
        </w:rPr>
      </w:pPr>
      <w:r w:rsidRPr="007F07C2">
        <w:rPr>
          <w:rFonts w:cs="Arial"/>
          <w:b/>
          <w:bCs/>
          <w:color w:val="000000"/>
          <w:sz w:val="28"/>
          <w:szCs w:val="28"/>
        </w:rPr>
        <w:t xml:space="preserve"> </w:t>
      </w:r>
      <w:r w:rsidRPr="007F07C2">
        <w:rPr>
          <w:rFonts w:cs="Arial"/>
          <w:color w:val="000000"/>
        </w:rPr>
        <w:t>There are no material items of income or expenditure arising in the year t</w:t>
      </w:r>
      <w:r w:rsidR="00D6360B" w:rsidRPr="007F07C2">
        <w:rPr>
          <w:rFonts w:cs="Arial"/>
          <w:color w:val="000000"/>
        </w:rPr>
        <w:t>hat require separate disclosure.</w:t>
      </w:r>
    </w:p>
    <w:p w14:paraId="40983C2F" w14:textId="58606AD3" w:rsidR="00DE1AE6" w:rsidRDefault="00DE1AE6" w:rsidP="0079406E">
      <w:pPr>
        <w:autoSpaceDE w:val="0"/>
        <w:autoSpaceDN w:val="0"/>
        <w:adjustRightInd w:val="0"/>
        <w:spacing w:after="0" w:line="240" w:lineRule="auto"/>
        <w:rPr>
          <w:rFonts w:cs="Arial"/>
          <w:color w:val="000000"/>
        </w:rPr>
      </w:pPr>
    </w:p>
    <w:p w14:paraId="5184DCC5" w14:textId="5B149B57" w:rsidR="0079406E" w:rsidRPr="0065190C" w:rsidRDefault="00E55282" w:rsidP="0079406E">
      <w:pPr>
        <w:autoSpaceDE w:val="0"/>
        <w:autoSpaceDN w:val="0"/>
        <w:adjustRightInd w:val="0"/>
        <w:spacing w:after="0" w:line="240" w:lineRule="auto"/>
        <w:rPr>
          <w:rFonts w:cs="Arial"/>
          <w:color w:val="000000"/>
        </w:rPr>
      </w:pPr>
      <w:r w:rsidRPr="007F07C2">
        <w:rPr>
          <w:rFonts w:cs="Arial"/>
          <w:b/>
          <w:bCs/>
          <w:sz w:val="28"/>
          <w:szCs w:val="28"/>
        </w:rPr>
        <w:lastRenderedPageBreak/>
        <w:t>7</w:t>
      </w:r>
      <w:r w:rsidR="0079406E" w:rsidRPr="007F07C2">
        <w:rPr>
          <w:rFonts w:cs="Arial"/>
          <w:b/>
          <w:bCs/>
          <w:sz w:val="28"/>
          <w:szCs w:val="28"/>
        </w:rPr>
        <w:t xml:space="preserve"> Adjustments between accounting basis and funding basis under regulations </w:t>
      </w:r>
    </w:p>
    <w:p w14:paraId="0962D39F" w14:textId="7C590A1E" w:rsidR="0065190C" w:rsidRPr="00B81411" w:rsidRDefault="0079406E" w:rsidP="0079406E">
      <w:pPr>
        <w:autoSpaceDE w:val="0"/>
        <w:autoSpaceDN w:val="0"/>
        <w:adjustRightInd w:val="0"/>
        <w:spacing w:after="0" w:line="240" w:lineRule="auto"/>
        <w:rPr>
          <w:rFonts w:cstheme="minorHAnsi"/>
        </w:rPr>
      </w:pPr>
      <w:r w:rsidRPr="00B81411">
        <w:rPr>
          <w:rFonts w:cstheme="minorHAnsi"/>
        </w:rPr>
        <w:t xml:space="preserve">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 </w:t>
      </w:r>
    </w:p>
    <w:tbl>
      <w:tblPr>
        <w:tblW w:w="10992" w:type="dxa"/>
        <w:tblLook w:val="04A0" w:firstRow="1" w:lastRow="0" w:firstColumn="1" w:lastColumn="0" w:noHBand="0" w:noVBand="1"/>
      </w:tblPr>
      <w:tblGrid>
        <w:gridCol w:w="426"/>
        <w:gridCol w:w="4728"/>
        <w:gridCol w:w="1251"/>
        <w:gridCol w:w="1211"/>
        <w:gridCol w:w="1160"/>
        <w:gridCol w:w="990"/>
        <w:gridCol w:w="1226"/>
      </w:tblGrid>
      <w:tr w:rsidR="0065190C" w:rsidRPr="0065190C" w14:paraId="20F77147" w14:textId="77777777" w:rsidTr="0065190C">
        <w:trPr>
          <w:trHeight w:val="105"/>
        </w:trPr>
        <w:tc>
          <w:tcPr>
            <w:tcW w:w="426" w:type="dxa"/>
            <w:tcBorders>
              <w:top w:val="nil"/>
              <w:left w:val="nil"/>
              <w:bottom w:val="nil"/>
              <w:right w:val="nil"/>
            </w:tcBorders>
            <w:shd w:val="clear" w:color="000000" w:fill="FFFFFF"/>
            <w:noWrap/>
            <w:vAlign w:val="bottom"/>
            <w:hideMark/>
          </w:tcPr>
          <w:p w14:paraId="29695EA1" w14:textId="3BE98A13"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4A6001A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51" w:type="dxa"/>
            <w:tcBorders>
              <w:top w:val="nil"/>
              <w:left w:val="nil"/>
              <w:bottom w:val="nil"/>
              <w:right w:val="nil"/>
            </w:tcBorders>
            <w:shd w:val="clear" w:color="000000" w:fill="FFFFFF"/>
            <w:noWrap/>
            <w:vAlign w:val="bottom"/>
            <w:hideMark/>
          </w:tcPr>
          <w:p w14:paraId="602D5D1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11" w:type="dxa"/>
            <w:tcBorders>
              <w:top w:val="nil"/>
              <w:left w:val="nil"/>
              <w:bottom w:val="nil"/>
              <w:right w:val="nil"/>
            </w:tcBorders>
            <w:shd w:val="clear" w:color="000000" w:fill="FFFFFF"/>
            <w:noWrap/>
            <w:vAlign w:val="bottom"/>
            <w:hideMark/>
          </w:tcPr>
          <w:p w14:paraId="4758C58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160" w:type="dxa"/>
            <w:tcBorders>
              <w:top w:val="nil"/>
              <w:left w:val="nil"/>
              <w:bottom w:val="nil"/>
              <w:right w:val="nil"/>
            </w:tcBorders>
            <w:shd w:val="clear" w:color="000000" w:fill="FFFFFF"/>
            <w:noWrap/>
            <w:vAlign w:val="bottom"/>
            <w:hideMark/>
          </w:tcPr>
          <w:p w14:paraId="339F5A4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0358695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26" w:type="dxa"/>
            <w:tcBorders>
              <w:top w:val="nil"/>
              <w:left w:val="nil"/>
              <w:bottom w:val="nil"/>
              <w:right w:val="nil"/>
            </w:tcBorders>
            <w:shd w:val="clear" w:color="000000" w:fill="FFFFFF"/>
            <w:noWrap/>
            <w:vAlign w:val="bottom"/>
            <w:hideMark/>
          </w:tcPr>
          <w:p w14:paraId="71CEAE0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99715C7" w14:textId="77777777" w:rsidTr="0065190C">
        <w:trPr>
          <w:trHeight w:val="433"/>
        </w:trPr>
        <w:tc>
          <w:tcPr>
            <w:tcW w:w="426" w:type="dxa"/>
            <w:tcBorders>
              <w:top w:val="nil"/>
              <w:left w:val="nil"/>
              <w:bottom w:val="nil"/>
              <w:right w:val="nil"/>
            </w:tcBorders>
            <w:shd w:val="clear" w:color="000000" w:fill="FFFFFF"/>
            <w:noWrap/>
            <w:vAlign w:val="bottom"/>
            <w:hideMark/>
          </w:tcPr>
          <w:p w14:paraId="4FC17AB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4C8ED5F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5838" w:type="dxa"/>
            <w:gridSpan w:val="5"/>
            <w:tcBorders>
              <w:top w:val="single" w:sz="8" w:space="0" w:color="auto"/>
              <w:left w:val="single" w:sz="8" w:space="0" w:color="auto"/>
              <w:bottom w:val="single" w:sz="8" w:space="0" w:color="auto"/>
              <w:right w:val="single" w:sz="8" w:space="0" w:color="000000"/>
            </w:tcBorders>
            <w:shd w:val="clear" w:color="000000" w:fill="C00000"/>
            <w:vAlign w:val="center"/>
            <w:hideMark/>
          </w:tcPr>
          <w:p w14:paraId="1EB24F40" w14:textId="77777777" w:rsidR="0065190C" w:rsidRPr="0065190C" w:rsidRDefault="0065190C" w:rsidP="0065190C">
            <w:pPr>
              <w:spacing w:after="0" w:line="240" w:lineRule="auto"/>
              <w:jc w:val="center"/>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Usable Reserves</w:t>
            </w:r>
          </w:p>
        </w:tc>
      </w:tr>
      <w:tr w:rsidR="0065190C" w:rsidRPr="0065190C" w14:paraId="6507F151" w14:textId="77777777" w:rsidTr="0065190C">
        <w:trPr>
          <w:trHeight w:val="1053"/>
        </w:trPr>
        <w:tc>
          <w:tcPr>
            <w:tcW w:w="426" w:type="dxa"/>
            <w:tcBorders>
              <w:top w:val="nil"/>
              <w:left w:val="nil"/>
              <w:bottom w:val="nil"/>
              <w:right w:val="nil"/>
            </w:tcBorders>
            <w:shd w:val="clear" w:color="000000" w:fill="FFFFFF"/>
            <w:noWrap/>
            <w:vAlign w:val="bottom"/>
            <w:hideMark/>
          </w:tcPr>
          <w:p w14:paraId="742B50B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8" w:space="0" w:color="auto"/>
              <w:left w:val="single" w:sz="8" w:space="0" w:color="auto"/>
              <w:bottom w:val="nil"/>
              <w:right w:val="nil"/>
            </w:tcBorders>
            <w:shd w:val="clear" w:color="000000" w:fill="C00000"/>
            <w:vAlign w:val="bottom"/>
            <w:hideMark/>
          </w:tcPr>
          <w:p w14:paraId="3CC4DCD1"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2020/21</w:t>
            </w:r>
          </w:p>
        </w:tc>
        <w:tc>
          <w:tcPr>
            <w:tcW w:w="1251" w:type="dxa"/>
            <w:tcBorders>
              <w:top w:val="single" w:sz="8" w:space="0" w:color="auto"/>
              <w:left w:val="nil"/>
              <w:bottom w:val="nil"/>
              <w:right w:val="nil"/>
            </w:tcBorders>
            <w:shd w:val="clear" w:color="000000" w:fill="C00000"/>
            <w:vAlign w:val="center"/>
            <w:hideMark/>
          </w:tcPr>
          <w:p w14:paraId="6758117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General Fund Balance</w:t>
            </w:r>
          </w:p>
        </w:tc>
        <w:tc>
          <w:tcPr>
            <w:tcW w:w="1211" w:type="dxa"/>
            <w:tcBorders>
              <w:top w:val="single" w:sz="8" w:space="0" w:color="auto"/>
              <w:left w:val="nil"/>
              <w:bottom w:val="nil"/>
              <w:right w:val="nil"/>
            </w:tcBorders>
            <w:shd w:val="clear" w:color="000000" w:fill="C00000"/>
            <w:vAlign w:val="center"/>
            <w:hideMark/>
          </w:tcPr>
          <w:p w14:paraId="38A316B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Earmarked Reserves</w:t>
            </w:r>
          </w:p>
        </w:tc>
        <w:tc>
          <w:tcPr>
            <w:tcW w:w="1160" w:type="dxa"/>
            <w:tcBorders>
              <w:top w:val="single" w:sz="8" w:space="0" w:color="auto"/>
              <w:left w:val="nil"/>
              <w:bottom w:val="nil"/>
              <w:right w:val="nil"/>
            </w:tcBorders>
            <w:shd w:val="clear" w:color="000000" w:fill="C00000"/>
            <w:vAlign w:val="center"/>
            <w:hideMark/>
          </w:tcPr>
          <w:p w14:paraId="63AC2AF2"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Grants Unapplied</w:t>
            </w:r>
          </w:p>
        </w:tc>
        <w:tc>
          <w:tcPr>
            <w:tcW w:w="990" w:type="dxa"/>
            <w:tcBorders>
              <w:top w:val="nil"/>
              <w:left w:val="nil"/>
              <w:bottom w:val="nil"/>
              <w:right w:val="nil"/>
            </w:tcBorders>
            <w:shd w:val="clear" w:color="000000" w:fill="C00000"/>
            <w:vAlign w:val="center"/>
            <w:hideMark/>
          </w:tcPr>
          <w:p w14:paraId="5EF8816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Receipts Reserve</w:t>
            </w:r>
          </w:p>
        </w:tc>
        <w:tc>
          <w:tcPr>
            <w:tcW w:w="1226" w:type="dxa"/>
            <w:tcBorders>
              <w:top w:val="nil"/>
              <w:left w:val="single" w:sz="8" w:space="0" w:color="auto"/>
              <w:bottom w:val="nil"/>
              <w:right w:val="single" w:sz="8" w:space="0" w:color="auto"/>
            </w:tcBorders>
            <w:shd w:val="clear" w:color="000000" w:fill="C00000"/>
            <w:vAlign w:val="center"/>
            <w:hideMark/>
          </w:tcPr>
          <w:p w14:paraId="7E88E6B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Movement in Unusable Reserves</w:t>
            </w:r>
          </w:p>
        </w:tc>
      </w:tr>
      <w:tr w:rsidR="0065190C" w:rsidRPr="0065190C" w14:paraId="4CF9BF6A" w14:textId="77777777" w:rsidTr="0065190C">
        <w:trPr>
          <w:trHeight w:val="276"/>
        </w:trPr>
        <w:tc>
          <w:tcPr>
            <w:tcW w:w="426" w:type="dxa"/>
            <w:tcBorders>
              <w:top w:val="nil"/>
              <w:left w:val="nil"/>
              <w:bottom w:val="nil"/>
              <w:right w:val="nil"/>
            </w:tcBorders>
            <w:shd w:val="clear" w:color="000000" w:fill="FFFFFF"/>
            <w:noWrap/>
            <w:vAlign w:val="bottom"/>
            <w:hideMark/>
          </w:tcPr>
          <w:p w14:paraId="7CC18D8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single" w:sz="8" w:space="0" w:color="auto"/>
              <w:right w:val="nil"/>
            </w:tcBorders>
            <w:shd w:val="clear" w:color="000000" w:fill="C00000"/>
            <w:vAlign w:val="bottom"/>
            <w:hideMark/>
          </w:tcPr>
          <w:p w14:paraId="28609EB0"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Adjustments to the Revenue Resources</w:t>
            </w:r>
          </w:p>
        </w:tc>
        <w:tc>
          <w:tcPr>
            <w:tcW w:w="1251" w:type="dxa"/>
            <w:tcBorders>
              <w:top w:val="nil"/>
              <w:left w:val="nil"/>
              <w:bottom w:val="single" w:sz="8" w:space="0" w:color="auto"/>
              <w:right w:val="nil"/>
            </w:tcBorders>
            <w:shd w:val="clear" w:color="000000" w:fill="C00000"/>
            <w:vAlign w:val="center"/>
            <w:hideMark/>
          </w:tcPr>
          <w:p w14:paraId="1DB4839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11" w:type="dxa"/>
            <w:tcBorders>
              <w:top w:val="nil"/>
              <w:left w:val="nil"/>
              <w:bottom w:val="single" w:sz="8" w:space="0" w:color="auto"/>
              <w:right w:val="nil"/>
            </w:tcBorders>
            <w:shd w:val="clear" w:color="000000" w:fill="C00000"/>
            <w:vAlign w:val="center"/>
            <w:hideMark/>
          </w:tcPr>
          <w:p w14:paraId="3129979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160" w:type="dxa"/>
            <w:tcBorders>
              <w:top w:val="nil"/>
              <w:left w:val="nil"/>
              <w:bottom w:val="single" w:sz="8" w:space="0" w:color="auto"/>
              <w:right w:val="nil"/>
            </w:tcBorders>
            <w:shd w:val="clear" w:color="000000" w:fill="C00000"/>
            <w:vAlign w:val="center"/>
            <w:hideMark/>
          </w:tcPr>
          <w:p w14:paraId="23A9643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990" w:type="dxa"/>
            <w:tcBorders>
              <w:top w:val="nil"/>
              <w:left w:val="nil"/>
              <w:bottom w:val="single" w:sz="8" w:space="0" w:color="305496"/>
              <w:right w:val="nil"/>
            </w:tcBorders>
            <w:shd w:val="clear" w:color="000000" w:fill="C00000"/>
            <w:noWrap/>
            <w:hideMark/>
          </w:tcPr>
          <w:p w14:paraId="3477063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26" w:type="dxa"/>
            <w:tcBorders>
              <w:top w:val="nil"/>
              <w:left w:val="single" w:sz="8" w:space="0" w:color="auto"/>
              <w:bottom w:val="single" w:sz="8" w:space="0" w:color="auto"/>
              <w:right w:val="single" w:sz="8" w:space="0" w:color="auto"/>
            </w:tcBorders>
            <w:shd w:val="clear" w:color="000000" w:fill="C00000"/>
            <w:vAlign w:val="center"/>
            <w:hideMark/>
          </w:tcPr>
          <w:p w14:paraId="55377E6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r>
      <w:tr w:rsidR="0065190C" w:rsidRPr="0065190C" w14:paraId="04A16BA2" w14:textId="77777777" w:rsidTr="0065190C">
        <w:trPr>
          <w:trHeight w:val="263"/>
        </w:trPr>
        <w:tc>
          <w:tcPr>
            <w:tcW w:w="426" w:type="dxa"/>
            <w:tcBorders>
              <w:top w:val="nil"/>
              <w:left w:val="nil"/>
              <w:bottom w:val="nil"/>
              <w:right w:val="nil"/>
            </w:tcBorders>
            <w:shd w:val="clear" w:color="000000" w:fill="FFFFFF"/>
            <w:noWrap/>
            <w:vAlign w:val="center"/>
            <w:hideMark/>
          </w:tcPr>
          <w:p w14:paraId="2431189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0A89B6A6"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51" w:type="dxa"/>
            <w:tcBorders>
              <w:top w:val="nil"/>
              <w:left w:val="nil"/>
              <w:bottom w:val="nil"/>
              <w:right w:val="nil"/>
            </w:tcBorders>
            <w:shd w:val="clear" w:color="000000" w:fill="FFFFFF"/>
            <w:vAlign w:val="center"/>
            <w:hideMark/>
          </w:tcPr>
          <w:p w14:paraId="6030A49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45272E1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0B1FFE27"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565D0D1"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0E08DA0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57291385" w14:textId="77777777" w:rsidTr="0065190C">
        <w:trPr>
          <w:trHeight w:val="790"/>
        </w:trPr>
        <w:tc>
          <w:tcPr>
            <w:tcW w:w="426" w:type="dxa"/>
            <w:tcBorders>
              <w:top w:val="nil"/>
              <w:left w:val="nil"/>
              <w:bottom w:val="nil"/>
              <w:right w:val="nil"/>
            </w:tcBorders>
            <w:shd w:val="clear" w:color="000000" w:fill="FFFFFF"/>
            <w:noWrap/>
            <w:vAlign w:val="bottom"/>
            <w:hideMark/>
          </w:tcPr>
          <w:p w14:paraId="3FAAC99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16049859"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1251" w:type="dxa"/>
            <w:tcBorders>
              <w:top w:val="nil"/>
              <w:left w:val="nil"/>
              <w:bottom w:val="nil"/>
              <w:right w:val="nil"/>
            </w:tcBorders>
            <w:shd w:val="clear" w:color="000000" w:fill="FFFFFF"/>
            <w:vAlign w:val="center"/>
            <w:hideMark/>
          </w:tcPr>
          <w:p w14:paraId="495556C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69EF4FA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CCFDCC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D55F56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5B4E104"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536BB93A" w14:textId="77777777" w:rsidTr="0065190C">
        <w:trPr>
          <w:trHeight w:val="263"/>
        </w:trPr>
        <w:tc>
          <w:tcPr>
            <w:tcW w:w="426" w:type="dxa"/>
            <w:tcBorders>
              <w:top w:val="nil"/>
              <w:left w:val="nil"/>
              <w:bottom w:val="nil"/>
              <w:right w:val="nil"/>
            </w:tcBorders>
            <w:shd w:val="clear" w:color="000000" w:fill="FFFFFF"/>
            <w:noWrap/>
            <w:vAlign w:val="bottom"/>
            <w:hideMark/>
          </w:tcPr>
          <w:p w14:paraId="5DDEB09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432900B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Pension costs (transferred to (or from) the Pensions Reserve</w:t>
            </w:r>
          </w:p>
        </w:tc>
        <w:tc>
          <w:tcPr>
            <w:tcW w:w="1251" w:type="dxa"/>
            <w:tcBorders>
              <w:top w:val="nil"/>
              <w:left w:val="nil"/>
              <w:bottom w:val="nil"/>
              <w:right w:val="nil"/>
            </w:tcBorders>
            <w:shd w:val="clear" w:color="000000" w:fill="FFFFFF"/>
            <w:vAlign w:val="center"/>
            <w:hideMark/>
          </w:tcPr>
          <w:p w14:paraId="170E773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(6,378)</w:t>
            </w:r>
          </w:p>
        </w:tc>
        <w:tc>
          <w:tcPr>
            <w:tcW w:w="1211" w:type="dxa"/>
            <w:tcBorders>
              <w:top w:val="nil"/>
              <w:left w:val="nil"/>
              <w:bottom w:val="nil"/>
              <w:right w:val="nil"/>
            </w:tcBorders>
            <w:shd w:val="clear" w:color="000000" w:fill="FFFFFF"/>
            <w:vAlign w:val="center"/>
            <w:hideMark/>
          </w:tcPr>
          <w:p w14:paraId="20FFDB3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28A625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1EC744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4734E61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6,378</w:t>
            </w:r>
          </w:p>
        </w:tc>
      </w:tr>
      <w:tr w:rsidR="0065190C" w:rsidRPr="0065190C" w14:paraId="6EB036D3" w14:textId="77777777" w:rsidTr="0065190C">
        <w:trPr>
          <w:trHeight w:val="526"/>
        </w:trPr>
        <w:tc>
          <w:tcPr>
            <w:tcW w:w="426" w:type="dxa"/>
            <w:tcBorders>
              <w:top w:val="nil"/>
              <w:left w:val="nil"/>
              <w:bottom w:val="nil"/>
              <w:right w:val="nil"/>
            </w:tcBorders>
            <w:shd w:val="clear" w:color="000000" w:fill="FFFFFF"/>
            <w:noWrap/>
            <w:vAlign w:val="bottom"/>
            <w:hideMark/>
          </w:tcPr>
          <w:p w14:paraId="66ADBAB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31E1C83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and Impairment Losses moved to Capital Adj Account</w:t>
            </w:r>
          </w:p>
        </w:tc>
        <w:tc>
          <w:tcPr>
            <w:tcW w:w="1251" w:type="dxa"/>
            <w:tcBorders>
              <w:top w:val="nil"/>
              <w:left w:val="nil"/>
              <w:bottom w:val="nil"/>
              <w:right w:val="nil"/>
            </w:tcBorders>
            <w:shd w:val="clear" w:color="000000" w:fill="FFFFFF"/>
            <w:vAlign w:val="center"/>
            <w:hideMark/>
          </w:tcPr>
          <w:p w14:paraId="3DCBB55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(2,093)</w:t>
            </w:r>
          </w:p>
        </w:tc>
        <w:tc>
          <w:tcPr>
            <w:tcW w:w="1211" w:type="dxa"/>
            <w:tcBorders>
              <w:top w:val="nil"/>
              <w:left w:val="nil"/>
              <w:bottom w:val="nil"/>
              <w:right w:val="nil"/>
            </w:tcBorders>
            <w:shd w:val="clear" w:color="000000" w:fill="FFFFFF"/>
            <w:vAlign w:val="center"/>
            <w:hideMark/>
          </w:tcPr>
          <w:p w14:paraId="4AF9652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CAAAE7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1AF3B32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22D4B5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2,093</w:t>
            </w:r>
          </w:p>
        </w:tc>
      </w:tr>
      <w:tr w:rsidR="0065190C" w:rsidRPr="0065190C" w14:paraId="7F0FD41A" w14:textId="77777777" w:rsidTr="0065190C">
        <w:trPr>
          <w:trHeight w:val="263"/>
        </w:trPr>
        <w:tc>
          <w:tcPr>
            <w:tcW w:w="426" w:type="dxa"/>
            <w:tcBorders>
              <w:top w:val="nil"/>
              <w:left w:val="nil"/>
              <w:bottom w:val="nil"/>
              <w:right w:val="nil"/>
            </w:tcBorders>
            <w:shd w:val="clear" w:color="000000" w:fill="FFFFFF"/>
            <w:noWrap/>
            <w:vAlign w:val="bottom"/>
            <w:hideMark/>
          </w:tcPr>
          <w:p w14:paraId="79341DE8" w14:textId="44D9F877" w:rsidR="0065190C" w:rsidRPr="0065190C" w:rsidRDefault="0065190C" w:rsidP="0065190C">
            <w:pPr>
              <w:spacing w:after="0" w:line="240" w:lineRule="auto"/>
              <w:rPr>
                <w:rFonts w:ascii="Calibri" w:eastAsia="Times New Roman" w:hAnsi="Calibri" w:cs="Calibri"/>
                <w:color w:val="FFFFFF"/>
                <w:lang w:eastAsia="en-GB"/>
              </w:rPr>
            </w:pPr>
          </w:p>
        </w:tc>
        <w:tc>
          <w:tcPr>
            <w:tcW w:w="4728" w:type="dxa"/>
            <w:tcBorders>
              <w:top w:val="nil"/>
              <w:left w:val="single" w:sz="8" w:space="0" w:color="auto"/>
              <w:bottom w:val="nil"/>
              <w:right w:val="nil"/>
            </w:tcBorders>
            <w:shd w:val="clear" w:color="000000" w:fill="FFFFFF"/>
            <w:vAlign w:val="center"/>
            <w:hideMark/>
          </w:tcPr>
          <w:p w14:paraId="5F6C44C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Change in Accumulated Absence Charge</w:t>
            </w:r>
          </w:p>
        </w:tc>
        <w:tc>
          <w:tcPr>
            <w:tcW w:w="1251" w:type="dxa"/>
            <w:tcBorders>
              <w:top w:val="nil"/>
              <w:left w:val="nil"/>
              <w:bottom w:val="nil"/>
              <w:right w:val="nil"/>
            </w:tcBorders>
            <w:shd w:val="clear" w:color="000000" w:fill="FFFFFF"/>
            <w:vAlign w:val="center"/>
            <w:hideMark/>
          </w:tcPr>
          <w:p w14:paraId="5797EEC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14</w:t>
            </w:r>
          </w:p>
        </w:tc>
        <w:tc>
          <w:tcPr>
            <w:tcW w:w="1211" w:type="dxa"/>
            <w:tcBorders>
              <w:top w:val="nil"/>
              <w:left w:val="nil"/>
              <w:bottom w:val="nil"/>
              <w:right w:val="nil"/>
            </w:tcBorders>
            <w:shd w:val="clear" w:color="000000" w:fill="FFFFFF"/>
            <w:vAlign w:val="center"/>
            <w:hideMark/>
          </w:tcPr>
          <w:p w14:paraId="7AB0D3C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6CB9B16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2AD72E6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C1C26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(14)</w:t>
            </w:r>
          </w:p>
        </w:tc>
      </w:tr>
      <w:tr w:rsidR="0065190C" w:rsidRPr="0065190C" w14:paraId="5AD13C2C" w14:textId="77777777" w:rsidTr="0065190C">
        <w:trPr>
          <w:trHeight w:val="263"/>
        </w:trPr>
        <w:tc>
          <w:tcPr>
            <w:tcW w:w="426" w:type="dxa"/>
            <w:tcBorders>
              <w:top w:val="nil"/>
              <w:left w:val="nil"/>
              <w:bottom w:val="nil"/>
              <w:right w:val="nil"/>
            </w:tcBorders>
            <w:shd w:val="clear" w:color="000000" w:fill="FFFFFF"/>
            <w:noWrap/>
            <w:vAlign w:val="bottom"/>
            <w:hideMark/>
          </w:tcPr>
          <w:p w14:paraId="1D48EBC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188D3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Expenditure Funded by Revenue Funding (RCCO)</w:t>
            </w:r>
          </w:p>
        </w:tc>
        <w:tc>
          <w:tcPr>
            <w:tcW w:w="1251" w:type="dxa"/>
            <w:tcBorders>
              <w:top w:val="nil"/>
              <w:left w:val="nil"/>
              <w:bottom w:val="nil"/>
              <w:right w:val="nil"/>
            </w:tcBorders>
            <w:shd w:val="clear" w:color="000000" w:fill="FFFFFF"/>
            <w:vAlign w:val="center"/>
            <w:hideMark/>
          </w:tcPr>
          <w:p w14:paraId="4924030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506</w:t>
            </w:r>
          </w:p>
        </w:tc>
        <w:tc>
          <w:tcPr>
            <w:tcW w:w="1211" w:type="dxa"/>
            <w:tcBorders>
              <w:top w:val="nil"/>
              <w:left w:val="nil"/>
              <w:bottom w:val="nil"/>
              <w:right w:val="nil"/>
            </w:tcBorders>
            <w:shd w:val="clear" w:color="000000" w:fill="FFFFFF"/>
            <w:vAlign w:val="center"/>
            <w:hideMark/>
          </w:tcPr>
          <w:p w14:paraId="0594AB6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380B7C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400</w:t>
            </w:r>
          </w:p>
        </w:tc>
        <w:tc>
          <w:tcPr>
            <w:tcW w:w="990" w:type="dxa"/>
            <w:tcBorders>
              <w:top w:val="nil"/>
              <w:left w:val="nil"/>
              <w:bottom w:val="nil"/>
              <w:right w:val="nil"/>
            </w:tcBorders>
            <w:shd w:val="clear" w:color="000000" w:fill="FFFFFF"/>
            <w:vAlign w:val="center"/>
            <w:hideMark/>
          </w:tcPr>
          <w:p w14:paraId="6C16546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32</w:t>
            </w:r>
          </w:p>
        </w:tc>
        <w:tc>
          <w:tcPr>
            <w:tcW w:w="1226" w:type="dxa"/>
            <w:tcBorders>
              <w:top w:val="nil"/>
              <w:left w:val="single" w:sz="8" w:space="0" w:color="auto"/>
              <w:bottom w:val="nil"/>
              <w:right w:val="single" w:sz="8" w:space="0" w:color="auto"/>
            </w:tcBorders>
            <w:shd w:val="clear" w:color="000000" w:fill="FFE1E1"/>
            <w:noWrap/>
            <w:vAlign w:val="center"/>
            <w:hideMark/>
          </w:tcPr>
          <w:p w14:paraId="2FB200B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(938)</w:t>
            </w:r>
          </w:p>
        </w:tc>
      </w:tr>
      <w:tr w:rsidR="0065190C" w:rsidRPr="0065190C" w14:paraId="527DCC0D" w14:textId="77777777" w:rsidTr="0065190C">
        <w:trPr>
          <w:trHeight w:val="263"/>
        </w:trPr>
        <w:tc>
          <w:tcPr>
            <w:tcW w:w="426" w:type="dxa"/>
            <w:tcBorders>
              <w:top w:val="nil"/>
              <w:left w:val="nil"/>
              <w:bottom w:val="nil"/>
              <w:right w:val="nil"/>
            </w:tcBorders>
            <w:shd w:val="clear" w:color="000000" w:fill="FFFFFF"/>
            <w:noWrap/>
            <w:vAlign w:val="bottom"/>
            <w:hideMark/>
          </w:tcPr>
          <w:p w14:paraId="27FE54D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6309119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Receipts Received in year</w:t>
            </w:r>
          </w:p>
        </w:tc>
        <w:tc>
          <w:tcPr>
            <w:tcW w:w="1251" w:type="dxa"/>
            <w:tcBorders>
              <w:top w:val="nil"/>
              <w:left w:val="nil"/>
              <w:bottom w:val="nil"/>
              <w:right w:val="nil"/>
            </w:tcBorders>
            <w:shd w:val="clear" w:color="000000" w:fill="FFFFFF"/>
            <w:vAlign w:val="center"/>
            <w:hideMark/>
          </w:tcPr>
          <w:p w14:paraId="6DF5DA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(242)</w:t>
            </w:r>
          </w:p>
        </w:tc>
        <w:tc>
          <w:tcPr>
            <w:tcW w:w="1211" w:type="dxa"/>
            <w:tcBorders>
              <w:top w:val="nil"/>
              <w:left w:val="nil"/>
              <w:bottom w:val="nil"/>
              <w:right w:val="nil"/>
            </w:tcBorders>
            <w:shd w:val="clear" w:color="000000" w:fill="FFFFFF"/>
            <w:vAlign w:val="center"/>
            <w:hideMark/>
          </w:tcPr>
          <w:p w14:paraId="0BDE76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255</w:t>
            </w:r>
          </w:p>
        </w:tc>
        <w:tc>
          <w:tcPr>
            <w:tcW w:w="1160" w:type="dxa"/>
            <w:tcBorders>
              <w:top w:val="nil"/>
              <w:left w:val="nil"/>
              <w:bottom w:val="nil"/>
              <w:right w:val="nil"/>
            </w:tcBorders>
            <w:shd w:val="clear" w:color="000000" w:fill="FFFFFF"/>
            <w:vAlign w:val="center"/>
            <w:hideMark/>
          </w:tcPr>
          <w:p w14:paraId="7086F35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431417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w:t>
            </w:r>
          </w:p>
        </w:tc>
        <w:tc>
          <w:tcPr>
            <w:tcW w:w="1226" w:type="dxa"/>
            <w:tcBorders>
              <w:top w:val="nil"/>
              <w:left w:val="single" w:sz="8" w:space="0" w:color="auto"/>
              <w:bottom w:val="nil"/>
              <w:right w:val="single" w:sz="8" w:space="0" w:color="auto"/>
            </w:tcBorders>
            <w:shd w:val="clear" w:color="000000" w:fill="FFE1E1"/>
            <w:noWrap/>
            <w:vAlign w:val="center"/>
            <w:hideMark/>
          </w:tcPr>
          <w:p w14:paraId="70AA5B4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3710C3AB" w14:textId="77777777" w:rsidTr="0065190C">
        <w:trPr>
          <w:trHeight w:val="263"/>
        </w:trPr>
        <w:tc>
          <w:tcPr>
            <w:tcW w:w="426" w:type="dxa"/>
            <w:tcBorders>
              <w:top w:val="nil"/>
              <w:left w:val="nil"/>
              <w:bottom w:val="nil"/>
              <w:right w:val="nil"/>
            </w:tcBorders>
            <w:shd w:val="clear" w:color="000000" w:fill="FFFFFF"/>
            <w:noWrap/>
            <w:vAlign w:val="bottom"/>
            <w:hideMark/>
          </w:tcPr>
          <w:p w14:paraId="3F09ED5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7AE3A5B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Loss on Disposal</w:t>
            </w:r>
          </w:p>
        </w:tc>
        <w:tc>
          <w:tcPr>
            <w:tcW w:w="1251" w:type="dxa"/>
            <w:tcBorders>
              <w:top w:val="nil"/>
              <w:left w:val="nil"/>
              <w:bottom w:val="nil"/>
              <w:right w:val="nil"/>
            </w:tcBorders>
            <w:shd w:val="clear" w:color="000000" w:fill="FFFFFF"/>
            <w:vAlign w:val="center"/>
            <w:hideMark/>
          </w:tcPr>
          <w:p w14:paraId="0A58EEF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(48)</w:t>
            </w:r>
          </w:p>
        </w:tc>
        <w:tc>
          <w:tcPr>
            <w:tcW w:w="1211" w:type="dxa"/>
            <w:tcBorders>
              <w:top w:val="nil"/>
              <w:left w:val="nil"/>
              <w:bottom w:val="nil"/>
              <w:right w:val="nil"/>
            </w:tcBorders>
            <w:shd w:val="clear" w:color="000000" w:fill="FFFFFF"/>
            <w:vAlign w:val="center"/>
            <w:hideMark/>
          </w:tcPr>
          <w:p w14:paraId="10D3537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635D3C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2A09263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C0C186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48</w:t>
            </w:r>
          </w:p>
        </w:tc>
      </w:tr>
      <w:tr w:rsidR="0065190C" w:rsidRPr="0065190C" w14:paraId="1C7740FD" w14:textId="77777777" w:rsidTr="0065190C">
        <w:trPr>
          <w:trHeight w:val="263"/>
        </w:trPr>
        <w:tc>
          <w:tcPr>
            <w:tcW w:w="426" w:type="dxa"/>
            <w:tcBorders>
              <w:top w:val="nil"/>
              <w:left w:val="nil"/>
              <w:bottom w:val="nil"/>
              <w:right w:val="nil"/>
            </w:tcBorders>
            <w:shd w:val="clear" w:color="000000" w:fill="FFFFFF"/>
            <w:noWrap/>
            <w:vAlign w:val="bottom"/>
            <w:hideMark/>
          </w:tcPr>
          <w:p w14:paraId="192F3CF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442419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Collection Fund Income</w:t>
            </w:r>
          </w:p>
        </w:tc>
        <w:tc>
          <w:tcPr>
            <w:tcW w:w="1251" w:type="dxa"/>
            <w:tcBorders>
              <w:top w:val="nil"/>
              <w:left w:val="nil"/>
              <w:bottom w:val="nil"/>
              <w:right w:val="nil"/>
            </w:tcBorders>
            <w:shd w:val="clear" w:color="000000" w:fill="FFFFFF"/>
            <w:vAlign w:val="center"/>
            <w:hideMark/>
          </w:tcPr>
          <w:p w14:paraId="3CDA4B3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(136)</w:t>
            </w:r>
          </w:p>
        </w:tc>
        <w:tc>
          <w:tcPr>
            <w:tcW w:w="1211" w:type="dxa"/>
            <w:tcBorders>
              <w:top w:val="nil"/>
              <w:left w:val="nil"/>
              <w:bottom w:val="nil"/>
              <w:right w:val="nil"/>
            </w:tcBorders>
            <w:shd w:val="clear" w:color="000000" w:fill="FFFFFF"/>
            <w:vAlign w:val="center"/>
            <w:hideMark/>
          </w:tcPr>
          <w:p w14:paraId="1D845A4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987C20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82AC8B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4C63671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136</w:t>
            </w:r>
          </w:p>
        </w:tc>
      </w:tr>
      <w:tr w:rsidR="0065190C" w:rsidRPr="0065190C" w14:paraId="2F455AF8" w14:textId="77777777" w:rsidTr="0065190C">
        <w:trPr>
          <w:trHeight w:val="276"/>
        </w:trPr>
        <w:tc>
          <w:tcPr>
            <w:tcW w:w="426" w:type="dxa"/>
            <w:tcBorders>
              <w:top w:val="nil"/>
              <w:left w:val="nil"/>
              <w:bottom w:val="nil"/>
              <w:right w:val="nil"/>
            </w:tcBorders>
            <w:shd w:val="clear" w:color="000000" w:fill="FFFFFF"/>
            <w:noWrap/>
            <w:vAlign w:val="bottom"/>
            <w:hideMark/>
          </w:tcPr>
          <w:p w14:paraId="2604FD0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4" w:space="0" w:color="auto"/>
              <w:left w:val="single" w:sz="8" w:space="0" w:color="auto"/>
              <w:bottom w:val="double" w:sz="6" w:space="0" w:color="auto"/>
              <w:right w:val="nil"/>
            </w:tcBorders>
            <w:shd w:val="clear" w:color="000000" w:fill="C00000"/>
            <w:vAlign w:val="bottom"/>
            <w:hideMark/>
          </w:tcPr>
          <w:p w14:paraId="286AFA10"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Adjustment to Revenue Resources</w:t>
            </w:r>
          </w:p>
        </w:tc>
        <w:tc>
          <w:tcPr>
            <w:tcW w:w="1251" w:type="dxa"/>
            <w:tcBorders>
              <w:top w:val="single" w:sz="4" w:space="0" w:color="auto"/>
              <w:left w:val="nil"/>
              <w:bottom w:val="double" w:sz="6" w:space="0" w:color="auto"/>
              <w:right w:val="nil"/>
            </w:tcBorders>
            <w:shd w:val="clear" w:color="000000" w:fill="C00000"/>
            <w:vAlign w:val="center"/>
            <w:hideMark/>
          </w:tcPr>
          <w:p w14:paraId="2B08047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(8,377)</w:t>
            </w:r>
          </w:p>
        </w:tc>
        <w:tc>
          <w:tcPr>
            <w:tcW w:w="1211" w:type="dxa"/>
            <w:tcBorders>
              <w:top w:val="single" w:sz="4" w:space="0" w:color="auto"/>
              <w:left w:val="nil"/>
              <w:bottom w:val="double" w:sz="6" w:space="0" w:color="auto"/>
              <w:right w:val="nil"/>
            </w:tcBorders>
            <w:shd w:val="clear" w:color="000000" w:fill="C00000"/>
            <w:vAlign w:val="center"/>
            <w:hideMark/>
          </w:tcPr>
          <w:p w14:paraId="6DA01C19"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255</w:t>
            </w:r>
          </w:p>
        </w:tc>
        <w:tc>
          <w:tcPr>
            <w:tcW w:w="1160" w:type="dxa"/>
            <w:tcBorders>
              <w:top w:val="single" w:sz="4" w:space="0" w:color="auto"/>
              <w:left w:val="nil"/>
              <w:bottom w:val="double" w:sz="6" w:space="0" w:color="auto"/>
              <w:right w:val="nil"/>
            </w:tcBorders>
            <w:shd w:val="clear" w:color="000000" w:fill="C00000"/>
            <w:vAlign w:val="center"/>
            <w:hideMark/>
          </w:tcPr>
          <w:p w14:paraId="3262E73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400</w:t>
            </w:r>
          </w:p>
        </w:tc>
        <w:tc>
          <w:tcPr>
            <w:tcW w:w="990" w:type="dxa"/>
            <w:tcBorders>
              <w:top w:val="single" w:sz="4" w:space="0" w:color="auto"/>
              <w:left w:val="nil"/>
              <w:bottom w:val="double" w:sz="6" w:space="0" w:color="auto"/>
              <w:right w:val="nil"/>
            </w:tcBorders>
            <w:shd w:val="clear" w:color="000000" w:fill="C00000"/>
            <w:vAlign w:val="center"/>
            <w:hideMark/>
          </w:tcPr>
          <w:p w14:paraId="174DE84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19</w:t>
            </w:r>
          </w:p>
        </w:tc>
        <w:tc>
          <w:tcPr>
            <w:tcW w:w="1226" w:type="dxa"/>
            <w:tcBorders>
              <w:top w:val="single" w:sz="4" w:space="0" w:color="auto"/>
              <w:left w:val="single" w:sz="8" w:space="0" w:color="auto"/>
              <w:bottom w:val="double" w:sz="6" w:space="0" w:color="auto"/>
              <w:right w:val="single" w:sz="8" w:space="0" w:color="auto"/>
            </w:tcBorders>
            <w:shd w:val="clear" w:color="000000" w:fill="C00000"/>
            <w:noWrap/>
            <w:vAlign w:val="center"/>
            <w:hideMark/>
          </w:tcPr>
          <w:p w14:paraId="22D3B7F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7,703</w:t>
            </w:r>
          </w:p>
        </w:tc>
      </w:tr>
      <w:tr w:rsidR="0065190C" w:rsidRPr="0065190C" w14:paraId="0C4E358F" w14:textId="77777777" w:rsidTr="0065190C">
        <w:trPr>
          <w:trHeight w:val="882"/>
        </w:trPr>
        <w:tc>
          <w:tcPr>
            <w:tcW w:w="426" w:type="dxa"/>
            <w:tcBorders>
              <w:top w:val="nil"/>
              <w:left w:val="nil"/>
              <w:bottom w:val="nil"/>
              <w:right w:val="nil"/>
            </w:tcBorders>
            <w:shd w:val="clear" w:color="000000" w:fill="FFFFFF"/>
            <w:noWrap/>
            <w:vAlign w:val="bottom"/>
            <w:hideMark/>
          </w:tcPr>
          <w:p w14:paraId="12BFA69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8" w:space="0" w:color="auto"/>
              <w:left w:val="single" w:sz="8" w:space="0" w:color="auto"/>
              <w:bottom w:val="nil"/>
              <w:right w:val="nil"/>
            </w:tcBorders>
            <w:shd w:val="clear" w:color="000000" w:fill="C00000"/>
            <w:vAlign w:val="bottom"/>
            <w:hideMark/>
          </w:tcPr>
          <w:p w14:paraId="5D661E02"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2021/22</w:t>
            </w:r>
          </w:p>
        </w:tc>
        <w:tc>
          <w:tcPr>
            <w:tcW w:w="1251" w:type="dxa"/>
            <w:tcBorders>
              <w:top w:val="single" w:sz="8" w:space="0" w:color="auto"/>
              <w:left w:val="nil"/>
              <w:bottom w:val="nil"/>
              <w:right w:val="nil"/>
            </w:tcBorders>
            <w:shd w:val="clear" w:color="000000" w:fill="C00000"/>
            <w:vAlign w:val="center"/>
            <w:hideMark/>
          </w:tcPr>
          <w:p w14:paraId="319A0CF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General Fund Balance</w:t>
            </w:r>
          </w:p>
        </w:tc>
        <w:tc>
          <w:tcPr>
            <w:tcW w:w="1211" w:type="dxa"/>
            <w:tcBorders>
              <w:top w:val="single" w:sz="8" w:space="0" w:color="auto"/>
              <w:left w:val="nil"/>
              <w:bottom w:val="nil"/>
              <w:right w:val="nil"/>
            </w:tcBorders>
            <w:shd w:val="clear" w:color="000000" w:fill="C00000"/>
            <w:vAlign w:val="center"/>
            <w:hideMark/>
          </w:tcPr>
          <w:p w14:paraId="7DEF47B3"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Earmarked Reserves</w:t>
            </w:r>
          </w:p>
        </w:tc>
        <w:tc>
          <w:tcPr>
            <w:tcW w:w="1160" w:type="dxa"/>
            <w:tcBorders>
              <w:top w:val="single" w:sz="8" w:space="0" w:color="auto"/>
              <w:left w:val="nil"/>
              <w:bottom w:val="nil"/>
              <w:right w:val="nil"/>
            </w:tcBorders>
            <w:shd w:val="clear" w:color="000000" w:fill="C00000"/>
            <w:vAlign w:val="center"/>
            <w:hideMark/>
          </w:tcPr>
          <w:p w14:paraId="5F9E892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Grants Unapplied</w:t>
            </w:r>
          </w:p>
        </w:tc>
        <w:tc>
          <w:tcPr>
            <w:tcW w:w="990" w:type="dxa"/>
            <w:tcBorders>
              <w:top w:val="nil"/>
              <w:left w:val="nil"/>
              <w:bottom w:val="nil"/>
              <w:right w:val="nil"/>
            </w:tcBorders>
            <w:shd w:val="clear" w:color="000000" w:fill="C00000"/>
            <w:vAlign w:val="center"/>
            <w:hideMark/>
          </w:tcPr>
          <w:p w14:paraId="6001539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Capital Receipts Reserve</w:t>
            </w:r>
          </w:p>
        </w:tc>
        <w:tc>
          <w:tcPr>
            <w:tcW w:w="1226" w:type="dxa"/>
            <w:tcBorders>
              <w:top w:val="single" w:sz="8" w:space="0" w:color="auto"/>
              <w:left w:val="single" w:sz="8" w:space="0" w:color="auto"/>
              <w:bottom w:val="nil"/>
              <w:right w:val="single" w:sz="8" w:space="0" w:color="auto"/>
            </w:tcBorders>
            <w:shd w:val="clear" w:color="000000" w:fill="C00000"/>
            <w:vAlign w:val="center"/>
            <w:hideMark/>
          </w:tcPr>
          <w:p w14:paraId="2DF0DCAA"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Movement in Unusable Reserves</w:t>
            </w:r>
          </w:p>
        </w:tc>
      </w:tr>
      <w:tr w:rsidR="0065190C" w:rsidRPr="0065190C" w14:paraId="20BC417A" w14:textId="77777777" w:rsidTr="0065190C">
        <w:trPr>
          <w:trHeight w:val="276"/>
        </w:trPr>
        <w:tc>
          <w:tcPr>
            <w:tcW w:w="426" w:type="dxa"/>
            <w:tcBorders>
              <w:top w:val="nil"/>
              <w:left w:val="nil"/>
              <w:bottom w:val="nil"/>
              <w:right w:val="nil"/>
            </w:tcBorders>
            <w:shd w:val="clear" w:color="000000" w:fill="FFFFFF"/>
            <w:noWrap/>
            <w:vAlign w:val="bottom"/>
            <w:hideMark/>
          </w:tcPr>
          <w:p w14:paraId="2F69739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single" w:sz="8" w:space="0" w:color="auto"/>
              <w:right w:val="nil"/>
            </w:tcBorders>
            <w:shd w:val="clear" w:color="000000" w:fill="C00000"/>
            <w:vAlign w:val="bottom"/>
            <w:hideMark/>
          </w:tcPr>
          <w:p w14:paraId="7B8403A7"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Adjustments to the Revenue Resources</w:t>
            </w:r>
          </w:p>
        </w:tc>
        <w:tc>
          <w:tcPr>
            <w:tcW w:w="1251" w:type="dxa"/>
            <w:tcBorders>
              <w:top w:val="nil"/>
              <w:left w:val="nil"/>
              <w:bottom w:val="single" w:sz="8" w:space="0" w:color="auto"/>
              <w:right w:val="nil"/>
            </w:tcBorders>
            <w:shd w:val="clear" w:color="000000" w:fill="C00000"/>
            <w:vAlign w:val="center"/>
            <w:hideMark/>
          </w:tcPr>
          <w:p w14:paraId="128D066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11" w:type="dxa"/>
            <w:tcBorders>
              <w:top w:val="nil"/>
              <w:left w:val="nil"/>
              <w:bottom w:val="single" w:sz="8" w:space="0" w:color="auto"/>
              <w:right w:val="nil"/>
            </w:tcBorders>
            <w:shd w:val="clear" w:color="000000" w:fill="C00000"/>
            <w:vAlign w:val="center"/>
            <w:hideMark/>
          </w:tcPr>
          <w:p w14:paraId="473C0E5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160" w:type="dxa"/>
            <w:tcBorders>
              <w:top w:val="nil"/>
              <w:left w:val="nil"/>
              <w:bottom w:val="single" w:sz="8" w:space="0" w:color="auto"/>
              <w:right w:val="nil"/>
            </w:tcBorders>
            <w:shd w:val="clear" w:color="000000" w:fill="C00000"/>
            <w:vAlign w:val="center"/>
            <w:hideMark/>
          </w:tcPr>
          <w:p w14:paraId="65FDEBE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990" w:type="dxa"/>
            <w:tcBorders>
              <w:top w:val="nil"/>
              <w:left w:val="nil"/>
              <w:bottom w:val="single" w:sz="8" w:space="0" w:color="305496"/>
              <w:right w:val="nil"/>
            </w:tcBorders>
            <w:shd w:val="clear" w:color="000000" w:fill="C00000"/>
            <w:noWrap/>
            <w:hideMark/>
          </w:tcPr>
          <w:p w14:paraId="5950CD4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226" w:type="dxa"/>
            <w:tcBorders>
              <w:top w:val="nil"/>
              <w:left w:val="single" w:sz="8" w:space="0" w:color="auto"/>
              <w:bottom w:val="single" w:sz="8" w:space="0" w:color="auto"/>
              <w:right w:val="single" w:sz="8" w:space="0" w:color="auto"/>
            </w:tcBorders>
            <w:shd w:val="clear" w:color="000000" w:fill="C00000"/>
            <w:vAlign w:val="center"/>
            <w:hideMark/>
          </w:tcPr>
          <w:p w14:paraId="0BDFB8A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r>
      <w:tr w:rsidR="0065190C" w:rsidRPr="0065190C" w14:paraId="0AB8A786" w14:textId="77777777" w:rsidTr="0065190C">
        <w:trPr>
          <w:trHeight w:val="263"/>
        </w:trPr>
        <w:tc>
          <w:tcPr>
            <w:tcW w:w="426" w:type="dxa"/>
            <w:tcBorders>
              <w:top w:val="nil"/>
              <w:left w:val="nil"/>
              <w:bottom w:val="nil"/>
              <w:right w:val="nil"/>
            </w:tcBorders>
            <w:shd w:val="clear" w:color="000000" w:fill="FFFFFF"/>
            <w:noWrap/>
            <w:vAlign w:val="bottom"/>
            <w:hideMark/>
          </w:tcPr>
          <w:p w14:paraId="7128B87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23A8514"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51" w:type="dxa"/>
            <w:tcBorders>
              <w:top w:val="nil"/>
              <w:left w:val="nil"/>
              <w:bottom w:val="nil"/>
              <w:right w:val="nil"/>
            </w:tcBorders>
            <w:shd w:val="clear" w:color="000000" w:fill="FFFFFF"/>
            <w:vAlign w:val="center"/>
            <w:hideMark/>
          </w:tcPr>
          <w:p w14:paraId="5A1018DF"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3696FD3A"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97D683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3B14177E"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0CD60CE0"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2C3C2B6D" w14:textId="77777777" w:rsidTr="0065190C">
        <w:trPr>
          <w:trHeight w:val="790"/>
        </w:trPr>
        <w:tc>
          <w:tcPr>
            <w:tcW w:w="426" w:type="dxa"/>
            <w:tcBorders>
              <w:top w:val="nil"/>
              <w:left w:val="nil"/>
              <w:bottom w:val="nil"/>
              <w:right w:val="nil"/>
            </w:tcBorders>
            <w:shd w:val="clear" w:color="000000" w:fill="FFFFFF"/>
            <w:noWrap/>
            <w:vAlign w:val="bottom"/>
            <w:hideMark/>
          </w:tcPr>
          <w:p w14:paraId="68FF715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AAC9A4F"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1251" w:type="dxa"/>
            <w:tcBorders>
              <w:top w:val="nil"/>
              <w:left w:val="nil"/>
              <w:bottom w:val="nil"/>
              <w:right w:val="nil"/>
            </w:tcBorders>
            <w:shd w:val="clear" w:color="000000" w:fill="FFFFFF"/>
            <w:vAlign w:val="center"/>
            <w:hideMark/>
          </w:tcPr>
          <w:p w14:paraId="3AA891E8"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6FF23683"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A223980"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E04AB5B"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42EA351"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r>
      <w:tr w:rsidR="0065190C" w:rsidRPr="0065190C" w14:paraId="1BA08F0F" w14:textId="77777777" w:rsidTr="0065190C">
        <w:trPr>
          <w:trHeight w:val="263"/>
        </w:trPr>
        <w:tc>
          <w:tcPr>
            <w:tcW w:w="426" w:type="dxa"/>
            <w:tcBorders>
              <w:top w:val="nil"/>
              <w:left w:val="nil"/>
              <w:bottom w:val="nil"/>
              <w:right w:val="nil"/>
            </w:tcBorders>
            <w:shd w:val="clear" w:color="000000" w:fill="FFFFFF"/>
            <w:noWrap/>
            <w:vAlign w:val="bottom"/>
            <w:hideMark/>
          </w:tcPr>
          <w:p w14:paraId="1B5AB5A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01F6FB2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Pension costs (transferred to (or from) the Pensions Reserve</w:t>
            </w:r>
          </w:p>
        </w:tc>
        <w:tc>
          <w:tcPr>
            <w:tcW w:w="1251" w:type="dxa"/>
            <w:tcBorders>
              <w:top w:val="nil"/>
              <w:left w:val="nil"/>
              <w:bottom w:val="nil"/>
              <w:right w:val="nil"/>
            </w:tcBorders>
            <w:shd w:val="clear" w:color="000000" w:fill="FFFFFF"/>
            <w:vAlign w:val="center"/>
            <w:hideMark/>
          </w:tcPr>
          <w:p w14:paraId="7B0E690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(8,341)</w:t>
            </w:r>
          </w:p>
        </w:tc>
        <w:tc>
          <w:tcPr>
            <w:tcW w:w="1211" w:type="dxa"/>
            <w:tcBorders>
              <w:top w:val="nil"/>
              <w:left w:val="nil"/>
              <w:bottom w:val="nil"/>
              <w:right w:val="nil"/>
            </w:tcBorders>
            <w:shd w:val="clear" w:color="000000" w:fill="FFFFFF"/>
            <w:vAlign w:val="center"/>
            <w:hideMark/>
          </w:tcPr>
          <w:p w14:paraId="72DF10A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28F87F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7614909" w14:textId="77777777" w:rsidR="0065190C" w:rsidRPr="0065190C" w:rsidRDefault="0065190C" w:rsidP="0065190C">
            <w:pPr>
              <w:spacing w:after="0" w:line="240" w:lineRule="auto"/>
              <w:jc w:val="center"/>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A3B9A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8,341</w:t>
            </w:r>
          </w:p>
        </w:tc>
      </w:tr>
      <w:tr w:rsidR="0065190C" w:rsidRPr="0065190C" w14:paraId="54CB8E29" w14:textId="77777777" w:rsidTr="0065190C">
        <w:trPr>
          <w:trHeight w:val="526"/>
        </w:trPr>
        <w:tc>
          <w:tcPr>
            <w:tcW w:w="426" w:type="dxa"/>
            <w:tcBorders>
              <w:top w:val="nil"/>
              <w:left w:val="nil"/>
              <w:bottom w:val="nil"/>
              <w:right w:val="nil"/>
            </w:tcBorders>
            <w:shd w:val="clear" w:color="000000" w:fill="FFFFFF"/>
            <w:noWrap/>
            <w:vAlign w:val="bottom"/>
            <w:hideMark/>
          </w:tcPr>
          <w:p w14:paraId="799CFA27" w14:textId="50C1244E" w:rsidR="0065190C" w:rsidRPr="0065190C" w:rsidRDefault="0065190C" w:rsidP="0065190C">
            <w:pPr>
              <w:spacing w:after="0" w:line="240" w:lineRule="auto"/>
              <w:rPr>
                <w:rFonts w:ascii="Calibri" w:eastAsia="Times New Roman" w:hAnsi="Calibri" w:cs="Calibri"/>
                <w:color w:val="FFFFFF"/>
                <w:lang w:eastAsia="en-GB"/>
              </w:rPr>
            </w:pPr>
          </w:p>
        </w:tc>
        <w:tc>
          <w:tcPr>
            <w:tcW w:w="4728" w:type="dxa"/>
            <w:tcBorders>
              <w:top w:val="nil"/>
              <w:left w:val="single" w:sz="8" w:space="0" w:color="auto"/>
              <w:bottom w:val="nil"/>
              <w:right w:val="nil"/>
            </w:tcBorders>
            <w:shd w:val="clear" w:color="000000" w:fill="FFFFFF"/>
            <w:vAlign w:val="center"/>
            <w:hideMark/>
          </w:tcPr>
          <w:p w14:paraId="1635A3D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and Impairment Losses moved to Capital Adj Account</w:t>
            </w:r>
          </w:p>
        </w:tc>
        <w:tc>
          <w:tcPr>
            <w:tcW w:w="1251" w:type="dxa"/>
            <w:tcBorders>
              <w:top w:val="nil"/>
              <w:left w:val="nil"/>
              <w:bottom w:val="nil"/>
              <w:right w:val="nil"/>
            </w:tcBorders>
            <w:shd w:val="clear" w:color="000000" w:fill="FFFFFF"/>
            <w:vAlign w:val="center"/>
            <w:hideMark/>
          </w:tcPr>
          <w:p w14:paraId="22DBBB70" w14:textId="409C1A4B"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(1,2</w:t>
            </w:r>
            <w:r w:rsidR="004D04F0">
              <w:rPr>
                <w:rFonts w:ascii="Calibri" w:eastAsia="Times New Roman" w:hAnsi="Calibri" w:cs="Calibri"/>
                <w:b/>
                <w:bCs/>
                <w:color w:val="000000"/>
                <w:lang w:eastAsia="en-GB"/>
              </w:rPr>
              <w:t>40</w:t>
            </w: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62B277F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3B185D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C676E2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6F9B618" w14:textId="72C21964"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1,2</w:t>
            </w:r>
            <w:r w:rsidR="004D04F0">
              <w:rPr>
                <w:rFonts w:ascii="Calibri" w:eastAsia="Times New Roman" w:hAnsi="Calibri" w:cs="Calibri"/>
                <w:b/>
                <w:bCs/>
                <w:color w:val="000000"/>
                <w:lang w:eastAsia="en-GB"/>
              </w:rPr>
              <w:t>40</w:t>
            </w:r>
          </w:p>
        </w:tc>
      </w:tr>
      <w:tr w:rsidR="0065190C" w:rsidRPr="0065190C" w14:paraId="0E6FED09" w14:textId="77777777" w:rsidTr="0065190C">
        <w:trPr>
          <w:trHeight w:val="263"/>
        </w:trPr>
        <w:tc>
          <w:tcPr>
            <w:tcW w:w="426" w:type="dxa"/>
            <w:tcBorders>
              <w:top w:val="nil"/>
              <w:left w:val="nil"/>
              <w:bottom w:val="nil"/>
              <w:right w:val="nil"/>
            </w:tcBorders>
            <w:shd w:val="clear" w:color="000000" w:fill="FFFFFF"/>
            <w:noWrap/>
            <w:vAlign w:val="bottom"/>
            <w:hideMark/>
          </w:tcPr>
          <w:p w14:paraId="201993C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04663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Change in Accumulated Absence Charge</w:t>
            </w:r>
          </w:p>
        </w:tc>
        <w:tc>
          <w:tcPr>
            <w:tcW w:w="1251" w:type="dxa"/>
            <w:tcBorders>
              <w:top w:val="nil"/>
              <w:left w:val="nil"/>
              <w:bottom w:val="nil"/>
              <w:right w:val="nil"/>
            </w:tcBorders>
            <w:shd w:val="clear" w:color="000000" w:fill="FFFFFF"/>
            <w:vAlign w:val="center"/>
            <w:hideMark/>
          </w:tcPr>
          <w:p w14:paraId="7769BFE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21</w:t>
            </w:r>
          </w:p>
        </w:tc>
        <w:tc>
          <w:tcPr>
            <w:tcW w:w="1211" w:type="dxa"/>
            <w:tcBorders>
              <w:top w:val="nil"/>
              <w:left w:val="nil"/>
              <w:bottom w:val="nil"/>
              <w:right w:val="nil"/>
            </w:tcBorders>
            <w:shd w:val="clear" w:color="000000" w:fill="FFFFFF"/>
            <w:vAlign w:val="center"/>
            <w:hideMark/>
          </w:tcPr>
          <w:p w14:paraId="2EF3F0A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F63707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04DE312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B0FF67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(21)</w:t>
            </w:r>
          </w:p>
        </w:tc>
      </w:tr>
      <w:tr w:rsidR="0065190C" w:rsidRPr="0065190C" w14:paraId="286E2F47" w14:textId="77777777" w:rsidTr="0065190C">
        <w:trPr>
          <w:trHeight w:val="263"/>
        </w:trPr>
        <w:tc>
          <w:tcPr>
            <w:tcW w:w="426" w:type="dxa"/>
            <w:tcBorders>
              <w:top w:val="nil"/>
              <w:left w:val="nil"/>
              <w:bottom w:val="nil"/>
              <w:right w:val="nil"/>
            </w:tcBorders>
            <w:shd w:val="clear" w:color="000000" w:fill="FFFFFF"/>
            <w:noWrap/>
            <w:vAlign w:val="bottom"/>
            <w:hideMark/>
          </w:tcPr>
          <w:p w14:paraId="76E51A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4E3C753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Expenditure Funded by Revenue Funding (RCCO)</w:t>
            </w:r>
          </w:p>
        </w:tc>
        <w:tc>
          <w:tcPr>
            <w:tcW w:w="1251" w:type="dxa"/>
            <w:tcBorders>
              <w:top w:val="nil"/>
              <w:left w:val="nil"/>
              <w:bottom w:val="nil"/>
              <w:right w:val="nil"/>
            </w:tcBorders>
            <w:shd w:val="clear" w:color="000000" w:fill="FFFFFF"/>
            <w:vAlign w:val="center"/>
            <w:hideMark/>
          </w:tcPr>
          <w:p w14:paraId="0068FB2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150</w:t>
            </w:r>
          </w:p>
        </w:tc>
        <w:tc>
          <w:tcPr>
            <w:tcW w:w="1211" w:type="dxa"/>
            <w:tcBorders>
              <w:top w:val="nil"/>
              <w:left w:val="nil"/>
              <w:bottom w:val="nil"/>
              <w:right w:val="nil"/>
            </w:tcBorders>
            <w:shd w:val="clear" w:color="000000" w:fill="FFFFFF"/>
            <w:vAlign w:val="center"/>
            <w:hideMark/>
          </w:tcPr>
          <w:p w14:paraId="5678921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160" w:type="dxa"/>
            <w:tcBorders>
              <w:top w:val="nil"/>
              <w:left w:val="nil"/>
              <w:bottom w:val="nil"/>
              <w:right w:val="nil"/>
            </w:tcBorders>
            <w:shd w:val="clear" w:color="000000" w:fill="FFFFFF"/>
            <w:vAlign w:val="center"/>
            <w:hideMark/>
          </w:tcPr>
          <w:p w14:paraId="6A8849C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990" w:type="dxa"/>
            <w:tcBorders>
              <w:top w:val="nil"/>
              <w:left w:val="nil"/>
              <w:bottom w:val="nil"/>
              <w:right w:val="nil"/>
            </w:tcBorders>
            <w:shd w:val="clear" w:color="000000" w:fill="FFFFFF"/>
            <w:vAlign w:val="center"/>
            <w:hideMark/>
          </w:tcPr>
          <w:p w14:paraId="09842B7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226" w:type="dxa"/>
            <w:tcBorders>
              <w:top w:val="nil"/>
              <w:left w:val="single" w:sz="8" w:space="0" w:color="auto"/>
              <w:bottom w:val="nil"/>
              <w:right w:val="single" w:sz="8" w:space="0" w:color="auto"/>
            </w:tcBorders>
            <w:shd w:val="clear" w:color="000000" w:fill="FFE1E1"/>
            <w:noWrap/>
            <w:vAlign w:val="center"/>
            <w:hideMark/>
          </w:tcPr>
          <w:p w14:paraId="2E8466F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(150)</w:t>
            </w:r>
          </w:p>
        </w:tc>
      </w:tr>
      <w:tr w:rsidR="0065190C" w:rsidRPr="0065190C" w14:paraId="5E66514D" w14:textId="77777777" w:rsidTr="0065190C">
        <w:trPr>
          <w:trHeight w:val="263"/>
        </w:trPr>
        <w:tc>
          <w:tcPr>
            <w:tcW w:w="426" w:type="dxa"/>
            <w:tcBorders>
              <w:top w:val="nil"/>
              <w:left w:val="nil"/>
              <w:bottom w:val="nil"/>
              <w:right w:val="nil"/>
            </w:tcBorders>
            <w:shd w:val="clear" w:color="000000" w:fill="FFFFFF"/>
            <w:noWrap/>
            <w:vAlign w:val="bottom"/>
            <w:hideMark/>
          </w:tcPr>
          <w:p w14:paraId="261876B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138ED54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Minimum Revenue Provision (MRP)</w:t>
            </w:r>
          </w:p>
        </w:tc>
        <w:tc>
          <w:tcPr>
            <w:tcW w:w="1251" w:type="dxa"/>
            <w:tcBorders>
              <w:top w:val="nil"/>
              <w:left w:val="nil"/>
              <w:bottom w:val="nil"/>
              <w:right w:val="nil"/>
            </w:tcBorders>
            <w:shd w:val="clear" w:color="000000" w:fill="FFFFFF"/>
            <w:vAlign w:val="center"/>
            <w:hideMark/>
          </w:tcPr>
          <w:p w14:paraId="699897E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29</w:t>
            </w:r>
          </w:p>
        </w:tc>
        <w:tc>
          <w:tcPr>
            <w:tcW w:w="1211" w:type="dxa"/>
            <w:tcBorders>
              <w:top w:val="nil"/>
              <w:left w:val="nil"/>
              <w:bottom w:val="nil"/>
              <w:right w:val="nil"/>
            </w:tcBorders>
            <w:shd w:val="clear" w:color="000000" w:fill="FFFFFF"/>
            <w:vAlign w:val="center"/>
            <w:hideMark/>
          </w:tcPr>
          <w:p w14:paraId="1E08389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3C707B4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236655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3BDB12A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(29)</w:t>
            </w:r>
          </w:p>
        </w:tc>
      </w:tr>
      <w:tr w:rsidR="0065190C" w:rsidRPr="0065190C" w14:paraId="1254DA35" w14:textId="77777777" w:rsidTr="0065190C">
        <w:trPr>
          <w:trHeight w:val="263"/>
        </w:trPr>
        <w:tc>
          <w:tcPr>
            <w:tcW w:w="426" w:type="dxa"/>
            <w:tcBorders>
              <w:top w:val="nil"/>
              <w:left w:val="nil"/>
              <w:bottom w:val="nil"/>
              <w:right w:val="nil"/>
            </w:tcBorders>
            <w:shd w:val="clear" w:color="000000" w:fill="FFFFFF"/>
            <w:noWrap/>
            <w:vAlign w:val="bottom"/>
            <w:hideMark/>
          </w:tcPr>
          <w:p w14:paraId="1649D44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960C74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Receipts Received in year</w:t>
            </w:r>
          </w:p>
        </w:tc>
        <w:tc>
          <w:tcPr>
            <w:tcW w:w="1251" w:type="dxa"/>
            <w:tcBorders>
              <w:top w:val="nil"/>
              <w:left w:val="nil"/>
              <w:bottom w:val="nil"/>
              <w:right w:val="nil"/>
            </w:tcBorders>
            <w:shd w:val="clear" w:color="000000" w:fill="FFFFFF"/>
            <w:vAlign w:val="center"/>
            <w:hideMark/>
          </w:tcPr>
          <w:p w14:paraId="00CA172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11" w:type="dxa"/>
            <w:tcBorders>
              <w:top w:val="nil"/>
              <w:left w:val="nil"/>
              <w:bottom w:val="nil"/>
              <w:right w:val="nil"/>
            </w:tcBorders>
            <w:shd w:val="clear" w:color="000000" w:fill="FFFFFF"/>
            <w:vAlign w:val="center"/>
            <w:hideMark/>
          </w:tcPr>
          <w:p w14:paraId="63E738FD"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160" w:type="dxa"/>
            <w:tcBorders>
              <w:top w:val="nil"/>
              <w:left w:val="nil"/>
              <w:bottom w:val="nil"/>
              <w:right w:val="nil"/>
            </w:tcBorders>
            <w:shd w:val="clear" w:color="000000" w:fill="FFFFFF"/>
            <w:vAlign w:val="center"/>
            <w:hideMark/>
          </w:tcPr>
          <w:p w14:paraId="38822B7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4CB16B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26" w:type="dxa"/>
            <w:tcBorders>
              <w:top w:val="nil"/>
              <w:left w:val="single" w:sz="8" w:space="0" w:color="auto"/>
              <w:bottom w:val="nil"/>
              <w:right w:val="single" w:sz="8" w:space="0" w:color="auto"/>
            </w:tcBorders>
            <w:shd w:val="clear" w:color="000000" w:fill="FFE1E1"/>
            <w:noWrap/>
            <w:vAlign w:val="center"/>
            <w:hideMark/>
          </w:tcPr>
          <w:p w14:paraId="2E33BFE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17905C8A" w14:textId="77777777" w:rsidTr="0065190C">
        <w:trPr>
          <w:trHeight w:val="263"/>
        </w:trPr>
        <w:tc>
          <w:tcPr>
            <w:tcW w:w="426" w:type="dxa"/>
            <w:tcBorders>
              <w:top w:val="nil"/>
              <w:left w:val="nil"/>
              <w:bottom w:val="nil"/>
              <w:right w:val="nil"/>
            </w:tcBorders>
            <w:shd w:val="clear" w:color="000000" w:fill="FFFFFF"/>
            <w:noWrap/>
            <w:vAlign w:val="bottom"/>
            <w:hideMark/>
          </w:tcPr>
          <w:p w14:paraId="5C43D0F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30B43F9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Loss on Disposal</w:t>
            </w:r>
          </w:p>
        </w:tc>
        <w:tc>
          <w:tcPr>
            <w:tcW w:w="1251" w:type="dxa"/>
            <w:tcBorders>
              <w:top w:val="nil"/>
              <w:left w:val="nil"/>
              <w:bottom w:val="nil"/>
              <w:right w:val="nil"/>
            </w:tcBorders>
            <w:shd w:val="clear" w:color="000000" w:fill="FFFFFF"/>
            <w:vAlign w:val="center"/>
            <w:hideMark/>
          </w:tcPr>
          <w:p w14:paraId="0DF75B1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656F65A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7D9B12F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4132F45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AD424B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p>
        </w:tc>
      </w:tr>
      <w:tr w:rsidR="0065190C" w:rsidRPr="0065190C" w14:paraId="4C2CB62B" w14:textId="77777777" w:rsidTr="0065190C">
        <w:trPr>
          <w:trHeight w:val="263"/>
        </w:trPr>
        <w:tc>
          <w:tcPr>
            <w:tcW w:w="426" w:type="dxa"/>
            <w:tcBorders>
              <w:top w:val="nil"/>
              <w:left w:val="nil"/>
              <w:bottom w:val="nil"/>
              <w:right w:val="nil"/>
            </w:tcBorders>
            <w:shd w:val="clear" w:color="000000" w:fill="FFFFFF"/>
            <w:noWrap/>
            <w:vAlign w:val="bottom"/>
            <w:hideMark/>
          </w:tcPr>
          <w:p w14:paraId="183AE3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2636059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S106 Funding</w:t>
            </w:r>
          </w:p>
        </w:tc>
        <w:tc>
          <w:tcPr>
            <w:tcW w:w="1251" w:type="dxa"/>
            <w:tcBorders>
              <w:top w:val="nil"/>
              <w:left w:val="nil"/>
              <w:bottom w:val="nil"/>
              <w:right w:val="nil"/>
            </w:tcBorders>
            <w:shd w:val="clear" w:color="000000" w:fill="FFFFFF"/>
            <w:vAlign w:val="center"/>
            <w:hideMark/>
          </w:tcPr>
          <w:p w14:paraId="0180F0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188</w:t>
            </w:r>
          </w:p>
        </w:tc>
        <w:tc>
          <w:tcPr>
            <w:tcW w:w="1211" w:type="dxa"/>
            <w:tcBorders>
              <w:top w:val="nil"/>
              <w:left w:val="nil"/>
              <w:bottom w:val="nil"/>
              <w:right w:val="nil"/>
            </w:tcBorders>
            <w:shd w:val="clear" w:color="000000" w:fill="FFFFFF"/>
            <w:vAlign w:val="center"/>
            <w:hideMark/>
          </w:tcPr>
          <w:p w14:paraId="4A949AD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420596C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6B773A9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580ED5C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(188)</w:t>
            </w:r>
          </w:p>
        </w:tc>
      </w:tr>
      <w:tr w:rsidR="0065190C" w:rsidRPr="0065190C" w14:paraId="624ECEB5" w14:textId="77777777" w:rsidTr="0065190C">
        <w:trPr>
          <w:trHeight w:val="263"/>
        </w:trPr>
        <w:tc>
          <w:tcPr>
            <w:tcW w:w="426" w:type="dxa"/>
            <w:tcBorders>
              <w:top w:val="nil"/>
              <w:left w:val="nil"/>
              <w:bottom w:val="nil"/>
              <w:right w:val="nil"/>
            </w:tcBorders>
            <w:shd w:val="clear" w:color="000000" w:fill="FFFFFF"/>
            <w:noWrap/>
            <w:vAlign w:val="bottom"/>
            <w:hideMark/>
          </w:tcPr>
          <w:p w14:paraId="6A557F4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6D001FE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Capital Receipts</w:t>
            </w:r>
          </w:p>
        </w:tc>
        <w:tc>
          <w:tcPr>
            <w:tcW w:w="1251" w:type="dxa"/>
            <w:tcBorders>
              <w:top w:val="nil"/>
              <w:left w:val="nil"/>
              <w:bottom w:val="nil"/>
              <w:right w:val="nil"/>
            </w:tcBorders>
            <w:shd w:val="clear" w:color="000000" w:fill="FFFFFF"/>
            <w:vAlign w:val="center"/>
            <w:hideMark/>
          </w:tcPr>
          <w:p w14:paraId="38D4D6B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583DA5E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5012B269"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8534D0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c>
          <w:tcPr>
            <w:tcW w:w="1226" w:type="dxa"/>
            <w:tcBorders>
              <w:top w:val="nil"/>
              <w:left w:val="single" w:sz="8" w:space="0" w:color="auto"/>
              <w:bottom w:val="nil"/>
              <w:right w:val="single" w:sz="8" w:space="0" w:color="auto"/>
            </w:tcBorders>
            <w:shd w:val="clear" w:color="000000" w:fill="FFE1E1"/>
            <w:noWrap/>
            <w:vAlign w:val="center"/>
            <w:hideMark/>
          </w:tcPr>
          <w:p w14:paraId="2EBEA1B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(19)</w:t>
            </w:r>
          </w:p>
        </w:tc>
      </w:tr>
      <w:tr w:rsidR="0065190C" w:rsidRPr="0065190C" w14:paraId="030B3C45" w14:textId="77777777" w:rsidTr="0065190C">
        <w:trPr>
          <w:trHeight w:val="263"/>
        </w:trPr>
        <w:tc>
          <w:tcPr>
            <w:tcW w:w="426" w:type="dxa"/>
            <w:tcBorders>
              <w:top w:val="nil"/>
              <w:left w:val="nil"/>
              <w:bottom w:val="nil"/>
              <w:right w:val="nil"/>
            </w:tcBorders>
            <w:shd w:val="clear" w:color="000000" w:fill="FFFFFF"/>
            <w:noWrap/>
            <w:vAlign w:val="bottom"/>
            <w:hideMark/>
          </w:tcPr>
          <w:p w14:paraId="045CDEC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center"/>
            <w:hideMark/>
          </w:tcPr>
          <w:p w14:paraId="79DC51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Capital Grants</w:t>
            </w:r>
          </w:p>
        </w:tc>
        <w:tc>
          <w:tcPr>
            <w:tcW w:w="1251" w:type="dxa"/>
            <w:tcBorders>
              <w:top w:val="nil"/>
              <w:left w:val="nil"/>
              <w:bottom w:val="nil"/>
              <w:right w:val="nil"/>
            </w:tcBorders>
            <w:shd w:val="clear" w:color="000000" w:fill="FFFFFF"/>
            <w:vAlign w:val="center"/>
            <w:hideMark/>
          </w:tcPr>
          <w:p w14:paraId="1434BB0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11" w:type="dxa"/>
            <w:tcBorders>
              <w:top w:val="nil"/>
              <w:left w:val="nil"/>
              <w:bottom w:val="nil"/>
              <w:right w:val="nil"/>
            </w:tcBorders>
            <w:shd w:val="clear" w:color="000000" w:fill="FFFFFF"/>
            <w:vAlign w:val="center"/>
            <w:hideMark/>
          </w:tcPr>
          <w:p w14:paraId="45F7A2B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482AB9B3" w14:textId="19D6E3D0" w:rsidR="0065190C" w:rsidRPr="0065190C" w:rsidRDefault="00F837F8" w:rsidP="0065190C">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6</w:t>
            </w:r>
          </w:p>
        </w:tc>
        <w:tc>
          <w:tcPr>
            <w:tcW w:w="990" w:type="dxa"/>
            <w:tcBorders>
              <w:top w:val="nil"/>
              <w:left w:val="nil"/>
              <w:bottom w:val="nil"/>
              <w:right w:val="nil"/>
            </w:tcBorders>
            <w:shd w:val="clear" w:color="000000" w:fill="FFFFFF"/>
            <w:vAlign w:val="center"/>
            <w:hideMark/>
          </w:tcPr>
          <w:p w14:paraId="2A22D2BC"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14FB2D72" w14:textId="4D867FD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r w:rsidR="00F837F8">
              <w:rPr>
                <w:rFonts w:ascii="Calibri" w:eastAsia="Times New Roman" w:hAnsi="Calibri" w:cs="Calibri"/>
                <w:b/>
                <w:bCs/>
                <w:color w:val="000000"/>
                <w:lang w:eastAsia="en-GB"/>
              </w:rPr>
              <w:t>6</w:t>
            </w:r>
            <w:r w:rsidRPr="0065190C">
              <w:rPr>
                <w:rFonts w:ascii="Calibri" w:eastAsia="Times New Roman" w:hAnsi="Calibri" w:cs="Calibri"/>
                <w:b/>
                <w:bCs/>
                <w:color w:val="000000"/>
                <w:lang w:eastAsia="en-GB"/>
              </w:rPr>
              <w:t>)</w:t>
            </w:r>
          </w:p>
        </w:tc>
      </w:tr>
      <w:tr w:rsidR="0065190C" w:rsidRPr="0065190C" w14:paraId="7345AA00" w14:textId="77777777" w:rsidTr="0065190C">
        <w:trPr>
          <w:trHeight w:val="263"/>
        </w:trPr>
        <w:tc>
          <w:tcPr>
            <w:tcW w:w="426" w:type="dxa"/>
            <w:tcBorders>
              <w:top w:val="nil"/>
              <w:left w:val="nil"/>
              <w:bottom w:val="nil"/>
              <w:right w:val="nil"/>
            </w:tcBorders>
            <w:shd w:val="clear" w:color="000000" w:fill="FFFFFF"/>
            <w:noWrap/>
            <w:vAlign w:val="bottom"/>
            <w:hideMark/>
          </w:tcPr>
          <w:p w14:paraId="6113CBF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single" w:sz="8" w:space="0" w:color="auto"/>
              <w:bottom w:val="nil"/>
              <w:right w:val="nil"/>
            </w:tcBorders>
            <w:shd w:val="clear" w:color="000000" w:fill="FFFFFF"/>
            <w:vAlign w:val="bottom"/>
            <w:hideMark/>
          </w:tcPr>
          <w:p w14:paraId="4F85166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Application of Collection Fund Income</w:t>
            </w:r>
          </w:p>
        </w:tc>
        <w:tc>
          <w:tcPr>
            <w:tcW w:w="1251" w:type="dxa"/>
            <w:tcBorders>
              <w:top w:val="nil"/>
              <w:left w:val="nil"/>
              <w:bottom w:val="nil"/>
              <w:right w:val="nil"/>
            </w:tcBorders>
            <w:shd w:val="clear" w:color="000000" w:fill="FFFFFF"/>
            <w:vAlign w:val="center"/>
            <w:hideMark/>
          </w:tcPr>
          <w:p w14:paraId="3FB9636E" w14:textId="5EB1777E"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w:t>
            </w:r>
            <w:r w:rsidR="00FB2289">
              <w:rPr>
                <w:rFonts w:ascii="Calibri" w:eastAsia="Times New Roman" w:hAnsi="Calibri" w:cs="Calibri"/>
                <w:b/>
                <w:bCs/>
                <w:color w:val="000000"/>
                <w:lang w:eastAsia="en-GB"/>
              </w:rPr>
              <w:t>255</w:t>
            </w:r>
            <w:r w:rsidRPr="0065190C">
              <w:rPr>
                <w:rFonts w:ascii="Calibri" w:eastAsia="Times New Roman" w:hAnsi="Calibri" w:cs="Calibri"/>
                <w:b/>
                <w:bCs/>
                <w:color w:val="000000"/>
                <w:lang w:eastAsia="en-GB"/>
              </w:rPr>
              <w:t>)</w:t>
            </w:r>
          </w:p>
        </w:tc>
        <w:tc>
          <w:tcPr>
            <w:tcW w:w="1211" w:type="dxa"/>
            <w:tcBorders>
              <w:top w:val="nil"/>
              <w:left w:val="nil"/>
              <w:bottom w:val="nil"/>
              <w:right w:val="nil"/>
            </w:tcBorders>
            <w:shd w:val="clear" w:color="000000" w:fill="FFFFFF"/>
            <w:vAlign w:val="center"/>
            <w:hideMark/>
          </w:tcPr>
          <w:p w14:paraId="4628500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160" w:type="dxa"/>
            <w:tcBorders>
              <w:top w:val="nil"/>
              <w:left w:val="nil"/>
              <w:bottom w:val="nil"/>
              <w:right w:val="nil"/>
            </w:tcBorders>
            <w:shd w:val="clear" w:color="000000" w:fill="FFFFFF"/>
            <w:vAlign w:val="center"/>
            <w:hideMark/>
          </w:tcPr>
          <w:p w14:paraId="1392C09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990" w:type="dxa"/>
            <w:tcBorders>
              <w:top w:val="nil"/>
              <w:left w:val="nil"/>
              <w:bottom w:val="nil"/>
              <w:right w:val="nil"/>
            </w:tcBorders>
            <w:shd w:val="clear" w:color="000000" w:fill="FFFFFF"/>
            <w:vAlign w:val="center"/>
            <w:hideMark/>
          </w:tcPr>
          <w:p w14:paraId="7FF2FC2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226" w:type="dxa"/>
            <w:tcBorders>
              <w:top w:val="nil"/>
              <w:left w:val="single" w:sz="8" w:space="0" w:color="auto"/>
              <w:bottom w:val="nil"/>
              <w:right w:val="single" w:sz="8" w:space="0" w:color="auto"/>
            </w:tcBorders>
            <w:shd w:val="clear" w:color="000000" w:fill="FFE1E1"/>
            <w:noWrap/>
            <w:vAlign w:val="center"/>
            <w:hideMark/>
          </w:tcPr>
          <w:p w14:paraId="27BF5C53" w14:textId="12D0D858" w:rsidR="0065190C" w:rsidRPr="0065190C" w:rsidRDefault="00FB2289" w:rsidP="0065190C">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255</w:t>
            </w:r>
          </w:p>
        </w:tc>
      </w:tr>
      <w:tr w:rsidR="0065190C" w:rsidRPr="0065190C" w14:paraId="01D869D4" w14:textId="77777777" w:rsidTr="0065190C">
        <w:trPr>
          <w:trHeight w:val="276"/>
        </w:trPr>
        <w:tc>
          <w:tcPr>
            <w:tcW w:w="426" w:type="dxa"/>
            <w:tcBorders>
              <w:top w:val="nil"/>
              <w:left w:val="nil"/>
              <w:bottom w:val="nil"/>
              <w:right w:val="nil"/>
            </w:tcBorders>
            <w:shd w:val="clear" w:color="000000" w:fill="FFFFFF"/>
            <w:noWrap/>
            <w:vAlign w:val="bottom"/>
            <w:hideMark/>
          </w:tcPr>
          <w:p w14:paraId="5297B7A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single" w:sz="4" w:space="0" w:color="auto"/>
              <w:left w:val="single" w:sz="8" w:space="0" w:color="auto"/>
              <w:bottom w:val="double" w:sz="6" w:space="0" w:color="auto"/>
              <w:right w:val="nil"/>
            </w:tcBorders>
            <w:shd w:val="clear" w:color="000000" w:fill="C00000"/>
            <w:vAlign w:val="bottom"/>
            <w:hideMark/>
          </w:tcPr>
          <w:p w14:paraId="216CC8F3"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Adjustment to Revenue Resources</w:t>
            </w:r>
          </w:p>
        </w:tc>
        <w:tc>
          <w:tcPr>
            <w:tcW w:w="1251" w:type="dxa"/>
            <w:tcBorders>
              <w:top w:val="single" w:sz="4" w:space="0" w:color="auto"/>
              <w:left w:val="nil"/>
              <w:bottom w:val="double" w:sz="6" w:space="0" w:color="auto"/>
              <w:right w:val="nil"/>
            </w:tcBorders>
            <w:shd w:val="clear" w:color="000000" w:fill="C00000"/>
            <w:vAlign w:val="center"/>
            <w:hideMark/>
          </w:tcPr>
          <w:p w14:paraId="6565D8DC" w14:textId="6432C0D9"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(9,</w:t>
            </w:r>
            <w:r w:rsidR="00FB2289">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29</w:t>
            </w:r>
            <w:r w:rsidRPr="0065190C">
              <w:rPr>
                <w:rFonts w:ascii="Calibri" w:eastAsia="Times New Roman" w:hAnsi="Calibri" w:cs="Calibri"/>
                <w:b/>
                <w:bCs/>
                <w:color w:val="FFFFFF"/>
                <w:lang w:eastAsia="en-GB"/>
              </w:rPr>
              <w:t>)</w:t>
            </w:r>
          </w:p>
        </w:tc>
        <w:tc>
          <w:tcPr>
            <w:tcW w:w="1211" w:type="dxa"/>
            <w:tcBorders>
              <w:top w:val="single" w:sz="4" w:space="0" w:color="auto"/>
              <w:left w:val="nil"/>
              <w:bottom w:val="double" w:sz="6" w:space="0" w:color="auto"/>
              <w:right w:val="nil"/>
            </w:tcBorders>
            <w:shd w:val="clear" w:color="000000" w:fill="C00000"/>
            <w:vAlign w:val="center"/>
            <w:hideMark/>
          </w:tcPr>
          <w:p w14:paraId="0F3D4DC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w:t>
            </w:r>
          </w:p>
        </w:tc>
        <w:tc>
          <w:tcPr>
            <w:tcW w:w="1160" w:type="dxa"/>
            <w:tcBorders>
              <w:top w:val="single" w:sz="4" w:space="0" w:color="auto"/>
              <w:left w:val="nil"/>
              <w:bottom w:val="double" w:sz="6" w:space="0" w:color="auto"/>
              <w:right w:val="nil"/>
            </w:tcBorders>
            <w:shd w:val="clear" w:color="000000" w:fill="C00000"/>
            <w:vAlign w:val="center"/>
            <w:hideMark/>
          </w:tcPr>
          <w:p w14:paraId="3DDEC887"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5</w:t>
            </w:r>
          </w:p>
        </w:tc>
        <w:tc>
          <w:tcPr>
            <w:tcW w:w="990" w:type="dxa"/>
            <w:tcBorders>
              <w:top w:val="single" w:sz="4" w:space="0" w:color="auto"/>
              <w:left w:val="nil"/>
              <w:bottom w:val="double" w:sz="6" w:space="0" w:color="auto"/>
              <w:right w:val="nil"/>
            </w:tcBorders>
            <w:shd w:val="clear" w:color="000000" w:fill="C00000"/>
            <w:vAlign w:val="center"/>
            <w:hideMark/>
          </w:tcPr>
          <w:p w14:paraId="26BFC414"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w:t>
            </w:r>
          </w:p>
        </w:tc>
        <w:tc>
          <w:tcPr>
            <w:tcW w:w="1226" w:type="dxa"/>
            <w:tcBorders>
              <w:top w:val="single" w:sz="4" w:space="0" w:color="auto"/>
              <w:left w:val="single" w:sz="8" w:space="0" w:color="auto"/>
              <w:bottom w:val="double" w:sz="6" w:space="0" w:color="auto"/>
              <w:right w:val="single" w:sz="8" w:space="0" w:color="auto"/>
            </w:tcBorders>
            <w:shd w:val="clear" w:color="000000" w:fill="C00000"/>
            <w:noWrap/>
            <w:vAlign w:val="center"/>
            <w:hideMark/>
          </w:tcPr>
          <w:p w14:paraId="25D1EF5C" w14:textId="2D5601E8"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9,</w:t>
            </w:r>
            <w:r w:rsidR="00FB2289">
              <w:rPr>
                <w:rFonts w:ascii="Calibri" w:eastAsia="Times New Roman" w:hAnsi="Calibri" w:cs="Calibri"/>
                <w:b/>
                <w:bCs/>
                <w:color w:val="FFFFFF"/>
                <w:lang w:eastAsia="en-GB"/>
              </w:rPr>
              <w:t>4</w:t>
            </w:r>
            <w:r w:rsidR="004D04F0">
              <w:rPr>
                <w:rFonts w:ascii="Calibri" w:eastAsia="Times New Roman" w:hAnsi="Calibri" w:cs="Calibri"/>
                <w:b/>
                <w:bCs/>
                <w:color w:val="FFFFFF"/>
                <w:lang w:eastAsia="en-GB"/>
              </w:rPr>
              <w:t>23</w:t>
            </w:r>
          </w:p>
        </w:tc>
      </w:tr>
      <w:tr w:rsidR="0065190C" w:rsidRPr="0065190C" w14:paraId="7BA5E665" w14:textId="77777777" w:rsidTr="0065190C">
        <w:trPr>
          <w:trHeight w:val="105"/>
        </w:trPr>
        <w:tc>
          <w:tcPr>
            <w:tcW w:w="426" w:type="dxa"/>
            <w:tcBorders>
              <w:top w:val="nil"/>
              <w:left w:val="nil"/>
              <w:bottom w:val="nil"/>
              <w:right w:val="nil"/>
            </w:tcBorders>
            <w:shd w:val="clear" w:color="000000" w:fill="FFFFFF"/>
            <w:noWrap/>
            <w:vAlign w:val="bottom"/>
            <w:hideMark/>
          </w:tcPr>
          <w:p w14:paraId="66608F7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728" w:type="dxa"/>
            <w:tcBorders>
              <w:top w:val="nil"/>
              <w:left w:val="nil"/>
              <w:bottom w:val="nil"/>
              <w:right w:val="nil"/>
            </w:tcBorders>
            <w:shd w:val="clear" w:color="000000" w:fill="FFFFFF"/>
            <w:noWrap/>
            <w:vAlign w:val="bottom"/>
            <w:hideMark/>
          </w:tcPr>
          <w:p w14:paraId="216D34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51" w:type="dxa"/>
            <w:tcBorders>
              <w:top w:val="nil"/>
              <w:left w:val="nil"/>
              <w:bottom w:val="nil"/>
              <w:right w:val="nil"/>
            </w:tcBorders>
            <w:shd w:val="clear" w:color="000000" w:fill="FFFFFF"/>
            <w:noWrap/>
            <w:vAlign w:val="bottom"/>
            <w:hideMark/>
          </w:tcPr>
          <w:p w14:paraId="7588F84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11" w:type="dxa"/>
            <w:tcBorders>
              <w:top w:val="nil"/>
              <w:left w:val="nil"/>
              <w:bottom w:val="nil"/>
              <w:right w:val="nil"/>
            </w:tcBorders>
            <w:shd w:val="clear" w:color="000000" w:fill="FFFFFF"/>
            <w:noWrap/>
            <w:vAlign w:val="bottom"/>
            <w:hideMark/>
          </w:tcPr>
          <w:p w14:paraId="22A8A17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160" w:type="dxa"/>
            <w:tcBorders>
              <w:top w:val="nil"/>
              <w:left w:val="nil"/>
              <w:bottom w:val="nil"/>
              <w:right w:val="nil"/>
            </w:tcBorders>
            <w:shd w:val="clear" w:color="000000" w:fill="FFFFFF"/>
            <w:noWrap/>
            <w:vAlign w:val="bottom"/>
            <w:hideMark/>
          </w:tcPr>
          <w:p w14:paraId="3A463EF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990" w:type="dxa"/>
            <w:tcBorders>
              <w:top w:val="nil"/>
              <w:left w:val="nil"/>
              <w:bottom w:val="nil"/>
              <w:right w:val="nil"/>
            </w:tcBorders>
            <w:shd w:val="clear" w:color="000000" w:fill="FFFFFF"/>
            <w:noWrap/>
            <w:vAlign w:val="bottom"/>
            <w:hideMark/>
          </w:tcPr>
          <w:p w14:paraId="33EB996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26" w:type="dxa"/>
            <w:tcBorders>
              <w:top w:val="nil"/>
              <w:left w:val="nil"/>
              <w:bottom w:val="nil"/>
              <w:right w:val="nil"/>
            </w:tcBorders>
            <w:shd w:val="clear" w:color="000000" w:fill="FFFFFF"/>
            <w:noWrap/>
            <w:vAlign w:val="bottom"/>
            <w:hideMark/>
          </w:tcPr>
          <w:p w14:paraId="7068B2F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bl>
    <w:p w14:paraId="7D946698" w14:textId="77777777" w:rsidR="00DE1AE6" w:rsidRPr="00DE1AE6" w:rsidRDefault="00DE1AE6" w:rsidP="0065190C">
      <w:pPr>
        <w:autoSpaceDE w:val="0"/>
        <w:autoSpaceDN w:val="0"/>
        <w:adjustRightInd w:val="0"/>
        <w:spacing w:after="0" w:line="240" w:lineRule="auto"/>
        <w:rPr>
          <w:rFonts w:cs="Arial"/>
          <w:b/>
          <w:bCs/>
        </w:rPr>
      </w:pPr>
    </w:p>
    <w:p w14:paraId="46F2A235" w14:textId="127069B8" w:rsidR="0079406E" w:rsidRPr="0065190C" w:rsidRDefault="00E55282" w:rsidP="0065190C">
      <w:pPr>
        <w:autoSpaceDE w:val="0"/>
        <w:autoSpaceDN w:val="0"/>
        <w:adjustRightInd w:val="0"/>
        <w:spacing w:after="0" w:line="240" w:lineRule="auto"/>
      </w:pPr>
      <w:r w:rsidRPr="007F07C2">
        <w:rPr>
          <w:rFonts w:cs="Arial"/>
          <w:b/>
          <w:bCs/>
          <w:sz w:val="28"/>
          <w:szCs w:val="28"/>
        </w:rPr>
        <w:lastRenderedPageBreak/>
        <w:t>8</w:t>
      </w:r>
      <w:r w:rsidR="0079406E" w:rsidRPr="007F07C2">
        <w:rPr>
          <w:rFonts w:cs="Arial"/>
          <w:b/>
          <w:bCs/>
          <w:sz w:val="28"/>
          <w:szCs w:val="28"/>
        </w:rPr>
        <w:t xml:space="preserve"> Transfers to/from earmarked reserves </w:t>
      </w:r>
    </w:p>
    <w:p w14:paraId="28D19977" w14:textId="4130E29C" w:rsidR="0065190C" w:rsidRPr="00DE1AE6" w:rsidRDefault="0079406E" w:rsidP="0079406E">
      <w:pPr>
        <w:autoSpaceDE w:val="0"/>
        <w:autoSpaceDN w:val="0"/>
        <w:adjustRightInd w:val="0"/>
        <w:spacing w:after="0" w:line="240" w:lineRule="auto"/>
        <w:rPr>
          <w:rFonts w:cs="Arial"/>
        </w:rPr>
      </w:pPr>
      <w:r w:rsidRPr="007F07C2">
        <w:rPr>
          <w:rFonts w:cs="Arial"/>
        </w:rPr>
        <w:t>This note sets out the amounts set aside</w:t>
      </w:r>
      <w:r w:rsidR="00CA666F">
        <w:rPr>
          <w:rFonts w:cs="Arial"/>
        </w:rPr>
        <w:t xml:space="preserve"> funding</w:t>
      </w:r>
      <w:r w:rsidRPr="007F07C2">
        <w:rPr>
          <w:rFonts w:cs="Arial"/>
        </w:rPr>
        <w:t xml:space="preserve"> in earmarked reserves to provide financing</w:t>
      </w:r>
      <w:r w:rsidR="00434B4A" w:rsidRPr="007F07C2">
        <w:rPr>
          <w:rFonts w:cs="Arial"/>
        </w:rPr>
        <w:t xml:space="preserve"> for future expenditure plans. </w:t>
      </w:r>
    </w:p>
    <w:tbl>
      <w:tblPr>
        <w:tblW w:w="10052" w:type="dxa"/>
        <w:tblLook w:val="04A0" w:firstRow="1" w:lastRow="0" w:firstColumn="1" w:lastColumn="0" w:noHBand="0" w:noVBand="1"/>
      </w:tblPr>
      <w:tblGrid>
        <w:gridCol w:w="271"/>
        <w:gridCol w:w="4396"/>
        <w:gridCol w:w="1316"/>
        <w:gridCol w:w="1316"/>
        <w:gridCol w:w="1316"/>
        <w:gridCol w:w="1316"/>
        <w:gridCol w:w="272"/>
      </w:tblGrid>
      <w:tr w:rsidR="0065190C" w:rsidRPr="0065190C" w14:paraId="2DD9D022" w14:textId="77777777" w:rsidTr="0065190C">
        <w:trPr>
          <w:trHeight w:val="120"/>
        </w:trPr>
        <w:tc>
          <w:tcPr>
            <w:tcW w:w="196" w:type="dxa"/>
            <w:tcBorders>
              <w:top w:val="nil"/>
              <w:left w:val="nil"/>
              <w:bottom w:val="nil"/>
              <w:right w:val="nil"/>
            </w:tcBorders>
            <w:shd w:val="clear" w:color="000000" w:fill="FFFFFF"/>
            <w:noWrap/>
            <w:vAlign w:val="bottom"/>
            <w:hideMark/>
          </w:tcPr>
          <w:p w14:paraId="7C472F30" w14:textId="243F3B45"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nil"/>
              <w:bottom w:val="nil"/>
              <w:right w:val="nil"/>
            </w:tcBorders>
            <w:shd w:val="clear" w:color="000000" w:fill="FFFFFF"/>
            <w:noWrap/>
            <w:vAlign w:val="bottom"/>
            <w:hideMark/>
          </w:tcPr>
          <w:p w14:paraId="51EA4B7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245DAD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38DAE96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413A090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6A79839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vAlign w:val="bottom"/>
            <w:hideMark/>
          </w:tcPr>
          <w:p w14:paraId="52B9680E"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7C85443" w14:textId="77777777" w:rsidTr="0065190C">
        <w:trPr>
          <w:trHeight w:val="975"/>
        </w:trPr>
        <w:tc>
          <w:tcPr>
            <w:tcW w:w="196" w:type="dxa"/>
            <w:tcBorders>
              <w:top w:val="nil"/>
              <w:left w:val="nil"/>
              <w:bottom w:val="nil"/>
              <w:right w:val="nil"/>
            </w:tcBorders>
            <w:shd w:val="clear" w:color="000000" w:fill="FFFFFF"/>
            <w:noWrap/>
            <w:vAlign w:val="bottom"/>
            <w:hideMark/>
          </w:tcPr>
          <w:p w14:paraId="1812632C"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single" w:sz="4" w:space="0" w:color="auto"/>
              <w:left w:val="single" w:sz="4" w:space="0" w:color="auto"/>
              <w:bottom w:val="single" w:sz="4" w:space="0" w:color="auto"/>
              <w:right w:val="nil"/>
            </w:tcBorders>
            <w:shd w:val="clear" w:color="000000" w:fill="C00000"/>
            <w:vAlign w:val="center"/>
            <w:hideMark/>
          </w:tcPr>
          <w:p w14:paraId="14735904" w14:textId="77777777" w:rsidR="0065190C" w:rsidRPr="0065190C" w:rsidRDefault="0065190C" w:rsidP="0065190C">
            <w:pPr>
              <w:spacing w:after="0" w:line="240" w:lineRule="auto"/>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316" w:type="dxa"/>
            <w:tcBorders>
              <w:top w:val="single" w:sz="4" w:space="0" w:color="auto"/>
              <w:left w:val="nil"/>
              <w:bottom w:val="single" w:sz="4" w:space="0" w:color="auto"/>
              <w:right w:val="nil"/>
            </w:tcBorders>
            <w:shd w:val="clear" w:color="000000" w:fill="C00000"/>
            <w:hideMark/>
          </w:tcPr>
          <w:p w14:paraId="282AB39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Opening Balance April 2021</w:t>
            </w:r>
          </w:p>
        </w:tc>
        <w:tc>
          <w:tcPr>
            <w:tcW w:w="1316" w:type="dxa"/>
            <w:tcBorders>
              <w:top w:val="single" w:sz="4" w:space="0" w:color="auto"/>
              <w:left w:val="nil"/>
              <w:bottom w:val="single" w:sz="4" w:space="0" w:color="auto"/>
              <w:right w:val="nil"/>
            </w:tcBorders>
            <w:shd w:val="clear" w:color="000000" w:fill="C00000"/>
            <w:hideMark/>
          </w:tcPr>
          <w:p w14:paraId="09395A9E"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Transfers to Reserve</w:t>
            </w:r>
          </w:p>
        </w:tc>
        <w:tc>
          <w:tcPr>
            <w:tcW w:w="1316" w:type="dxa"/>
            <w:tcBorders>
              <w:top w:val="single" w:sz="4" w:space="0" w:color="auto"/>
              <w:left w:val="nil"/>
              <w:bottom w:val="single" w:sz="4" w:space="0" w:color="auto"/>
              <w:right w:val="nil"/>
            </w:tcBorders>
            <w:shd w:val="clear" w:color="000000" w:fill="C00000"/>
            <w:hideMark/>
          </w:tcPr>
          <w:p w14:paraId="785604EF"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Transfers from Reserve</w:t>
            </w:r>
          </w:p>
        </w:tc>
        <w:tc>
          <w:tcPr>
            <w:tcW w:w="1316" w:type="dxa"/>
            <w:tcBorders>
              <w:top w:val="single" w:sz="4" w:space="0" w:color="auto"/>
              <w:left w:val="nil"/>
              <w:bottom w:val="single" w:sz="4" w:space="0" w:color="auto"/>
              <w:right w:val="single" w:sz="4" w:space="0" w:color="auto"/>
            </w:tcBorders>
            <w:shd w:val="clear" w:color="000000" w:fill="C00000"/>
            <w:hideMark/>
          </w:tcPr>
          <w:p w14:paraId="1708451B"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Closing Balance March 2022</w:t>
            </w:r>
          </w:p>
        </w:tc>
        <w:tc>
          <w:tcPr>
            <w:tcW w:w="196" w:type="dxa"/>
            <w:tcBorders>
              <w:top w:val="nil"/>
              <w:left w:val="nil"/>
              <w:bottom w:val="nil"/>
              <w:right w:val="nil"/>
            </w:tcBorders>
            <w:shd w:val="clear" w:color="000000" w:fill="FFFFFF"/>
            <w:vAlign w:val="center"/>
            <w:hideMark/>
          </w:tcPr>
          <w:p w14:paraId="334FCF16" w14:textId="77777777" w:rsidR="0065190C" w:rsidRPr="0065190C" w:rsidRDefault="0065190C" w:rsidP="0065190C">
            <w:pPr>
              <w:spacing w:after="0" w:line="240" w:lineRule="auto"/>
              <w:jc w:val="center"/>
              <w:rPr>
                <w:rFonts w:ascii="Arial" w:eastAsia="Times New Roman" w:hAnsi="Arial" w:cs="Arial"/>
                <w:b/>
                <w:bCs/>
                <w:color w:val="000000"/>
                <w:sz w:val="18"/>
                <w:szCs w:val="18"/>
                <w:lang w:eastAsia="en-GB"/>
              </w:rPr>
            </w:pPr>
            <w:r w:rsidRPr="0065190C">
              <w:rPr>
                <w:rFonts w:ascii="Arial" w:eastAsia="Times New Roman" w:hAnsi="Arial" w:cs="Arial"/>
                <w:b/>
                <w:bCs/>
                <w:color w:val="000000"/>
                <w:sz w:val="18"/>
                <w:szCs w:val="18"/>
                <w:lang w:eastAsia="en-GB"/>
              </w:rPr>
              <w:t> </w:t>
            </w:r>
          </w:p>
        </w:tc>
      </w:tr>
      <w:tr w:rsidR="0065190C" w:rsidRPr="0065190C" w14:paraId="4CE898B7" w14:textId="77777777" w:rsidTr="0065190C">
        <w:trPr>
          <w:trHeight w:val="315"/>
        </w:trPr>
        <w:tc>
          <w:tcPr>
            <w:tcW w:w="196" w:type="dxa"/>
            <w:tcBorders>
              <w:top w:val="nil"/>
              <w:left w:val="nil"/>
              <w:bottom w:val="nil"/>
              <w:right w:val="nil"/>
            </w:tcBorders>
            <w:shd w:val="clear" w:color="000000" w:fill="FFFFFF"/>
            <w:noWrap/>
            <w:vAlign w:val="bottom"/>
            <w:hideMark/>
          </w:tcPr>
          <w:p w14:paraId="7B555CF0"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14DB51C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E1E1"/>
            <w:noWrap/>
            <w:vAlign w:val="center"/>
            <w:hideMark/>
          </w:tcPr>
          <w:p w14:paraId="3CDD4364"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nil"/>
            </w:tcBorders>
            <w:shd w:val="clear" w:color="000000" w:fill="FFFFFF"/>
            <w:noWrap/>
            <w:vAlign w:val="center"/>
            <w:hideMark/>
          </w:tcPr>
          <w:p w14:paraId="0F6F3616"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nil"/>
            </w:tcBorders>
            <w:shd w:val="clear" w:color="000000" w:fill="FFFFFF"/>
            <w:noWrap/>
            <w:vAlign w:val="center"/>
            <w:hideMark/>
          </w:tcPr>
          <w:p w14:paraId="387AACE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316" w:type="dxa"/>
            <w:tcBorders>
              <w:top w:val="nil"/>
              <w:left w:val="nil"/>
              <w:bottom w:val="nil"/>
              <w:right w:val="single" w:sz="4" w:space="0" w:color="auto"/>
            </w:tcBorders>
            <w:shd w:val="clear" w:color="000000" w:fill="FFE1E1"/>
            <w:noWrap/>
            <w:vAlign w:val="center"/>
            <w:hideMark/>
          </w:tcPr>
          <w:p w14:paraId="5547FBA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£000</w:t>
            </w:r>
          </w:p>
        </w:tc>
        <w:tc>
          <w:tcPr>
            <w:tcW w:w="196" w:type="dxa"/>
            <w:tcBorders>
              <w:top w:val="nil"/>
              <w:left w:val="nil"/>
              <w:bottom w:val="nil"/>
              <w:right w:val="nil"/>
            </w:tcBorders>
            <w:shd w:val="clear" w:color="000000" w:fill="FFFFFF"/>
            <w:noWrap/>
            <w:vAlign w:val="center"/>
            <w:hideMark/>
          </w:tcPr>
          <w:p w14:paraId="458CFD92" w14:textId="77777777" w:rsidR="0065190C" w:rsidRPr="0065190C" w:rsidRDefault="0065190C" w:rsidP="0065190C">
            <w:pPr>
              <w:spacing w:after="0" w:line="240" w:lineRule="auto"/>
              <w:jc w:val="right"/>
              <w:rPr>
                <w:rFonts w:ascii="Arial" w:eastAsia="Times New Roman" w:hAnsi="Arial" w:cs="Arial"/>
                <w:b/>
                <w:bCs/>
                <w:color w:val="000000"/>
                <w:sz w:val="20"/>
                <w:szCs w:val="20"/>
                <w:lang w:eastAsia="en-GB"/>
              </w:rPr>
            </w:pPr>
            <w:r w:rsidRPr="0065190C">
              <w:rPr>
                <w:rFonts w:ascii="Arial" w:eastAsia="Times New Roman" w:hAnsi="Arial" w:cs="Arial"/>
                <w:b/>
                <w:bCs/>
                <w:color w:val="000000"/>
                <w:sz w:val="20"/>
                <w:szCs w:val="20"/>
                <w:lang w:eastAsia="en-GB"/>
              </w:rPr>
              <w:t> </w:t>
            </w:r>
          </w:p>
        </w:tc>
      </w:tr>
      <w:tr w:rsidR="0065190C" w:rsidRPr="0065190C" w14:paraId="2767C46C" w14:textId="77777777" w:rsidTr="0065190C">
        <w:trPr>
          <w:trHeight w:val="315"/>
        </w:trPr>
        <w:tc>
          <w:tcPr>
            <w:tcW w:w="196" w:type="dxa"/>
            <w:tcBorders>
              <w:top w:val="nil"/>
              <w:left w:val="nil"/>
              <w:bottom w:val="nil"/>
              <w:right w:val="nil"/>
            </w:tcBorders>
            <w:shd w:val="clear" w:color="000000" w:fill="FFFFFF"/>
            <w:noWrap/>
            <w:vAlign w:val="bottom"/>
            <w:hideMark/>
          </w:tcPr>
          <w:p w14:paraId="123773AF"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45DB3D3"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Earmarked Reserves:</w:t>
            </w:r>
          </w:p>
        </w:tc>
        <w:tc>
          <w:tcPr>
            <w:tcW w:w="1316" w:type="dxa"/>
            <w:tcBorders>
              <w:top w:val="nil"/>
              <w:left w:val="nil"/>
              <w:bottom w:val="nil"/>
              <w:right w:val="nil"/>
            </w:tcBorders>
            <w:shd w:val="clear" w:color="000000" w:fill="FFE1E1"/>
            <w:noWrap/>
            <w:vAlign w:val="center"/>
            <w:hideMark/>
          </w:tcPr>
          <w:p w14:paraId="49C888C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2D34467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4980D71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single" w:sz="4" w:space="0" w:color="auto"/>
            </w:tcBorders>
            <w:shd w:val="clear" w:color="000000" w:fill="FFE1E1"/>
            <w:noWrap/>
            <w:vAlign w:val="center"/>
            <w:hideMark/>
          </w:tcPr>
          <w:p w14:paraId="6EC96C1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 </w:t>
            </w:r>
          </w:p>
        </w:tc>
        <w:tc>
          <w:tcPr>
            <w:tcW w:w="196" w:type="dxa"/>
            <w:tcBorders>
              <w:top w:val="nil"/>
              <w:left w:val="nil"/>
              <w:bottom w:val="nil"/>
              <w:right w:val="nil"/>
            </w:tcBorders>
            <w:shd w:val="clear" w:color="000000" w:fill="FFFFFF"/>
            <w:noWrap/>
            <w:vAlign w:val="bottom"/>
            <w:hideMark/>
          </w:tcPr>
          <w:p w14:paraId="4044B886"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3AE2B3BB" w14:textId="77777777" w:rsidTr="0065190C">
        <w:trPr>
          <w:trHeight w:val="315"/>
        </w:trPr>
        <w:tc>
          <w:tcPr>
            <w:tcW w:w="196" w:type="dxa"/>
            <w:tcBorders>
              <w:top w:val="nil"/>
              <w:left w:val="nil"/>
              <w:bottom w:val="nil"/>
              <w:right w:val="nil"/>
            </w:tcBorders>
            <w:shd w:val="clear" w:color="000000" w:fill="FFFFFF"/>
            <w:noWrap/>
            <w:vAlign w:val="bottom"/>
            <w:hideMark/>
          </w:tcPr>
          <w:p w14:paraId="52E7319C"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0A67075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Section 106 Contributions</w:t>
            </w:r>
          </w:p>
        </w:tc>
        <w:tc>
          <w:tcPr>
            <w:tcW w:w="1316" w:type="dxa"/>
            <w:tcBorders>
              <w:top w:val="nil"/>
              <w:left w:val="nil"/>
              <w:bottom w:val="nil"/>
              <w:right w:val="nil"/>
            </w:tcBorders>
            <w:shd w:val="clear" w:color="000000" w:fill="FFE1E1"/>
            <w:noWrap/>
            <w:vAlign w:val="center"/>
            <w:hideMark/>
          </w:tcPr>
          <w:p w14:paraId="2D923E8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255</w:t>
            </w:r>
          </w:p>
        </w:tc>
        <w:tc>
          <w:tcPr>
            <w:tcW w:w="1316" w:type="dxa"/>
            <w:tcBorders>
              <w:top w:val="nil"/>
              <w:left w:val="nil"/>
              <w:bottom w:val="nil"/>
              <w:right w:val="nil"/>
            </w:tcBorders>
            <w:shd w:val="clear" w:color="000000" w:fill="FFFFFF"/>
            <w:noWrap/>
            <w:vAlign w:val="bottom"/>
            <w:hideMark/>
          </w:tcPr>
          <w:p w14:paraId="5E7555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206</w:t>
            </w:r>
          </w:p>
        </w:tc>
        <w:tc>
          <w:tcPr>
            <w:tcW w:w="1316" w:type="dxa"/>
            <w:tcBorders>
              <w:top w:val="nil"/>
              <w:left w:val="nil"/>
              <w:bottom w:val="nil"/>
              <w:right w:val="nil"/>
            </w:tcBorders>
            <w:shd w:val="clear" w:color="000000" w:fill="FFFFFF"/>
            <w:noWrap/>
            <w:vAlign w:val="bottom"/>
            <w:hideMark/>
          </w:tcPr>
          <w:p w14:paraId="566F18C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(188)</w:t>
            </w:r>
          </w:p>
        </w:tc>
        <w:tc>
          <w:tcPr>
            <w:tcW w:w="1316" w:type="dxa"/>
            <w:tcBorders>
              <w:top w:val="nil"/>
              <w:left w:val="nil"/>
              <w:bottom w:val="nil"/>
              <w:right w:val="single" w:sz="4" w:space="0" w:color="auto"/>
            </w:tcBorders>
            <w:shd w:val="clear" w:color="000000" w:fill="FFE1E1"/>
            <w:noWrap/>
            <w:vAlign w:val="center"/>
            <w:hideMark/>
          </w:tcPr>
          <w:p w14:paraId="7F1576E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273</w:t>
            </w:r>
          </w:p>
        </w:tc>
        <w:tc>
          <w:tcPr>
            <w:tcW w:w="196" w:type="dxa"/>
            <w:tcBorders>
              <w:top w:val="nil"/>
              <w:left w:val="nil"/>
              <w:bottom w:val="nil"/>
              <w:right w:val="nil"/>
            </w:tcBorders>
            <w:shd w:val="clear" w:color="000000" w:fill="FFFFFF"/>
            <w:noWrap/>
            <w:vAlign w:val="bottom"/>
            <w:hideMark/>
          </w:tcPr>
          <w:p w14:paraId="757F9777"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7E1D4E00" w14:textId="77777777" w:rsidTr="0065190C">
        <w:trPr>
          <w:trHeight w:val="315"/>
        </w:trPr>
        <w:tc>
          <w:tcPr>
            <w:tcW w:w="196" w:type="dxa"/>
            <w:tcBorders>
              <w:top w:val="nil"/>
              <w:left w:val="nil"/>
              <w:bottom w:val="nil"/>
              <w:right w:val="nil"/>
            </w:tcBorders>
            <w:shd w:val="clear" w:color="000000" w:fill="FFFFFF"/>
            <w:noWrap/>
            <w:vAlign w:val="bottom"/>
            <w:hideMark/>
          </w:tcPr>
          <w:p w14:paraId="2615DE62"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30011A1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Insurance reserve</w:t>
            </w:r>
          </w:p>
        </w:tc>
        <w:tc>
          <w:tcPr>
            <w:tcW w:w="1316" w:type="dxa"/>
            <w:tcBorders>
              <w:top w:val="nil"/>
              <w:left w:val="nil"/>
              <w:bottom w:val="nil"/>
              <w:right w:val="nil"/>
            </w:tcBorders>
            <w:shd w:val="clear" w:color="000000" w:fill="FFE1E1"/>
            <w:noWrap/>
            <w:vAlign w:val="center"/>
            <w:hideMark/>
          </w:tcPr>
          <w:p w14:paraId="3552989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250</w:t>
            </w:r>
          </w:p>
        </w:tc>
        <w:tc>
          <w:tcPr>
            <w:tcW w:w="1316" w:type="dxa"/>
            <w:tcBorders>
              <w:top w:val="nil"/>
              <w:left w:val="nil"/>
              <w:bottom w:val="nil"/>
              <w:right w:val="nil"/>
            </w:tcBorders>
            <w:shd w:val="clear" w:color="000000" w:fill="FFFFFF"/>
            <w:noWrap/>
            <w:vAlign w:val="bottom"/>
            <w:hideMark/>
          </w:tcPr>
          <w:p w14:paraId="3CB456C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6D71270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28F2BCC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250</w:t>
            </w:r>
          </w:p>
        </w:tc>
        <w:tc>
          <w:tcPr>
            <w:tcW w:w="196" w:type="dxa"/>
            <w:tcBorders>
              <w:top w:val="nil"/>
              <w:left w:val="nil"/>
              <w:bottom w:val="nil"/>
              <w:right w:val="nil"/>
            </w:tcBorders>
            <w:shd w:val="clear" w:color="000000" w:fill="FFFFFF"/>
            <w:noWrap/>
            <w:vAlign w:val="bottom"/>
            <w:hideMark/>
          </w:tcPr>
          <w:p w14:paraId="03416070" w14:textId="77777777" w:rsidR="0065190C" w:rsidRPr="0065190C" w:rsidRDefault="0065190C" w:rsidP="0065190C">
            <w:pPr>
              <w:spacing w:after="0" w:line="240" w:lineRule="auto"/>
              <w:rPr>
                <w:rFonts w:ascii="Times New Roman" w:eastAsia="Times New Roman" w:hAnsi="Times New Roman" w:cs="Times New Roman"/>
                <w:color w:val="000000"/>
                <w:sz w:val="20"/>
                <w:szCs w:val="20"/>
                <w:lang w:eastAsia="en-GB"/>
              </w:rPr>
            </w:pPr>
            <w:r w:rsidRPr="0065190C">
              <w:rPr>
                <w:rFonts w:ascii="Times New Roman" w:eastAsia="Times New Roman" w:hAnsi="Times New Roman" w:cs="Times New Roman"/>
                <w:color w:val="000000"/>
                <w:sz w:val="20"/>
                <w:szCs w:val="20"/>
                <w:lang w:eastAsia="en-GB"/>
              </w:rPr>
              <w:t> </w:t>
            </w:r>
          </w:p>
        </w:tc>
      </w:tr>
      <w:tr w:rsidR="0065190C" w:rsidRPr="0065190C" w14:paraId="422ED257" w14:textId="77777777" w:rsidTr="0065190C">
        <w:trPr>
          <w:trHeight w:val="315"/>
        </w:trPr>
        <w:tc>
          <w:tcPr>
            <w:tcW w:w="196" w:type="dxa"/>
            <w:tcBorders>
              <w:top w:val="nil"/>
              <w:left w:val="nil"/>
              <w:bottom w:val="nil"/>
              <w:right w:val="nil"/>
            </w:tcBorders>
            <w:shd w:val="clear" w:color="000000" w:fill="FFFFFF"/>
            <w:noWrap/>
            <w:vAlign w:val="bottom"/>
            <w:hideMark/>
          </w:tcPr>
          <w:p w14:paraId="45464160"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3346D58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Funding Reserve</w:t>
            </w:r>
          </w:p>
        </w:tc>
        <w:tc>
          <w:tcPr>
            <w:tcW w:w="1316" w:type="dxa"/>
            <w:tcBorders>
              <w:top w:val="nil"/>
              <w:left w:val="nil"/>
              <w:bottom w:val="nil"/>
              <w:right w:val="nil"/>
            </w:tcBorders>
            <w:shd w:val="clear" w:color="000000" w:fill="FFE1E1"/>
            <w:noWrap/>
            <w:vAlign w:val="center"/>
            <w:hideMark/>
          </w:tcPr>
          <w:p w14:paraId="3F7A1A6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500</w:t>
            </w:r>
          </w:p>
        </w:tc>
        <w:tc>
          <w:tcPr>
            <w:tcW w:w="1316" w:type="dxa"/>
            <w:tcBorders>
              <w:top w:val="nil"/>
              <w:left w:val="nil"/>
              <w:bottom w:val="nil"/>
              <w:right w:val="nil"/>
            </w:tcBorders>
            <w:shd w:val="clear" w:color="000000" w:fill="FFFFFF"/>
            <w:noWrap/>
            <w:vAlign w:val="bottom"/>
            <w:hideMark/>
          </w:tcPr>
          <w:p w14:paraId="4A536EA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424</w:t>
            </w:r>
          </w:p>
        </w:tc>
        <w:tc>
          <w:tcPr>
            <w:tcW w:w="1316" w:type="dxa"/>
            <w:tcBorders>
              <w:top w:val="nil"/>
              <w:left w:val="nil"/>
              <w:bottom w:val="nil"/>
              <w:right w:val="nil"/>
            </w:tcBorders>
            <w:shd w:val="clear" w:color="000000" w:fill="FFFFFF"/>
            <w:noWrap/>
            <w:vAlign w:val="bottom"/>
            <w:hideMark/>
          </w:tcPr>
          <w:p w14:paraId="7DC9E8D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45F5917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924</w:t>
            </w:r>
          </w:p>
        </w:tc>
        <w:tc>
          <w:tcPr>
            <w:tcW w:w="196" w:type="dxa"/>
            <w:tcBorders>
              <w:top w:val="nil"/>
              <w:left w:val="nil"/>
              <w:bottom w:val="nil"/>
              <w:right w:val="nil"/>
            </w:tcBorders>
            <w:shd w:val="clear" w:color="000000" w:fill="FFFFFF"/>
            <w:noWrap/>
            <w:vAlign w:val="center"/>
            <w:hideMark/>
          </w:tcPr>
          <w:p w14:paraId="78D944BC" w14:textId="77777777" w:rsidR="0065190C" w:rsidRPr="0065190C" w:rsidRDefault="0065190C" w:rsidP="0065190C">
            <w:pPr>
              <w:spacing w:after="0" w:line="240" w:lineRule="auto"/>
              <w:jc w:val="right"/>
              <w:rPr>
                <w:rFonts w:ascii="Arial" w:eastAsia="Times New Roman" w:hAnsi="Arial" w:cs="Arial"/>
                <w:b/>
                <w:bCs/>
                <w:color w:val="000000"/>
                <w:sz w:val="20"/>
                <w:szCs w:val="20"/>
                <w:lang w:eastAsia="en-GB"/>
              </w:rPr>
            </w:pPr>
            <w:r w:rsidRPr="0065190C">
              <w:rPr>
                <w:rFonts w:ascii="Arial" w:eastAsia="Times New Roman" w:hAnsi="Arial" w:cs="Arial"/>
                <w:b/>
                <w:bCs/>
                <w:color w:val="000000"/>
                <w:sz w:val="20"/>
                <w:szCs w:val="20"/>
                <w:lang w:eastAsia="en-GB"/>
              </w:rPr>
              <w:t> </w:t>
            </w:r>
          </w:p>
        </w:tc>
      </w:tr>
      <w:tr w:rsidR="0065190C" w:rsidRPr="0065190C" w14:paraId="479C7E80" w14:textId="77777777" w:rsidTr="0065190C">
        <w:trPr>
          <w:trHeight w:val="315"/>
        </w:trPr>
        <w:tc>
          <w:tcPr>
            <w:tcW w:w="196" w:type="dxa"/>
            <w:tcBorders>
              <w:top w:val="nil"/>
              <w:left w:val="nil"/>
              <w:bottom w:val="nil"/>
              <w:right w:val="nil"/>
            </w:tcBorders>
            <w:shd w:val="clear" w:color="000000" w:fill="FFFFFF"/>
            <w:noWrap/>
            <w:vAlign w:val="bottom"/>
            <w:hideMark/>
          </w:tcPr>
          <w:p w14:paraId="194818C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DEAE3C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Transformation Reserve</w:t>
            </w:r>
          </w:p>
        </w:tc>
        <w:tc>
          <w:tcPr>
            <w:tcW w:w="1316" w:type="dxa"/>
            <w:tcBorders>
              <w:top w:val="nil"/>
              <w:left w:val="nil"/>
              <w:bottom w:val="nil"/>
              <w:right w:val="nil"/>
            </w:tcBorders>
            <w:shd w:val="clear" w:color="000000" w:fill="FFE1E1"/>
            <w:noWrap/>
            <w:vAlign w:val="center"/>
            <w:hideMark/>
          </w:tcPr>
          <w:p w14:paraId="37313B8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400</w:t>
            </w:r>
          </w:p>
        </w:tc>
        <w:tc>
          <w:tcPr>
            <w:tcW w:w="1316" w:type="dxa"/>
            <w:tcBorders>
              <w:top w:val="nil"/>
              <w:left w:val="nil"/>
              <w:bottom w:val="nil"/>
              <w:right w:val="nil"/>
            </w:tcBorders>
            <w:shd w:val="clear" w:color="000000" w:fill="FFFFFF"/>
            <w:noWrap/>
            <w:vAlign w:val="bottom"/>
            <w:hideMark/>
          </w:tcPr>
          <w:p w14:paraId="76C6B6E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367</w:t>
            </w:r>
          </w:p>
        </w:tc>
        <w:tc>
          <w:tcPr>
            <w:tcW w:w="1316" w:type="dxa"/>
            <w:tcBorders>
              <w:top w:val="nil"/>
              <w:left w:val="nil"/>
              <w:bottom w:val="nil"/>
              <w:right w:val="nil"/>
            </w:tcBorders>
            <w:shd w:val="clear" w:color="000000" w:fill="FFFFFF"/>
            <w:noWrap/>
            <w:vAlign w:val="bottom"/>
            <w:hideMark/>
          </w:tcPr>
          <w:p w14:paraId="4064F4C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(86)</w:t>
            </w:r>
          </w:p>
        </w:tc>
        <w:tc>
          <w:tcPr>
            <w:tcW w:w="1316" w:type="dxa"/>
            <w:tcBorders>
              <w:top w:val="nil"/>
              <w:left w:val="nil"/>
              <w:bottom w:val="nil"/>
              <w:right w:val="single" w:sz="4" w:space="0" w:color="auto"/>
            </w:tcBorders>
            <w:shd w:val="clear" w:color="000000" w:fill="FFE1E1"/>
            <w:noWrap/>
            <w:vAlign w:val="center"/>
            <w:hideMark/>
          </w:tcPr>
          <w:p w14:paraId="7C100741"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681</w:t>
            </w:r>
          </w:p>
        </w:tc>
        <w:tc>
          <w:tcPr>
            <w:tcW w:w="196" w:type="dxa"/>
            <w:tcBorders>
              <w:top w:val="nil"/>
              <w:left w:val="nil"/>
              <w:bottom w:val="nil"/>
              <w:right w:val="nil"/>
            </w:tcBorders>
            <w:shd w:val="clear" w:color="000000" w:fill="FFFFFF"/>
            <w:noWrap/>
            <w:vAlign w:val="bottom"/>
            <w:hideMark/>
          </w:tcPr>
          <w:p w14:paraId="0DF33DF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91DD543" w14:textId="77777777" w:rsidTr="0065190C">
        <w:trPr>
          <w:trHeight w:val="315"/>
        </w:trPr>
        <w:tc>
          <w:tcPr>
            <w:tcW w:w="196" w:type="dxa"/>
            <w:tcBorders>
              <w:top w:val="nil"/>
              <w:left w:val="nil"/>
              <w:bottom w:val="nil"/>
              <w:right w:val="nil"/>
            </w:tcBorders>
            <w:shd w:val="clear" w:color="000000" w:fill="FFFFFF"/>
            <w:noWrap/>
            <w:vAlign w:val="bottom"/>
            <w:hideMark/>
          </w:tcPr>
          <w:p w14:paraId="59ADCB91"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B67560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Capital &amp;ESN</w:t>
            </w:r>
          </w:p>
        </w:tc>
        <w:tc>
          <w:tcPr>
            <w:tcW w:w="1316" w:type="dxa"/>
            <w:tcBorders>
              <w:top w:val="nil"/>
              <w:left w:val="nil"/>
              <w:bottom w:val="nil"/>
              <w:right w:val="nil"/>
            </w:tcBorders>
            <w:shd w:val="clear" w:color="000000" w:fill="FFE1E1"/>
            <w:noWrap/>
            <w:vAlign w:val="center"/>
            <w:hideMark/>
          </w:tcPr>
          <w:p w14:paraId="465D7C3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388</w:t>
            </w:r>
          </w:p>
        </w:tc>
        <w:tc>
          <w:tcPr>
            <w:tcW w:w="1316" w:type="dxa"/>
            <w:tcBorders>
              <w:top w:val="nil"/>
              <w:left w:val="nil"/>
              <w:bottom w:val="nil"/>
              <w:right w:val="nil"/>
            </w:tcBorders>
            <w:shd w:val="clear" w:color="000000" w:fill="FFFFFF"/>
            <w:noWrap/>
            <w:vAlign w:val="bottom"/>
            <w:hideMark/>
          </w:tcPr>
          <w:p w14:paraId="0B73A3C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6E5FA41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(32)</w:t>
            </w:r>
          </w:p>
        </w:tc>
        <w:tc>
          <w:tcPr>
            <w:tcW w:w="1316" w:type="dxa"/>
            <w:tcBorders>
              <w:top w:val="nil"/>
              <w:left w:val="nil"/>
              <w:bottom w:val="nil"/>
              <w:right w:val="single" w:sz="4" w:space="0" w:color="auto"/>
            </w:tcBorders>
            <w:shd w:val="clear" w:color="000000" w:fill="FFE1E1"/>
            <w:noWrap/>
            <w:vAlign w:val="center"/>
            <w:hideMark/>
          </w:tcPr>
          <w:p w14:paraId="6626340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356</w:t>
            </w:r>
          </w:p>
        </w:tc>
        <w:tc>
          <w:tcPr>
            <w:tcW w:w="196" w:type="dxa"/>
            <w:tcBorders>
              <w:top w:val="nil"/>
              <w:left w:val="nil"/>
              <w:bottom w:val="nil"/>
              <w:right w:val="nil"/>
            </w:tcBorders>
            <w:shd w:val="clear" w:color="000000" w:fill="FFFFFF"/>
            <w:noWrap/>
            <w:vAlign w:val="bottom"/>
            <w:hideMark/>
          </w:tcPr>
          <w:p w14:paraId="62A6191A"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4CA46113" w14:textId="77777777" w:rsidTr="0065190C">
        <w:trPr>
          <w:trHeight w:val="315"/>
        </w:trPr>
        <w:tc>
          <w:tcPr>
            <w:tcW w:w="196" w:type="dxa"/>
            <w:tcBorders>
              <w:top w:val="nil"/>
              <w:left w:val="nil"/>
              <w:bottom w:val="nil"/>
              <w:right w:val="nil"/>
            </w:tcBorders>
            <w:shd w:val="clear" w:color="000000" w:fill="FFFFFF"/>
            <w:noWrap/>
            <w:vAlign w:val="bottom"/>
            <w:hideMark/>
          </w:tcPr>
          <w:p w14:paraId="288B2483"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7D047FC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Equipment Reserve</w:t>
            </w:r>
          </w:p>
        </w:tc>
        <w:tc>
          <w:tcPr>
            <w:tcW w:w="1316" w:type="dxa"/>
            <w:tcBorders>
              <w:top w:val="nil"/>
              <w:left w:val="nil"/>
              <w:bottom w:val="nil"/>
              <w:right w:val="nil"/>
            </w:tcBorders>
            <w:shd w:val="clear" w:color="000000" w:fill="FFE1E1"/>
            <w:noWrap/>
            <w:vAlign w:val="center"/>
            <w:hideMark/>
          </w:tcPr>
          <w:p w14:paraId="30A67BA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30</w:t>
            </w:r>
          </w:p>
        </w:tc>
        <w:tc>
          <w:tcPr>
            <w:tcW w:w="1316" w:type="dxa"/>
            <w:tcBorders>
              <w:top w:val="nil"/>
              <w:left w:val="nil"/>
              <w:bottom w:val="nil"/>
              <w:right w:val="nil"/>
            </w:tcBorders>
            <w:shd w:val="clear" w:color="000000" w:fill="FFFFFF"/>
            <w:noWrap/>
            <w:vAlign w:val="bottom"/>
            <w:hideMark/>
          </w:tcPr>
          <w:p w14:paraId="7DE2ED2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nil"/>
            </w:tcBorders>
            <w:shd w:val="clear" w:color="000000" w:fill="FFFFFF"/>
            <w:noWrap/>
            <w:vAlign w:val="bottom"/>
            <w:hideMark/>
          </w:tcPr>
          <w:p w14:paraId="05B15E3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16" w:type="dxa"/>
            <w:tcBorders>
              <w:top w:val="nil"/>
              <w:left w:val="nil"/>
              <w:bottom w:val="nil"/>
              <w:right w:val="single" w:sz="4" w:space="0" w:color="auto"/>
            </w:tcBorders>
            <w:shd w:val="clear" w:color="000000" w:fill="FFE1E1"/>
            <w:noWrap/>
            <w:vAlign w:val="center"/>
            <w:hideMark/>
          </w:tcPr>
          <w:p w14:paraId="00793F47"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30</w:t>
            </w:r>
          </w:p>
        </w:tc>
        <w:tc>
          <w:tcPr>
            <w:tcW w:w="196" w:type="dxa"/>
            <w:tcBorders>
              <w:top w:val="nil"/>
              <w:left w:val="nil"/>
              <w:bottom w:val="nil"/>
              <w:right w:val="nil"/>
            </w:tcBorders>
            <w:shd w:val="clear" w:color="000000" w:fill="FFFFFF"/>
            <w:noWrap/>
            <w:vAlign w:val="bottom"/>
            <w:hideMark/>
          </w:tcPr>
          <w:p w14:paraId="467D3699"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04DFF650" w14:textId="77777777" w:rsidTr="0065190C">
        <w:trPr>
          <w:trHeight w:val="315"/>
        </w:trPr>
        <w:tc>
          <w:tcPr>
            <w:tcW w:w="196" w:type="dxa"/>
            <w:tcBorders>
              <w:top w:val="nil"/>
              <w:left w:val="nil"/>
              <w:bottom w:val="nil"/>
              <w:right w:val="nil"/>
            </w:tcBorders>
            <w:shd w:val="clear" w:color="000000" w:fill="FFFFFF"/>
            <w:noWrap/>
            <w:vAlign w:val="bottom"/>
            <w:hideMark/>
          </w:tcPr>
          <w:p w14:paraId="592D04DF"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nil"/>
              <w:right w:val="nil"/>
            </w:tcBorders>
            <w:shd w:val="clear" w:color="000000" w:fill="FFFFFF"/>
            <w:noWrap/>
            <w:vAlign w:val="center"/>
            <w:hideMark/>
          </w:tcPr>
          <w:p w14:paraId="2F20B93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Service Carry Forwards</w:t>
            </w:r>
          </w:p>
        </w:tc>
        <w:tc>
          <w:tcPr>
            <w:tcW w:w="1316" w:type="dxa"/>
            <w:tcBorders>
              <w:top w:val="nil"/>
              <w:left w:val="nil"/>
              <w:bottom w:val="nil"/>
              <w:right w:val="nil"/>
            </w:tcBorders>
            <w:shd w:val="clear" w:color="000000" w:fill="FFE1E1"/>
            <w:noWrap/>
            <w:vAlign w:val="center"/>
            <w:hideMark/>
          </w:tcPr>
          <w:p w14:paraId="156EB439" w14:textId="1F712E16"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9</w:t>
            </w:r>
            <w:r w:rsidR="00ED0336">
              <w:rPr>
                <w:rFonts w:ascii="Calibri" w:eastAsia="Times New Roman" w:hAnsi="Calibri" w:cs="Calibri"/>
                <w:color w:val="000000"/>
                <w:lang w:eastAsia="en-GB"/>
              </w:rPr>
              <w:t>9</w:t>
            </w:r>
          </w:p>
        </w:tc>
        <w:tc>
          <w:tcPr>
            <w:tcW w:w="1316" w:type="dxa"/>
            <w:tcBorders>
              <w:top w:val="nil"/>
              <w:left w:val="nil"/>
              <w:bottom w:val="nil"/>
              <w:right w:val="nil"/>
            </w:tcBorders>
            <w:shd w:val="clear" w:color="000000" w:fill="FFFFFF"/>
            <w:noWrap/>
            <w:vAlign w:val="bottom"/>
            <w:hideMark/>
          </w:tcPr>
          <w:p w14:paraId="5304B37E" w14:textId="3A29439A"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15</w:t>
            </w:r>
            <w:r w:rsidR="00ED0336">
              <w:rPr>
                <w:rFonts w:ascii="Calibri" w:eastAsia="Times New Roman" w:hAnsi="Calibri" w:cs="Calibri"/>
                <w:color w:val="000000"/>
                <w:lang w:eastAsia="en-GB"/>
              </w:rPr>
              <w:t>0</w:t>
            </w:r>
          </w:p>
        </w:tc>
        <w:tc>
          <w:tcPr>
            <w:tcW w:w="1316" w:type="dxa"/>
            <w:tcBorders>
              <w:top w:val="nil"/>
              <w:left w:val="nil"/>
              <w:bottom w:val="nil"/>
              <w:right w:val="nil"/>
            </w:tcBorders>
            <w:shd w:val="clear" w:color="000000" w:fill="FFFFFF"/>
            <w:noWrap/>
            <w:vAlign w:val="bottom"/>
            <w:hideMark/>
          </w:tcPr>
          <w:p w14:paraId="7666B8D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(98)</w:t>
            </w:r>
          </w:p>
        </w:tc>
        <w:tc>
          <w:tcPr>
            <w:tcW w:w="1316" w:type="dxa"/>
            <w:tcBorders>
              <w:top w:val="nil"/>
              <w:left w:val="nil"/>
              <w:bottom w:val="nil"/>
              <w:right w:val="single" w:sz="4" w:space="0" w:color="auto"/>
            </w:tcBorders>
            <w:shd w:val="clear" w:color="000000" w:fill="FFE1E1"/>
            <w:noWrap/>
            <w:vAlign w:val="center"/>
            <w:hideMark/>
          </w:tcPr>
          <w:p w14:paraId="5DCF2385"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151</w:t>
            </w:r>
          </w:p>
        </w:tc>
        <w:tc>
          <w:tcPr>
            <w:tcW w:w="196" w:type="dxa"/>
            <w:tcBorders>
              <w:top w:val="nil"/>
              <w:left w:val="nil"/>
              <w:bottom w:val="nil"/>
              <w:right w:val="nil"/>
            </w:tcBorders>
            <w:shd w:val="clear" w:color="000000" w:fill="FFFFFF"/>
            <w:noWrap/>
            <w:vAlign w:val="bottom"/>
            <w:hideMark/>
          </w:tcPr>
          <w:p w14:paraId="6E927D5B"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1D681963" w14:textId="77777777" w:rsidTr="0065190C">
        <w:trPr>
          <w:trHeight w:val="315"/>
        </w:trPr>
        <w:tc>
          <w:tcPr>
            <w:tcW w:w="196" w:type="dxa"/>
            <w:tcBorders>
              <w:top w:val="nil"/>
              <w:left w:val="nil"/>
              <w:bottom w:val="nil"/>
              <w:right w:val="nil"/>
            </w:tcBorders>
            <w:shd w:val="clear" w:color="000000" w:fill="FFFFFF"/>
            <w:noWrap/>
            <w:vAlign w:val="bottom"/>
            <w:hideMark/>
          </w:tcPr>
          <w:p w14:paraId="1EF8FE0E"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single" w:sz="4" w:space="0" w:color="auto"/>
              <w:bottom w:val="single" w:sz="4" w:space="0" w:color="auto"/>
              <w:right w:val="nil"/>
            </w:tcBorders>
            <w:shd w:val="clear" w:color="000000" w:fill="C00000"/>
            <w:noWrap/>
            <w:vAlign w:val="center"/>
            <w:hideMark/>
          </w:tcPr>
          <w:p w14:paraId="51373241" w14:textId="40A49928" w:rsidR="0065190C" w:rsidRPr="0065190C" w:rsidRDefault="00077465" w:rsidP="0065190C">
            <w:pPr>
              <w:spacing w:after="0" w:line="240" w:lineRule="auto"/>
              <w:rPr>
                <w:rFonts w:ascii="Calibri" w:eastAsia="Times New Roman" w:hAnsi="Calibri" w:cs="Calibri"/>
                <w:b/>
                <w:bCs/>
                <w:color w:val="FFFFFF"/>
                <w:lang w:eastAsia="en-GB"/>
              </w:rPr>
            </w:pPr>
            <w:r w:rsidRPr="00077465">
              <w:rPr>
                <w:rFonts w:ascii="Calibri" w:eastAsia="Times New Roman" w:hAnsi="Calibri" w:cs="Calibri"/>
                <w:b/>
                <w:bCs/>
                <w:color w:val="FFFFFF"/>
                <w:lang w:eastAsia="en-GB"/>
              </w:rPr>
              <w:t xml:space="preserve">Total </w:t>
            </w:r>
            <w:r>
              <w:rPr>
                <w:rFonts w:ascii="Calibri" w:eastAsia="Times New Roman" w:hAnsi="Calibri" w:cs="Calibri"/>
                <w:b/>
                <w:bCs/>
                <w:color w:val="FFFFFF"/>
                <w:lang w:eastAsia="en-GB"/>
              </w:rPr>
              <w:t>E</w:t>
            </w:r>
            <w:r w:rsidRPr="00077465">
              <w:rPr>
                <w:rFonts w:ascii="Calibri" w:eastAsia="Times New Roman" w:hAnsi="Calibri" w:cs="Calibri"/>
                <w:b/>
                <w:bCs/>
                <w:color w:val="FFFFFF"/>
                <w:lang w:eastAsia="en-GB"/>
              </w:rPr>
              <w:t xml:space="preserve">armarked </w:t>
            </w:r>
            <w:r>
              <w:rPr>
                <w:rFonts w:ascii="Calibri" w:eastAsia="Times New Roman" w:hAnsi="Calibri" w:cs="Calibri"/>
                <w:b/>
                <w:bCs/>
                <w:color w:val="FFFFFF"/>
                <w:lang w:eastAsia="en-GB"/>
              </w:rPr>
              <w:t>R</w:t>
            </w:r>
            <w:r w:rsidRPr="00077465">
              <w:rPr>
                <w:rFonts w:ascii="Calibri" w:eastAsia="Times New Roman" w:hAnsi="Calibri" w:cs="Calibri"/>
                <w:b/>
                <w:bCs/>
                <w:color w:val="FFFFFF"/>
                <w:lang w:eastAsia="en-GB"/>
              </w:rPr>
              <w:t>eserves</w:t>
            </w:r>
          </w:p>
        </w:tc>
        <w:tc>
          <w:tcPr>
            <w:tcW w:w="1316" w:type="dxa"/>
            <w:tcBorders>
              <w:top w:val="nil"/>
              <w:left w:val="nil"/>
              <w:bottom w:val="single" w:sz="4" w:space="0" w:color="auto"/>
              <w:right w:val="nil"/>
            </w:tcBorders>
            <w:shd w:val="clear" w:color="000000" w:fill="C00000"/>
            <w:noWrap/>
            <w:vAlign w:val="center"/>
            <w:hideMark/>
          </w:tcPr>
          <w:p w14:paraId="4D8FD947" w14:textId="60C98C32"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1,92</w:t>
            </w:r>
            <w:r w:rsidR="00ED0336">
              <w:rPr>
                <w:rFonts w:ascii="Calibri" w:eastAsia="Times New Roman" w:hAnsi="Calibri" w:cs="Calibri"/>
                <w:b/>
                <w:bCs/>
                <w:color w:val="FFFFFF"/>
                <w:lang w:eastAsia="en-GB"/>
              </w:rPr>
              <w:t>2</w:t>
            </w:r>
          </w:p>
        </w:tc>
        <w:tc>
          <w:tcPr>
            <w:tcW w:w="1316" w:type="dxa"/>
            <w:tcBorders>
              <w:top w:val="nil"/>
              <w:left w:val="nil"/>
              <w:bottom w:val="single" w:sz="4" w:space="0" w:color="auto"/>
              <w:right w:val="nil"/>
            </w:tcBorders>
            <w:shd w:val="clear" w:color="000000" w:fill="C00000"/>
            <w:noWrap/>
            <w:vAlign w:val="center"/>
            <w:hideMark/>
          </w:tcPr>
          <w:p w14:paraId="228F67B0" w14:textId="6A14A6C2"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1,14</w:t>
            </w:r>
            <w:r w:rsidR="00ED0336">
              <w:rPr>
                <w:rFonts w:ascii="Calibri" w:eastAsia="Times New Roman" w:hAnsi="Calibri" w:cs="Calibri"/>
                <w:b/>
                <w:bCs/>
                <w:color w:val="FFFFFF"/>
                <w:lang w:eastAsia="en-GB"/>
              </w:rPr>
              <w:t>7</w:t>
            </w:r>
          </w:p>
        </w:tc>
        <w:tc>
          <w:tcPr>
            <w:tcW w:w="1316" w:type="dxa"/>
            <w:tcBorders>
              <w:top w:val="nil"/>
              <w:left w:val="nil"/>
              <w:bottom w:val="single" w:sz="4" w:space="0" w:color="auto"/>
              <w:right w:val="nil"/>
            </w:tcBorders>
            <w:shd w:val="clear" w:color="000000" w:fill="C00000"/>
            <w:noWrap/>
            <w:vAlign w:val="center"/>
            <w:hideMark/>
          </w:tcPr>
          <w:p w14:paraId="72899E2E"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(404)</w:t>
            </w:r>
          </w:p>
        </w:tc>
        <w:tc>
          <w:tcPr>
            <w:tcW w:w="1316" w:type="dxa"/>
            <w:tcBorders>
              <w:top w:val="nil"/>
              <w:left w:val="nil"/>
              <w:bottom w:val="single" w:sz="4" w:space="0" w:color="auto"/>
              <w:right w:val="single" w:sz="4" w:space="0" w:color="auto"/>
            </w:tcBorders>
            <w:shd w:val="clear" w:color="000000" w:fill="C00000"/>
            <w:noWrap/>
            <w:vAlign w:val="center"/>
            <w:hideMark/>
          </w:tcPr>
          <w:p w14:paraId="24864359"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2,665</w:t>
            </w:r>
          </w:p>
        </w:tc>
        <w:tc>
          <w:tcPr>
            <w:tcW w:w="196" w:type="dxa"/>
            <w:tcBorders>
              <w:top w:val="nil"/>
              <w:left w:val="nil"/>
              <w:bottom w:val="nil"/>
              <w:right w:val="nil"/>
            </w:tcBorders>
            <w:shd w:val="clear" w:color="000000" w:fill="FFFFFF"/>
            <w:noWrap/>
            <w:vAlign w:val="bottom"/>
            <w:hideMark/>
          </w:tcPr>
          <w:p w14:paraId="4DD271E4"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r w:rsidR="0065190C" w:rsidRPr="0065190C" w14:paraId="62399E24" w14:textId="77777777" w:rsidTr="0065190C">
        <w:trPr>
          <w:trHeight w:val="120"/>
        </w:trPr>
        <w:tc>
          <w:tcPr>
            <w:tcW w:w="196" w:type="dxa"/>
            <w:tcBorders>
              <w:top w:val="nil"/>
              <w:left w:val="nil"/>
              <w:bottom w:val="nil"/>
              <w:right w:val="nil"/>
            </w:tcBorders>
            <w:shd w:val="clear" w:color="000000" w:fill="FFFFFF"/>
            <w:noWrap/>
            <w:vAlign w:val="bottom"/>
            <w:hideMark/>
          </w:tcPr>
          <w:p w14:paraId="3DA2B179"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c>
          <w:tcPr>
            <w:tcW w:w="4396" w:type="dxa"/>
            <w:tcBorders>
              <w:top w:val="nil"/>
              <w:left w:val="nil"/>
              <w:bottom w:val="nil"/>
              <w:right w:val="nil"/>
            </w:tcBorders>
            <w:shd w:val="clear" w:color="000000" w:fill="FFFFFF"/>
            <w:noWrap/>
            <w:vAlign w:val="bottom"/>
            <w:hideMark/>
          </w:tcPr>
          <w:p w14:paraId="257F45E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EA870D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3EFD2F4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20CCFA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16" w:type="dxa"/>
            <w:tcBorders>
              <w:top w:val="nil"/>
              <w:left w:val="nil"/>
              <w:bottom w:val="nil"/>
              <w:right w:val="nil"/>
            </w:tcBorders>
            <w:shd w:val="clear" w:color="000000" w:fill="FFFFFF"/>
            <w:noWrap/>
            <w:vAlign w:val="bottom"/>
            <w:hideMark/>
          </w:tcPr>
          <w:p w14:paraId="108801D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96" w:type="dxa"/>
            <w:tcBorders>
              <w:top w:val="nil"/>
              <w:left w:val="nil"/>
              <w:bottom w:val="nil"/>
              <w:right w:val="nil"/>
            </w:tcBorders>
            <w:shd w:val="clear" w:color="000000" w:fill="FFFFFF"/>
            <w:noWrap/>
            <w:vAlign w:val="bottom"/>
            <w:hideMark/>
          </w:tcPr>
          <w:p w14:paraId="4CBBF883" w14:textId="77777777" w:rsidR="0065190C" w:rsidRPr="0065190C" w:rsidRDefault="0065190C" w:rsidP="0065190C">
            <w:pPr>
              <w:spacing w:after="0" w:line="240" w:lineRule="auto"/>
              <w:rPr>
                <w:rFonts w:ascii="Calibri" w:eastAsia="Times New Roman" w:hAnsi="Calibri" w:cs="Calibri"/>
                <w:color w:val="000000"/>
                <w:sz w:val="24"/>
                <w:szCs w:val="24"/>
                <w:lang w:eastAsia="en-GB"/>
              </w:rPr>
            </w:pPr>
            <w:r w:rsidRPr="0065190C">
              <w:rPr>
                <w:rFonts w:ascii="Calibri" w:eastAsia="Times New Roman" w:hAnsi="Calibri" w:cs="Calibri"/>
                <w:color w:val="000000"/>
                <w:sz w:val="24"/>
                <w:szCs w:val="24"/>
                <w:lang w:eastAsia="en-GB"/>
              </w:rPr>
              <w:t> </w:t>
            </w:r>
          </w:p>
        </w:tc>
      </w:tr>
    </w:tbl>
    <w:p w14:paraId="481504BF" w14:textId="02C1134D" w:rsidR="00971C1B" w:rsidRPr="007F07C2" w:rsidRDefault="00EB05F7" w:rsidP="003C3A4C">
      <w:pPr>
        <w:spacing w:after="0"/>
        <w:rPr>
          <w:rFonts w:cs="Arial"/>
          <w:b/>
          <w:bCs/>
          <w:sz w:val="28"/>
          <w:szCs w:val="28"/>
        </w:rPr>
      </w:pPr>
      <w:r>
        <w:rPr>
          <w:rFonts w:cs="Arial"/>
          <w:b/>
          <w:bCs/>
          <w:sz w:val="28"/>
          <w:szCs w:val="28"/>
        </w:rPr>
        <w:br w:type="page"/>
      </w:r>
      <w:r w:rsidR="00E55282" w:rsidRPr="007F07C2">
        <w:rPr>
          <w:rFonts w:cs="Arial"/>
          <w:b/>
          <w:bCs/>
          <w:sz w:val="28"/>
          <w:szCs w:val="28"/>
        </w:rPr>
        <w:lastRenderedPageBreak/>
        <w:t>9</w:t>
      </w:r>
      <w:r w:rsidR="0079406E" w:rsidRPr="007F07C2">
        <w:rPr>
          <w:rFonts w:cs="Arial"/>
          <w:b/>
          <w:bCs/>
          <w:sz w:val="28"/>
          <w:szCs w:val="28"/>
        </w:rPr>
        <w:t xml:space="preserve"> Property, plant and equipment </w:t>
      </w:r>
    </w:p>
    <w:p w14:paraId="65530613" w14:textId="36F34ED6" w:rsidR="0065190C" w:rsidRPr="00DE1AE6" w:rsidRDefault="0079406E" w:rsidP="0079406E">
      <w:pPr>
        <w:autoSpaceDE w:val="0"/>
        <w:autoSpaceDN w:val="0"/>
        <w:adjustRightInd w:val="0"/>
        <w:spacing w:after="0" w:line="240" w:lineRule="auto"/>
        <w:rPr>
          <w:rFonts w:cs="Arial"/>
        </w:rPr>
      </w:pPr>
      <w:r w:rsidRPr="007F07C2">
        <w:rPr>
          <w:rFonts w:cs="Arial"/>
        </w:rPr>
        <w:t>The movement in fixed assets during the year is shown in the table below</w:t>
      </w:r>
    </w:p>
    <w:tbl>
      <w:tblPr>
        <w:tblW w:w="11260" w:type="dxa"/>
        <w:tblLook w:val="04A0" w:firstRow="1" w:lastRow="0" w:firstColumn="1" w:lastColumn="0" w:noHBand="0" w:noVBand="1"/>
      </w:tblPr>
      <w:tblGrid>
        <w:gridCol w:w="290"/>
        <w:gridCol w:w="4597"/>
        <w:gridCol w:w="1267"/>
        <w:gridCol w:w="1733"/>
        <w:gridCol w:w="1392"/>
        <w:gridCol w:w="1715"/>
        <w:gridCol w:w="266"/>
      </w:tblGrid>
      <w:tr w:rsidR="0065190C" w:rsidRPr="0065190C" w14:paraId="14187A48" w14:textId="77777777" w:rsidTr="00DE1AE6">
        <w:trPr>
          <w:trHeight w:val="111"/>
        </w:trPr>
        <w:tc>
          <w:tcPr>
            <w:tcW w:w="290" w:type="dxa"/>
            <w:tcBorders>
              <w:top w:val="nil"/>
              <w:left w:val="nil"/>
              <w:bottom w:val="nil"/>
              <w:right w:val="nil"/>
            </w:tcBorders>
            <w:shd w:val="clear" w:color="000000" w:fill="FFFFFF"/>
            <w:noWrap/>
            <w:vAlign w:val="bottom"/>
            <w:hideMark/>
          </w:tcPr>
          <w:p w14:paraId="050FB2A0" w14:textId="7DE56B51" w:rsidR="0065190C" w:rsidRPr="0065190C" w:rsidRDefault="0065190C" w:rsidP="0065190C">
            <w:pPr>
              <w:spacing w:after="0" w:line="240" w:lineRule="auto"/>
              <w:rPr>
                <w:rFonts w:ascii="Gill Sans MT Condensed" w:eastAsia="Times New Roman" w:hAnsi="Gill Sans MT Condensed" w:cs="Calibri"/>
                <w:b/>
                <w:bCs/>
                <w:color w:val="000000"/>
                <w:lang w:eastAsia="en-GB"/>
              </w:rPr>
            </w:pPr>
            <w:r w:rsidRPr="0065190C">
              <w:rPr>
                <w:rFonts w:ascii="Gill Sans MT Condensed" w:eastAsia="Times New Roman" w:hAnsi="Gill Sans MT Condensed" w:cs="Calibri"/>
                <w:b/>
                <w:bCs/>
                <w:color w:val="000000"/>
                <w:lang w:eastAsia="en-GB"/>
              </w:rPr>
              <w:t> </w:t>
            </w:r>
          </w:p>
        </w:tc>
        <w:tc>
          <w:tcPr>
            <w:tcW w:w="4597" w:type="dxa"/>
            <w:tcBorders>
              <w:top w:val="nil"/>
              <w:left w:val="nil"/>
              <w:bottom w:val="nil"/>
              <w:right w:val="nil"/>
            </w:tcBorders>
            <w:shd w:val="clear" w:color="000000" w:fill="FFFFFF"/>
            <w:noWrap/>
            <w:vAlign w:val="bottom"/>
            <w:hideMark/>
          </w:tcPr>
          <w:p w14:paraId="46445F3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nil"/>
              <w:bottom w:val="nil"/>
              <w:right w:val="nil"/>
            </w:tcBorders>
            <w:shd w:val="clear" w:color="000000" w:fill="FFFFFF"/>
            <w:noWrap/>
            <w:vAlign w:val="bottom"/>
            <w:hideMark/>
          </w:tcPr>
          <w:p w14:paraId="480543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nil"/>
            </w:tcBorders>
            <w:shd w:val="clear" w:color="000000" w:fill="FFFFFF"/>
            <w:noWrap/>
            <w:vAlign w:val="bottom"/>
            <w:hideMark/>
          </w:tcPr>
          <w:p w14:paraId="0CFB02A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hideMark/>
          </w:tcPr>
          <w:p w14:paraId="14A19E4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nil"/>
            </w:tcBorders>
            <w:shd w:val="clear" w:color="000000" w:fill="FFFFFF"/>
            <w:noWrap/>
            <w:hideMark/>
          </w:tcPr>
          <w:p w14:paraId="1740F8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3287857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5EFBE3A" w14:textId="77777777" w:rsidTr="00DE1AE6">
        <w:trPr>
          <w:trHeight w:val="291"/>
        </w:trPr>
        <w:tc>
          <w:tcPr>
            <w:tcW w:w="290" w:type="dxa"/>
            <w:tcBorders>
              <w:top w:val="nil"/>
              <w:left w:val="nil"/>
              <w:bottom w:val="nil"/>
              <w:right w:val="nil"/>
            </w:tcBorders>
            <w:shd w:val="clear" w:color="000000" w:fill="FFFFFF"/>
            <w:noWrap/>
            <w:vAlign w:val="bottom"/>
            <w:hideMark/>
          </w:tcPr>
          <w:p w14:paraId="0A17D14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0704" w:type="dxa"/>
            <w:gridSpan w:val="5"/>
            <w:tcBorders>
              <w:top w:val="single" w:sz="8" w:space="0" w:color="auto"/>
              <w:left w:val="single" w:sz="8" w:space="0" w:color="auto"/>
              <w:bottom w:val="single" w:sz="8" w:space="0" w:color="auto"/>
              <w:right w:val="single" w:sz="8" w:space="0" w:color="000000"/>
            </w:tcBorders>
            <w:shd w:val="clear" w:color="000000" w:fill="C00000"/>
            <w:vAlign w:val="center"/>
            <w:hideMark/>
          </w:tcPr>
          <w:p w14:paraId="4EC488AD" w14:textId="77777777" w:rsidR="0065190C" w:rsidRPr="0065190C" w:rsidRDefault="0065190C" w:rsidP="0065190C">
            <w:pPr>
              <w:spacing w:after="0" w:line="240" w:lineRule="auto"/>
              <w:jc w:val="center"/>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Operational Assets</w:t>
            </w:r>
          </w:p>
        </w:tc>
        <w:tc>
          <w:tcPr>
            <w:tcW w:w="266" w:type="dxa"/>
            <w:tcBorders>
              <w:top w:val="nil"/>
              <w:left w:val="nil"/>
              <w:bottom w:val="nil"/>
              <w:right w:val="nil"/>
            </w:tcBorders>
            <w:shd w:val="clear" w:color="000000" w:fill="FFFFFF"/>
            <w:noWrap/>
            <w:vAlign w:val="bottom"/>
            <w:hideMark/>
          </w:tcPr>
          <w:p w14:paraId="64BC46A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20938BF" w14:textId="77777777" w:rsidTr="00DE1AE6">
        <w:trPr>
          <w:trHeight w:val="1291"/>
        </w:trPr>
        <w:tc>
          <w:tcPr>
            <w:tcW w:w="290" w:type="dxa"/>
            <w:tcBorders>
              <w:top w:val="nil"/>
              <w:left w:val="nil"/>
              <w:bottom w:val="nil"/>
              <w:right w:val="nil"/>
            </w:tcBorders>
            <w:shd w:val="clear" w:color="000000" w:fill="FFFFFF"/>
            <w:noWrap/>
            <w:vAlign w:val="bottom"/>
            <w:hideMark/>
          </w:tcPr>
          <w:p w14:paraId="7961821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C00000"/>
            <w:vAlign w:val="bottom"/>
            <w:hideMark/>
          </w:tcPr>
          <w:p w14:paraId="2CC7E5E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267" w:type="dxa"/>
            <w:tcBorders>
              <w:top w:val="nil"/>
              <w:left w:val="single" w:sz="8" w:space="0" w:color="auto"/>
              <w:bottom w:val="nil"/>
              <w:right w:val="single" w:sz="8" w:space="0" w:color="auto"/>
            </w:tcBorders>
            <w:shd w:val="clear" w:color="000000" w:fill="C00000"/>
            <w:vAlign w:val="bottom"/>
            <w:hideMark/>
          </w:tcPr>
          <w:p w14:paraId="0BCC727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Land and Buildings</w:t>
            </w:r>
          </w:p>
        </w:tc>
        <w:tc>
          <w:tcPr>
            <w:tcW w:w="1733" w:type="dxa"/>
            <w:tcBorders>
              <w:top w:val="nil"/>
              <w:left w:val="nil"/>
              <w:bottom w:val="nil"/>
              <w:right w:val="single" w:sz="8" w:space="0" w:color="auto"/>
            </w:tcBorders>
            <w:shd w:val="clear" w:color="000000" w:fill="C00000"/>
            <w:vAlign w:val="bottom"/>
            <w:hideMark/>
          </w:tcPr>
          <w:p w14:paraId="3D50100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Assets Under Construction</w:t>
            </w:r>
          </w:p>
        </w:tc>
        <w:tc>
          <w:tcPr>
            <w:tcW w:w="1392" w:type="dxa"/>
            <w:tcBorders>
              <w:top w:val="nil"/>
              <w:left w:val="nil"/>
              <w:bottom w:val="nil"/>
              <w:right w:val="nil"/>
            </w:tcBorders>
            <w:shd w:val="clear" w:color="000000" w:fill="C00000"/>
            <w:vAlign w:val="bottom"/>
            <w:hideMark/>
          </w:tcPr>
          <w:p w14:paraId="4382C8DC"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Vehicles, Plant and Equipment</w:t>
            </w:r>
          </w:p>
        </w:tc>
        <w:tc>
          <w:tcPr>
            <w:tcW w:w="1715" w:type="dxa"/>
            <w:tcBorders>
              <w:top w:val="nil"/>
              <w:left w:val="single" w:sz="8" w:space="0" w:color="auto"/>
              <w:bottom w:val="nil"/>
              <w:right w:val="single" w:sz="8" w:space="0" w:color="auto"/>
            </w:tcBorders>
            <w:shd w:val="clear" w:color="000000" w:fill="C00000"/>
            <w:noWrap/>
            <w:vAlign w:val="bottom"/>
            <w:hideMark/>
          </w:tcPr>
          <w:p w14:paraId="0B60793D"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Total Assets</w:t>
            </w:r>
          </w:p>
        </w:tc>
        <w:tc>
          <w:tcPr>
            <w:tcW w:w="266" w:type="dxa"/>
            <w:tcBorders>
              <w:top w:val="nil"/>
              <w:left w:val="nil"/>
              <w:bottom w:val="nil"/>
              <w:right w:val="nil"/>
            </w:tcBorders>
            <w:shd w:val="clear" w:color="000000" w:fill="FFFFFF"/>
            <w:noWrap/>
            <w:vAlign w:val="bottom"/>
            <w:hideMark/>
          </w:tcPr>
          <w:p w14:paraId="0F17E06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C5790ED" w14:textId="77777777" w:rsidTr="00DE1AE6">
        <w:trPr>
          <w:trHeight w:val="291"/>
        </w:trPr>
        <w:tc>
          <w:tcPr>
            <w:tcW w:w="290" w:type="dxa"/>
            <w:tcBorders>
              <w:top w:val="nil"/>
              <w:left w:val="nil"/>
              <w:bottom w:val="nil"/>
              <w:right w:val="nil"/>
            </w:tcBorders>
            <w:shd w:val="clear" w:color="000000" w:fill="FFFFFF"/>
            <w:noWrap/>
            <w:vAlign w:val="bottom"/>
            <w:hideMark/>
          </w:tcPr>
          <w:p w14:paraId="56D2C2F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single" w:sz="8" w:space="0" w:color="auto"/>
              <w:right w:val="nil"/>
            </w:tcBorders>
            <w:shd w:val="clear" w:color="000000" w:fill="C00000"/>
            <w:vAlign w:val="bottom"/>
            <w:hideMark/>
          </w:tcPr>
          <w:p w14:paraId="6E8F485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 </w:t>
            </w:r>
          </w:p>
        </w:tc>
        <w:tc>
          <w:tcPr>
            <w:tcW w:w="1267" w:type="dxa"/>
            <w:tcBorders>
              <w:top w:val="nil"/>
              <w:left w:val="single" w:sz="8" w:space="0" w:color="auto"/>
              <w:bottom w:val="single" w:sz="8" w:space="0" w:color="auto"/>
              <w:right w:val="single" w:sz="8" w:space="0" w:color="auto"/>
            </w:tcBorders>
            <w:shd w:val="clear" w:color="000000" w:fill="C00000"/>
            <w:noWrap/>
            <w:vAlign w:val="bottom"/>
            <w:hideMark/>
          </w:tcPr>
          <w:p w14:paraId="09D60E31"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733" w:type="dxa"/>
            <w:tcBorders>
              <w:top w:val="nil"/>
              <w:left w:val="nil"/>
              <w:bottom w:val="single" w:sz="8" w:space="0" w:color="auto"/>
              <w:right w:val="single" w:sz="8" w:space="0" w:color="auto"/>
            </w:tcBorders>
            <w:shd w:val="clear" w:color="000000" w:fill="C00000"/>
            <w:noWrap/>
            <w:vAlign w:val="bottom"/>
            <w:hideMark/>
          </w:tcPr>
          <w:p w14:paraId="73EB1B48"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392" w:type="dxa"/>
            <w:tcBorders>
              <w:top w:val="nil"/>
              <w:left w:val="nil"/>
              <w:bottom w:val="single" w:sz="8" w:space="0" w:color="auto"/>
              <w:right w:val="nil"/>
            </w:tcBorders>
            <w:shd w:val="clear" w:color="000000" w:fill="C00000"/>
            <w:noWrap/>
            <w:vAlign w:val="bottom"/>
            <w:hideMark/>
          </w:tcPr>
          <w:p w14:paraId="1D827CD0"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1715" w:type="dxa"/>
            <w:tcBorders>
              <w:top w:val="nil"/>
              <w:left w:val="single" w:sz="8" w:space="0" w:color="auto"/>
              <w:bottom w:val="single" w:sz="8" w:space="0" w:color="auto"/>
              <w:right w:val="single" w:sz="8" w:space="0" w:color="auto"/>
            </w:tcBorders>
            <w:shd w:val="clear" w:color="000000" w:fill="C00000"/>
            <w:noWrap/>
            <w:vAlign w:val="bottom"/>
            <w:hideMark/>
          </w:tcPr>
          <w:p w14:paraId="31FB0185" w14:textId="77777777" w:rsidR="0065190C" w:rsidRPr="0065190C" w:rsidRDefault="0065190C" w:rsidP="0065190C">
            <w:pPr>
              <w:spacing w:after="0" w:line="240" w:lineRule="auto"/>
              <w:jc w:val="right"/>
              <w:rPr>
                <w:rFonts w:ascii="Calibri" w:eastAsia="Times New Roman" w:hAnsi="Calibri" w:cs="Calibri"/>
                <w:b/>
                <w:bCs/>
                <w:color w:val="FFFFFF"/>
                <w:lang w:eastAsia="en-GB"/>
              </w:rPr>
            </w:pPr>
            <w:r w:rsidRPr="0065190C">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FFFFFF"/>
            <w:noWrap/>
            <w:vAlign w:val="bottom"/>
            <w:hideMark/>
          </w:tcPr>
          <w:p w14:paraId="0576098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B090C64" w14:textId="77777777" w:rsidTr="00DE1AE6">
        <w:trPr>
          <w:trHeight w:val="277"/>
        </w:trPr>
        <w:tc>
          <w:tcPr>
            <w:tcW w:w="290" w:type="dxa"/>
            <w:tcBorders>
              <w:top w:val="nil"/>
              <w:left w:val="nil"/>
              <w:bottom w:val="nil"/>
              <w:right w:val="nil"/>
            </w:tcBorders>
            <w:shd w:val="clear" w:color="000000" w:fill="FFFFFF"/>
            <w:noWrap/>
            <w:vAlign w:val="bottom"/>
            <w:hideMark/>
          </w:tcPr>
          <w:p w14:paraId="665F9FA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7D7B9A8F"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Cost or Valuation</w:t>
            </w:r>
          </w:p>
        </w:tc>
        <w:tc>
          <w:tcPr>
            <w:tcW w:w="1267" w:type="dxa"/>
            <w:tcBorders>
              <w:top w:val="nil"/>
              <w:left w:val="single" w:sz="8" w:space="0" w:color="auto"/>
              <w:bottom w:val="nil"/>
              <w:right w:val="single" w:sz="8" w:space="0" w:color="auto"/>
            </w:tcBorders>
            <w:shd w:val="clear" w:color="000000" w:fill="FFFFFF"/>
            <w:noWrap/>
            <w:vAlign w:val="bottom"/>
            <w:hideMark/>
          </w:tcPr>
          <w:p w14:paraId="09E54D3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3CCF4AB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bottom"/>
            <w:hideMark/>
          </w:tcPr>
          <w:p w14:paraId="7771EFE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right w:val="single" w:sz="8" w:space="0" w:color="auto"/>
            </w:tcBorders>
            <w:shd w:val="clear" w:color="000000" w:fill="FFE1E1"/>
            <w:noWrap/>
            <w:vAlign w:val="bottom"/>
            <w:hideMark/>
          </w:tcPr>
          <w:p w14:paraId="690D24D7" w14:textId="77777777" w:rsidR="0065190C" w:rsidRPr="0065190C" w:rsidRDefault="0065190C" w:rsidP="0065190C">
            <w:pPr>
              <w:spacing w:after="0" w:line="240" w:lineRule="auto"/>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hideMark/>
          </w:tcPr>
          <w:p w14:paraId="384B47A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A9AF9C6" w14:textId="77777777" w:rsidTr="00DE1AE6">
        <w:trPr>
          <w:trHeight w:val="243"/>
        </w:trPr>
        <w:tc>
          <w:tcPr>
            <w:tcW w:w="290" w:type="dxa"/>
            <w:tcBorders>
              <w:top w:val="nil"/>
              <w:left w:val="nil"/>
              <w:bottom w:val="nil"/>
              <w:right w:val="nil"/>
            </w:tcBorders>
            <w:shd w:val="clear" w:color="000000" w:fill="FFFFFF"/>
            <w:noWrap/>
            <w:vAlign w:val="bottom"/>
            <w:hideMark/>
          </w:tcPr>
          <w:p w14:paraId="652D24A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FE50493"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5FED3B5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31,482</w:t>
            </w:r>
          </w:p>
        </w:tc>
        <w:tc>
          <w:tcPr>
            <w:tcW w:w="1733" w:type="dxa"/>
            <w:tcBorders>
              <w:top w:val="nil"/>
              <w:left w:val="nil"/>
              <w:bottom w:val="nil"/>
              <w:right w:val="single" w:sz="8" w:space="0" w:color="auto"/>
            </w:tcBorders>
            <w:shd w:val="clear" w:color="000000" w:fill="FFFFFF"/>
            <w:noWrap/>
            <w:vAlign w:val="center"/>
            <w:hideMark/>
          </w:tcPr>
          <w:p w14:paraId="2B0969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3,490</w:t>
            </w:r>
          </w:p>
        </w:tc>
        <w:tc>
          <w:tcPr>
            <w:tcW w:w="1392" w:type="dxa"/>
            <w:tcBorders>
              <w:top w:val="nil"/>
              <w:left w:val="nil"/>
              <w:bottom w:val="nil"/>
              <w:right w:val="nil"/>
            </w:tcBorders>
            <w:shd w:val="clear" w:color="000000" w:fill="FFFFFF"/>
            <w:noWrap/>
            <w:vAlign w:val="center"/>
            <w:hideMark/>
          </w:tcPr>
          <w:p w14:paraId="2332226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7,457</w:t>
            </w:r>
          </w:p>
        </w:tc>
        <w:tc>
          <w:tcPr>
            <w:tcW w:w="1715" w:type="dxa"/>
            <w:tcBorders>
              <w:top w:val="nil"/>
              <w:left w:val="single" w:sz="8" w:space="0" w:color="auto"/>
              <w:bottom w:val="nil"/>
              <w:right w:val="single" w:sz="8" w:space="0" w:color="auto"/>
            </w:tcBorders>
            <w:shd w:val="clear" w:color="000000" w:fill="FFE1E1"/>
            <w:noWrap/>
            <w:vAlign w:val="center"/>
            <w:hideMark/>
          </w:tcPr>
          <w:p w14:paraId="555DEFA7"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42,429</w:t>
            </w:r>
          </w:p>
        </w:tc>
        <w:tc>
          <w:tcPr>
            <w:tcW w:w="266" w:type="dxa"/>
            <w:tcBorders>
              <w:top w:val="nil"/>
              <w:left w:val="nil"/>
              <w:bottom w:val="nil"/>
              <w:right w:val="nil"/>
            </w:tcBorders>
            <w:shd w:val="clear" w:color="000000" w:fill="FFFFFF"/>
            <w:noWrap/>
            <w:vAlign w:val="bottom"/>
            <w:hideMark/>
          </w:tcPr>
          <w:p w14:paraId="0FBFC2A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6D942ED" w14:textId="77777777" w:rsidTr="00DE1AE6">
        <w:trPr>
          <w:trHeight w:val="402"/>
        </w:trPr>
        <w:tc>
          <w:tcPr>
            <w:tcW w:w="290" w:type="dxa"/>
            <w:tcBorders>
              <w:top w:val="nil"/>
              <w:left w:val="nil"/>
              <w:bottom w:val="nil"/>
              <w:right w:val="nil"/>
            </w:tcBorders>
            <w:shd w:val="clear" w:color="000000" w:fill="FFFFFF"/>
            <w:noWrap/>
            <w:vAlign w:val="bottom"/>
            <w:hideMark/>
          </w:tcPr>
          <w:p w14:paraId="366D05D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F86961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Additions/Enhancement</w:t>
            </w:r>
          </w:p>
        </w:tc>
        <w:tc>
          <w:tcPr>
            <w:tcW w:w="1267" w:type="dxa"/>
            <w:tcBorders>
              <w:top w:val="nil"/>
              <w:left w:val="single" w:sz="8" w:space="0" w:color="auto"/>
              <w:bottom w:val="nil"/>
              <w:right w:val="single" w:sz="8" w:space="0" w:color="auto"/>
            </w:tcBorders>
            <w:shd w:val="clear" w:color="000000" w:fill="FFFFFF"/>
            <w:noWrap/>
            <w:vAlign w:val="center"/>
            <w:hideMark/>
          </w:tcPr>
          <w:p w14:paraId="39391A5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6</w:t>
            </w:r>
          </w:p>
        </w:tc>
        <w:tc>
          <w:tcPr>
            <w:tcW w:w="1733" w:type="dxa"/>
            <w:tcBorders>
              <w:top w:val="nil"/>
              <w:left w:val="nil"/>
              <w:bottom w:val="nil"/>
              <w:right w:val="single" w:sz="8" w:space="0" w:color="auto"/>
            </w:tcBorders>
            <w:shd w:val="clear" w:color="000000" w:fill="FFFFFF"/>
            <w:noWrap/>
            <w:vAlign w:val="center"/>
            <w:hideMark/>
          </w:tcPr>
          <w:p w14:paraId="5EB5677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120</w:t>
            </w:r>
          </w:p>
        </w:tc>
        <w:tc>
          <w:tcPr>
            <w:tcW w:w="1392" w:type="dxa"/>
            <w:tcBorders>
              <w:top w:val="nil"/>
              <w:left w:val="nil"/>
              <w:bottom w:val="nil"/>
              <w:right w:val="single" w:sz="8" w:space="0" w:color="auto"/>
            </w:tcBorders>
            <w:shd w:val="clear" w:color="000000" w:fill="FFFFFF"/>
            <w:noWrap/>
            <w:vAlign w:val="center"/>
            <w:hideMark/>
          </w:tcPr>
          <w:p w14:paraId="704ECF2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2,717</w:t>
            </w:r>
          </w:p>
        </w:tc>
        <w:tc>
          <w:tcPr>
            <w:tcW w:w="1715" w:type="dxa"/>
            <w:tcBorders>
              <w:top w:val="nil"/>
              <w:left w:val="nil"/>
              <w:bottom w:val="nil"/>
              <w:right w:val="single" w:sz="8" w:space="0" w:color="auto"/>
            </w:tcBorders>
            <w:shd w:val="clear" w:color="000000" w:fill="FFE1E1"/>
            <w:noWrap/>
            <w:vAlign w:val="center"/>
            <w:hideMark/>
          </w:tcPr>
          <w:p w14:paraId="1A6D778A"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2,843</w:t>
            </w:r>
          </w:p>
        </w:tc>
        <w:tc>
          <w:tcPr>
            <w:tcW w:w="266" w:type="dxa"/>
            <w:tcBorders>
              <w:top w:val="nil"/>
              <w:left w:val="nil"/>
              <w:bottom w:val="nil"/>
              <w:right w:val="nil"/>
            </w:tcBorders>
            <w:shd w:val="clear" w:color="000000" w:fill="FFFFFF"/>
            <w:noWrap/>
            <w:vAlign w:val="bottom"/>
            <w:hideMark/>
          </w:tcPr>
          <w:p w14:paraId="748FAC7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B00430E" w14:textId="77777777" w:rsidTr="00DE1AE6">
        <w:trPr>
          <w:trHeight w:val="555"/>
        </w:trPr>
        <w:tc>
          <w:tcPr>
            <w:tcW w:w="290" w:type="dxa"/>
            <w:tcBorders>
              <w:top w:val="nil"/>
              <w:left w:val="nil"/>
              <w:bottom w:val="nil"/>
              <w:right w:val="nil"/>
            </w:tcBorders>
            <w:shd w:val="clear" w:color="000000" w:fill="FFFFFF"/>
            <w:noWrap/>
            <w:vAlign w:val="bottom"/>
            <w:hideMark/>
          </w:tcPr>
          <w:p w14:paraId="17E96055"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6F21555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Revaluation Increases/(Decreases) to Revaluation Reserve</w:t>
            </w:r>
          </w:p>
        </w:tc>
        <w:tc>
          <w:tcPr>
            <w:tcW w:w="1267" w:type="dxa"/>
            <w:tcBorders>
              <w:top w:val="nil"/>
              <w:left w:val="single" w:sz="8" w:space="0" w:color="auto"/>
              <w:bottom w:val="nil"/>
              <w:right w:val="single" w:sz="8" w:space="0" w:color="auto"/>
            </w:tcBorders>
            <w:shd w:val="clear" w:color="000000" w:fill="FFFFFF"/>
            <w:noWrap/>
            <w:vAlign w:val="center"/>
            <w:hideMark/>
          </w:tcPr>
          <w:p w14:paraId="6CD51C10" w14:textId="17CE6D7D"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3,6</w:t>
            </w:r>
            <w:r w:rsidR="004D04F0">
              <w:rPr>
                <w:rFonts w:ascii="Calibri" w:eastAsia="Times New Roman" w:hAnsi="Calibri" w:cs="Calibri"/>
                <w:color w:val="000000"/>
                <w:lang w:eastAsia="en-GB"/>
              </w:rPr>
              <w:t>62</w:t>
            </w:r>
          </w:p>
        </w:tc>
        <w:tc>
          <w:tcPr>
            <w:tcW w:w="1733" w:type="dxa"/>
            <w:tcBorders>
              <w:top w:val="nil"/>
              <w:left w:val="nil"/>
              <w:bottom w:val="nil"/>
              <w:right w:val="single" w:sz="8" w:space="0" w:color="auto"/>
            </w:tcBorders>
            <w:shd w:val="clear" w:color="000000" w:fill="FFFFFF"/>
            <w:noWrap/>
            <w:vAlign w:val="center"/>
            <w:hideMark/>
          </w:tcPr>
          <w:p w14:paraId="46A28A1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6497C2E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2D1D2D7A" w14:textId="1ADF063C"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3,6</w:t>
            </w:r>
            <w:r w:rsidR="004D04F0">
              <w:rPr>
                <w:rFonts w:ascii="Calibri" w:eastAsia="Times New Roman" w:hAnsi="Calibri" w:cs="Calibri"/>
                <w:b/>
                <w:bCs/>
                <w:lang w:eastAsia="en-GB"/>
              </w:rPr>
              <w:t>62</w:t>
            </w:r>
          </w:p>
        </w:tc>
        <w:tc>
          <w:tcPr>
            <w:tcW w:w="266" w:type="dxa"/>
            <w:tcBorders>
              <w:top w:val="nil"/>
              <w:left w:val="nil"/>
              <w:bottom w:val="nil"/>
              <w:right w:val="nil"/>
            </w:tcBorders>
            <w:shd w:val="clear" w:color="000000" w:fill="FFFFFF"/>
            <w:noWrap/>
            <w:vAlign w:val="bottom"/>
            <w:hideMark/>
          </w:tcPr>
          <w:p w14:paraId="53666A1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9501D32" w14:textId="77777777" w:rsidTr="00DE1AE6">
        <w:trPr>
          <w:trHeight w:val="277"/>
        </w:trPr>
        <w:tc>
          <w:tcPr>
            <w:tcW w:w="290" w:type="dxa"/>
            <w:tcBorders>
              <w:top w:val="nil"/>
              <w:left w:val="nil"/>
              <w:bottom w:val="nil"/>
              <w:right w:val="nil"/>
            </w:tcBorders>
            <w:shd w:val="clear" w:color="000000" w:fill="FFFFFF"/>
            <w:noWrap/>
            <w:vAlign w:val="bottom"/>
            <w:hideMark/>
          </w:tcPr>
          <w:p w14:paraId="741935F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6393D2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eliminated on Revaluation</w:t>
            </w:r>
          </w:p>
        </w:tc>
        <w:tc>
          <w:tcPr>
            <w:tcW w:w="1267" w:type="dxa"/>
            <w:tcBorders>
              <w:top w:val="nil"/>
              <w:left w:val="single" w:sz="8" w:space="0" w:color="auto"/>
              <w:bottom w:val="nil"/>
              <w:right w:val="single" w:sz="8" w:space="0" w:color="auto"/>
            </w:tcBorders>
            <w:shd w:val="clear" w:color="000000" w:fill="FFFFFF"/>
            <w:noWrap/>
            <w:vAlign w:val="center"/>
            <w:hideMark/>
          </w:tcPr>
          <w:p w14:paraId="5CEC8A0A" w14:textId="2993D073"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79787F4A"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1EB83C0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1CE3EC61" w14:textId="3D126E4F"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(5</w:t>
            </w:r>
            <w:r w:rsidR="004D04F0">
              <w:rPr>
                <w:rFonts w:ascii="Calibri" w:eastAsia="Times New Roman" w:hAnsi="Calibri" w:cs="Calibri"/>
                <w:b/>
                <w:bCs/>
                <w:lang w:eastAsia="en-GB"/>
              </w:rPr>
              <w:t>17</w:t>
            </w: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6EF0072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20D942B6" w14:textId="77777777" w:rsidTr="00DE1AE6">
        <w:trPr>
          <w:trHeight w:val="555"/>
        </w:trPr>
        <w:tc>
          <w:tcPr>
            <w:tcW w:w="290" w:type="dxa"/>
            <w:tcBorders>
              <w:top w:val="nil"/>
              <w:left w:val="nil"/>
              <w:bottom w:val="nil"/>
              <w:right w:val="nil"/>
            </w:tcBorders>
            <w:shd w:val="clear" w:color="000000" w:fill="FFFFFF"/>
            <w:noWrap/>
            <w:vAlign w:val="bottom"/>
            <w:hideMark/>
          </w:tcPr>
          <w:p w14:paraId="617CC48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A8C662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Revaluation Loss Reversal to Comprehensive Income and Expenditure Statement</w:t>
            </w:r>
          </w:p>
        </w:tc>
        <w:tc>
          <w:tcPr>
            <w:tcW w:w="1267" w:type="dxa"/>
            <w:tcBorders>
              <w:top w:val="nil"/>
              <w:left w:val="single" w:sz="8" w:space="0" w:color="auto"/>
              <w:bottom w:val="nil"/>
              <w:right w:val="single" w:sz="8" w:space="0" w:color="auto"/>
            </w:tcBorders>
            <w:shd w:val="clear" w:color="000000" w:fill="FFFFFF"/>
            <w:noWrap/>
            <w:vAlign w:val="center"/>
            <w:hideMark/>
          </w:tcPr>
          <w:p w14:paraId="4738C535" w14:textId="6067203C"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r w:rsidR="004D04F0">
              <w:rPr>
                <w:rFonts w:ascii="Calibri" w:eastAsia="Times New Roman" w:hAnsi="Calibri" w:cs="Calibri"/>
                <w:color w:val="000000"/>
                <w:lang w:eastAsia="en-GB"/>
              </w:rPr>
              <w:t>9</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67F25B9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57AFB74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0B17AE7D"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(9)</w:t>
            </w:r>
          </w:p>
        </w:tc>
        <w:tc>
          <w:tcPr>
            <w:tcW w:w="266" w:type="dxa"/>
            <w:tcBorders>
              <w:top w:val="nil"/>
              <w:left w:val="nil"/>
              <w:bottom w:val="nil"/>
              <w:right w:val="nil"/>
            </w:tcBorders>
            <w:shd w:val="clear" w:color="000000" w:fill="FFFFFF"/>
            <w:noWrap/>
            <w:vAlign w:val="bottom"/>
            <w:hideMark/>
          </w:tcPr>
          <w:p w14:paraId="268D96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9B4F86E" w14:textId="77777777" w:rsidTr="00DE1AE6">
        <w:trPr>
          <w:trHeight w:val="172"/>
        </w:trPr>
        <w:tc>
          <w:tcPr>
            <w:tcW w:w="290" w:type="dxa"/>
            <w:tcBorders>
              <w:top w:val="nil"/>
              <w:left w:val="nil"/>
              <w:bottom w:val="nil"/>
              <w:right w:val="nil"/>
            </w:tcBorders>
            <w:shd w:val="clear" w:color="000000" w:fill="FFFFFF"/>
            <w:noWrap/>
            <w:vAlign w:val="bottom"/>
            <w:hideMark/>
          </w:tcPr>
          <w:p w14:paraId="49E102E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5838458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Derecognitions</w:t>
            </w:r>
          </w:p>
        </w:tc>
        <w:tc>
          <w:tcPr>
            <w:tcW w:w="1267" w:type="dxa"/>
            <w:tcBorders>
              <w:top w:val="nil"/>
              <w:left w:val="single" w:sz="8" w:space="0" w:color="auto"/>
              <w:bottom w:val="nil"/>
              <w:right w:val="single" w:sz="8" w:space="0" w:color="auto"/>
            </w:tcBorders>
            <w:shd w:val="clear" w:color="000000" w:fill="FFFFFF"/>
            <w:noWrap/>
            <w:vAlign w:val="center"/>
            <w:hideMark/>
          </w:tcPr>
          <w:p w14:paraId="01CF68E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CF8A6F0"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3A28F51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(189)</w:t>
            </w:r>
          </w:p>
        </w:tc>
        <w:tc>
          <w:tcPr>
            <w:tcW w:w="1715" w:type="dxa"/>
            <w:tcBorders>
              <w:top w:val="nil"/>
              <w:left w:val="single" w:sz="8" w:space="0" w:color="auto"/>
              <w:bottom w:val="nil"/>
              <w:right w:val="single" w:sz="8" w:space="0" w:color="auto"/>
            </w:tcBorders>
            <w:shd w:val="clear" w:color="000000" w:fill="FFE1E1"/>
            <w:noWrap/>
            <w:vAlign w:val="center"/>
            <w:hideMark/>
          </w:tcPr>
          <w:p w14:paraId="504E80A1"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(189)</w:t>
            </w:r>
          </w:p>
        </w:tc>
        <w:tc>
          <w:tcPr>
            <w:tcW w:w="266" w:type="dxa"/>
            <w:tcBorders>
              <w:top w:val="nil"/>
              <w:left w:val="nil"/>
              <w:bottom w:val="nil"/>
              <w:right w:val="nil"/>
            </w:tcBorders>
            <w:shd w:val="clear" w:color="000000" w:fill="FFFFFF"/>
            <w:noWrap/>
            <w:vAlign w:val="bottom"/>
            <w:hideMark/>
          </w:tcPr>
          <w:p w14:paraId="6EA98DE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631210FF" w14:textId="77777777" w:rsidTr="00DE1AE6">
        <w:trPr>
          <w:trHeight w:val="291"/>
        </w:trPr>
        <w:tc>
          <w:tcPr>
            <w:tcW w:w="290" w:type="dxa"/>
            <w:tcBorders>
              <w:top w:val="nil"/>
              <w:left w:val="nil"/>
              <w:bottom w:val="nil"/>
              <w:right w:val="nil"/>
            </w:tcBorders>
            <w:shd w:val="clear" w:color="000000" w:fill="FFFFFF"/>
            <w:noWrap/>
            <w:vAlign w:val="bottom"/>
            <w:hideMark/>
          </w:tcPr>
          <w:p w14:paraId="2EAB925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71AE41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Reclassifications</w:t>
            </w:r>
          </w:p>
        </w:tc>
        <w:tc>
          <w:tcPr>
            <w:tcW w:w="1267" w:type="dxa"/>
            <w:tcBorders>
              <w:top w:val="nil"/>
              <w:left w:val="single" w:sz="8" w:space="0" w:color="auto"/>
              <w:bottom w:val="nil"/>
              <w:right w:val="single" w:sz="8" w:space="0" w:color="auto"/>
            </w:tcBorders>
            <w:shd w:val="clear" w:color="000000" w:fill="FFFFFF"/>
            <w:noWrap/>
            <w:vAlign w:val="center"/>
            <w:hideMark/>
          </w:tcPr>
          <w:p w14:paraId="2DADD659"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104D57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317D4A5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nil"/>
              <w:right w:val="single" w:sz="8" w:space="0" w:color="auto"/>
            </w:tcBorders>
            <w:shd w:val="clear" w:color="000000" w:fill="FFE1E1"/>
            <w:noWrap/>
            <w:vAlign w:val="center"/>
            <w:hideMark/>
          </w:tcPr>
          <w:p w14:paraId="2E998981"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533CEB0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F2D491E" w14:textId="77777777" w:rsidTr="00DE1AE6">
        <w:trPr>
          <w:trHeight w:val="277"/>
        </w:trPr>
        <w:tc>
          <w:tcPr>
            <w:tcW w:w="290" w:type="dxa"/>
            <w:tcBorders>
              <w:top w:val="nil"/>
              <w:left w:val="nil"/>
              <w:bottom w:val="nil"/>
              <w:right w:val="nil"/>
            </w:tcBorders>
            <w:shd w:val="clear" w:color="000000" w:fill="FFFFFF"/>
            <w:noWrap/>
            <w:vAlign w:val="bottom"/>
            <w:hideMark/>
          </w:tcPr>
          <w:p w14:paraId="472302D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531DEA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2022</w:t>
            </w:r>
          </w:p>
        </w:tc>
        <w:tc>
          <w:tcPr>
            <w:tcW w:w="1267" w:type="dxa"/>
            <w:tcBorders>
              <w:top w:val="single" w:sz="8" w:space="0" w:color="auto"/>
              <w:left w:val="single" w:sz="8" w:space="0" w:color="auto"/>
              <w:bottom w:val="nil"/>
              <w:right w:val="single" w:sz="8" w:space="0" w:color="auto"/>
            </w:tcBorders>
            <w:shd w:val="clear" w:color="000000" w:fill="FFFFFF"/>
            <w:noWrap/>
            <w:vAlign w:val="center"/>
            <w:hideMark/>
          </w:tcPr>
          <w:p w14:paraId="0536BA7B" w14:textId="65FABE5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34,62</w:t>
            </w:r>
            <w:r w:rsidR="004D04F0">
              <w:rPr>
                <w:rFonts w:ascii="Calibri" w:eastAsia="Times New Roman" w:hAnsi="Calibri" w:cs="Calibri"/>
                <w:b/>
                <w:bCs/>
                <w:color w:val="000000"/>
                <w:lang w:eastAsia="en-GB"/>
              </w:rPr>
              <w:t>4</w:t>
            </w:r>
          </w:p>
        </w:tc>
        <w:tc>
          <w:tcPr>
            <w:tcW w:w="1733" w:type="dxa"/>
            <w:tcBorders>
              <w:top w:val="single" w:sz="8" w:space="0" w:color="auto"/>
              <w:left w:val="nil"/>
              <w:bottom w:val="nil"/>
              <w:right w:val="single" w:sz="8" w:space="0" w:color="auto"/>
            </w:tcBorders>
            <w:shd w:val="clear" w:color="000000" w:fill="FFFFFF"/>
            <w:noWrap/>
            <w:vAlign w:val="center"/>
            <w:hideMark/>
          </w:tcPr>
          <w:p w14:paraId="1F9CBB0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3,610</w:t>
            </w:r>
          </w:p>
        </w:tc>
        <w:tc>
          <w:tcPr>
            <w:tcW w:w="1392" w:type="dxa"/>
            <w:tcBorders>
              <w:top w:val="single" w:sz="8" w:space="0" w:color="auto"/>
              <w:left w:val="nil"/>
              <w:bottom w:val="nil"/>
              <w:right w:val="nil"/>
            </w:tcBorders>
            <w:shd w:val="clear" w:color="000000" w:fill="FFFFFF"/>
            <w:noWrap/>
            <w:vAlign w:val="center"/>
            <w:hideMark/>
          </w:tcPr>
          <w:p w14:paraId="5AC0CEA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9,985</w:t>
            </w:r>
          </w:p>
        </w:tc>
        <w:tc>
          <w:tcPr>
            <w:tcW w:w="1715" w:type="dxa"/>
            <w:tcBorders>
              <w:top w:val="single" w:sz="8" w:space="0" w:color="auto"/>
              <w:left w:val="single" w:sz="8" w:space="0" w:color="auto"/>
              <w:bottom w:val="nil"/>
              <w:right w:val="single" w:sz="8" w:space="0" w:color="auto"/>
            </w:tcBorders>
            <w:shd w:val="clear" w:color="000000" w:fill="FFE1E1"/>
            <w:noWrap/>
            <w:vAlign w:val="center"/>
            <w:hideMark/>
          </w:tcPr>
          <w:p w14:paraId="31C55402" w14:textId="41DE2B42"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48,2</w:t>
            </w:r>
            <w:r w:rsidR="004D04F0">
              <w:rPr>
                <w:rFonts w:ascii="Calibri" w:eastAsia="Times New Roman" w:hAnsi="Calibri" w:cs="Calibri"/>
                <w:b/>
                <w:bCs/>
                <w:lang w:eastAsia="en-GB"/>
              </w:rPr>
              <w:t>19</w:t>
            </w:r>
          </w:p>
        </w:tc>
        <w:tc>
          <w:tcPr>
            <w:tcW w:w="266" w:type="dxa"/>
            <w:tcBorders>
              <w:top w:val="nil"/>
              <w:left w:val="nil"/>
              <w:bottom w:val="nil"/>
              <w:right w:val="nil"/>
            </w:tcBorders>
            <w:shd w:val="clear" w:color="000000" w:fill="FFFFFF"/>
            <w:noWrap/>
            <w:vAlign w:val="bottom"/>
            <w:hideMark/>
          </w:tcPr>
          <w:p w14:paraId="7A349B0D"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56C0BFD" w14:textId="77777777" w:rsidTr="00DE1AE6">
        <w:trPr>
          <w:trHeight w:val="180"/>
        </w:trPr>
        <w:tc>
          <w:tcPr>
            <w:tcW w:w="290" w:type="dxa"/>
            <w:tcBorders>
              <w:top w:val="nil"/>
              <w:left w:val="nil"/>
              <w:bottom w:val="nil"/>
              <w:right w:val="nil"/>
            </w:tcBorders>
            <w:shd w:val="clear" w:color="000000" w:fill="FFFFFF"/>
            <w:noWrap/>
            <w:vAlign w:val="bottom"/>
            <w:hideMark/>
          </w:tcPr>
          <w:p w14:paraId="175AE6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1546DE5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center"/>
            <w:hideMark/>
          </w:tcPr>
          <w:p w14:paraId="5ACC2A9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center"/>
            <w:hideMark/>
          </w:tcPr>
          <w:p w14:paraId="658A8FC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center"/>
            <w:hideMark/>
          </w:tcPr>
          <w:p w14:paraId="0FBBF7C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bottom w:val="nil"/>
              <w:right w:val="single" w:sz="8" w:space="0" w:color="auto"/>
            </w:tcBorders>
            <w:shd w:val="clear" w:color="000000" w:fill="FFE1E1"/>
            <w:noWrap/>
            <w:vAlign w:val="center"/>
            <w:hideMark/>
          </w:tcPr>
          <w:p w14:paraId="391E5A20"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vAlign w:val="bottom"/>
            <w:hideMark/>
          </w:tcPr>
          <w:p w14:paraId="5C74519E"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F553BDB" w14:textId="77777777" w:rsidTr="00DE1AE6">
        <w:trPr>
          <w:trHeight w:val="458"/>
        </w:trPr>
        <w:tc>
          <w:tcPr>
            <w:tcW w:w="290" w:type="dxa"/>
            <w:tcBorders>
              <w:top w:val="nil"/>
              <w:left w:val="nil"/>
              <w:bottom w:val="nil"/>
              <w:right w:val="nil"/>
            </w:tcBorders>
            <w:shd w:val="clear" w:color="000000" w:fill="FFFFFF"/>
            <w:noWrap/>
            <w:vAlign w:val="bottom"/>
            <w:hideMark/>
          </w:tcPr>
          <w:p w14:paraId="4D14D0D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29C792F"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Depreciation/Impairment</w:t>
            </w:r>
          </w:p>
        </w:tc>
        <w:tc>
          <w:tcPr>
            <w:tcW w:w="1267" w:type="dxa"/>
            <w:tcBorders>
              <w:top w:val="nil"/>
              <w:left w:val="single" w:sz="8" w:space="0" w:color="auto"/>
              <w:bottom w:val="nil"/>
              <w:right w:val="single" w:sz="8" w:space="0" w:color="auto"/>
            </w:tcBorders>
            <w:shd w:val="clear" w:color="000000" w:fill="FFFFFF"/>
            <w:noWrap/>
            <w:vAlign w:val="center"/>
            <w:hideMark/>
          </w:tcPr>
          <w:p w14:paraId="37E1D8F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center"/>
            <w:hideMark/>
          </w:tcPr>
          <w:p w14:paraId="6E4C595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nil"/>
            </w:tcBorders>
            <w:shd w:val="clear" w:color="000000" w:fill="FFFFFF"/>
            <w:noWrap/>
            <w:vAlign w:val="center"/>
            <w:hideMark/>
          </w:tcPr>
          <w:p w14:paraId="020D070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single" w:sz="8" w:space="0" w:color="auto"/>
              <w:bottom w:val="nil"/>
              <w:right w:val="single" w:sz="8" w:space="0" w:color="auto"/>
            </w:tcBorders>
            <w:shd w:val="clear" w:color="000000" w:fill="FFE1E1"/>
            <w:noWrap/>
            <w:vAlign w:val="center"/>
            <w:hideMark/>
          </w:tcPr>
          <w:p w14:paraId="48D33A89"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 </w:t>
            </w:r>
          </w:p>
        </w:tc>
        <w:tc>
          <w:tcPr>
            <w:tcW w:w="266" w:type="dxa"/>
            <w:tcBorders>
              <w:top w:val="nil"/>
              <w:left w:val="nil"/>
              <w:bottom w:val="nil"/>
              <w:right w:val="nil"/>
            </w:tcBorders>
            <w:shd w:val="clear" w:color="000000" w:fill="FFFFFF"/>
            <w:noWrap/>
            <w:vAlign w:val="bottom"/>
            <w:hideMark/>
          </w:tcPr>
          <w:p w14:paraId="6A796CF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AAF0D0A" w14:textId="77777777" w:rsidTr="00DE1AE6">
        <w:trPr>
          <w:trHeight w:val="277"/>
        </w:trPr>
        <w:tc>
          <w:tcPr>
            <w:tcW w:w="290" w:type="dxa"/>
            <w:tcBorders>
              <w:top w:val="nil"/>
              <w:left w:val="nil"/>
              <w:bottom w:val="nil"/>
              <w:right w:val="nil"/>
            </w:tcBorders>
            <w:shd w:val="clear" w:color="000000" w:fill="FFFFFF"/>
            <w:noWrap/>
            <w:vAlign w:val="bottom"/>
            <w:hideMark/>
          </w:tcPr>
          <w:p w14:paraId="13E6266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7F5B7808"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7318C37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180F901D"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281860F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(1,440)</w:t>
            </w:r>
          </w:p>
        </w:tc>
        <w:tc>
          <w:tcPr>
            <w:tcW w:w="1715" w:type="dxa"/>
            <w:tcBorders>
              <w:top w:val="nil"/>
              <w:left w:val="single" w:sz="8" w:space="0" w:color="auto"/>
              <w:bottom w:val="nil"/>
              <w:right w:val="single" w:sz="8" w:space="0" w:color="auto"/>
            </w:tcBorders>
            <w:shd w:val="clear" w:color="000000" w:fill="FFE1E1"/>
            <w:noWrap/>
            <w:vAlign w:val="center"/>
            <w:hideMark/>
          </w:tcPr>
          <w:p w14:paraId="4A4C683A"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(1,440)</w:t>
            </w:r>
          </w:p>
        </w:tc>
        <w:tc>
          <w:tcPr>
            <w:tcW w:w="266" w:type="dxa"/>
            <w:tcBorders>
              <w:top w:val="nil"/>
              <w:left w:val="nil"/>
              <w:bottom w:val="nil"/>
              <w:right w:val="nil"/>
            </w:tcBorders>
            <w:shd w:val="clear" w:color="000000" w:fill="FFFFFF"/>
            <w:noWrap/>
            <w:vAlign w:val="bottom"/>
            <w:hideMark/>
          </w:tcPr>
          <w:p w14:paraId="70474F0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427DB9BA" w14:textId="77777777" w:rsidTr="00DE1AE6">
        <w:trPr>
          <w:trHeight w:val="277"/>
        </w:trPr>
        <w:tc>
          <w:tcPr>
            <w:tcW w:w="290" w:type="dxa"/>
            <w:tcBorders>
              <w:top w:val="nil"/>
              <w:left w:val="nil"/>
              <w:bottom w:val="nil"/>
              <w:right w:val="nil"/>
            </w:tcBorders>
            <w:shd w:val="clear" w:color="000000" w:fill="FFFFFF"/>
            <w:noWrap/>
            <w:vAlign w:val="bottom"/>
            <w:hideMark/>
          </w:tcPr>
          <w:p w14:paraId="289428A7"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56E8576C"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Charge for the twelve months to 31st March 2021</w:t>
            </w:r>
          </w:p>
        </w:tc>
        <w:tc>
          <w:tcPr>
            <w:tcW w:w="1267" w:type="dxa"/>
            <w:tcBorders>
              <w:top w:val="nil"/>
              <w:left w:val="single" w:sz="8" w:space="0" w:color="auto"/>
              <w:bottom w:val="nil"/>
              <w:right w:val="single" w:sz="8" w:space="0" w:color="auto"/>
            </w:tcBorders>
            <w:shd w:val="clear" w:color="000000" w:fill="FFFFFF"/>
            <w:noWrap/>
            <w:vAlign w:val="center"/>
            <w:hideMark/>
          </w:tcPr>
          <w:p w14:paraId="2A6EB263" w14:textId="489D7F93"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73BE45D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658B67E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(713)</w:t>
            </w:r>
          </w:p>
        </w:tc>
        <w:tc>
          <w:tcPr>
            <w:tcW w:w="1715" w:type="dxa"/>
            <w:tcBorders>
              <w:top w:val="nil"/>
              <w:left w:val="single" w:sz="8" w:space="0" w:color="auto"/>
              <w:bottom w:val="nil"/>
              <w:right w:val="single" w:sz="8" w:space="0" w:color="auto"/>
            </w:tcBorders>
            <w:shd w:val="clear" w:color="000000" w:fill="FFE1E1"/>
            <w:noWrap/>
            <w:vAlign w:val="center"/>
            <w:hideMark/>
          </w:tcPr>
          <w:p w14:paraId="301E1EB3" w14:textId="272F01E3"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(1,</w:t>
            </w:r>
            <w:r w:rsidR="006B4FE4" w:rsidRPr="0065190C">
              <w:rPr>
                <w:rFonts w:ascii="Calibri" w:eastAsia="Times New Roman" w:hAnsi="Calibri" w:cs="Calibri"/>
                <w:b/>
                <w:bCs/>
                <w:lang w:eastAsia="en-GB"/>
              </w:rPr>
              <w:t>2</w:t>
            </w:r>
            <w:r w:rsidR="006B4FE4">
              <w:rPr>
                <w:rFonts w:ascii="Calibri" w:eastAsia="Times New Roman" w:hAnsi="Calibri" w:cs="Calibri"/>
                <w:b/>
                <w:bCs/>
                <w:lang w:eastAsia="en-GB"/>
              </w:rPr>
              <w:t>30</w:t>
            </w: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0E8C96B1"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7CE3A60" w14:textId="77777777" w:rsidTr="00DE1AE6">
        <w:trPr>
          <w:trHeight w:val="277"/>
        </w:trPr>
        <w:tc>
          <w:tcPr>
            <w:tcW w:w="290" w:type="dxa"/>
            <w:tcBorders>
              <w:top w:val="nil"/>
              <w:left w:val="nil"/>
              <w:bottom w:val="nil"/>
              <w:right w:val="nil"/>
            </w:tcBorders>
            <w:shd w:val="clear" w:color="000000" w:fill="FFFFFF"/>
            <w:noWrap/>
            <w:vAlign w:val="bottom"/>
            <w:hideMark/>
          </w:tcPr>
          <w:p w14:paraId="6C4ADB9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ED78448"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written out to the Revaluation Reserve</w:t>
            </w:r>
          </w:p>
        </w:tc>
        <w:tc>
          <w:tcPr>
            <w:tcW w:w="1267" w:type="dxa"/>
            <w:tcBorders>
              <w:top w:val="nil"/>
              <w:left w:val="single" w:sz="8" w:space="0" w:color="auto"/>
              <w:bottom w:val="nil"/>
              <w:right w:val="single" w:sz="8" w:space="0" w:color="auto"/>
            </w:tcBorders>
            <w:shd w:val="clear" w:color="000000" w:fill="FFFFFF"/>
            <w:noWrap/>
            <w:vAlign w:val="center"/>
            <w:hideMark/>
          </w:tcPr>
          <w:p w14:paraId="7CFA6FD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2EA128A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77A071D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613C3EA3"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5F3BE50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3AEB5CA5" w14:textId="77777777" w:rsidTr="00DE1AE6">
        <w:trPr>
          <w:trHeight w:val="277"/>
        </w:trPr>
        <w:tc>
          <w:tcPr>
            <w:tcW w:w="290" w:type="dxa"/>
            <w:tcBorders>
              <w:top w:val="nil"/>
              <w:left w:val="nil"/>
              <w:bottom w:val="nil"/>
              <w:right w:val="nil"/>
            </w:tcBorders>
            <w:shd w:val="clear" w:color="000000" w:fill="FFFFFF"/>
            <w:noWrap/>
            <w:vAlign w:val="bottom"/>
            <w:hideMark/>
          </w:tcPr>
          <w:p w14:paraId="5DA23FE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4796DC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Depreciation written out to the CIES</w:t>
            </w:r>
          </w:p>
        </w:tc>
        <w:tc>
          <w:tcPr>
            <w:tcW w:w="1267" w:type="dxa"/>
            <w:tcBorders>
              <w:top w:val="nil"/>
              <w:left w:val="single" w:sz="8" w:space="0" w:color="auto"/>
              <w:bottom w:val="nil"/>
              <w:right w:val="single" w:sz="8" w:space="0" w:color="auto"/>
            </w:tcBorders>
            <w:shd w:val="clear" w:color="000000" w:fill="FFFFFF"/>
            <w:noWrap/>
            <w:vAlign w:val="center"/>
            <w:hideMark/>
          </w:tcPr>
          <w:p w14:paraId="31748F35" w14:textId="4B2EC4A9"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5</w:t>
            </w:r>
            <w:r w:rsidR="004D04F0">
              <w:rPr>
                <w:rFonts w:ascii="Calibri" w:eastAsia="Times New Roman" w:hAnsi="Calibri" w:cs="Calibri"/>
                <w:color w:val="000000"/>
                <w:lang w:eastAsia="en-GB"/>
              </w:rPr>
              <w:t>17</w:t>
            </w:r>
          </w:p>
        </w:tc>
        <w:tc>
          <w:tcPr>
            <w:tcW w:w="1733" w:type="dxa"/>
            <w:tcBorders>
              <w:top w:val="nil"/>
              <w:left w:val="nil"/>
              <w:bottom w:val="nil"/>
              <w:right w:val="single" w:sz="8" w:space="0" w:color="auto"/>
            </w:tcBorders>
            <w:shd w:val="clear" w:color="000000" w:fill="FFFFFF"/>
            <w:noWrap/>
            <w:vAlign w:val="center"/>
            <w:hideMark/>
          </w:tcPr>
          <w:p w14:paraId="5FA6B506"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197BA00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36B778F3" w14:textId="51683B9A" w:rsidR="0065190C" w:rsidRPr="0065190C" w:rsidRDefault="006B4FE4"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5</w:t>
            </w:r>
            <w:r>
              <w:rPr>
                <w:rFonts w:ascii="Calibri" w:eastAsia="Times New Roman" w:hAnsi="Calibri" w:cs="Calibri"/>
                <w:b/>
                <w:bCs/>
                <w:lang w:eastAsia="en-GB"/>
              </w:rPr>
              <w:t>17</w:t>
            </w:r>
          </w:p>
        </w:tc>
        <w:tc>
          <w:tcPr>
            <w:tcW w:w="266" w:type="dxa"/>
            <w:tcBorders>
              <w:top w:val="nil"/>
              <w:left w:val="nil"/>
              <w:bottom w:val="nil"/>
              <w:right w:val="nil"/>
            </w:tcBorders>
            <w:shd w:val="clear" w:color="000000" w:fill="FFFFFF"/>
            <w:noWrap/>
            <w:vAlign w:val="bottom"/>
            <w:hideMark/>
          </w:tcPr>
          <w:p w14:paraId="37A7C98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2A2896D" w14:textId="77777777" w:rsidTr="00DE1AE6">
        <w:trPr>
          <w:trHeight w:val="360"/>
        </w:trPr>
        <w:tc>
          <w:tcPr>
            <w:tcW w:w="290" w:type="dxa"/>
            <w:tcBorders>
              <w:top w:val="nil"/>
              <w:left w:val="nil"/>
              <w:bottom w:val="nil"/>
              <w:right w:val="nil"/>
            </w:tcBorders>
            <w:shd w:val="clear" w:color="000000" w:fill="FFFFFF"/>
            <w:noWrap/>
            <w:vAlign w:val="bottom"/>
            <w:hideMark/>
          </w:tcPr>
          <w:p w14:paraId="724DF18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333845E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Impairments</w:t>
            </w:r>
          </w:p>
        </w:tc>
        <w:tc>
          <w:tcPr>
            <w:tcW w:w="1267" w:type="dxa"/>
            <w:tcBorders>
              <w:top w:val="nil"/>
              <w:left w:val="single" w:sz="8" w:space="0" w:color="auto"/>
              <w:bottom w:val="nil"/>
              <w:right w:val="single" w:sz="8" w:space="0" w:color="auto"/>
            </w:tcBorders>
            <w:shd w:val="clear" w:color="000000" w:fill="FFFFFF"/>
            <w:noWrap/>
            <w:vAlign w:val="center"/>
            <w:hideMark/>
          </w:tcPr>
          <w:p w14:paraId="10DE71AF"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40BBF3F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058BC0E0"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nil"/>
              <w:bottom w:val="nil"/>
              <w:right w:val="single" w:sz="8" w:space="0" w:color="auto"/>
            </w:tcBorders>
            <w:shd w:val="clear" w:color="000000" w:fill="FFE1E1"/>
            <w:noWrap/>
            <w:vAlign w:val="center"/>
            <w:hideMark/>
          </w:tcPr>
          <w:p w14:paraId="5D72F8F0"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1EC4E5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F9C0A6D" w14:textId="77777777" w:rsidTr="00DE1AE6">
        <w:trPr>
          <w:trHeight w:val="152"/>
        </w:trPr>
        <w:tc>
          <w:tcPr>
            <w:tcW w:w="290" w:type="dxa"/>
            <w:tcBorders>
              <w:top w:val="nil"/>
              <w:left w:val="nil"/>
              <w:bottom w:val="nil"/>
              <w:right w:val="nil"/>
            </w:tcBorders>
            <w:shd w:val="clear" w:color="000000" w:fill="FFFFFF"/>
            <w:noWrap/>
            <w:vAlign w:val="bottom"/>
            <w:hideMark/>
          </w:tcPr>
          <w:p w14:paraId="307ED39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0C89370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Derecognitions</w:t>
            </w:r>
          </w:p>
        </w:tc>
        <w:tc>
          <w:tcPr>
            <w:tcW w:w="1267" w:type="dxa"/>
            <w:tcBorders>
              <w:top w:val="nil"/>
              <w:left w:val="single" w:sz="8" w:space="0" w:color="auto"/>
              <w:bottom w:val="nil"/>
              <w:right w:val="single" w:sz="8" w:space="0" w:color="auto"/>
            </w:tcBorders>
            <w:shd w:val="clear" w:color="000000" w:fill="FFFFFF"/>
            <w:noWrap/>
            <w:vAlign w:val="center"/>
            <w:hideMark/>
          </w:tcPr>
          <w:p w14:paraId="071013B5"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nil"/>
              <w:right w:val="single" w:sz="8" w:space="0" w:color="auto"/>
            </w:tcBorders>
            <w:shd w:val="clear" w:color="000000" w:fill="FFFFFF"/>
            <w:noWrap/>
            <w:vAlign w:val="center"/>
            <w:hideMark/>
          </w:tcPr>
          <w:p w14:paraId="0ED0C147"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single" w:sz="8" w:space="0" w:color="auto"/>
            </w:tcBorders>
            <w:shd w:val="clear" w:color="000000" w:fill="FFFFFF"/>
            <w:noWrap/>
            <w:vAlign w:val="center"/>
            <w:hideMark/>
          </w:tcPr>
          <w:p w14:paraId="79936EF2"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60</w:t>
            </w:r>
          </w:p>
        </w:tc>
        <w:tc>
          <w:tcPr>
            <w:tcW w:w="1715" w:type="dxa"/>
            <w:tcBorders>
              <w:top w:val="nil"/>
              <w:left w:val="nil"/>
              <w:bottom w:val="nil"/>
              <w:right w:val="single" w:sz="8" w:space="0" w:color="auto"/>
            </w:tcBorders>
            <w:shd w:val="clear" w:color="000000" w:fill="FFE1E1"/>
            <w:noWrap/>
            <w:vAlign w:val="center"/>
            <w:hideMark/>
          </w:tcPr>
          <w:p w14:paraId="281435EC"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60</w:t>
            </w:r>
          </w:p>
        </w:tc>
        <w:tc>
          <w:tcPr>
            <w:tcW w:w="266" w:type="dxa"/>
            <w:tcBorders>
              <w:top w:val="nil"/>
              <w:left w:val="nil"/>
              <w:bottom w:val="nil"/>
              <w:right w:val="nil"/>
            </w:tcBorders>
            <w:shd w:val="clear" w:color="000000" w:fill="FFFFFF"/>
            <w:noWrap/>
            <w:vAlign w:val="bottom"/>
            <w:hideMark/>
          </w:tcPr>
          <w:p w14:paraId="2A6569E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2D05929" w14:textId="77777777" w:rsidTr="00DE1AE6">
        <w:trPr>
          <w:trHeight w:val="291"/>
        </w:trPr>
        <w:tc>
          <w:tcPr>
            <w:tcW w:w="290" w:type="dxa"/>
            <w:tcBorders>
              <w:top w:val="nil"/>
              <w:left w:val="nil"/>
              <w:bottom w:val="nil"/>
              <w:right w:val="nil"/>
            </w:tcBorders>
            <w:shd w:val="clear" w:color="000000" w:fill="FFFFFF"/>
            <w:noWrap/>
            <w:vAlign w:val="bottom"/>
            <w:hideMark/>
          </w:tcPr>
          <w:p w14:paraId="7048ACB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F1706BB"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Reclassifications</w:t>
            </w:r>
          </w:p>
        </w:tc>
        <w:tc>
          <w:tcPr>
            <w:tcW w:w="1267" w:type="dxa"/>
            <w:tcBorders>
              <w:top w:val="nil"/>
              <w:left w:val="single" w:sz="8" w:space="0" w:color="auto"/>
              <w:bottom w:val="nil"/>
              <w:right w:val="single" w:sz="8" w:space="0" w:color="auto"/>
            </w:tcBorders>
            <w:shd w:val="clear" w:color="000000" w:fill="FFFFFF"/>
            <w:noWrap/>
            <w:vAlign w:val="center"/>
            <w:hideMark/>
          </w:tcPr>
          <w:p w14:paraId="2169FF6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single" w:sz="8" w:space="0" w:color="auto"/>
              <w:right w:val="single" w:sz="8" w:space="0" w:color="auto"/>
            </w:tcBorders>
            <w:shd w:val="clear" w:color="000000" w:fill="FFFFFF"/>
            <w:noWrap/>
            <w:vAlign w:val="center"/>
            <w:hideMark/>
          </w:tcPr>
          <w:p w14:paraId="7A774F6E"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nil"/>
              <w:left w:val="nil"/>
              <w:bottom w:val="nil"/>
              <w:right w:val="nil"/>
            </w:tcBorders>
            <w:shd w:val="clear" w:color="000000" w:fill="FFFFFF"/>
            <w:noWrap/>
            <w:vAlign w:val="center"/>
            <w:hideMark/>
          </w:tcPr>
          <w:p w14:paraId="4E2F205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15" w:type="dxa"/>
            <w:tcBorders>
              <w:top w:val="nil"/>
              <w:left w:val="single" w:sz="8" w:space="0" w:color="auto"/>
              <w:bottom w:val="single" w:sz="8" w:space="0" w:color="auto"/>
              <w:right w:val="single" w:sz="8" w:space="0" w:color="auto"/>
            </w:tcBorders>
            <w:shd w:val="clear" w:color="000000" w:fill="FFE1E1"/>
            <w:noWrap/>
            <w:vAlign w:val="center"/>
            <w:hideMark/>
          </w:tcPr>
          <w:p w14:paraId="00F8099E"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w:t>
            </w:r>
          </w:p>
        </w:tc>
        <w:tc>
          <w:tcPr>
            <w:tcW w:w="266" w:type="dxa"/>
            <w:tcBorders>
              <w:top w:val="nil"/>
              <w:left w:val="nil"/>
              <w:bottom w:val="nil"/>
              <w:right w:val="nil"/>
            </w:tcBorders>
            <w:shd w:val="clear" w:color="000000" w:fill="FFFFFF"/>
            <w:noWrap/>
            <w:vAlign w:val="bottom"/>
            <w:hideMark/>
          </w:tcPr>
          <w:p w14:paraId="4695905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0C563000" w14:textId="77777777" w:rsidTr="00DE1AE6">
        <w:trPr>
          <w:trHeight w:val="291"/>
        </w:trPr>
        <w:tc>
          <w:tcPr>
            <w:tcW w:w="290" w:type="dxa"/>
            <w:tcBorders>
              <w:top w:val="nil"/>
              <w:left w:val="nil"/>
              <w:bottom w:val="nil"/>
              <w:right w:val="nil"/>
            </w:tcBorders>
            <w:shd w:val="clear" w:color="000000" w:fill="FFFFFF"/>
            <w:noWrap/>
            <w:vAlign w:val="bottom"/>
            <w:hideMark/>
          </w:tcPr>
          <w:p w14:paraId="3DF97E9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vAlign w:val="center"/>
            <w:hideMark/>
          </w:tcPr>
          <w:p w14:paraId="277A5B12"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At 31 March 2022</w:t>
            </w:r>
          </w:p>
        </w:tc>
        <w:tc>
          <w:tcPr>
            <w:tcW w:w="12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C0490D1"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733" w:type="dxa"/>
            <w:tcBorders>
              <w:top w:val="nil"/>
              <w:left w:val="nil"/>
              <w:bottom w:val="single" w:sz="8" w:space="0" w:color="auto"/>
              <w:right w:val="single" w:sz="8" w:space="0" w:color="auto"/>
            </w:tcBorders>
            <w:shd w:val="clear" w:color="000000" w:fill="FFFFFF"/>
            <w:noWrap/>
            <w:vAlign w:val="center"/>
            <w:hideMark/>
          </w:tcPr>
          <w:p w14:paraId="76345C24"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w:t>
            </w:r>
          </w:p>
        </w:tc>
        <w:tc>
          <w:tcPr>
            <w:tcW w:w="1392" w:type="dxa"/>
            <w:tcBorders>
              <w:top w:val="single" w:sz="8" w:space="0" w:color="auto"/>
              <w:left w:val="nil"/>
              <w:bottom w:val="single" w:sz="8" w:space="0" w:color="auto"/>
              <w:right w:val="single" w:sz="8" w:space="0" w:color="auto"/>
            </w:tcBorders>
            <w:shd w:val="clear" w:color="000000" w:fill="FFFFFF"/>
            <w:noWrap/>
            <w:vAlign w:val="center"/>
            <w:hideMark/>
          </w:tcPr>
          <w:p w14:paraId="51BFD673" w14:textId="77777777" w:rsidR="0065190C" w:rsidRPr="0065190C" w:rsidRDefault="0065190C" w:rsidP="0065190C">
            <w:pPr>
              <w:spacing w:after="0" w:line="240" w:lineRule="auto"/>
              <w:jc w:val="right"/>
              <w:rPr>
                <w:rFonts w:ascii="Calibri" w:eastAsia="Times New Roman" w:hAnsi="Calibri" w:cs="Calibri"/>
                <w:color w:val="000000"/>
                <w:lang w:eastAsia="en-GB"/>
              </w:rPr>
            </w:pPr>
            <w:r w:rsidRPr="0065190C">
              <w:rPr>
                <w:rFonts w:ascii="Calibri" w:eastAsia="Times New Roman" w:hAnsi="Calibri" w:cs="Calibri"/>
                <w:color w:val="000000"/>
                <w:lang w:eastAsia="en-GB"/>
              </w:rPr>
              <w:t>(2,093)</w:t>
            </w:r>
          </w:p>
        </w:tc>
        <w:tc>
          <w:tcPr>
            <w:tcW w:w="1715" w:type="dxa"/>
            <w:tcBorders>
              <w:top w:val="nil"/>
              <w:left w:val="nil"/>
              <w:bottom w:val="single" w:sz="8" w:space="0" w:color="auto"/>
              <w:right w:val="single" w:sz="8" w:space="0" w:color="auto"/>
            </w:tcBorders>
            <w:shd w:val="clear" w:color="000000" w:fill="FFE1E1"/>
            <w:noWrap/>
            <w:vAlign w:val="center"/>
            <w:hideMark/>
          </w:tcPr>
          <w:p w14:paraId="4792DFE8" w14:textId="77777777" w:rsidR="0065190C" w:rsidRPr="0065190C" w:rsidRDefault="0065190C" w:rsidP="0065190C">
            <w:pPr>
              <w:spacing w:after="0" w:line="240" w:lineRule="auto"/>
              <w:jc w:val="right"/>
              <w:rPr>
                <w:rFonts w:ascii="Calibri" w:eastAsia="Times New Roman" w:hAnsi="Calibri" w:cs="Calibri"/>
                <w:b/>
                <w:bCs/>
                <w:lang w:eastAsia="en-GB"/>
              </w:rPr>
            </w:pPr>
            <w:r w:rsidRPr="0065190C">
              <w:rPr>
                <w:rFonts w:ascii="Calibri" w:eastAsia="Times New Roman" w:hAnsi="Calibri" w:cs="Calibri"/>
                <w:b/>
                <w:bCs/>
                <w:lang w:eastAsia="en-GB"/>
              </w:rPr>
              <w:t>(2,093)</w:t>
            </w:r>
          </w:p>
        </w:tc>
        <w:tc>
          <w:tcPr>
            <w:tcW w:w="266" w:type="dxa"/>
            <w:tcBorders>
              <w:top w:val="nil"/>
              <w:left w:val="nil"/>
              <w:bottom w:val="nil"/>
              <w:right w:val="nil"/>
            </w:tcBorders>
            <w:shd w:val="clear" w:color="000000" w:fill="FFFFFF"/>
            <w:noWrap/>
            <w:vAlign w:val="bottom"/>
            <w:hideMark/>
          </w:tcPr>
          <w:p w14:paraId="68A490DC"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58B1C463" w14:textId="77777777" w:rsidTr="00DE1AE6">
        <w:trPr>
          <w:trHeight w:val="277"/>
        </w:trPr>
        <w:tc>
          <w:tcPr>
            <w:tcW w:w="290" w:type="dxa"/>
            <w:tcBorders>
              <w:top w:val="nil"/>
              <w:left w:val="nil"/>
              <w:bottom w:val="nil"/>
              <w:right w:val="nil"/>
            </w:tcBorders>
            <w:shd w:val="clear" w:color="000000" w:fill="FFFFFF"/>
            <w:noWrap/>
            <w:vAlign w:val="bottom"/>
            <w:hideMark/>
          </w:tcPr>
          <w:p w14:paraId="617C2EF0"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74219D34"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bottom"/>
            <w:hideMark/>
          </w:tcPr>
          <w:p w14:paraId="4898C2E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277B2C2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single" w:sz="8" w:space="0" w:color="auto"/>
            </w:tcBorders>
            <w:shd w:val="clear" w:color="000000" w:fill="FFFFFF"/>
            <w:noWrap/>
            <w:vAlign w:val="bottom"/>
            <w:hideMark/>
          </w:tcPr>
          <w:p w14:paraId="3B59D27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single" w:sz="8" w:space="0" w:color="auto"/>
            </w:tcBorders>
            <w:shd w:val="clear" w:color="000000" w:fill="FFFFFF"/>
            <w:noWrap/>
            <w:vAlign w:val="bottom"/>
            <w:hideMark/>
          </w:tcPr>
          <w:p w14:paraId="7FED356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4A27173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1A1D0BAA" w14:textId="77777777" w:rsidTr="00DE1AE6">
        <w:trPr>
          <w:trHeight w:val="291"/>
        </w:trPr>
        <w:tc>
          <w:tcPr>
            <w:tcW w:w="290" w:type="dxa"/>
            <w:tcBorders>
              <w:top w:val="nil"/>
              <w:left w:val="nil"/>
              <w:bottom w:val="nil"/>
              <w:right w:val="nil"/>
            </w:tcBorders>
            <w:shd w:val="clear" w:color="000000" w:fill="FFFFFF"/>
            <w:noWrap/>
            <w:vAlign w:val="bottom"/>
            <w:hideMark/>
          </w:tcPr>
          <w:p w14:paraId="36C7E108"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2D10CC4B"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Balance as at 31 March 2022</w:t>
            </w:r>
          </w:p>
        </w:tc>
        <w:tc>
          <w:tcPr>
            <w:tcW w:w="1267" w:type="dxa"/>
            <w:tcBorders>
              <w:top w:val="nil"/>
              <w:left w:val="single" w:sz="8" w:space="0" w:color="auto"/>
              <w:bottom w:val="double" w:sz="6" w:space="0" w:color="auto"/>
              <w:right w:val="single" w:sz="8" w:space="0" w:color="auto"/>
            </w:tcBorders>
            <w:shd w:val="clear" w:color="000000" w:fill="FFFFFF"/>
            <w:noWrap/>
            <w:vAlign w:val="bottom"/>
            <w:hideMark/>
          </w:tcPr>
          <w:p w14:paraId="787A31A9" w14:textId="666BFF38"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34,62</w:t>
            </w:r>
            <w:r w:rsidR="004D04F0">
              <w:rPr>
                <w:rFonts w:ascii="Calibri" w:eastAsia="Times New Roman" w:hAnsi="Calibri" w:cs="Calibri"/>
                <w:b/>
                <w:bCs/>
                <w:color w:val="000000"/>
                <w:lang w:eastAsia="en-GB"/>
              </w:rPr>
              <w:t>4</w:t>
            </w:r>
          </w:p>
        </w:tc>
        <w:tc>
          <w:tcPr>
            <w:tcW w:w="1733" w:type="dxa"/>
            <w:tcBorders>
              <w:top w:val="nil"/>
              <w:left w:val="nil"/>
              <w:bottom w:val="double" w:sz="6" w:space="0" w:color="auto"/>
              <w:right w:val="single" w:sz="8" w:space="0" w:color="auto"/>
            </w:tcBorders>
            <w:shd w:val="clear" w:color="000000" w:fill="FFFFFF"/>
            <w:noWrap/>
            <w:vAlign w:val="bottom"/>
            <w:hideMark/>
          </w:tcPr>
          <w:p w14:paraId="02D00720"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3,610</w:t>
            </w:r>
          </w:p>
        </w:tc>
        <w:tc>
          <w:tcPr>
            <w:tcW w:w="1392" w:type="dxa"/>
            <w:tcBorders>
              <w:top w:val="nil"/>
              <w:left w:val="nil"/>
              <w:bottom w:val="double" w:sz="6" w:space="0" w:color="auto"/>
              <w:right w:val="single" w:sz="8" w:space="0" w:color="auto"/>
            </w:tcBorders>
            <w:shd w:val="clear" w:color="000000" w:fill="FFFFFF"/>
            <w:noWrap/>
            <w:vAlign w:val="bottom"/>
            <w:hideMark/>
          </w:tcPr>
          <w:p w14:paraId="01AE0B4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7,892</w:t>
            </w:r>
          </w:p>
        </w:tc>
        <w:tc>
          <w:tcPr>
            <w:tcW w:w="1715" w:type="dxa"/>
            <w:tcBorders>
              <w:top w:val="nil"/>
              <w:left w:val="nil"/>
              <w:bottom w:val="double" w:sz="6" w:space="0" w:color="auto"/>
              <w:right w:val="single" w:sz="8" w:space="0" w:color="auto"/>
            </w:tcBorders>
            <w:shd w:val="clear" w:color="000000" w:fill="FFFFFF"/>
            <w:noWrap/>
            <w:vAlign w:val="bottom"/>
            <w:hideMark/>
          </w:tcPr>
          <w:p w14:paraId="0CF4570E" w14:textId="01CE0593"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46,12</w:t>
            </w:r>
            <w:r w:rsidR="004D04F0">
              <w:rPr>
                <w:rFonts w:ascii="Calibri" w:eastAsia="Times New Roman" w:hAnsi="Calibri" w:cs="Calibri"/>
                <w:b/>
                <w:bCs/>
                <w:color w:val="000000"/>
                <w:lang w:eastAsia="en-GB"/>
              </w:rPr>
              <w:t>6</w:t>
            </w:r>
          </w:p>
        </w:tc>
        <w:tc>
          <w:tcPr>
            <w:tcW w:w="266" w:type="dxa"/>
            <w:tcBorders>
              <w:top w:val="nil"/>
              <w:left w:val="nil"/>
              <w:bottom w:val="nil"/>
              <w:right w:val="nil"/>
            </w:tcBorders>
            <w:shd w:val="clear" w:color="000000" w:fill="FFFFFF"/>
            <w:noWrap/>
            <w:vAlign w:val="bottom"/>
            <w:hideMark/>
          </w:tcPr>
          <w:p w14:paraId="14BC628A"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7D7262FD" w14:textId="77777777" w:rsidTr="00DE1AE6">
        <w:trPr>
          <w:trHeight w:val="291"/>
        </w:trPr>
        <w:tc>
          <w:tcPr>
            <w:tcW w:w="290" w:type="dxa"/>
            <w:tcBorders>
              <w:top w:val="nil"/>
              <w:left w:val="nil"/>
              <w:bottom w:val="nil"/>
              <w:right w:val="nil"/>
            </w:tcBorders>
            <w:shd w:val="clear" w:color="000000" w:fill="FFFFFF"/>
            <w:noWrap/>
            <w:vAlign w:val="bottom"/>
            <w:hideMark/>
          </w:tcPr>
          <w:p w14:paraId="67553DA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nil"/>
              <w:right w:val="nil"/>
            </w:tcBorders>
            <w:shd w:val="clear" w:color="000000" w:fill="FFFFFF"/>
            <w:noWrap/>
            <w:vAlign w:val="bottom"/>
            <w:hideMark/>
          </w:tcPr>
          <w:p w14:paraId="4C2A656F"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267" w:type="dxa"/>
            <w:tcBorders>
              <w:top w:val="nil"/>
              <w:left w:val="single" w:sz="8" w:space="0" w:color="auto"/>
              <w:bottom w:val="nil"/>
              <w:right w:val="single" w:sz="8" w:space="0" w:color="auto"/>
            </w:tcBorders>
            <w:shd w:val="clear" w:color="000000" w:fill="FFFFFF"/>
            <w:noWrap/>
            <w:vAlign w:val="bottom"/>
            <w:hideMark/>
          </w:tcPr>
          <w:p w14:paraId="1182251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33" w:type="dxa"/>
            <w:tcBorders>
              <w:top w:val="nil"/>
              <w:left w:val="nil"/>
              <w:bottom w:val="nil"/>
              <w:right w:val="single" w:sz="8" w:space="0" w:color="auto"/>
            </w:tcBorders>
            <w:shd w:val="clear" w:color="000000" w:fill="FFFFFF"/>
            <w:noWrap/>
            <w:vAlign w:val="bottom"/>
            <w:hideMark/>
          </w:tcPr>
          <w:p w14:paraId="48D503E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392" w:type="dxa"/>
            <w:tcBorders>
              <w:top w:val="nil"/>
              <w:left w:val="nil"/>
              <w:bottom w:val="nil"/>
              <w:right w:val="single" w:sz="8" w:space="0" w:color="auto"/>
            </w:tcBorders>
            <w:shd w:val="clear" w:color="000000" w:fill="FFFFFF"/>
            <w:noWrap/>
            <w:vAlign w:val="bottom"/>
            <w:hideMark/>
          </w:tcPr>
          <w:p w14:paraId="2F0358A9"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1715" w:type="dxa"/>
            <w:tcBorders>
              <w:top w:val="nil"/>
              <w:left w:val="nil"/>
              <w:bottom w:val="nil"/>
              <w:right w:val="single" w:sz="8" w:space="0" w:color="auto"/>
            </w:tcBorders>
            <w:shd w:val="clear" w:color="000000" w:fill="FFFFFF"/>
            <w:noWrap/>
            <w:vAlign w:val="bottom"/>
            <w:hideMark/>
          </w:tcPr>
          <w:p w14:paraId="2E6D1786"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noWrap/>
            <w:vAlign w:val="bottom"/>
            <w:hideMark/>
          </w:tcPr>
          <w:p w14:paraId="2A2C3823"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r w:rsidR="0065190C" w:rsidRPr="0065190C" w14:paraId="534F5821" w14:textId="77777777" w:rsidTr="00DE1AE6">
        <w:trPr>
          <w:trHeight w:val="291"/>
        </w:trPr>
        <w:tc>
          <w:tcPr>
            <w:tcW w:w="290" w:type="dxa"/>
            <w:tcBorders>
              <w:top w:val="nil"/>
              <w:left w:val="nil"/>
              <w:bottom w:val="nil"/>
              <w:right w:val="nil"/>
            </w:tcBorders>
            <w:shd w:val="clear" w:color="000000" w:fill="FFFFFF"/>
            <w:noWrap/>
            <w:vAlign w:val="bottom"/>
            <w:hideMark/>
          </w:tcPr>
          <w:p w14:paraId="284C80AB"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c>
          <w:tcPr>
            <w:tcW w:w="4597" w:type="dxa"/>
            <w:tcBorders>
              <w:top w:val="nil"/>
              <w:left w:val="single" w:sz="8" w:space="0" w:color="auto"/>
              <w:bottom w:val="single" w:sz="8" w:space="0" w:color="auto"/>
              <w:right w:val="nil"/>
            </w:tcBorders>
            <w:shd w:val="clear" w:color="000000" w:fill="FFFFFF"/>
            <w:noWrap/>
            <w:vAlign w:val="bottom"/>
            <w:hideMark/>
          </w:tcPr>
          <w:p w14:paraId="19F0E43C" w14:textId="77777777" w:rsidR="0065190C" w:rsidRPr="0065190C" w:rsidRDefault="0065190C" w:rsidP="0065190C">
            <w:pPr>
              <w:spacing w:after="0" w:line="240" w:lineRule="auto"/>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Balance as at 31 March 2021</w:t>
            </w:r>
          </w:p>
        </w:tc>
        <w:tc>
          <w:tcPr>
            <w:tcW w:w="1267" w:type="dxa"/>
            <w:tcBorders>
              <w:top w:val="nil"/>
              <w:left w:val="single" w:sz="8" w:space="0" w:color="auto"/>
              <w:bottom w:val="single" w:sz="8" w:space="0" w:color="auto"/>
              <w:right w:val="single" w:sz="8" w:space="0" w:color="auto"/>
            </w:tcBorders>
            <w:shd w:val="clear" w:color="000000" w:fill="FFFFFF"/>
            <w:noWrap/>
            <w:vAlign w:val="bottom"/>
            <w:hideMark/>
          </w:tcPr>
          <w:p w14:paraId="4970898B"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31,482</w:t>
            </w:r>
          </w:p>
        </w:tc>
        <w:tc>
          <w:tcPr>
            <w:tcW w:w="1733" w:type="dxa"/>
            <w:tcBorders>
              <w:top w:val="nil"/>
              <w:left w:val="nil"/>
              <w:bottom w:val="single" w:sz="8" w:space="0" w:color="auto"/>
              <w:right w:val="single" w:sz="8" w:space="0" w:color="auto"/>
            </w:tcBorders>
            <w:shd w:val="clear" w:color="000000" w:fill="FFFFFF"/>
            <w:noWrap/>
            <w:vAlign w:val="bottom"/>
            <w:hideMark/>
          </w:tcPr>
          <w:p w14:paraId="7D5978B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3,490</w:t>
            </w:r>
          </w:p>
        </w:tc>
        <w:tc>
          <w:tcPr>
            <w:tcW w:w="1392" w:type="dxa"/>
            <w:tcBorders>
              <w:top w:val="nil"/>
              <w:left w:val="nil"/>
              <w:bottom w:val="single" w:sz="8" w:space="0" w:color="auto"/>
              <w:right w:val="single" w:sz="8" w:space="0" w:color="auto"/>
            </w:tcBorders>
            <w:shd w:val="clear" w:color="000000" w:fill="FFFFFF"/>
            <w:noWrap/>
            <w:vAlign w:val="bottom"/>
            <w:hideMark/>
          </w:tcPr>
          <w:p w14:paraId="6C79729A"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6,017</w:t>
            </w:r>
          </w:p>
        </w:tc>
        <w:tc>
          <w:tcPr>
            <w:tcW w:w="1715" w:type="dxa"/>
            <w:tcBorders>
              <w:top w:val="nil"/>
              <w:left w:val="nil"/>
              <w:bottom w:val="single" w:sz="8" w:space="0" w:color="auto"/>
              <w:right w:val="single" w:sz="8" w:space="0" w:color="auto"/>
            </w:tcBorders>
            <w:shd w:val="clear" w:color="000000" w:fill="FFFFFF"/>
            <w:noWrap/>
            <w:vAlign w:val="bottom"/>
            <w:hideMark/>
          </w:tcPr>
          <w:p w14:paraId="0A2E61AE" w14:textId="77777777" w:rsidR="0065190C" w:rsidRPr="0065190C" w:rsidRDefault="0065190C" w:rsidP="0065190C">
            <w:pPr>
              <w:spacing w:after="0" w:line="240" w:lineRule="auto"/>
              <w:jc w:val="right"/>
              <w:rPr>
                <w:rFonts w:ascii="Calibri" w:eastAsia="Times New Roman" w:hAnsi="Calibri" w:cs="Calibri"/>
                <w:b/>
                <w:bCs/>
                <w:color w:val="000000"/>
                <w:lang w:eastAsia="en-GB"/>
              </w:rPr>
            </w:pPr>
            <w:r w:rsidRPr="0065190C">
              <w:rPr>
                <w:rFonts w:ascii="Calibri" w:eastAsia="Times New Roman" w:hAnsi="Calibri" w:cs="Calibri"/>
                <w:b/>
                <w:bCs/>
                <w:color w:val="000000"/>
                <w:lang w:eastAsia="en-GB"/>
              </w:rPr>
              <w:t>40,989</w:t>
            </w:r>
          </w:p>
        </w:tc>
        <w:tc>
          <w:tcPr>
            <w:tcW w:w="266" w:type="dxa"/>
            <w:tcBorders>
              <w:top w:val="nil"/>
              <w:left w:val="nil"/>
              <w:bottom w:val="nil"/>
              <w:right w:val="nil"/>
            </w:tcBorders>
            <w:shd w:val="clear" w:color="000000" w:fill="FFFFFF"/>
            <w:noWrap/>
            <w:vAlign w:val="bottom"/>
            <w:hideMark/>
          </w:tcPr>
          <w:p w14:paraId="3065FAB2" w14:textId="77777777" w:rsidR="0065190C" w:rsidRPr="0065190C" w:rsidRDefault="0065190C" w:rsidP="0065190C">
            <w:pPr>
              <w:spacing w:after="0" w:line="240" w:lineRule="auto"/>
              <w:rPr>
                <w:rFonts w:ascii="Calibri" w:eastAsia="Times New Roman" w:hAnsi="Calibri" w:cs="Calibri"/>
                <w:color w:val="000000"/>
                <w:lang w:eastAsia="en-GB"/>
              </w:rPr>
            </w:pPr>
            <w:r w:rsidRPr="0065190C">
              <w:rPr>
                <w:rFonts w:ascii="Calibri" w:eastAsia="Times New Roman" w:hAnsi="Calibri" w:cs="Calibri"/>
                <w:color w:val="000000"/>
                <w:lang w:eastAsia="en-GB"/>
              </w:rPr>
              <w:t> </w:t>
            </w:r>
          </w:p>
        </w:tc>
      </w:tr>
    </w:tbl>
    <w:p w14:paraId="0A45096F" w14:textId="77777777" w:rsidR="00D94F0F" w:rsidRDefault="00D94F0F" w:rsidP="0079406E">
      <w:pPr>
        <w:autoSpaceDE w:val="0"/>
        <w:autoSpaceDN w:val="0"/>
        <w:adjustRightInd w:val="0"/>
        <w:spacing w:after="0" w:line="240" w:lineRule="auto"/>
        <w:rPr>
          <w:rFonts w:cs="Arial"/>
        </w:rPr>
      </w:pPr>
    </w:p>
    <w:p w14:paraId="32186AEA" w14:textId="64E041B1" w:rsidR="00B109C0" w:rsidRPr="00B81411" w:rsidRDefault="0079406E" w:rsidP="0079406E">
      <w:pPr>
        <w:autoSpaceDE w:val="0"/>
        <w:autoSpaceDN w:val="0"/>
        <w:adjustRightInd w:val="0"/>
        <w:spacing w:after="0" w:line="240" w:lineRule="auto"/>
        <w:rPr>
          <w:rFonts w:cstheme="minorHAnsi"/>
        </w:rPr>
      </w:pPr>
      <w:r w:rsidRPr="00B81411">
        <w:rPr>
          <w:rFonts w:cstheme="minorHAnsi"/>
        </w:rPr>
        <w:t xml:space="preserve">The freehold and leasehold properties within the Authority’s property portfolio are valued, under a five year programme, by the Authority’s property advisors </w:t>
      </w:r>
      <w:r w:rsidR="007263AC" w:rsidRPr="00B81411">
        <w:rPr>
          <w:rFonts w:cstheme="minorHAnsi"/>
        </w:rPr>
        <w:t xml:space="preserve">(Wilkes, Head and </w:t>
      </w:r>
      <w:r w:rsidR="00BE7015" w:rsidRPr="00B81411">
        <w:rPr>
          <w:rFonts w:cstheme="minorHAnsi"/>
        </w:rPr>
        <w:t>Eve)</w:t>
      </w:r>
      <w:r w:rsidRPr="00B81411">
        <w:rPr>
          <w:rFonts w:cstheme="minorHAnsi"/>
        </w:rPr>
        <w:t xml:space="preserve"> with impairment reviews made annually.</w:t>
      </w:r>
    </w:p>
    <w:p w14:paraId="6DCA6F04" w14:textId="1856B6A0" w:rsidR="00E5158A" w:rsidRPr="00B81411" w:rsidRDefault="0079406E" w:rsidP="0079406E">
      <w:pPr>
        <w:autoSpaceDE w:val="0"/>
        <w:autoSpaceDN w:val="0"/>
        <w:adjustRightInd w:val="0"/>
        <w:spacing w:after="0" w:line="240" w:lineRule="auto"/>
        <w:rPr>
          <w:rFonts w:cstheme="minorHAnsi"/>
        </w:rPr>
      </w:pPr>
      <w:r w:rsidRPr="00B81411">
        <w:rPr>
          <w:rFonts w:cstheme="minorHAnsi"/>
        </w:rPr>
        <w:t>A full valuation was undertaken as at 31 March 20</w:t>
      </w:r>
      <w:r w:rsidR="004F5BD2" w:rsidRPr="00B81411">
        <w:rPr>
          <w:rFonts w:cstheme="minorHAnsi"/>
        </w:rPr>
        <w:t>2</w:t>
      </w:r>
      <w:r w:rsidR="00716F27" w:rsidRPr="00B81411">
        <w:rPr>
          <w:rFonts w:cstheme="minorHAnsi"/>
        </w:rPr>
        <w:t>2</w:t>
      </w:r>
      <w:r w:rsidRPr="00B81411">
        <w:rPr>
          <w:rFonts w:cstheme="minorHAnsi"/>
        </w:rPr>
        <w:t>. All valuations were undertaken in accordance with the Statements of Asset Valuation Practice and Guidance Notes of the Royal Institution of Chartered Surveyors. Fire stations are valued at depreciated replacement cost and other properties ar</w:t>
      </w:r>
      <w:r w:rsidR="003834C6" w:rsidRPr="00B81411">
        <w:rPr>
          <w:rFonts w:cstheme="minorHAnsi"/>
        </w:rPr>
        <w:t>e valued at existing use value.</w:t>
      </w:r>
    </w:p>
    <w:p w14:paraId="0A11EEC2" w14:textId="77777777" w:rsidR="005737A1" w:rsidRPr="00DE1AE6" w:rsidRDefault="005737A1" w:rsidP="0079406E">
      <w:pPr>
        <w:autoSpaceDE w:val="0"/>
        <w:autoSpaceDN w:val="0"/>
        <w:adjustRightInd w:val="0"/>
        <w:spacing w:after="0" w:line="240" w:lineRule="auto"/>
        <w:rPr>
          <w:rFonts w:cs="Arial"/>
          <w:b/>
          <w:bCs/>
        </w:rPr>
      </w:pPr>
    </w:p>
    <w:p w14:paraId="6D013728" w14:textId="77777777" w:rsidR="005B04E9" w:rsidRPr="00DE1AE6" w:rsidRDefault="005B04E9" w:rsidP="0079406E">
      <w:pPr>
        <w:autoSpaceDE w:val="0"/>
        <w:autoSpaceDN w:val="0"/>
        <w:adjustRightInd w:val="0"/>
        <w:spacing w:after="0" w:line="240" w:lineRule="auto"/>
        <w:rPr>
          <w:rFonts w:cs="Arial"/>
          <w:b/>
          <w:bCs/>
        </w:rPr>
      </w:pPr>
    </w:p>
    <w:p w14:paraId="62ADD996" w14:textId="2F243FB6" w:rsidR="005B04E9" w:rsidRPr="00DE1AE6" w:rsidRDefault="005B04E9" w:rsidP="0079406E">
      <w:pPr>
        <w:autoSpaceDE w:val="0"/>
        <w:autoSpaceDN w:val="0"/>
        <w:adjustRightInd w:val="0"/>
        <w:spacing w:after="0" w:line="240" w:lineRule="auto"/>
        <w:rPr>
          <w:rFonts w:cs="Arial"/>
          <w:b/>
          <w:bCs/>
        </w:rPr>
      </w:pPr>
    </w:p>
    <w:p w14:paraId="1CACE609" w14:textId="77777777" w:rsidR="00DE1AE6" w:rsidRPr="00DE1AE6" w:rsidRDefault="00DE1AE6" w:rsidP="0079406E">
      <w:pPr>
        <w:autoSpaceDE w:val="0"/>
        <w:autoSpaceDN w:val="0"/>
        <w:adjustRightInd w:val="0"/>
        <w:spacing w:after="0" w:line="240" w:lineRule="auto"/>
        <w:rPr>
          <w:rFonts w:cs="Arial"/>
          <w:b/>
          <w:bCs/>
        </w:rPr>
      </w:pPr>
    </w:p>
    <w:p w14:paraId="4656B1B5" w14:textId="6D8CDD9B" w:rsidR="0065190C" w:rsidRDefault="0065190C">
      <w:pPr>
        <w:rPr>
          <w:rFonts w:cs="Arial"/>
          <w:b/>
          <w:bCs/>
        </w:rPr>
      </w:pPr>
    </w:p>
    <w:p w14:paraId="501E6BD5" w14:textId="77777777" w:rsidR="003C3A4C" w:rsidRDefault="003C3A4C">
      <w:pPr>
        <w:rPr>
          <w:rFonts w:cs="Arial"/>
          <w:b/>
          <w:bCs/>
        </w:rPr>
      </w:pPr>
    </w:p>
    <w:p w14:paraId="785F8F48" w14:textId="77777777" w:rsidR="00DE1AE6" w:rsidRPr="00DE1AE6" w:rsidRDefault="00DE1AE6">
      <w:pPr>
        <w:rPr>
          <w:rFonts w:cs="Arial"/>
          <w:b/>
          <w:bCs/>
        </w:rPr>
      </w:pPr>
    </w:p>
    <w:p w14:paraId="33A0087E" w14:textId="77777777" w:rsidR="00DE1AE6" w:rsidRPr="00DE1AE6" w:rsidRDefault="00DE1AE6" w:rsidP="0079406E">
      <w:pPr>
        <w:autoSpaceDE w:val="0"/>
        <w:autoSpaceDN w:val="0"/>
        <w:adjustRightInd w:val="0"/>
        <w:spacing w:after="0" w:line="240" w:lineRule="auto"/>
        <w:rPr>
          <w:rFonts w:cs="Arial"/>
          <w:b/>
          <w:bCs/>
        </w:rPr>
      </w:pPr>
    </w:p>
    <w:p w14:paraId="279A8DC2" w14:textId="0E3F760A" w:rsidR="00434B4A" w:rsidRPr="00B81411" w:rsidRDefault="0079406E" w:rsidP="0079406E">
      <w:pPr>
        <w:autoSpaceDE w:val="0"/>
        <w:autoSpaceDN w:val="0"/>
        <w:adjustRightInd w:val="0"/>
        <w:spacing w:after="0" w:line="240" w:lineRule="auto"/>
        <w:rPr>
          <w:rFonts w:cs="Arial"/>
        </w:rPr>
      </w:pPr>
      <w:r w:rsidRPr="007F07C2">
        <w:rPr>
          <w:rFonts w:cs="Arial"/>
          <w:b/>
          <w:bCs/>
          <w:sz w:val="28"/>
          <w:szCs w:val="28"/>
        </w:rPr>
        <w:lastRenderedPageBreak/>
        <w:t>1</w:t>
      </w:r>
      <w:r w:rsidR="00E55282" w:rsidRPr="007F07C2">
        <w:rPr>
          <w:rFonts w:cs="Arial"/>
          <w:b/>
          <w:bCs/>
          <w:sz w:val="28"/>
          <w:szCs w:val="28"/>
        </w:rPr>
        <w:t>0</w:t>
      </w:r>
      <w:r w:rsidRPr="007F07C2">
        <w:rPr>
          <w:rFonts w:cs="Arial"/>
          <w:b/>
          <w:bCs/>
          <w:sz w:val="28"/>
          <w:szCs w:val="28"/>
        </w:rPr>
        <w:t xml:space="preserve"> Inventories </w:t>
      </w:r>
    </w:p>
    <w:p w14:paraId="2AFF6229" w14:textId="44748378" w:rsidR="0065190C" w:rsidRDefault="0079406E" w:rsidP="0079406E">
      <w:pPr>
        <w:autoSpaceDE w:val="0"/>
        <w:autoSpaceDN w:val="0"/>
        <w:adjustRightInd w:val="0"/>
        <w:spacing w:after="0" w:line="240" w:lineRule="auto"/>
        <w:rPr>
          <w:rFonts w:cs="Arial"/>
        </w:rPr>
      </w:pPr>
      <w:r w:rsidRPr="007F07C2">
        <w:rPr>
          <w:rFonts w:cs="Arial"/>
        </w:rPr>
        <w:t xml:space="preserve">The values of stock items held are summarised in the table below: </w:t>
      </w:r>
    </w:p>
    <w:p w14:paraId="44E464B7" w14:textId="77777777" w:rsidR="00EB05F7" w:rsidRDefault="00EB05F7" w:rsidP="0079406E">
      <w:pPr>
        <w:autoSpaceDE w:val="0"/>
        <w:autoSpaceDN w:val="0"/>
        <w:adjustRightInd w:val="0"/>
        <w:spacing w:after="0" w:line="240" w:lineRule="auto"/>
        <w:rPr>
          <w:rFonts w:cs="Arial"/>
        </w:rPr>
      </w:pPr>
    </w:p>
    <w:tbl>
      <w:tblPr>
        <w:tblW w:w="7566" w:type="dxa"/>
        <w:tblLook w:val="04A0" w:firstRow="1" w:lastRow="0" w:firstColumn="1" w:lastColumn="0" w:noHBand="0" w:noVBand="1"/>
      </w:tblPr>
      <w:tblGrid>
        <w:gridCol w:w="1668"/>
        <w:gridCol w:w="4230"/>
        <w:gridCol w:w="1668"/>
      </w:tblGrid>
      <w:tr w:rsidR="00EB05F7" w:rsidRPr="00EB05F7" w14:paraId="13311093" w14:textId="77777777" w:rsidTr="00C50505">
        <w:trPr>
          <w:trHeight w:val="391"/>
        </w:trPr>
        <w:tc>
          <w:tcPr>
            <w:tcW w:w="1668" w:type="dxa"/>
            <w:tcBorders>
              <w:top w:val="single" w:sz="4" w:space="0" w:color="auto"/>
              <w:left w:val="single" w:sz="4" w:space="0" w:color="auto"/>
              <w:bottom w:val="nil"/>
              <w:right w:val="nil"/>
            </w:tcBorders>
            <w:shd w:val="clear" w:color="000000" w:fill="C00000"/>
            <w:vAlign w:val="bottom"/>
            <w:hideMark/>
          </w:tcPr>
          <w:p w14:paraId="78A387AF"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vAlign w:val="bottom"/>
            <w:hideMark/>
          </w:tcPr>
          <w:p w14:paraId="3499405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vAlign w:val="bottom"/>
            <w:hideMark/>
          </w:tcPr>
          <w:p w14:paraId="7646BF98"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4EDFC6F9" w14:textId="77777777" w:rsidTr="00C50505">
        <w:trPr>
          <w:trHeight w:val="391"/>
        </w:trPr>
        <w:tc>
          <w:tcPr>
            <w:tcW w:w="1668" w:type="dxa"/>
            <w:tcBorders>
              <w:top w:val="nil"/>
              <w:left w:val="single" w:sz="4" w:space="0" w:color="auto"/>
              <w:bottom w:val="nil"/>
              <w:right w:val="nil"/>
            </w:tcBorders>
            <w:shd w:val="clear" w:color="000000" w:fill="C00000"/>
            <w:noWrap/>
            <w:vAlign w:val="bottom"/>
            <w:hideMark/>
          </w:tcPr>
          <w:p w14:paraId="5C558FA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5975A322"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nil"/>
            </w:tcBorders>
            <w:shd w:val="clear" w:color="000000" w:fill="C00000"/>
            <w:noWrap/>
            <w:vAlign w:val="bottom"/>
            <w:hideMark/>
          </w:tcPr>
          <w:p w14:paraId="11002D8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1040FBB0"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79E10F0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208</w:t>
            </w:r>
          </w:p>
        </w:tc>
        <w:tc>
          <w:tcPr>
            <w:tcW w:w="4230" w:type="dxa"/>
            <w:tcBorders>
              <w:top w:val="nil"/>
              <w:left w:val="nil"/>
              <w:bottom w:val="nil"/>
              <w:right w:val="nil"/>
            </w:tcBorders>
            <w:shd w:val="clear" w:color="000000" w:fill="FFFFFF"/>
            <w:noWrap/>
            <w:vAlign w:val="bottom"/>
            <w:hideMark/>
          </w:tcPr>
          <w:p w14:paraId="4A097D51" w14:textId="77777777" w:rsidR="00EB05F7" w:rsidRPr="00EB05F7" w:rsidRDefault="00EB05F7" w:rsidP="00EB05F7">
            <w:pPr>
              <w:spacing w:after="0" w:line="240" w:lineRule="auto"/>
              <w:rPr>
                <w:rFonts w:ascii="Calibri" w:eastAsia="Times New Roman" w:hAnsi="Calibri" w:cs="Calibri"/>
                <w:lang w:eastAsia="en-GB"/>
              </w:rPr>
            </w:pPr>
            <w:r w:rsidRPr="00EB05F7">
              <w:rPr>
                <w:rFonts w:ascii="Calibri" w:eastAsia="Times New Roman" w:hAnsi="Calibri" w:cs="Calibri"/>
                <w:lang w:eastAsia="en-GB"/>
              </w:rPr>
              <w:t xml:space="preserve"> Opening Balance </w:t>
            </w:r>
          </w:p>
        </w:tc>
        <w:tc>
          <w:tcPr>
            <w:tcW w:w="1668" w:type="dxa"/>
            <w:tcBorders>
              <w:top w:val="nil"/>
              <w:left w:val="nil"/>
              <w:bottom w:val="nil"/>
              <w:right w:val="single" w:sz="4" w:space="0" w:color="auto"/>
            </w:tcBorders>
            <w:shd w:val="clear" w:color="000000" w:fill="FFE1E1"/>
            <w:noWrap/>
            <w:vAlign w:val="bottom"/>
            <w:hideMark/>
          </w:tcPr>
          <w:p w14:paraId="6919724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237</w:t>
            </w:r>
          </w:p>
        </w:tc>
      </w:tr>
      <w:tr w:rsidR="00EB05F7" w:rsidRPr="00EB05F7" w14:paraId="571B62FD"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28043AC6"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29</w:t>
            </w:r>
          </w:p>
        </w:tc>
        <w:tc>
          <w:tcPr>
            <w:tcW w:w="4230" w:type="dxa"/>
            <w:tcBorders>
              <w:top w:val="nil"/>
              <w:left w:val="nil"/>
              <w:bottom w:val="nil"/>
              <w:right w:val="nil"/>
            </w:tcBorders>
            <w:shd w:val="clear" w:color="000000" w:fill="FFFFFF"/>
            <w:noWrap/>
            <w:vAlign w:val="bottom"/>
            <w:hideMark/>
          </w:tcPr>
          <w:p w14:paraId="454F7B5F"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 xml:space="preserve"> Year End Stock Take Adjustment </w:t>
            </w:r>
          </w:p>
        </w:tc>
        <w:tc>
          <w:tcPr>
            <w:tcW w:w="1668" w:type="dxa"/>
            <w:tcBorders>
              <w:top w:val="nil"/>
              <w:left w:val="nil"/>
              <w:bottom w:val="nil"/>
              <w:right w:val="single" w:sz="4" w:space="0" w:color="auto"/>
            </w:tcBorders>
            <w:shd w:val="clear" w:color="000000" w:fill="FFE1E1"/>
            <w:noWrap/>
            <w:vAlign w:val="bottom"/>
            <w:hideMark/>
          </w:tcPr>
          <w:p w14:paraId="153CC341"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7</w:t>
            </w:r>
          </w:p>
        </w:tc>
      </w:tr>
      <w:tr w:rsidR="00EB05F7" w:rsidRPr="00EB05F7" w14:paraId="39896FF2" w14:textId="77777777" w:rsidTr="00C50505">
        <w:trPr>
          <w:trHeight w:val="391"/>
        </w:trPr>
        <w:tc>
          <w:tcPr>
            <w:tcW w:w="1668" w:type="dxa"/>
            <w:tcBorders>
              <w:top w:val="nil"/>
              <w:left w:val="single" w:sz="4" w:space="0" w:color="auto"/>
              <w:bottom w:val="single" w:sz="4" w:space="0" w:color="auto"/>
              <w:right w:val="nil"/>
            </w:tcBorders>
            <w:shd w:val="clear" w:color="000000" w:fill="C00000"/>
            <w:noWrap/>
            <w:vAlign w:val="bottom"/>
            <w:hideMark/>
          </w:tcPr>
          <w:p w14:paraId="50B15D9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237</w:t>
            </w:r>
          </w:p>
        </w:tc>
        <w:tc>
          <w:tcPr>
            <w:tcW w:w="4230" w:type="dxa"/>
            <w:tcBorders>
              <w:top w:val="nil"/>
              <w:left w:val="nil"/>
              <w:bottom w:val="single" w:sz="4" w:space="0" w:color="auto"/>
              <w:right w:val="nil"/>
            </w:tcBorders>
            <w:shd w:val="clear" w:color="000000" w:fill="C00000"/>
            <w:vAlign w:val="bottom"/>
            <w:hideMark/>
          </w:tcPr>
          <w:p w14:paraId="3F60A0AE" w14:textId="12110A72" w:rsidR="00EB05F7" w:rsidRPr="00EB05F7" w:rsidRDefault="00353C4A" w:rsidP="00EB05F7">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Total Inventories</w:t>
            </w:r>
          </w:p>
        </w:tc>
        <w:tc>
          <w:tcPr>
            <w:tcW w:w="1668" w:type="dxa"/>
            <w:tcBorders>
              <w:top w:val="nil"/>
              <w:left w:val="nil"/>
              <w:bottom w:val="single" w:sz="4" w:space="0" w:color="auto"/>
              <w:right w:val="single" w:sz="4" w:space="0" w:color="auto"/>
            </w:tcBorders>
            <w:shd w:val="clear" w:color="000000" w:fill="C00000"/>
            <w:noWrap/>
            <w:vAlign w:val="bottom"/>
            <w:hideMark/>
          </w:tcPr>
          <w:p w14:paraId="790114D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244</w:t>
            </w:r>
          </w:p>
        </w:tc>
      </w:tr>
    </w:tbl>
    <w:p w14:paraId="131B334D" w14:textId="56EA2BB3" w:rsidR="00D94F0F" w:rsidRPr="00DE1AE6" w:rsidRDefault="00D94F0F" w:rsidP="0079406E">
      <w:pPr>
        <w:autoSpaceDE w:val="0"/>
        <w:autoSpaceDN w:val="0"/>
        <w:adjustRightInd w:val="0"/>
        <w:spacing w:after="0" w:line="240" w:lineRule="auto"/>
        <w:rPr>
          <w:rFonts w:cs="Arial"/>
          <w:b/>
          <w:bCs/>
        </w:rPr>
      </w:pPr>
    </w:p>
    <w:p w14:paraId="79A80265" w14:textId="77777777" w:rsidR="0079406E" w:rsidRPr="007F07C2" w:rsidRDefault="00270ABF"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1</w:t>
      </w:r>
      <w:r w:rsidR="0079406E" w:rsidRPr="007F07C2">
        <w:rPr>
          <w:rFonts w:cs="Arial"/>
          <w:b/>
          <w:bCs/>
          <w:sz w:val="28"/>
          <w:szCs w:val="28"/>
        </w:rPr>
        <w:t xml:space="preserve"> Debtors </w:t>
      </w:r>
    </w:p>
    <w:p w14:paraId="2CF3F915" w14:textId="6465C29D" w:rsidR="000B77A2" w:rsidRDefault="00F07037" w:rsidP="0041448C">
      <w:pPr>
        <w:autoSpaceDE w:val="0"/>
        <w:autoSpaceDN w:val="0"/>
        <w:adjustRightInd w:val="0"/>
        <w:spacing w:after="0" w:line="240" w:lineRule="auto"/>
        <w:ind w:left="720" w:hanging="720"/>
        <w:rPr>
          <w:rFonts w:cs="Arial"/>
        </w:rPr>
      </w:pPr>
      <w:r w:rsidRPr="007F07C2">
        <w:rPr>
          <w:rFonts w:cs="Arial"/>
        </w:rPr>
        <w:t xml:space="preserve">The analysis of Debtors is shown below: </w:t>
      </w:r>
    </w:p>
    <w:p w14:paraId="2EE7EA63" w14:textId="77777777" w:rsidR="00EB05F7" w:rsidRDefault="00EB05F7" w:rsidP="0041448C">
      <w:pPr>
        <w:autoSpaceDE w:val="0"/>
        <w:autoSpaceDN w:val="0"/>
        <w:adjustRightInd w:val="0"/>
        <w:spacing w:after="0" w:line="240" w:lineRule="auto"/>
        <w:ind w:left="720" w:hanging="720"/>
        <w:rPr>
          <w:rFonts w:cs="Arial"/>
        </w:rPr>
      </w:pPr>
    </w:p>
    <w:tbl>
      <w:tblPr>
        <w:tblW w:w="7566" w:type="dxa"/>
        <w:tblLook w:val="04A0" w:firstRow="1" w:lastRow="0" w:firstColumn="1" w:lastColumn="0" w:noHBand="0" w:noVBand="1"/>
      </w:tblPr>
      <w:tblGrid>
        <w:gridCol w:w="1668"/>
        <w:gridCol w:w="4230"/>
        <w:gridCol w:w="1668"/>
      </w:tblGrid>
      <w:tr w:rsidR="00EB05F7" w:rsidRPr="00EB05F7" w14:paraId="19D6239F" w14:textId="77777777" w:rsidTr="00C50505">
        <w:trPr>
          <w:trHeight w:val="375"/>
        </w:trPr>
        <w:tc>
          <w:tcPr>
            <w:tcW w:w="1668" w:type="dxa"/>
            <w:tcBorders>
              <w:top w:val="single" w:sz="4" w:space="0" w:color="auto"/>
              <w:left w:val="single" w:sz="4" w:space="0" w:color="auto"/>
              <w:bottom w:val="nil"/>
              <w:right w:val="nil"/>
            </w:tcBorders>
            <w:shd w:val="clear" w:color="000000" w:fill="C00000"/>
            <w:noWrap/>
            <w:vAlign w:val="bottom"/>
            <w:hideMark/>
          </w:tcPr>
          <w:p w14:paraId="24479DE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6A81C65D"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0FA3CC02"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E2D8AAE" w14:textId="77777777" w:rsidTr="00C50505">
        <w:trPr>
          <w:trHeight w:val="375"/>
        </w:trPr>
        <w:tc>
          <w:tcPr>
            <w:tcW w:w="1668" w:type="dxa"/>
            <w:tcBorders>
              <w:top w:val="nil"/>
              <w:left w:val="single" w:sz="4" w:space="0" w:color="auto"/>
              <w:bottom w:val="nil"/>
              <w:right w:val="nil"/>
            </w:tcBorders>
            <w:shd w:val="clear" w:color="000000" w:fill="C00000"/>
            <w:noWrap/>
            <w:vAlign w:val="bottom"/>
            <w:hideMark/>
          </w:tcPr>
          <w:p w14:paraId="47215BC2"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65CA08E0"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single" w:sz="4" w:space="0" w:color="auto"/>
              <w:right w:val="single" w:sz="4" w:space="0" w:color="auto"/>
            </w:tcBorders>
            <w:shd w:val="clear" w:color="000000" w:fill="C00000"/>
            <w:noWrap/>
            <w:vAlign w:val="bottom"/>
            <w:hideMark/>
          </w:tcPr>
          <w:p w14:paraId="12C36CB1"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49C5A901" w14:textId="77777777" w:rsidTr="00C50505">
        <w:trPr>
          <w:trHeight w:val="375"/>
        </w:trPr>
        <w:tc>
          <w:tcPr>
            <w:tcW w:w="1668" w:type="dxa"/>
            <w:tcBorders>
              <w:top w:val="single" w:sz="4" w:space="0" w:color="auto"/>
              <w:left w:val="single" w:sz="4" w:space="0" w:color="auto"/>
              <w:bottom w:val="nil"/>
              <w:right w:val="nil"/>
            </w:tcBorders>
            <w:shd w:val="clear" w:color="000000" w:fill="FFFFFF"/>
            <w:noWrap/>
            <w:vAlign w:val="bottom"/>
            <w:hideMark/>
          </w:tcPr>
          <w:p w14:paraId="642E20E2"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446</w:t>
            </w:r>
          </w:p>
        </w:tc>
        <w:tc>
          <w:tcPr>
            <w:tcW w:w="4230" w:type="dxa"/>
            <w:tcBorders>
              <w:top w:val="single" w:sz="4" w:space="0" w:color="auto"/>
              <w:left w:val="nil"/>
              <w:bottom w:val="nil"/>
              <w:right w:val="nil"/>
            </w:tcBorders>
            <w:shd w:val="clear" w:color="000000" w:fill="FFFFFF"/>
            <w:noWrap/>
            <w:vAlign w:val="bottom"/>
            <w:hideMark/>
          </w:tcPr>
          <w:p w14:paraId="58B058B0"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Trade Debtors</w:t>
            </w:r>
          </w:p>
        </w:tc>
        <w:tc>
          <w:tcPr>
            <w:tcW w:w="1668" w:type="dxa"/>
            <w:tcBorders>
              <w:top w:val="nil"/>
              <w:left w:val="nil"/>
              <w:bottom w:val="nil"/>
              <w:right w:val="single" w:sz="4" w:space="0" w:color="auto"/>
            </w:tcBorders>
            <w:shd w:val="clear" w:color="000000" w:fill="FFE1E1"/>
            <w:noWrap/>
            <w:vAlign w:val="bottom"/>
            <w:hideMark/>
          </w:tcPr>
          <w:p w14:paraId="004748EF"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571</w:t>
            </w:r>
          </w:p>
        </w:tc>
      </w:tr>
      <w:tr w:rsidR="00EB05F7" w:rsidRPr="00EB05F7" w14:paraId="5C535B55" w14:textId="77777777" w:rsidTr="00C50505">
        <w:trPr>
          <w:trHeight w:val="375"/>
        </w:trPr>
        <w:tc>
          <w:tcPr>
            <w:tcW w:w="1668" w:type="dxa"/>
            <w:tcBorders>
              <w:top w:val="nil"/>
              <w:left w:val="single" w:sz="4" w:space="0" w:color="auto"/>
              <w:bottom w:val="nil"/>
              <w:right w:val="nil"/>
            </w:tcBorders>
            <w:shd w:val="clear" w:color="000000" w:fill="FFFFFF"/>
            <w:noWrap/>
            <w:vAlign w:val="bottom"/>
            <w:hideMark/>
          </w:tcPr>
          <w:p w14:paraId="3EF15D56"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4,792</w:t>
            </w:r>
          </w:p>
        </w:tc>
        <w:tc>
          <w:tcPr>
            <w:tcW w:w="4230" w:type="dxa"/>
            <w:tcBorders>
              <w:top w:val="nil"/>
              <w:left w:val="nil"/>
              <w:bottom w:val="nil"/>
              <w:right w:val="nil"/>
            </w:tcBorders>
            <w:shd w:val="clear" w:color="000000" w:fill="FFFFFF"/>
            <w:noWrap/>
            <w:vAlign w:val="bottom"/>
            <w:hideMark/>
          </w:tcPr>
          <w:p w14:paraId="4C968987"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Debtors</w:t>
            </w:r>
          </w:p>
        </w:tc>
        <w:tc>
          <w:tcPr>
            <w:tcW w:w="1668" w:type="dxa"/>
            <w:tcBorders>
              <w:top w:val="nil"/>
              <w:left w:val="nil"/>
              <w:bottom w:val="nil"/>
              <w:right w:val="single" w:sz="4" w:space="0" w:color="auto"/>
            </w:tcBorders>
            <w:shd w:val="clear" w:color="000000" w:fill="FFE1E1"/>
            <w:noWrap/>
            <w:vAlign w:val="bottom"/>
            <w:hideMark/>
          </w:tcPr>
          <w:p w14:paraId="4626DF5A"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2,025</w:t>
            </w:r>
          </w:p>
        </w:tc>
      </w:tr>
      <w:tr w:rsidR="00EB05F7" w:rsidRPr="00EB05F7" w14:paraId="761AB766" w14:textId="77777777" w:rsidTr="00C50505">
        <w:trPr>
          <w:trHeight w:val="375"/>
        </w:trPr>
        <w:tc>
          <w:tcPr>
            <w:tcW w:w="1668" w:type="dxa"/>
            <w:tcBorders>
              <w:top w:val="nil"/>
              <w:left w:val="single" w:sz="4" w:space="0" w:color="auto"/>
              <w:bottom w:val="single" w:sz="4" w:space="0" w:color="auto"/>
              <w:right w:val="nil"/>
            </w:tcBorders>
            <w:shd w:val="clear" w:color="000000" w:fill="C00000"/>
            <w:noWrap/>
            <w:vAlign w:val="bottom"/>
            <w:hideMark/>
          </w:tcPr>
          <w:p w14:paraId="04E3AB5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5,238</w:t>
            </w:r>
          </w:p>
        </w:tc>
        <w:tc>
          <w:tcPr>
            <w:tcW w:w="4230" w:type="dxa"/>
            <w:tcBorders>
              <w:top w:val="nil"/>
              <w:left w:val="nil"/>
              <w:bottom w:val="single" w:sz="4" w:space="0" w:color="auto"/>
              <w:right w:val="nil"/>
            </w:tcBorders>
            <w:shd w:val="clear" w:color="000000" w:fill="C00000"/>
            <w:noWrap/>
            <w:vAlign w:val="bottom"/>
            <w:hideMark/>
          </w:tcPr>
          <w:p w14:paraId="2D30EBD1" w14:textId="5AD04CAD"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r w:rsidR="00353C4A">
              <w:rPr>
                <w:rFonts w:ascii="Calibri" w:eastAsia="Times New Roman" w:hAnsi="Calibri" w:cs="Calibri"/>
                <w:b/>
                <w:bCs/>
                <w:color w:val="FFFFFF"/>
                <w:lang w:eastAsia="en-GB"/>
              </w:rPr>
              <w:t>Total Debtors</w:t>
            </w:r>
          </w:p>
        </w:tc>
        <w:tc>
          <w:tcPr>
            <w:tcW w:w="1668" w:type="dxa"/>
            <w:tcBorders>
              <w:top w:val="nil"/>
              <w:left w:val="nil"/>
              <w:bottom w:val="single" w:sz="4" w:space="0" w:color="auto"/>
              <w:right w:val="single" w:sz="4" w:space="0" w:color="auto"/>
            </w:tcBorders>
            <w:shd w:val="clear" w:color="000000" w:fill="C00000"/>
            <w:noWrap/>
            <w:vAlign w:val="bottom"/>
            <w:hideMark/>
          </w:tcPr>
          <w:p w14:paraId="48D38824"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2,596</w:t>
            </w:r>
          </w:p>
        </w:tc>
      </w:tr>
    </w:tbl>
    <w:p w14:paraId="55D5DF2F" w14:textId="77777777" w:rsidR="00D94F0F" w:rsidRPr="007F07C2" w:rsidRDefault="00D94F0F" w:rsidP="003A50B8">
      <w:pPr>
        <w:autoSpaceDE w:val="0"/>
        <w:autoSpaceDN w:val="0"/>
        <w:adjustRightInd w:val="0"/>
        <w:spacing w:after="0" w:line="240" w:lineRule="auto"/>
        <w:rPr>
          <w:rFonts w:cs="Arial"/>
        </w:rPr>
      </w:pPr>
    </w:p>
    <w:p w14:paraId="30186FF7" w14:textId="77777777" w:rsidR="000F2345" w:rsidRPr="00B81411" w:rsidRDefault="00177B1F" w:rsidP="00177B1F">
      <w:pPr>
        <w:autoSpaceDE w:val="0"/>
        <w:autoSpaceDN w:val="0"/>
        <w:adjustRightInd w:val="0"/>
        <w:spacing w:after="0" w:line="240" w:lineRule="auto"/>
        <w:rPr>
          <w:rFonts w:cstheme="minorHAnsi"/>
        </w:rPr>
      </w:pPr>
      <w:r w:rsidRPr="00B81411">
        <w:rPr>
          <w:rFonts w:cstheme="minorHAnsi"/>
        </w:rPr>
        <w:t xml:space="preserve">The figures for the previous year have been restated to </w:t>
      </w:r>
      <w:r w:rsidR="00C459F6" w:rsidRPr="00B81411">
        <w:rPr>
          <w:rFonts w:cstheme="minorHAnsi"/>
        </w:rPr>
        <w:t>new categories following changes in</w:t>
      </w:r>
      <w:r w:rsidR="007575A5" w:rsidRPr="00B81411">
        <w:rPr>
          <w:rFonts w:cstheme="minorHAnsi"/>
        </w:rPr>
        <w:t xml:space="preserve"> the</w:t>
      </w:r>
      <w:r w:rsidR="00C459F6" w:rsidRPr="00B81411">
        <w:rPr>
          <w:rFonts w:cstheme="minorHAnsi"/>
        </w:rPr>
        <w:t xml:space="preserve"> accounting </w:t>
      </w:r>
      <w:r w:rsidR="007575A5" w:rsidRPr="00B81411">
        <w:rPr>
          <w:rFonts w:cstheme="minorHAnsi"/>
        </w:rPr>
        <w:t>code of practice</w:t>
      </w:r>
      <w:r w:rsidRPr="00B81411">
        <w:rPr>
          <w:rFonts w:cstheme="minorHAnsi"/>
        </w:rPr>
        <w:t>.  Trade Debtors consist primarily of payments in advance made to suppliers</w:t>
      </w:r>
      <w:r w:rsidR="005B13BC" w:rsidRPr="00B81411">
        <w:rPr>
          <w:rFonts w:cstheme="minorHAnsi"/>
        </w:rPr>
        <w:t xml:space="preserve"> for goods and services.  O</w:t>
      </w:r>
      <w:r w:rsidRPr="00B81411">
        <w:rPr>
          <w:rFonts w:cstheme="minorHAnsi"/>
        </w:rPr>
        <w:t>ther debtors include the Authority’s share of Council Tax and Business Rates debtors due</w:t>
      </w:r>
      <w:r w:rsidR="00C459F6" w:rsidRPr="00B81411">
        <w:rPr>
          <w:rFonts w:cstheme="minorHAnsi"/>
        </w:rPr>
        <w:t xml:space="preserve"> to be paid</w:t>
      </w:r>
      <w:r w:rsidRPr="00B81411">
        <w:rPr>
          <w:rFonts w:cstheme="minorHAnsi"/>
        </w:rPr>
        <w:t xml:space="preserve"> to Districts and Boroughs</w:t>
      </w:r>
      <w:r w:rsidR="00C459F6" w:rsidRPr="00B81411">
        <w:rPr>
          <w:rFonts w:cstheme="minorHAnsi"/>
        </w:rPr>
        <w:t xml:space="preserve"> by taxpayers,</w:t>
      </w:r>
      <w:r w:rsidRPr="00B81411">
        <w:rPr>
          <w:rFonts w:cstheme="minorHAnsi"/>
        </w:rPr>
        <w:t xml:space="preserve"> </w:t>
      </w:r>
      <w:r w:rsidR="00C459F6" w:rsidRPr="00B81411">
        <w:rPr>
          <w:rFonts w:cstheme="minorHAnsi"/>
        </w:rPr>
        <w:t>payments</w:t>
      </w:r>
      <w:r w:rsidRPr="00B81411">
        <w:rPr>
          <w:rFonts w:cstheme="minorHAnsi"/>
        </w:rPr>
        <w:t xml:space="preserve"> due from central government</w:t>
      </w:r>
      <w:r w:rsidR="00C459F6" w:rsidRPr="00B81411">
        <w:rPr>
          <w:rFonts w:cstheme="minorHAnsi"/>
        </w:rPr>
        <w:t xml:space="preserve"> for VAT and grants</w:t>
      </w:r>
      <w:r w:rsidRPr="00B81411">
        <w:rPr>
          <w:rFonts w:cstheme="minorHAnsi"/>
        </w:rPr>
        <w:t xml:space="preserve"> and from other local government organisations</w:t>
      </w:r>
      <w:r w:rsidR="00C459F6" w:rsidRPr="00B81411">
        <w:rPr>
          <w:rFonts w:cstheme="minorHAnsi"/>
        </w:rPr>
        <w:t xml:space="preserve"> for a variety of arrangements</w:t>
      </w:r>
      <w:r w:rsidRPr="00B81411">
        <w:rPr>
          <w:rFonts w:cstheme="minorHAnsi"/>
        </w:rPr>
        <w:t>.</w:t>
      </w:r>
    </w:p>
    <w:p w14:paraId="348C17EB" w14:textId="77777777" w:rsidR="004619A1" w:rsidRPr="007F07C2" w:rsidRDefault="00CD1C28" w:rsidP="00F96A55">
      <w:pPr>
        <w:autoSpaceDE w:val="0"/>
        <w:autoSpaceDN w:val="0"/>
        <w:adjustRightInd w:val="0"/>
        <w:spacing w:after="0" w:line="240" w:lineRule="auto"/>
        <w:ind w:left="720" w:hanging="720"/>
        <w:rPr>
          <w:rFonts w:cs="Arial"/>
          <w:b/>
          <w:bCs/>
          <w:sz w:val="28"/>
          <w:szCs w:val="28"/>
        </w:rPr>
      </w:pPr>
      <w:r w:rsidRPr="007F07C2">
        <w:rPr>
          <w:rFonts w:cs="Arial"/>
        </w:rPr>
        <w:t xml:space="preserve">     </w:t>
      </w:r>
    </w:p>
    <w:p w14:paraId="7D7E6D41" w14:textId="3EE65A19" w:rsidR="00CF1BC8"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2</w:t>
      </w:r>
      <w:r w:rsidR="002D5031" w:rsidRPr="007F07C2">
        <w:rPr>
          <w:rFonts w:cs="Arial"/>
          <w:b/>
          <w:bCs/>
          <w:sz w:val="28"/>
          <w:szCs w:val="28"/>
        </w:rPr>
        <w:t xml:space="preserve"> Cash, </w:t>
      </w:r>
      <w:r w:rsidRPr="007F07C2">
        <w:rPr>
          <w:rFonts w:cs="Arial"/>
          <w:b/>
          <w:bCs/>
          <w:sz w:val="28"/>
          <w:szCs w:val="28"/>
        </w:rPr>
        <w:t xml:space="preserve">cash equivalents </w:t>
      </w:r>
      <w:r w:rsidR="0062025C" w:rsidRPr="007F07C2">
        <w:rPr>
          <w:rFonts w:cs="Arial"/>
          <w:b/>
          <w:bCs/>
          <w:sz w:val="28"/>
          <w:szCs w:val="28"/>
        </w:rPr>
        <w:t>and short term investments</w:t>
      </w:r>
    </w:p>
    <w:p w14:paraId="261B57D0" w14:textId="77777777" w:rsidR="00EB05F7" w:rsidRPr="00EB05F7" w:rsidRDefault="00EB05F7" w:rsidP="0079406E">
      <w:pPr>
        <w:autoSpaceDE w:val="0"/>
        <w:autoSpaceDN w:val="0"/>
        <w:adjustRightInd w:val="0"/>
        <w:spacing w:after="0" w:line="240" w:lineRule="auto"/>
        <w:rPr>
          <w:rFonts w:cs="Arial"/>
          <w:b/>
          <w:bCs/>
        </w:rPr>
      </w:pPr>
    </w:p>
    <w:tbl>
      <w:tblPr>
        <w:tblW w:w="7566" w:type="dxa"/>
        <w:tblLook w:val="04A0" w:firstRow="1" w:lastRow="0" w:firstColumn="1" w:lastColumn="0" w:noHBand="0" w:noVBand="1"/>
      </w:tblPr>
      <w:tblGrid>
        <w:gridCol w:w="1668"/>
        <w:gridCol w:w="4230"/>
        <w:gridCol w:w="1668"/>
      </w:tblGrid>
      <w:tr w:rsidR="00EB05F7" w:rsidRPr="00EB05F7" w14:paraId="6389D4C6" w14:textId="77777777" w:rsidTr="00C50505">
        <w:trPr>
          <w:trHeight w:val="391"/>
        </w:trPr>
        <w:tc>
          <w:tcPr>
            <w:tcW w:w="1668" w:type="dxa"/>
            <w:tcBorders>
              <w:top w:val="single" w:sz="4" w:space="0" w:color="auto"/>
              <w:left w:val="single" w:sz="4" w:space="0" w:color="auto"/>
              <w:bottom w:val="nil"/>
              <w:right w:val="nil"/>
            </w:tcBorders>
            <w:shd w:val="clear" w:color="000000" w:fill="C00000"/>
            <w:noWrap/>
            <w:vAlign w:val="bottom"/>
            <w:hideMark/>
          </w:tcPr>
          <w:p w14:paraId="42049B9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45D1CFC3"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1D1C58DD"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043B2725" w14:textId="77777777" w:rsidTr="00C50505">
        <w:trPr>
          <w:trHeight w:val="391"/>
        </w:trPr>
        <w:tc>
          <w:tcPr>
            <w:tcW w:w="1668" w:type="dxa"/>
            <w:tcBorders>
              <w:top w:val="nil"/>
              <w:left w:val="single" w:sz="4" w:space="0" w:color="auto"/>
              <w:bottom w:val="nil"/>
              <w:right w:val="nil"/>
            </w:tcBorders>
            <w:shd w:val="clear" w:color="000000" w:fill="C00000"/>
            <w:noWrap/>
            <w:vAlign w:val="bottom"/>
            <w:hideMark/>
          </w:tcPr>
          <w:p w14:paraId="39B49C8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60E4BBE8"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4209923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09122458" w14:textId="77777777" w:rsidTr="00C50505">
        <w:trPr>
          <w:trHeight w:val="391"/>
        </w:trPr>
        <w:tc>
          <w:tcPr>
            <w:tcW w:w="1668" w:type="dxa"/>
            <w:tcBorders>
              <w:top w:val="nil"/>
              <w:left w:val="single" w:sz="4" w:space="0" w:color="auto"/>
              <w:bottom w:val="nil"/>
              <w:right w:val="nil"/>
            </w:tcBorders>
            <w:shd w:val="clear" w:color="000000" w:fill="FFFFFF"/>
            <w:noWrap/>
            <w:vAlign w:val="bottom"/>
            <w:hideMark/>
          </w:tcPr>
          <w:p w14:paraId="6C595DC7"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2,808</w:t>
            </w:r>
          </w:p>
        </w:tc>
        <w:tc>
          <w:tcPr>
            <w:tcW w:w="4230" w:type="dxa"/>
            <w:tcBorders>
              <w:top w:val="nil"/>
              <w:left w:val="nil"/>
              <w:bottom w:val="nil"/>
              <w:right w:val="nil"/>
            </w:tcBorders>
            <w:shd w:val="clear" w:color="000000" w:fill="FFFFFF"/>
            <w:noWrap/>
            <w:vAlign w:val="bottom"/>
            <w:hideMark/>
          </w:tcPr>
          <w:p w14:paraId="3B6F82FF"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Cash at Bank</w:t>
            </w:r>
          </w:p>
        </w:tc>
        <w:tc>
          <w:tcPr>
            <w:tcW w:w="1668" w:type="dxa"/>
            <w:tcBorders>
              <w:top w:val="nil"/>
              <w:left w:val="nil"/>
              <w:bottom w:val="nil"/>
              <w:right w:val="single" w:sz="4" w:space="0" w:color="auto"/>
            </w:tcBorders>
            <w:shd w:val="clear" w:color="000000" w:fill="FFE1E1"/>
            <w:noWrap/>
            <w:vAlign w:val="bottom"/>
            <w:hideMark/>
          </w:tcPr>
          <w:p w14:paraId="40013319"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2,105</w:t>
            </w:r>
          </w:p>
        </w:tc>
      </w:tr>
      <w:tr w:rsidR="00EB05F7" w:rsidRPr="00EB05F7" w14:paraId="6D89F523" w14:textId="77777777" w:rsidTr="00C50505">
        <w:trPr>
          <w:trHeight w:val="391"/>
        </w:trPr>
        <w:tc>
          <w:tcPr>
            <w:tcW w:w="1668" w:type="dxa"/>
            <w:tcBorders>
              <w:top w:val="nil"/>
              <w:left w:val="single" w:sz="4" w:space="0" w:color="auto"/>
              <w:bottom w:val="single" w:sz="4" w:space="0" w:color="auto"/>
              <w:right w:val="nil"/>
            </w:tcBorders>
            <w:shd w:val="clear" w:color="000000" w:fill="C00000"/>
            <w:noWrap/>
            <w:vAlign w:val="bottom"/>
            <w:hideMark/>
          </w:tcPr>
          <w:p w14:paraId="18090AC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2,808</w:t>
            </w:r>
          </w:p>
        </w:tc>
        <w:tc>
          <w:tcPr>
            <w:tcW w:w="4230" w:type="dxa"/>
            <w:tcBorders>
              <w:top w:val="nil"/>
              <w:left w:val="nil"/>
              <w:bottom w:val="single" w:sz="4" w:space="0" w:color="auto"/>
              <w:right w:val="nil"/>
            </w:tcBorders>
            <w:shd w:val="clear" w:color="000000" w:fill="C00000"/>
            <w:noWrap/>
            <w:vAlign w:val="bottom"/>
            <w:hideMark/>
          </w:tcPr>
          <w:p w14:paraId="2DEF40B9"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 Cash</w:t>
            </w:r>
          </w:p>
        </w:tc>
        <w:tc>
          <w:tcPr>
            <w:tcW w:w="1668" w:type="dxa"/>
            <w:tcBorders>
              <w:top w:val="nil"/>
              <w:left w:val="nil"/>
              <w:bottom w:val="single" w:sz="4" w:space="0" w:color="auto"/>
              <w:right w:val="single" w:sz="4" w:space="0" w:color="auto"/>
            </w:tcBorders>
            <w:shd w:val="clear" w:color="000000" w:fill="C00000"/>
            <w:noWrap/>
            <w:vAlign w:val="bottom"/>
            <w:hideMark/>
          </w:tcPr>
          <w:p w14:paraId="4E92B72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2,105</w:t>
            </w:r>
          </w:p>
        </w:tc>
      </w:tr>
    </w:tbl>
    <w:p w14:paraId="6BCF635D" w14:textId="0CC566EF" w:rsidR="00755192" w:rsidRDefault="00755192" w:rsidP="002D5031">
      <w:pPr>
        <w:autoSpaceDE w:val="0"/>
        <w:autoSpaceDN w:val="0"/>
        <w:adjustRightInd w:val="0"/>
        <w:spacing w:after="0" w:line="240" w:lineRule="auto"/>
        <w:rPr>
          <w:rFonts w:cs="Arial"/>
          <w:b/>
          <w:bCs/>
        </w:rPr>
      </w:pPr>
    </w:p>
    <w:p w14:paraId="0C0AA6E9" w14:textId="77777777" w:rsidR="00EB05F7" w:rsidRPr="00DE1AE6" w:rsidRDefault="00EB05F7" w:rsidP="002D5031">
      <w:pPr>
        <w:autoSpaceDE w:val="0"/>
        <w:autoSpaceDN w:val="0"/>
        <w:adjustRightInd w:val="0"/>
        <w:spacing w:after="0" w:line="240" w:lineRule="auto"/>
        <w:rPr>
          <w:rFonts w:cs="Arial"/>
          <w:b/>
          <w:bCs/>
        </w:rPr>
      </w:pPr>
    </w:p>
    <w:tbl>
      <w:tblPr>
        <w:tblW w:w="7560" w:type="dxa"/>
        <w:tblLook w:val="04A0" w:firstRow="1" w:lastRow="0" w:firstColumn="1" w:lastColumn="0" w:noHBand="0" w:noVBand="1"/>
      </w:tblPr>
      <w:tblGrid>
        <w:gridCol w:w="1667"/>
        <w:gridCol w:w="4226"/>
        <w:gridCol w:w="1667"/>
      </w:tblGrid>
      <w:tr w:rsidR="00EB05F7" w:rsidRPr="00EB05F7" w14:paraId="38378F4F" w14:textId="77777777" w:rsidTr="00C50505">
        <w:trPr>
          <w:trHeight w:val="370"/>
        </w:trPr>
        <w:tc>
          <w:tcPr>
            <w:tcW w:w="1667" w:type="dxa"/>
            <w:tcBorders>
              <w:top w:val="single" w:sz="4" w:space="0" w:color="auto"/>
              <w:left w:val="single" w:sz="4" w:space="0" w:color="auto"/>
              <w:bottom w:val="nil"/>
              <w:right w:val="nil"/>
            </w:tcBorders>
            <w:shd w:val="clear" w:color="000000" w:fill="C00000"/>
            <w:noWrap/>
            <w:vAlign w:val="bottom"/>
            <w:hideMark/>
          </w:tcPr>
          <w:p w14:paraId="6BBD583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26" w:type="dxa"/>
            <w:tcBorders>
              <w:top w:val="single" w:sz="4" w:space="0" w:color="auto"/>
              <w:left w:val="nil"/>
              <w:bottom w:val="nil"/>
              <w:right w:val="nil"/>
            </w:tcBorders>
            <w:shd w:val="clear" w:color="000000" w:fill="C00000"/>
            <w:noWrap/>
            <w:vAlign w:val="bottom"/>
            <w:hideMark/>
          </w:tcPr>
          <w:p w14:paraId="59ED838D"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7" w:type="dxa"/>
            <w:tcBorders>
              <w:top w:val="single" w:sz="4" w:space="0" w:color="auto"/>
              <w:left w:val="nil"/>
              <w:bottom w:val="nil"/>
              <w:right w:val="single" w:sz="4" w:space="0" w:color="auto"/>
            </w:tcBorders>
            <w:shd w:val="clear" w:color="000000" w:fill="C00000"/>
            <w:noWrap/>
            <w:vAlign w:val="bottom"/>
            <w:hideMark/>
          </w:tcPr>
          <w:p w14:paraId="07DCAF2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31B05598" w14:textId="77777777" w:rsidTr="00C50505">
        <w:trPr>
          <w:trHeight w:val="370"/>
        </w:trPr>
        <w:tc>
          <w:tcPr>
            <w:tcW w:w="1667" w:type="dxa"/>
            <w:tcBorders>
              <w:top w:val="nil"/>
              <w:left w:val="single" w:sz="4" w:space="0" w:color="auto"/>
              <w:bottom w:val="nil"/>
              <w:right w:val="nil"/>
            </w:tcBorders>
            <w:shd w:val="clear" w:color="000000" w:fill="C00000"/>
            <w:noWrap/>
            <w:vAlign w:val="bottom"/>
            <w:hideMark/>
          </w:tcPr>
          <w:p w14:paraId="4681890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26" w:type="dxa"/>
            <w:tcBorders>
              <w:top w:val="nil"/>
              <w:left w:val="nil"/>
              <w:bottom w:val="nil"/>
              <w:right w:val="nil"/>
            </w:tcBorders>
            <w:shd w:val="clear" w:color="000000" w:fill="C00000"/>
            <w:noWrap/>
            <w:vAlign w:val="bottom"/>
            <w:hideMark/>
          </w:tcPr>
          <w:p w14:paraId="72722495"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7" w:type="dxa"/>
            <w:tcBorders>
              <w:top w:val="nil"/>
              <w:left w:val="nil"/>
              <w:bottom w:val="nil"/>
              <w:right w:val="single" w:sz="4" w:space="0" w:color="auto"/>
            </w:tcBorders>
            <w:shd w:val="clear" w:color="000000" w:fill="C00000"/>
            <w:noWrap/>
            <w:vAlign w:val="bottom"/>
            <w:hideMark/>
          </w:tcPr>
          <w:p w14:paraId="1FF268EF"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3DFDE651" w14:textId="77777777" w:rsidTr="00C50505">
        <w:trPr>
          <w:trHeight w:val="370"/>
        </w:trPr>
        <w:tc>
          <w:tcPr>
            <w:tcW w:w="1667" w:type="dxa"/>
            <w:tcBorders>
              <w:top w:val="nil"/>
              <w:left w:val="single" w:sz="4" w:space="0" w:color="auto"/>
              <w:bottom w:val="nil"/>
              <w:right w:val="nil"/>
            </w:tcBorders>
            <w:shd w:val="clear" w:color="000000" w:fill="FFFFFF"/>
            <w:noWrap/>
            <w:vAlign w:val="bottom"/>
            <w:hideMark/>
          </w:tcPr>
          <w:p w14:paraId="54D0679B"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3,000</w:t>
            </w:r>
          </w:p>
        </w:tc>
        <w:tc>
          <w:tcPr>
            <w:tcW w:w="4226" w:type="dxa"/>
            <w:tcBorders>
              <w:top w:val="nil"/>
              <w:left w:val="nil"/>
              <w:bottom w:val="nil"/>
              <w:right w:val="nil"/>
            </w:tcBorders>
            <w:shd w:val="clear" w:color="000000" w:fill="FFFFFF"/>
            <w:noWrap/>
            <w:vAlign w:val="bottom"/>
            <w:hideMark/>
          </w:tcPr>
          <w:p w14:paraId="5A2398C6"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Cash at Bank (95 Day Notice Account)</w:t>
            </w:r>
          </w:p>
        </w:tc>
        <w:tc>
          <w:tcPr>
            <w:tcW w:w="1667" w:type="dxa"/>
            <w:tcBorders>
              <w:top w:val="nil"/>
              <w:left w:val="nil"/>
              <w:bottom w:val="nil"/>
              <w:right w:val="single" w:sz="4" w:space="0" w:color="auto"/>
            </w:tcBorders>
            <w:shd w:val="clear" w:color="000000" w:fill="FFE1E1"/>
            <w:noWrap/>
            <w:vAlign w:val="bottom"/>
            <w:hideMark/>
          </w:tcPr>
          <w:p w14:paraId="22A8BA40"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3,000</w:t>
            </w:r>
          </w:p>
        </w:tc>
      </w:tr>
      <w:tr w:rsidR="00EB05F7" w:rsidRPr="00EB05F7" w14:paraId="151007C9" w14:textId="77777777" w:rsidTr="00C50505">
        <w:trPr>
          <w:trHeight w:val="370"/>
        </w:trPr>
        <w:tc>
          <w:tcPr>
            <w:tcW w:w="1667" w:type="dxa"/>
            <w:tcBorders>
              <w:top w:val="nil"/>
              <w:left w:val="single" w:sz="4" w:space="0" w:color="auto"/>
              <w:bottom w:val="single" w:sz="4" w:space="0" w:color="auto"/>
              <w:right w:val="nil"/>
            </w:tcBorders>
            <w:shd w:val="clear" w:color="000000" w:fill="C00000"/>
            <w:noWrap/>
            <w:vAlign w:val="bottom"/>
            <w:hideMark/>
          </w:tcPr>
          <w:p w14:paraId="50798CB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3,000</w:t>
            </w:r>
          </w:p>
        </w:tc>
        <w:tc>
          <w:tcPr>
            <w:tcW w:w="4226" w:type="dxa"/>
            <w:tcBorders>
              <w:top w:val="nil"/>
              <w:left w:val="nil"/>
              <w:bottom w:val="single" w:sz="4" w:space="0" w:color="auto"/>
              <w:right w:val="nil"/>
            </w:tcBorders>
            <w:shd w:val="clear" w:color="000000" w:fill="C00000"/>
            <w:noWrap/>
            <w:vAlign w:val="bottom"/>
            <w:hideMark/>
          </w:tcPr>
          <w:p w14:paraId="62171EE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 Short Term Investments</w:t>
            </w:r>
          </w:p>
        </w:tc>
        <w:tc>
          <w:tcPr>
            <w:tcW w:w="1667" w:type="dxa"/>
            <w:tcBorders>
              <w:top w:val="nil"/>
              <w:left w:val="nil"/>
              <w:bottom w:val="single" w:sz="4" w:space="0" w:color="auto"/>
              <w:right w:val="single" w:sz="4" w:space="0" w:color="auto"/>
            </w:tcBorders>
            <w:shd w:val="clear" w:color="000000" w:fill="C00000"/>
            <w:noWrap/>
            <w:vAlign w:val="bottom"/>
            <w:hideMark/>
          </w:tcPr>
          <w:p w14:paraId="2C09F53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3,000</w:t>
            </w:r>
          </w:p>
        </w:tc>
      </w:tr>
    </w:tbl>
    <w:p w14:paraId="7F6CB31B" w14:textId="77777777" w:rsidR="00EB05F7" w:rsidRPr="00EB05F7" w:rsidRDefault="00EB05F7" w:rsidP="0079406E">
      <w:pPr>
        <w:autoSpaceDE w:val="0"/>
        <w:autoSpaceDN w:val="0"/>
        <w:adjustRightInd w:val="0"/>
        <w:spacing w:after="0" w:line="240" w:lineRule="auto"/>
        <w:rPr>
          <w:rFonts w:cs="Arial"/>
          <w:b/>
          <w:bCs/>
        </w:rPr>
      </w:pPr>
    </w:p>
    <w:p w14:paraId="0E23D156" w14:textId="14A7AB8B"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3</w:t>
      </w:r>
      <w:r w:rsidRPr="007F07C2">
        <w:rPr>
          <w:rFonts w:cs="Arial"/>
          <w:b/>
          <w:bCs/>
          <w:sz w:val="28"/>
          <w:szCs w:val="28"/>
        </w:rPr>
        <w:t xml:space="preserve"> Assets held for sale </w:t>
      </w:r>
    </w:p>
    <w:p w14:paraId="0B43AFBA" w14:textId="2EBD4F99" w:rsidR="00F03469" w:rsidRDefault="00A170F5" w:rsidP="00EB05F7">
      <w:pPr>
        <w:autoSpaceDE w:val="0"/>
        <w:autoSpaceDN w:val="0"/>
        <w:adjustRightInd w:val="0"/>
        <w:spacing w:after="0" w:line="240" w:lineRule="auto"/>
        <w:rPr>
          <w:rFonts w:cs="Arial"/>
          <w:b/>
          <w:bCs/>
          <w:sz w:val="28"/>
          <w:szCs w:val="28"/>
        </w:rPr>
      </w:pPr>
      <w:r w:rsidRPr="007F07C2">
        <w:rPr>
          <w:rFonts w:cs="Arial"/>
        </w:rPr>
        <w:t>The Authority has no assets held for sale at the 31st March 20</w:t>
      </w:r>
      <w:r w:rsidR="004B0876" w:rsidRPr="007F07C2">
        <w:rPr>
          <w:rFonts w:cs="Arial"/>
        </w:rPr>
        <w:t>2</w:t>
      </w:r>
      <w:r w:rsidR="00D94F0F">
        <w:rPr>
          <w:rFonts w:cs="Arial"/>
        </w:rPr>
        <w:t>2</w:t>
      </w:r>
    </w:p>
    <w:p w14:paraId="2FA368D0" w14:textId="31242FFA" w:rsidR="00EB05F7" w:rsidRDefault="00EB05F7">
      <w:pPr>
        <w:rPr>
          <w:rFonts w:cs="Arial"/>
          <w:b/>
          <w:bCs/>
        </w:rPr>
      </w:pPr>
      <w:r>
        <w:rPr>
          <w:rFonts w:cs="Arial"/>
          <w:b/>
          <w:bCs/>
        </w:rPr>
        <w:br w:type="page"/>
      </w:r>
    </w:p>
    <w:p w14:paraId="3EB92D04" w14:textId="77777777"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1</w:t>
      </w:r>
      <w:r w:rsidR="00E55282" w:rsidRPr="007F07C2">
        <w:rPr>
          <w:rFonts w:cs="Arial"/>
          <w:b/>
          <w:bCs/>
          <w:sz w:val="28"/>
          <w:szCs w:val="28"/>
        </w:rPr>
        <w:t>4</w:t>
      </w:r>
      <w:r w:rsidRPr="007F07C2">
        <w:rPr>
          <w:rFonts w:cs="Arial"/>
          <w:b/>
          <w:bCs/>
          <w:sz w:val="28"/>
          <w:szCs w:val="28"/>
        </w:rPr>
        <w:t xml:space="preserve"> Creditors </w:t>
      </w:r>
    </w:p>
    <w:p w14:paraId="74D2C020" w14:textId="79C8B532" w:rsidR="007575A5" w:rsidRDefault="0079406E" w:rsidP="005B13BC">
      <w:pPr>
        <w:autoSpaceDE w:val="0"/>
        <w:autoSpaceDN w:val="0"/>
        <w:adjustRightInd w:val="0"/>
        <w:spacing w:after="0" w:line="240" w:lineRule="auto"/>
        <w:rPr>
          <w:rFonts w:cs="Arial"/>
        </w:rPr>
      </w:pPr>
      <w:r w:rsidRPr="007F07C2">
        <w:rPr>
          <w:rFonts w:cs="Arial"/>
        </w:rPr>
        <w:t xml:space="preserve">The analysis of Creditors is shown below: </w:t>
      </w:r>
    </w:p>
    <w:p w14:paraId="23DC346E" w14:textId="77777777" w:rsidR="00EB05F7" w:rsidRPr="00DE1AE6" w:rsidRDefault="00EB05F7" w:rsidP="005B13BC">
      <w:pPr>
        <w:autoSpaceDE w:val="0"/>
        <w:autoSpaceDN w:val="0"/>
        <w:adjustRightInd w:val="0"/>
        <w:spacing w:after="0" w:line="240" w:lineRule="auto"/>
        <w:rPr>
          <w:rFonts w:cs="Arial"/>
        </w:rPr>
      </w:pPr>
    </w:p>
    <w:tbl>
      <w:tblPr>
        <w:tblW w:w="7566" w:type="dxa"/>
        <w:tblLook w:val="04A0" w:firstRow="1" w:lastRow="0" w:firstColumn="1" w:lastColumn="0" w:noHBand="0" w:noVBand="1"/>
      </w:tblPr>
      <w:tblGrid>
        <w:gridCol w:w="1668"/>
        <w:gridCol w:w="4230"/>
        <w:gridCol w:w="1668"/>
      </w:tblGrid>
      <w:tr w:rsidR="00EB05F7" w:rsidRPr="00EB05F7" w14:paraId="2AFB3001" w14:textId="77777777" w:rsidTr="00C50505">
        <w:trPr>
          <w:trHeight w:val="317"/>
        </w:trPr>
        <w:tc>
          <w:tcPr>
            <w:tcW w:w="1668" w:type="dxa"/>
            <w:tcBorders>
              <w:top w:val="single" w:sz="4" w:space="0" w:color="auto"/>
              <w:left w:val="single" w:sz="4" w:space="0" w:color="auto"/>
              <w:bottom w:val="nil"/>
              <w:right w:val="nil"/>
            </w:tcBorders>
            <w:shd w:val="clear" w:color="000000" w:fill="C00000"/>
            <w:noWrap/>
            <w:vAlign w:val="bottom"/>
            <w:hideMark/>
          </w:tcPr>
          <w:p w14:paraId="5F071FF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bottom"/>
            <w:hideMark/>
          </w:tcPr>
          <w:p w14:paraId="2F62B441"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bottom"/>
            <w:hideMark/>
          </w:tcPr>
          <w:p w14:paraId="78A9F3C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B7C5266" w14:textId="77777777" w:rsidTr="00C50505">
        <w:trPr>
          <w:trHeight w:val="317"/>
        </w:trPr>
        <w:tc>
          <w:tcPr>
            <w:tcW w:w="1668" w:type="dxa"/>
            <w:tcBorders>
              <w:top w:val="nil"/>
              <w:left w:val="single" w:sz="4" w:space="0" w:color="auto"/>
              <w:bottom w:val="nil"/>
              <w:right w:val="nil"/>
            </w:tcBorders>
            <w:shd w:val="clear" w:color="000000" w:fill="C00000"/>
            <w:noWrap/>
            <w:vAlign w:val="bottom"/>
            <w:hideMark/>
          </w:tcPr>
          <w:p w14:paraId="016D6E1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5E25D02F"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6BB074C3"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5D86F560" w14:textId="77777777" w:rsidTr="00C50505">
        <w:trPr>
          <w:trHeight w:val="317"/>
        </w:trPr>
        <w:tc>
          <w:tcPr>
            <w:tcW w:w="1668" w:type="dxa"/>
            <w:tcBorders>
              <w:top w:val="nil"/>
              <w:left w:val="single" w:sz="4" w:space="0" w:color="auto"/>
              <w:bottom w:val="nil"/>
              <w:right w:val="nil"/>
            </w:tcBorders>
            <w:shd w:val="clear" w:color="000000" w:fill="FFFFFF"/>
            <w:noWrap/>
            <w:vAlign w:val="bottom"/>
            <w:hideMark/>
          </w:tcPr>
          <w:p w14:paraId="1B72131C"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(922)</w:t>
            </w:r>
          </w:p>
        </w:tc>
        <w:tc>
          <w:tcPr>
            <w:tcW w:w="4230" w:type="dxa"/>
            <w:tcBorders>
              <w:top w:val="nil"/>
              <w:left w:val="nil"/>
              <w:bottom w:val="nil"/>
              <w:right w:val="nil"/>
            </w:tcBorders>
            <w:shd w:val="clear" w:color="000000" w:fill="FFFFFF"/>
            <w:noWrap/>
            <w:vAlign w:val="bottom"/>
            <w:hideMark/>
          </w:tcPr>
          <w:p w14:paraId="0253DCFC"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Trade Creditors</w:t>
            </w:r>
          </w:p>
        </w:tc>
        <w:tc>
          <w:tcPr>
            <w:tcW w:w="1668" w:type="dxa"/>
            <w:tcBorders>
              <w:top w:val="nil"/>
              <w:left w:val="nil"/>
              <w:bottom w:val="nil"/>
              <w:right w:val="single" w:sz="4" w:space="0" w:color="auto"/>
            </w:tcBorders>
            <w:shd w:val="clear" w:color="000000" w:fill="FFE1E1"/>
            <w:noWrap/>
            <w:vAlign w:val="center"/>
            <w:hideMark/>
          </w:tcPr>
          <w:p w14:paraId="665171C8"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(1,520)</w:t>
            </w:r>
          </w:p>
        </w:tc>
      </w:tr>
      <w:tr w:rsidR="00EB05F7" w:rsidRPr="00EB05F7" w14:paraId="5AB6B460" w14:textId="77777777" w:rsidTr="00C50505">
        <w:trPr>
          <w:trHeight w:val="317"/>
        </w:trPr>
        <w:tc>
          <w:tcPr>
            <w:tcW w:w="1668" w:type="dxa"/>
            <w:tcBorders>
              <w:top w:val="nil"/>
              <w:left w:val="single" w:sz="4" w:space="0" w:color="auto"/>
              <w:bottom w:val="nil"/>
              <w:right w:val="nil"/>
            </w:tcBorders>
            <w:shd w:val="clear" w:color="000000" w:fill="FFFFFF"/>
            <w:noWrap/>
            <w:vAlign w:val="bottom"/>
            <w:hideMark/>
          </w:tcPr>
          <w:p w14:paraId="1D804E0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(4,411)</w:t>
            </w:r>
          </w:p>
        </w:tc>
        <w:tc>
          <w:tcPr>
            <w:tcW w:w="4230" w:type="dxa"/>
            <w:tcBorders>
              <w:top w:val="nil"/>
              <w:left w:val="nil"/>
              <w:bottom w:val="nil"/>
              <w:right w:val="nil"/>
            </w:tcBorders>
            <w:shd w:val="clear" w:color="000000" w:fill="FFFFFF"/>
            <w:noWrap/>
            <w:vAlign w:val="bottom"/>
            <w:hideMark/>
          </w:tcPr>
          <w:p w14:paraId="5E3F0AF5"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Creditors</w:t>
            </w:r>
          </w:p>
        </w:tc>
        <w:tc>
          <w:tcPr>
            <w:tcW w:w="1668" w:type="dxa"/>
            <w:tcBorders>
              <w:top w:val="nil"/>
              <w:left w:val="nil"/>
              <w:bottom w:val="nil"/>
              <w:right w:val="single" w:sz="4" w:space="0" w:color="auto"/>
            </w:tcBorders>
            <w:shd w:val="clear" w:color="000000" w:fill="FFE1E1"/>
            <w:noWrap/>
            <w:vAlign w:val="center"/>
            <w:hideMark/>
          </w:tcPr>
          <w:p w14:paraId="339448B9"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(2,929)</w:t>
            </w:r>
          </w:p>
        </w:tc>
      </w:tr>
      <w:tr w:rsidR="00353C4A" w:rsidRPr="00EB05F7" w14:paraId="6E59F7BA" w14:textId="77777777" w:rsidTr="00C50505">
        <w:trPr>
          <w:trHeight w:val="317"/>
        </w:trPr>
        <w:tc>
          <w:tcPr>
            <w:tcW w:w="1668" w:type="dxa"/>
            <w:tcBorders>
              <w:top w:val="nil"/>
              <w:left w:val="single" w:sz="4" w:space="0" w:color="auto"/>
              <w:bottom w:val="single" w:sz="4" w:space="0" w:color="auto"/>
              <w:right w:val="nil"/>
            </w:tcBorders>
            <w:shd w:val="clear" w:color="000000" w:fill="C00000"/>
            <w:noWrap/>
            <w:vAlign w:val="bottom"/>
            <w:hideMark/>
          </w:tcPr>
          <w:p w14:paraId="2E32B88B" w14:textId="77777777" w:rsidR="00353C4A" w:rsidRPr="00EB05F7" w:rsidRDefault="00353C4A" w:rsidP="00353C4A">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(5,333)</w:t>
            </w:r>
          </w:p>
        </w:tc>
        <w:tc>
          <w:tcPr>
            <w:tcW w:w="4230" w:type="dxa"/>
            <w:tcBorders>
              <w:top w:val="nil"/>
              <w:left w:val="nil"/>
              <w:bottom w:val="single" w:sz="4" w:space="0" w:color="auto"/>
              <w:right w:val="nil"/>
            </w:tcBorders>
            <w:shd w:val="clear" w:color="000000" w:fill="C00000"/>
            <w:noWrap/>
            <w:vAlign w:val="bottom"/>
            <w:hideMark/>
          </w:tcPr>
          <w:p w14:paraId="6ADE7506" w14:textId="28E0FD90" w:rsidR="00353C4A" w:rsidRPr="00EB05F7" w:rsidRDefault="00353C4A" w:rsidP="00353C4A">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w:t>
            </w:r>
            <w:r>
              <w:rPr>
                <w:rFonts w:ascii="Calibri" w:eastAsia="Times New Roman" w:hAnsi="Calibri" w:cs="Calibri"/>
                <w:b/>
                <w:bCs/>
                <w:color w:val="FFFFFF"/>
                <w:lang w:eastAsia="en-GB"/>
              </w:rPr>
              <w:t xml:space="preserve"> Creditors</w:t>
            </w:r>
          </w:p>
        </w:tc>
        <w:tc>
          <w:tcPr>
            <w:tcW w:w="1668" w:type="dxa"/>
            <w:tcBorders>
              <w:top w:val="nil"/>
              <w:left w:val="nil"/>
              <w:bottom w:val="single" w:sz="4" w:space="0" w:color="auto"/>
              <w:right w:val="single" w:sz="4" w:space="0" w:color="auto"/>
            </w:tcBorders>
            <w:shd w:val="clear" w:color="000000" w:fill="C00000"/>
            <w:noWrap/>
            <w:vAlign w:val="bottom"/>
            <w:hideMark/>
          </w:tcPr>
          <w:p w14:paraId="733C60C9" w14:textId="77777777" w:rsidR="00353C4A" w:rsidRPr="00EB05F7" w:rsidRDefault="00353C4A" w:rsidP="00353C4A">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(4,449)</w:t>
            </w:r>
          </w:p>
        </w:tc>
      </w:tr>
    </w:tbl>
    <w:p w14:paraId="6F330B60" w14:textId="77777777" w:rsidR="00EB05F7" w:rsidRDefault="00EB05F7" w:rsidP="005B13BC">
      <w:pPr>
        <w:autoSpaceDE w:val="0"/>
        <w:autoSpaceDN w:val="0"/>
        <w:adjustRightInd w:val="0"/>
        <w:spacing w:after="0" w:line="240" w:lineRule="auto"/>
        <w:rPr>
          <w:rFonts w:cs="Arial"/>
        </w:rPr>
      </w:pPr>
    </w:p>
    <w:p w14:paraId="29F415DD" w14:textId="7A321A97" w:rsidR="005B13BC" w:rsidRPr="00ED2A06" w:rsidRDefault="005B13BC" w:rsidP="005B13BC">
      <w:pPr>
        <w:autoSpaceDE w:val="0"/>
        <w:autoSpaceDN w:val="0"/>
        <w:adjustRightInd w:val="0"/>
        <w:spacing w:after="0" w:line="240" w:lineRule="auto"/>
        <w:rPr>
          <w:rFonts w:cs="Arial"/>
        </w:rPr>
      </w:pPr>
      <w:r w:rsidRPr="00ED2A06">
        <w:rPr>
          <w:rFonts w:cs="Arial"/>
        </w:rPr>
        <w:t xml:space="preserve">The figures for the previous year have been restated to new categories </w:t>
      </w:r>
      <w:r w:rsidR="00C459F6" w:rsidRPr="00ED2A06">
        <w:rPr>
          <w:rFonts w:cs="Arial"/>
        </w:rPr>
        <w:t xml:space="preserve">following changes in </w:t>
      </w:r>
      <w:r w:rsidR="007575A5" w:rsidRPr="00ED2A06">
        <w:rPr>
          <w:rFonts w:cs="Arial"/>
        </w:rPr>
        <w:t xml:space="preserve">the </w:t>
      </w:r>
      <w:r w:rsidR="00C459F6" w:rsidRPr="00ED2A06">
        <w:rPr>
          <w:rFonts w:cs="Arial"/>
        </w:rPr>
        <w:t xml:space="preserve">accounting </w:t>
      </w:r>
      <w:r w:rsidR="007575A5" w:rsidRPr="00ED2A06">
        <w:rPr>
          <w:rFonts w:cs="Arial"/>
        </w:rPr>
        <w:t>code of practice</w:t>
      </w:r>
      <w:r w:rsidRPr="00ED2A06">
        <w:rPr>
          <w:rFonts w:cs="Arial"/>
        </w:rPr>
        <w:t>.  Trade Creditors consist primarily of payments due to be made to suppliers.  Other creditors include the Authority’s share of Council Tax and Business Rates prepayments made to Districts and Boroughs</w:t>
      </w:r>
      <w:r w:rsidR="00C459F6" w:rsidRPr="00ED2A06">
        <w:rPr>
          <w:rFonts w:cs="Arial"/>
        </w:rPr>
        <w:t xml:space="preserve"> by taxpayers</w:t>
      </w:r>
      <w:r w:rsidRPr="00ED2A06">
        <w:rPr>
          <w:rFonts w:cs="Arial"/>
        </w:rPr>
        <w:t>, grants received in advance from central government (details in note 15), payments due to central government for income tax and national insurance and pension contributions due to be paid to the pension fund.</w:t>
      </w:r>
    </w:p>
    <w:p w14:paraId="13F78772" w14:textId="77777777" w:rsidR="00727C47" w:rsidRPr="007F07C2" w:rsidRDefault="00727C47" w:rsidP="0087276D">
      <w:pPr>
        <w:autoSpaceDE w:val="0"/>
        <w:autoSpaceDN w:val="0"/>
        <w:adjustRightInd w:val="0"/>
        <w:spacing w:after="0" w:line="240" w:lineRule="auto"/>
        <w:rPr>
          <w:rFonts w:cstheme="minorHAnsi"/>
          <w:b/>
          <w:bCs/>
        </w:rPr>
      </w:pPr>
    </w:p>
    <w:p w14:paraId="1A13D0D2" w14:textId="77777777" w:rsidR="0087276D" w:rsidRPr="007F07C2" w:rsidRDefault="0087276D" w:rsidP="0087276D">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4</w:t>
      </w:r>
      <w:r w:rsidRPr="007F07C2">
        <w:rPr>
          <w:rFonts w:cs="Arial"/>
          <w:b/>
          <w:bCs/>
          <w:sz w:val="28"/>
          <w:szCs w:val="28"/>
        </w:rPr>
        <w:t>.</w:t>
      </w:r>
      <w:r w:rsidR="00F572C0" w:rsidRPr="007F07C2">
        <w:rPr>
          <w:rFonts w:cs="Arial"/>
          <w:b/>
          <w:bCs/>
          <w:sz w:val="28"/>
          <w:szCs w:val="28"/>
        </w:rPr>
        <w:t>1</w:t>
      </w:r>
      <w:r w:rsidRPr="007F07C2">
        <w:rPr>
          <w:rFonts w:cs="Arial"/>
          <w:b/>
          <w:bCs/>
          <w:sz w:val="28"/>
          <w:szCs w:val="28"/>
        </w:rPr>
        <w:t xml:space="preserve"> Provision</w:t>
      </w:r>
      <w:r w:rsidR="00F572C0" w:rsidRPr="007F07C2">
        <w:rPr>
          <w:rFonts w:cs="Arial"/>
          <w:b/>
          <w:bCs/>
          <w:sz w:val="28"/>
          <w:szCs w:val="28"/>
        </w:rPr>
        <w:t>s</w:t>
      </w:r>
    </w:p>
    <w:p w14:paraId="053EC8CE" w14:textId="000E9EC1" w:rsidR="00D06384" w:rsidRDefault="00AE5C4D" w:rsidP="0087276D">
      <w:pPr>
        <w:autoSpaceDE w:val="0"/>
        <w:autoSpaceDN w:val="0"/>
        <w:adjustRightInd w:val="0"/>
        <w:spacing w:after="0" w:line="240" w:lineRule="auto"/>
        <w:rPr>
          <w:color w:val="1F497D"/>
        </w:rPr>
      </w:pPr>
      <w:r w:rsidRPr="007F07C2">
        <w:rPr>
          <w:color w:val="000000" w:themeColor="text1"/>
        </w:rPr>
        <w:t>Each District</w:t>
      </w:r>
      <w:r w:rsidR="00353C4A">
        <w:rPr>
          <w:color w:val="000000" w:themeColor="text1"/>
        </w:rPr>
        <w:t>/Unitary</w:t>
      </w:r>
      <w:r w:rsidRPr="007F07C2">
        <w:rPr>
          <w:color w:val="000000" w:themeColor="text1"/>
        </w:rPr>
        <w:t xml:space="preserve"> Council, based on their local data, calculates a provision for potential losses arising from ratepayers successfully appealing the level of their property’s rateable value. A proportion of each provision (currently 1%) is allocated to the Authority and recognised in the accounts</w:t>
      </w:r>
      <w:r w:rsidRPr="007F07C2">
        <w:rPr>
          <w:color w:val="1F497D"/>
        </w:rPr>
        <w:t>.</w:t>
      </w:r>
    </w:p>
    <w:p w14:paraId="6159D77A" w14:textId="77777777" w:rsidR="00C50505" w:rsidRDefault="00C50505" w:rsidP="0087276D">
      <w:pPr>
        <w:autoSpaceDE w:val="0"/>
        <w:autoSpaceDN w:val="0"/>
        <w:adjustRightInd w:val="0"/>
        <w:spacing w:after="0" w:line="240" w:lineRule="auto"/>
        <w:rPr>
          <w:color w:val="1F497D"/>
        </w:rPr>
      </w:pPr>
    </w:p>
    <w:tbl>
      <w:tblPr>
        <w:tblW w:w="7566" w:type="dxa"/>
        <w:tblLook w:val="04A0" w:firstRow="1" w:lastRow="0" w:firstColumn="1" w:lastColumn="0" w:noHBand="0" w:noVBand="1"/>
      </w:tblPr>
      <w:tblGrid>
        <w:gridCol w:w="1668"/>
        <w:gridCol w:w="4230"/>
        <w:gridCol w:w="1668"/>
      </w:tblGrid>
      <w:tr w:rsidR="00EB05F7" w:rsidRPr="00EB05F7" w14:paraId="4947F1D5" w14:textId="77777777" w:rsidTr="00C50505">
        <w:trPr>
          <w:trHeight w:val="309"/>
        </w:trPr>
        <w:tc>
          <w:tcPr>
            <w:tcW w:w="1668" w:type="dxa"/>
            <w:tcBorders>
              <w:top w:val="single" w:sz="4" w:space="0" w:color="auto"/>
              <w:left w:val="single" w:sz="4" w:space="0" w:color="auto"/>
              <w:bottom w:val="nil"/>
              <w:right w:val="nil"/>
            </w:tcBorders>
            <w:shd w:val="clear" w:color="000000" w:fill="C00000"/>
            <w:noWrap/>
            <w:hideMark/>
          </w:tcPr>
          <w:p w14:paraId="5F095A1C"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04D2D2D8"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26EF66D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22E1B17B" w14:textId="77777777" w:rsidTr="00C50505">
        <w:trPr>
          <w:trHeight w:val="309"/>
        </w:trPr>
        <w:tc>
          <w:tcPr>
            <w:tcW w:w="1668" w:type="dxa"/>
            <w:tcBorders>
              <w:top w:val="nil"/>
              <w:left w:val="single" w:sz="4" w:space="0" w:color="auto"/>
              <w:bottom w:val="nil"/>
              <w:right w:val="nil"/>
            </w:tcBorders>
            <w:shd w:val="clear" w:color="000000" w:fill="C00000"/>
            <w:noWrap/>
            <w:vAlign w:val="bottom"/>
            <w:hideMark/>
          </w:tcPr>
          <w:p w14:paraId="68156207"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bottom"/>
            <w:hideMark/>
          </w:tcPr>
          <w:p w14:paraId="175E84BB"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bottom"/>
            <w:hideMark/>
          </w:tcPr>
          <w:p w14:paraId="2016B9C6"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69FABAC6" w14:textId="77777777" w:rsidTr="00C50505">
        <w:trPr>
          <w:trHeight w:val="309"/>
        </w:trPr>
        <w:tc>
          <w:tcPr>
            <w:tcW w:w="1668" w:type="dxa"/>
            <w:tcBorders>
              <w:top w:val="nil"/>
              <w:left w:val="single" w:sz="4" w:space="0" w:color="auto"/>
              <w:bottom w:val="nil"/>
              <w:right w:val="nil"/>
            </w:tcBorders>
            <w:shd w:val="clear" w:color="000000" w:fill="FFFFFF"/>
            <w:noWrap/>
            <w:vAlign w:val="bottom"/>
            <w:hideMark/>
          </w:tcPr>
          <w:p w14:paraId="47627946"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(399)</w:t>
            </w:r>
          </w:p>
        </w:tc>
        <w:tc>
          <w:tcPr>
            <w:tcW w:w="4230" w:type="dxa"/>
            <w:tcBorders>
              <w:top w:val="nil"/>
              <w:left w:val="nil"/>
              <w:bottom w:val="nil"/>
              <w:right w:val="nil"/>
            </w:tcBorders>
            <w:shd w:val="clear" w:color="000000" w:fill="FFFFFF"/>
            <w:noWrap/>
            <w:vAlign w:val="bottom"/>
            <w:hideMark/>
          </w:tcPr>
          <w:p w14:paraId="27D3581C"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Provision for Business Rates Appeals</w:t>
            </w:r>
          </w:p>
        </w:tc>
        <w:tc>
          <w:tcPr>
            <w:tcW w:w="1668" w:type="dxa"/>
            <w:tcBorders>
              <w:top w:val="nil"/>
              <w:left w:val="nil"/>
              <w:bottom w:val="nil"/>
              <w:right w:val="single" w:sz="4" w:space="0" w:color="auto"/>
            </w:tcBorders>
            <w:shd w:val="clear" w:color="000000" w:fill="FFE1E1"/>
            <w:noWrap/>
            <w:vAlign w:val="bottom"/>
            <w:hideMark/>
          </w:tcPr>
          <w:p w14:paraId="71E7F04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(282)</w:t>
            </w:r>
          </w:p>
        </w:tc>
      </w:tr>
      <w:tr w:rsidR="00EB05F7" w:rsidRPr="00EB05F7" w14:paraId="53617397" w14:textId="77777777" w:rsidTr="00C50505">
        <w:trPr>
          <w:trHeight w:val="309"/>
        </w:trPr>
        <w:tc>
          <w:tcPr>
            <w:tcW w:w="1668" w:type="dxa"/>
            <w:tcBorders>
              <w:top w:val="nil"/>
              <w:left w:val="single" w:sz="4" w:space="0" w:color="auto"/>
              <w:bottom w:val="nil"/>
              <w:right w:val="nil"/>
            </w:tcBorders>
            <w:shd w:val="clear" w:color="000000" w:fill="FFFFFF"/>
            <w:noWrap/>
            <w:vAlign w:val="bottom"/>
            <w:hideMark/>
          </w:tcPr>
          <w:p w14:paraId="52DC210F"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(103)</w:t>
            </w:r>
          </w:p>
        </w:tc>
        <w:tc>
          <w:tcPr>
            <w:tcW w:w="4230" w:type="dxa"/>
            <w:tcBorders>
              <w:top w:val="nil"/>
              <w:left w:val="nil"/>
              <w:bottom w:val="nil"/>
              <w:right w:val="nil"/>
            </w:tcBorders>
            <w:shd w:val="clear" w:color="000000" w:fill="FFFFFF"/>
            <w:noWrap/>
            <w:vAlign w:val="bottom"/>
            <w:hideMark/>
          </w:tcPr>
          <w:p w14:paraId="61ED2233"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Other Provisions</w:t>
            </w:r>
          </w:p>
        </w:tc>
        <w:tc>
          <w:tcPr>
            <w:tcW w:w="1668" w:type="dxa"/>
            <w:tcBorders>
              <w:top w:val="nil"/>
              <w:left w:val="nil"/>
              <w:bottom w:val="nil"/>
              <w:right w:val="single" w:sz="4" w:space="0" w:color="auto"/>
            </w:tcBorders>
            <w:shd w:val="clear" w:color="000000" w:fill="FFE1E1"/>
            <w:noWrap/>
            <w:vAlign w:val="bottom"/>
            <w:hideMark/>
          </w:tcPr>
          <w:p w14:paraId="6145F1FD" w14:textId="77777777" w:rsidR="00EB05F7" w:rsidRPr="00EB05F7" w:rsidRDefault="00EB05F7" w:rsidP="00EB05F7">
            <w:pPr>
              <w:spacing w:after="0" w:line="240" w:lineRule="auto"/>
              <w:jc w:val="right"/>
              <w:rPr>
                <w:rFonts w:ascii="Calibri" w:eastAsia="Times New Roman" w:hAnsi="Calibri" w:cs="Calibri"/>
                <w:lang w:eastAsia="en-GB"/>
              </w:rPr>
            </w:pPr>
            <w:r w:rsidRPr="00EB05F7">
              <w:rPr>
                <w:rFonts w:ascii="Calibri" w:eastAsia="Times New Roman" w:hAnsi="Calibri" w:cs="Calibri"/>
                <w:lang w:eastAsia="en-GB"/>
              </w:rPr>
              <w:t>(166)</w:t>
            </w:r>
          </w:p>
        </w:tc>
      </w:tr>
      <w:tr w:rsidR="00EB05F7" w:rsidRPr="00EB05F7" w14:paraId="5C6BAE1B" w14:textId="77777777" w:rsidTr="00C50505">
        <w:trPr>
          <w:trHeight w:val="309"/>
        </w:trPr>
        <w:tc>
          <w:tcPr>
            <w:tcW w:w="1668" w:type="dxa"/>
            <w:tcBorders>
              <w:top w:val="nil"/>
              <w:left w:val="single" w:sz="4" w:space="0" w:color="auto"/>
              <w:bottom w:val="single" w:sz="4" w:space="0" w:color="auto"/>
              <w:right w:val="nil"/>
            </w:tcBorders>
            <w:shd w:val="clear" w:color="000000" w:fill="C00000"/>
            <w:noWrap/>
            <w:vAlign w:val="bottom"/>
            <w:hideMark/>
          </w:tcPr>
          <w:p w14:paraId="5C9C4B49"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(502)</w:t>
            </w:r>
          </w:p>
        </w:tc>
        <w:tc>
          <w:tcPr>
            <w:tcW w:w="4230" w:type="dxa"/>
            <w:tcBorders>
              <w:top w:val="nil"/>
              <w:left w:val="nil"/>
              <w:bottom w:val="single" w:sz="4" w:space="0" w:color="auto"/>
              <w:right w:val="nil"/>
            </w:tcBorders>
            <w:shd w:val="clear" w:color="000000" w:fill="C00000"/>
            <w:noWrap/>
            <w:vAlign w:val="bottom"/>
            <w:hideMark/>
          </w:tcPr>
          <w:p w14:paraId="73010AC8" w14:textId="45886365"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Total</w:t>
            </w:r>
            <w:r w:rsidR="00353C4A">
              <w:rPr>
                <w:rFonts w:ascii="Calibri" w:eastAsia="Times New Roman" w:hAnsi="Calibri" w:cs="Calibri"/>
                <w:b/>
                <w:bCs/>
                <w:color w:val="FFFFFF"/>
                <w:lang w:eastAsia="en-GB"/>
              </w:rPr>
              <w:t xml:space="preserve"> Provisions</w:t>
            </w:r>
          </w:p>
        </w:tc>
        <w:tc>
          <w:tcPr>
            <w:tcW w:w="1668" w:type="dxa"/>
            <w:tcBorders>
              <w:top w:val="nil"/>
              <w:left w:val="nil"/>
              <w:bottom w:val="single" w:sz="4" w:space="0" w:color="auto"/>
              <w:right w:val="single" w:sz="4" w:space="0" w:color="auto"/>
            </w:tcBorders>
            <w:shd w:val="clear" w:color="000000" w:fill="C00000"/>
            <w:noWrap/>
            <w:vAlign w:val="bottom"/>
            <w:hideMark/>
          </w:tcPr>
          <w:p w14:paraId="0A077DA4"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(448)</w:t>
            </w:r>
          </w:p>
        </w:tc>
      </w:tr>
    </w:tbl>
    <w:p w14:paraId="51872F83" w14:textId="77777777" w:rsidR="00EB05F7" w:rsidRPr="00EB05F7" w:rsidRDefault="00EB05F7" w:rsidP="0079406E">
      <w:pPr>
        <w:autoSpaceDE w:val="0"/>
        <w:autoSpaceDN w:val="0"/>
        <w:adjustRightInd w:val="0"/>
        <w:spacing w:after="0" w:line="240" w:lineRule="auto"/>
        <w:rPr>
          <w:rFonts w:cs="Arial"/>
          <w:b/>
          <w:bCs/>
        </w:rPr>
      </w:pPr>
    </w:p>
    <w:p w14:paraId="2B2B19BF" w14:textId="51D41DC7"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5</w:t>
      </w:r>
      <w:r w:rsidRPr="007F07C2">
        <w:rPr>
          <w:rFonts w:cs="Arial"/>
          <w:b/>
          <w:bCs/>
          <w:sz w:val="28"/>
          <w:szCs w:val="28"/>
        </w:rPr>
        <w:t xml:space="preserve"> Grant receipts in advance </w:t>
      </w:r>
    </w:p>
    <w:p w14:paraId="7D069426" w14:textId="0194F995" w:rsidR="00FF20E0" w:rsidRDefault="00F11F71" w:rsidP="004806A8">
      <w:pPr>
        <w:spacing w:after="0" w:line="240" w:lineRule="auto"/>
        <w:rPr>
          <w:rFonts w:ascii="Calibri" w:eastAsia="Times New Roman" w:hAnsi="Calibri" w:cs="Times New Roman"/>
          <w:color w:val="000000"/>
          <w:lang w:eastAsia="en-GB"/>
        </w:rPr>
      </w:pPr>
      <w:r w:rsidRPr="00DF12F4">
        <w:rPr>
          <w:rFonts w:ascii="Calibri" w:eastAsia="Times New Roman" w:hAnsi="Calibri" w:cs="Times New Roman"/>
          <w:color w:val="000000"/>
          <w:lang w:eastAsia="en-GB"/>
        </w:rPr>
        <w:t xml:space="preserve">The Authority has </w:t>
      </w:r>
      <w:r w:rsidR="00917AF9" w:rsidRPr="00DF12F4">
        <w:rPr>
          <w:rFonts w:ascii="Calibri" w:eastAsia="Times New Roman" w:hAnsi="Calibri" w:cs="Times New Roman"/>
          <w:color w:val="000000"/>
          <w:lang w:eastAsia="en-GB"/>
        </w:rPr>
        <w:t>£</w:t>
      </w:r>
      <w:r w:rsidR="00E108DD">
        <w:rPr>
          <w:rFonts w:ascii="Calibri" w:eastAsia="Times New Roman" w:hAnsi="Calibri" w:cs="Times New Roman"/>
          <w:color w:val="000000"/>
          <w:lang w:eastAsia="en-GB"/>
        </w:rPr>
        <w:t>869</w:t>
      </w:r>
      <w:r w:rsidR="00917AF9" w:rsidRPr="00DF12F4">
        <w:rPr>
          <w:rFonts w:ascii="Calibri" w:eastAsia="Times New Roman" w:hAnsi="Calibri" w:cs="Times New Roman"/>
          <w:color w:val="000000"/>
          <w:lang w:eastAsia="en-GB"/>
        </w:rPr>
        <w:t>k</w:t>
      </w:r>
      <w:r w:rsidRPr="00DF12F4">
        <w:rPr>
          <w:rFonts w:ascii="Calibri" w:eastAsia="Times New Roman" w:hAnsi="Calibri" w:cs="Times New Roman"/>
          <w:b/>
          <w:bCs/>
          <w:color w:val="000000"/>
          <w:lang w:eastAsia="en-GB"/>
        </w:rPr>
        <w:t xml:space="preserve"> </w:t>
      </w:r>
      <w:r w:rsidR="004F5BD2" w:rsidRPr="00DF12F4">
        <w:rPr>
          <w:rFonts w:ascii="Calibri" w:eastAsia="Times New Roman" w:hAnsi="Calibri" w:cs="Times New Roman"/>
          <w:bCs/>
          <w:color w:val="000000"/>
          <w:lang w:eastAsia="en-GB"/>
        </w:rPr>
        <w:t>(£</w:t>
      </w:r>
      <w:r w:rsidR="00E108DD">
        <w:rPr>
          <w:rFonts w:ascii="Calibri" w:eastAsia="Times New Roman" w:hAnsi="Calibri" w:cs="Times New Roman"/>
          <w:bCs/>
          <w:color w:val="000000"/>
          <w:lang w:eastAsia="en-GB"/>
        </w:rPr>
        <w:t>540</w:t>
      </w:r>
      <w:r w:rsidR="004F5BD2" w:rsidRPr="00DF12F4">
        <w:rPr>
          <w:rFonts w:ascii="Calibri" w:eastAsia="Times New Roman" w:hAnsi="Calibri" w:cs="Times New Roman"/>
          <w:bCs/>
          <w:color w:val="000000"/>
          <w:lang w:eastAsia="en-GB"/>
        </w:rPr>
        <w:t>k -</w:t>
      </w:r>
      <w:r w:rsidR="0039276D">
        <w:rPr>
          <w:rFonts w:ascii="Calibri" w:eastAsia="Times New Roman" w:hAnsi="Calibri" w:cs="Times New Roman"/>
          <w:bCs/>
          <w:color w:val="000000"/>
          <w:lang w:eastAsia="en-GB"/>
        </w:rPr>
        <w:t xml:space="preserve"> </w:t>
      </w:r>
      <w:r w:rsidR="00917AF9" w:rsidRPr="00DF12F4">
        <w:rPr>
          <w:rFonts w:ascii="Calibri" w:eastAsia="Times New Roman" w:hAnsi="Calibri" w:cs="Times New Roman"/>
          <w:bCs/>
          <w:color w:val="000000"/>
          <w:lang w:eastAsia="en-GB"/>
        </w:rPr>
        <w:t>20</w:t>
      </w:r>
      <w:r w:rsidR="00E108DD">
        <w:rPr>
          <w:rFonts w:ascii="Calibri" w:eastAsia="Times New Roman" w:hAnsi="Calibri" w:cs="Times New Roman"/>
          <w:bCs/>
          <w:color w:val="000000"/>
          <w:lang w:eastAsia="en-GB"/>
        </w:rPr>
        <w:t>20</w:t>
      </w:r>
      <w:r w:rsidR="00917AF9" w:rsidRPr="00DF12F4">
        <w:rPr>
          <w:rFonts w:ascii="Calibri" w:eastAsia="Times New Roman" w:hAnsi="Calibri" w:cs="Times New Roman"/>
          <w:bCs/>
          <w:color w:val="000000"/>
          <w:lang w:eastAsia="en-GB"/>
        </w:rPr>
        <w:t>/</w:t>
      </w:r>
      <w:r w:rsidR="00E108DD">
        <w:rPr>
          <w:rFonts w:ascii="Calibri" w:eastAsia="Times New Roman" w:hAnsi="Calibri" w:cs="Times New Roman"/>
          <w:bCs/>
          <w:color w:val="000000"/>
          <w:lang w:eastAsia="en-GB"/>
        </w:rPr>
        <w:t>21)</w:t>
      </w:r>
      <w:r w:rsidRPr="00DF12F4">
        <w:rPr>
          <w:rFonts w:ascii="Calibri" w:eastAsia="Times New Roman" w:hAnsi="Calibri" w:cs="Times New Roman"/>
          <w:bCs/>
          <w:color w:val="000000"/>
          <w:lang w:eastAsia="en-GB"/>
        </w:rPr>
        <w:t xml:space="preserve"> grant receipts</w:t>
      </w:r>
      <w:r w:rsidRPr="00DF12F4">
        <w:rPr>
          <w:rFonts w:ascii="Calibri" w:eastAsia="Times New Roman" w:hAnsi="Calibri" w:cs="Times New Roman"/>
          <w:color w:val="000000"/>
          <w:lang w:eastAsia="en-GB"/>
        </w:rPr>
        <w:t xml:space="preserve"> in advance, all of which</w:t>
      </w:r>
      <w:r w:rsidRPr="00DF12F4">
        <w:rPr>
          <w:rFonts w:ascii="Calibri" w:eastAsia="Times New Roman" w:hAnsi="Calibri" w:cs="Times New Roman"/>
          <w:b/>
          <w:bCs/>
          <w:color w:val="000000"/>
          <w:lang w:eastAsia="en-GB"/>
        </w:rPr>
        <w:t xml:space="preserve"> </w:t>
      </w:r>
      <w:r w:rsidRPr="00DF12F4">
        <w:rPr>
          <w:rFonts w:ascii="Calibri" w:eastAsia="Times New Roman" w:hAnsi="Calibri" w:cs="Times New Roman"/>
          <w:color w:val="000000"/>
          <w:lang w:eastAsia="en-GB"/>
        </w:rPr>
        <w:t>is for revenue purposes.</w:t>
      </w:r>
    </w:p>
    <w:p w14:paraId="147ECC89" w14:textId="4F82608E" w:rsidR="00EB05F7" w:rsidRDefault="00EB05F7" w:rsidP="004806A8">
      <w:pPr>
        <w:spacing w:after="0" w:line="240" w:lineRule="auto"/>
        <w:rPr>
          <w:rFonts w:ascii="Calibri" w:eastAsia="Times New Roman" w:hAnsi="Calibri" w:cs="Times New Roman"/>
          <w:color w:val="000000"/>
          <w:lang w:eastAsia="en-GB"/>
        </w:rPr>
      </w:pPr>
    </w:p>
    <w:tbl>
      <w:tblPr>
        <w:tblW w:w="7566" w:type="dxa"/>
        <w:tblLook w:val="04A0" w:firstRow="1" w:lastRow="0" w:firstColumn="1" w:lastColumn="0" w:noHBand="0" w:noVBand="1"/>
      </w:tblPr>
      <w:tblGrid>
        <w:gridCol w:w="1668"/>
        <w:gridCol w:w="4230"/>
        <w:gridCol w:w="1668"/>
      </w:tblGrid>
      <w:tr w:rsidR="00EB05F7" w:rsidRPr="00EB05F7" w14:paraId="3C1634DA" w14:textId="77777777" w:rsidTr="00C50505">
        <w:trPr>
          <w:trHeight w:val="321"/>
        </w:trPr>
        <w:tc>
          <w:tcPr>
            <w:tcW w:w="1668" w:type="dxa"/>
            <w:tcBorders>
              <w:top w:val="single" w:sz="4" w:space="0" w:color="auto"/>
              <w:left w:val="single" w:sz="4" w:space="0" w:color="auto"/>
              <w:bottom w:val="nil"/>
              <w:right w:val="nil"/>
            </w:tcBorders>
            <w:shd w:val="clear" w:color="000000" w:fill="C00000"/>
            <w:noWrap/>
            <w:vAlign w:val="center"/>
            <w:hideMark/>
          </w:tcPr>
          <w:p w14:paraId="7A0D9158"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vAlign w:val="center"/>
            <w:hideMark/>
          </w:tcPr>
          <w:p w14:paraId="758DE915"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vAlign w:val="center"/>
            <w:hideMark/>
          </w:tcPr>
          <w:p w14:paraId="6033BE3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31 March 2022</w:t>
            </w:r>
          </w:p>
        </w:tc>
      </w:tr>
      <w:tr w:rsidR="00EB05F7" w:rsidRPr="00EB05F7" w14:paraId="6B8E1748" w14:textId="77777777" w:rsidTr="00C50505">
        <w:trPr>
          <w:trHeight w:val="321"/>
        </w:trPr>
        <w:tc>
          <w:tcPr>
            <w:tcW w:w="1668" w:type="dxa"/>
            <w:tcBorders>
              <w:top w:val="nil"/>
              <w:left w:val="single" w:sz="4" w:space="0" w:color="auto"/>
              <w:bottom w:val="nil"/>
              <w:right w:val="nil"/>
            </w:tcBorders>
            <w:shd w:val="clear" w:color="000000" w:fill="C00000"/>
            <w:noWrap/>
            <w:vAlign w:val="center"/>
            <w:hideMark/>
          </w:tcPr>
          <w:p w14:paraId="3AF6715A"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vAlign w:val="center"/>
            <w:hideMark/>
          </w:tcPr>
          <w:p w14:paraId="1B676197" w14:textId="77777777" w:rsidR="00EB05F7" w:rsidRPr="00EB05F7" w:rsidRDefault="00EB05F7" w:rsidP="00EB05F7">
            <w:pPr>
              <w:spacing w:after="0" w:line="240" w:lineRule="auto"/>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vAlign w:val="center"/>
            <w:hideMark/>
          </w:tcPr>
          <w:p w14:paraId="681793CD"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£000</w:t>
            </w:r>
          </w:p>
        </w:tc>
      </w:tr>
      <w:tr w:rsidR="00EB05F7" w:rsidRPr="00EB05F7" w14:paraId="1869608B"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45201001"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(201)</w:t>
            </w:r>
          </w:p>
        </w:tc>
        <w:tc>
          <w:tcPr>
            <w:tcW w:w="4230" w:type="dxa"/>
            <w:tcBorders>
              <w:top w:val="nil"/>
              <w:left w:val="nil"/>
              <w:bottom w:val="nil"/>
              <w:right w:val="nil"/>
            </w:tcBorders>
            <w:shd w:val="clear" w:color="000000" w:fill="FFFFFF"/>
            <w:noWrap/>
            <w:vAlign w:val="center"/>
            <w:hideMark/>
          </w:tcPr>
          <w:p w14:paraId="7A12D119"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Emergency Services Network Grant</w:t>
            </w:r>
          </w:p>
        </w:tc>
        <w:tc>
          <w:tcPr>
            <w:tcW w:w="1668" w:type="dxa"/>
            <w:tcBorders>
              <w:top w:val="nil"/>
              <w:left w:val="nil"/>
              <w:bottom w:val="nil"/>
              <w:right w:val="single" w:sz="4" w:space="0" w:color="auto"/>
            </w:tcBorders>
            <w:shd w:val="clear" w:color="000000" w:fill="FFE1E1"/>
            <w:noWrap/>
            <w:vAlign w:val="center"/>
            <w:hideMark/>
          </w:tcPr>
          <w:p w14:paraId="3EECAB03"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(651)</w:t>
            </w:r>
          </w:p>
        </w:tc>
      </w:tr>
      <w:tr w:rsidR="00EB05F7" w:rsidRPr="00EB05F7" w14:paraId="4E124DEA"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1DA96ECB"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(230)</w:t>
            </w:r>
          </w:p>
        </w:tc>
        <w:tc>
          <w:tcPr>
            <w:tcW w:w="4230" w:type="dxa"/>
            <w:tcBorders>
              <w:top w:val="nil"/>
              <w:left w:val="nil"/>
              <w:bottom w:val="nil"/>
              <w:right w:val="nil"/>
            </w:tcBorders>
            <w:shd w:val="clear" w:color="000000" w:fill="FFFFFF"/>
            <w:noWrap/>
            <w:vAlign w:val="center"/>
            <w:hideMark/>
          </w:tcPr>
          <w:p w14:paraId="080C215D"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COVID-19 Grant</w:t>
            </w:r>
          </w:p>
        </w:tc>
        <w:tc>
          <w:tcPr>
            <w:tcW w:w="1668" w:type="dxa"/>
            <w:tcBorders>
              <w:top w:val="nil"/>
              <w:left w:val="nil"/>
              <w:bottom w:val="nil"/>
              <w:right w:val="single" w:sz="4" w:space="0" w:color="auto"/>
            </w:tcBorders>
            <w:shd w:val="clear" w:color="000000" w:fill="FFE1E1"/>
            <w:noWrap/>
            <w:vAlign w:val="center"/>
            <w:hideMark/>
          </w:tcPr>
          <w:p w14:paraId="5468A86D"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w:t>
            </w:r>
          </w:p>
        </w:tc>
      </w:tr>
      <w:tr w:rsidR="00EB05F7" w:rsidRPr="00EB05F7" w14:paraId="1BFE03D6"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2F43EE90"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(60)</w:t>
            </w:r>
          </w:p>
        </w:tc>
        <w:tc>
          <w:tcPr>
            <w:tcW w:w="4230" w:type="dxa"/>
            <w:tcBorders>
              <w:top w:val="nil"/>
              <w:left w:val="nil"/>
              <w:bottom w:val="nil"/>
              <w:right w:val="nil"/>
            </w:tcBorders>
            <w:shd w:val="clear" w:color="000000" w:fill="FFFFFF"/>
            <w:noWrap/>
            <w:vAlign w:val="center"/>
            <w:hideMark/>
          </w:tcPr>
          <w:p w14:paraId="5C23DB02"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Fire Protection Grant Building Risk</w:t>
            </w:r>
          </w:p>
        </w:tc>
        <w:tc>
          <w:tcPr>
            <w:tcW w:w="1668" w:type="dxa"/>
            <w:tcBorders>
              <w:top w:val="nil"/>
              <w:left w:val="nil"/>
              <w:bottom w:val="nil"/>
              <w:right w:val="single" w:sz="4" w:space="0" w:color="auto"/>
            </w:tcBorders>
            <w:shd w:val="clear" w:color="000000" w:fill="FFE1E1"/>
            <w:noWrap/>
            <w:vAlign w:val="center"/>
            <w:hideMark/>
          </w:tcPr>
          <w:p w14:paraId="6695CD9E"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(59)</w:t>
            </w:r>
          </w:p>
        </w:tc>
      </w:tr>
      <w:tr w:rsidR="00EB05F7" w:rsidRPr="00EB05F7" w14:paraId="49164D15" w14:textId="77777777" w:rsidTr="00C50505">
        <w:trPr>
          <w:trHeight w:val="321"/>
        </w:trPr>
        <w:tc>
          <w:tcPr>
            <w:tcW w:w="1668" w:type="dxa"/>
            <w:tcBorders>
              <w:top w:val="nil"/>
              <w:left w:val="single" w:sz="4" w:space="0" w:color="auto"/>
              <w:bottom w:val="nil"/>
              <w:right w:val="nil"/>
            </w:tcBorders>
            <w:shd w:val="clear" w:color="000000" w:fill="FFFFFF"/>
            <w:noWrap/>
            <w:vAlign w:val="center"/>
            <w:hideMark/>
          </w:tcPr>
          <w:p w14:paraId="7AE5EF9F"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(49)</w:t>
            </w:r>
          </w:p>
        </w:tc>
        <w:tc>
          <w:tcPr>
            <w:tcW w:w="4230" w:type="dxa"/>
            <w:tcBorders>
              <w:top w:val="nil"/>
              <w:left w:val="nil"/>
              <w:bottom w:val="nil"/>
              <w:right w:val="nil"/>
            </w:tcBorders>
            <w:shd w:val="clear" w:color="000000" w:fill="FFFFFF"/>
            <w:noWrap/>
            <w:vAlign w:val="center"/>
            <w:hideMark/>
          </w:tcPr>
          <w:p w14:paraId="6226A085" w14:textId="77777777" w:rsidR="00EB05F7" w:rsidRPr="00EB05F7" w:rsidRDefault="00EB05F7" w:rsidP="00EB05F7">
            <w:pPr>
              <w:spacing w:after="0" w:line="240" w:lineRule="auto"/>
              <w:rPr>
                <w:rFonts w:ascii="Calibri" w:eastAsia="Times New Roman" w:hAnsi="Calibri" w:cs="Calibri"/>
                <w:color w:val="000000"/>
                <w:lang w:eastAsia="en-GB"/>
              </w:rPr>
            </w:pPr>
            <w:r w:rsidRPr="00EB05F7">
              <w:rPr>
                <w:rFonts w:ascii="Calibri" w:eastAsia="Times New Roman" w:hAnsi="Calibri" w:cs="Calibri"/>
                <w:color w:val="000000"/>
                <w:lang w:eastAsia="en-GB"/>
              </w:rPr>
              <w:t>Fire Protection</w:t>
            </w:r>
          </w:p>
        </w:tc>
        <w:tc>
          <w:tcPr>
            <w:tcW w:w="1668" w:type="dxa"/>
            <w:tcBorders>
              <w:top w:val="nil"/>
              <w:left w:val="nil"/>
              <w:bottom w:val="nil"/>
              <w:right w:val="single" w:sz="4" w:space="0" w:color="auto"/>
            </w:tcBorders>
            <w:shd w:val="clear" w:color="000000" w:fill="FFE1E1"/>
            <w:noWrap/>
            <w:vAlign w:val="center"/>
            <w:hideMark/>
          </w:tcPr>
          <w:p w14:paraId="7EE8EE99" w14:textId="77777777" w:rsidR="00EB05F7" w:rsidRPr="00EB05F7" w:rsidRDefault="00EB05F7" w:rsidP="00EB05F7">
            <w:pPr>
              <w:spacing w:after="0" w:line="240" w:lineRule="auto"/>
              <w:jc w:val="right"/>
              <w:rPr>
                <w:rFonts w:ascii="Calibri" w:eastAsia="Times New Roman" w:hAnsi="Calibri" w:cs="Calibri"/>
                <w:color w:val="000000"/>
                <w:lang w:eastAsia="en-GB"/>
              </w:rPr>
            </w:pPr>
            <w:r w:rsidRPr="00EB05F7">
              <w:rPr>
                <w:rFonts w:ascii="Calibri" w:eastAsia="Times New Roman" w:hAnsi="Calibri" w:cs="Calibri"/>
                <w:color w:val="000000"/>
                <w:lang w:eastAsia="en-GB"/>
              </w:rPr>
              <w:t>(159)</w:t>
            </w:r>
          </w:p>
        </w:tc>
      </w:tr>
      <w:tr w:rsidR="00EB05F7" w:rsidRPr="00EB05F7" w14:paraId="2B087BBC" w14:textId="77777777" w:rsidTr="00C50505">
        <w:trPr>
          <w:trHeight w:val="321"/>
        </w:trPr>
        <w:tc>
          <w:tcPr>
            <w:tcW w:w="1668" w:type="dxa"/>
            <w:tcBorders>
              <w:top w:val="nil"/>
              <w:left w:val="single" w:sz="4" w:space="0" w:color="auto"/>
              <w:bottom w:val="single" w:sz="4" w:space="0" w:color="auto"/>
              <w:right w:val="nil"/>
            </w:tcBorders>
            <w:shd w:val="clear" w:color="000000" w:fill="C00000"/>
            <w:noWrap/>
            <w:vAlign w:val="center"/>
            <w:hideMark/>
          </w:tcPr>
          <w:p w14:paraId="7797EEE0"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(540)</w:t>
            </w:r>
          </w:p>
        </w:tc>
        <w:tc>
          <w:tcPr>
            <w:tcW w:w="4230" w:type="dxa"/>
            <w:tcBorders>
              <w:top w:val="nil"/>
              <w:left w:val="nil"/>
              <w:bottom w:val="single" w:sz="4" w:space="0" w:color="auto"/>
              <w:right w:val="nil"/>
            </w:tcBorders>
            <w:shd w:val="clear" w:color="000000" w:fill="C00000"/>
            <w:noWrap/>
            <w:vAlign w:val="center"/>
            <w:hideMark/>
          </w:tcPr>
          <w:p w14:paraId="1AB3F5D2" w14:textId="77777777" w:rsidR="00EB05F7" w:rsidRPr="00EB05F7" w:rsidRDefault="00EB05F7" w:rsidP="00EB05F7">
            <w:pPr>
              <w:spacing w:after="0" w:line="240" w:lineRule="auto"/>
              <w:rPr>
                <w:rFonts w:ascii="Calibri" w:eastAsia="Times New Roman" w:hAnsi="Calibri" w:cs="Calibri"/>
                <w:color w:val="FFFFFF"/>
                <w:lang w:eastAsia="en-GB"/>
              </w:rPr>
            </w:pPr>
            <w:r w:rsidRPr="00EB05F7">
              <w:rPr>
                <w:rFonts w:ascii="Calibri" w:eastAsia="Times New Roman" w:hAnsi="Calibri" w:cs="Calibri"/>
                <w:color w:val="FFFFFF"/>
                <w:lang w:eastAsia="en-GB"/>
              </w:rPr>
              <w:t> </w:t>
            </w:r>
          </w:p>
        </w:tc>
        <w:tc>
          <w:tcPr>
            <w:tcW w:w="1668" w:type="dxa"/>
            <w:tcBorders>
              <w:top w:val="nil"/>
              <w:left w:val="nil"/>
              <w:bottom w:val="single" w:sz="4" w:space="0" w:color="auto"/>
              <w:right w:val="single" w:sz="4" w:space="0" w:color="auto"/>
            </w:tcBorders>
            <w:shd w:val="clear" w:color="000000" w:fill="C00000"/>
            <w:noWrap/>
            <w:vAlign w:val="center"/>
            <w:hideMark/>
          </w:tcPr>
          <w:p w14:paraId="04EA493E" w14:textId="77777777" w:rsidR="00EB05F7" w:rsidRPr="00EB05F7" w:rsidRDefault="00EB05F7" w:rsidP="00EB05F7">
            <w:pPr>
              <w:spacing w:after="0" w:line="240" w:lineRule="auto"/>
              <w:jc w:val="right"/>
              <w:rPr>
                <w:rFonts w:ascii="Calibri" w:eastAsia="Times New Roman" w:hAnsi="Calibri" w:cs="Calibri"/>
                <w:b/>
                <w:bCs/>
                <w:color w:val="FFFFFF"/>
                <w:lang w:eastAsia="en-GB"/>
              </w:rPr>
            </w:pPr>
            <w:r w:rsidRPr="00EB05F7">
              <w:rPr>
                <w:rFonts w:ascii="Calibri" w:eastAsia="Times New Roman" w:hAnsi="Calibri" w:cs="Calibri"/>
                <w:b/>
                <w:bCs/>
                <w:color w:val="FFFFFF"/>
                <w:lang w:eastAsia="en-GB"/>
              </w:rPr>
              <w:t>(869)</w:t>
            </w:r>
          </w:p>
        </w:tc>
      </w:tr>
    </w:tbl>
    <w:p w14:paraId="57BEF67C" w14:textId="77777777" w:rsidR="00EB05F7" w:rsidRDefault="00EB05F7" w:rsidP="004806A8">
      <w:pPr>
        <w:spacing w:after="0" w:line="240" w:lineRule="auto"/>
        <w:rPr>
          <w:rFonts w:ascii="Calibri" w:eastAsia="Times New Roman" w:hAnsi="Calibri" w:cs="Times New Roman"/>
          <w:color w:val="000000"/>
          <w:lang w:eastAsia="en-GB"/>
        </w:rPr>
      </w:pPr>
    </w:p>
    <w:p w14:paraId="0666FEF7" w14:textId="77777777" w:rsidR="00C50505" w:rsidRDefault="00C50505">
      <w:pPr>
        <w:rPr>
          <w:rFonts w:cs="Arial"/>
          <w:b/>
          <w:bCs/>
          <w:sz w:val="28"/>
          <w:szCs w:val="28"/>
        </w:rPr>
      </w:pPr>
      <w:r>
        <w:rPr>
          <w:rFonts w:cs="Arial"/>
          <w:b/>
          <w:bCs/>
          <w:sz w:val="28"/>
          <w:szCs w:val="28"/>
        </w:rPr>
        <w:br w:type="page"/>
      </w:r>
    </w:p>
    <w:p w14:paraId="3B57C9DD" w14:textId="38500C7E" w:rsidR="00C50505" w:rsidRPr="00C50505" w:rsidRDefault="00084B6F" w:rsidP="00C50505">
      <w:pPr>
        <w:rPr>
          <w:rFonts w:cs="Arial"/>
          <w:b/>
          <w:bCs/>
          <w:sz w:val="28"/>
          <w:szCs w:val="28"/>
        </w:rPr>
      </w:pPr>
      <w:r w:rsidRPr="007F07C2">
        <w:rPr>
          <w:rFonts w:cs="Arial"/>
          <w:b/>
          <w:bCs/>
          <w:sz w:val="28"/>
          <w:szCs w:val="28"/>
        </w:rPr>
        <w:lastRenderedPageBreak/>
        <w:t>1</w:t>
      </w:r>
      <w:r w:rsidR="00E55282" w:rsidRPr="007F07C2">
        <w:rPr>
          <w:rFonts w:cs="Arial"/>
          <w:b/>
          <w:bCs/>
          <w:sz w:val="28"/>
          <w:szCs w:val="28"/>
        </w:rPr>
        <w:t>6</w:t>
      </w:r>
      <w:r w:rsidR="00153A32" w:rsidRPr="007F07C2">
        <w:rPr>
          <w:rFonts w:cs="Arial"/>
          <w:b/>
          <w:bCs/>
          <w:sz w:val="28"/>
          <w:szCs w:val="28"/>
        </w:rPr>
        <w:t>.1 Long Term Borrowing</w:t>
      </w:r>
    </w:p>
    <w:tbl>
      <w:tblPr>
        <w:tblW w:w="7566" w:type="dxa"/>
        <w:tblLook w:val="04A0" w:firstRow="1" w:lastRow="0" w:firstColumn="1" w:lastColumn="0" w:noHBand="0" w:noVBand="1"/>
      </w:tblPr>
      <w:tblGrid>
        <w:gridCol w:w="1668"/>
        <w:gridCol w:w="4230"/>
        <w:gridCol w:w="1668"/>
      </w:tblGrid>
      <w:tr w:rsidR="00C50505" w:rsidRPr="00C50505" w14:paraId="0E72BEE1" w14:textId="77777777" w:rsidTr="00C50505">
        <w:trPr>
          <w:trHeight w:val="368"/>
        </w:trPr>
        <w:tc>
          <w:tcPr>
            <w:tcW w:w="1668" w:type="dxa"/>
            <w:tcBorders>
              <w:top w:val="single" w:sz="4" w:space="0" w:color="auto"/>
              <w:left w:val="single" w:sz="4" w:space="0" w:color="auto"/>
              <w:bottom w:val="nil"/>
              <w:right w:val="nil"/>
            </w:tcBorders>
            <w:shd w:val="clear" w:color="000000" w:fill="C00000"/>
            <w:noWrap/>
            <w:hideMark/>
          </w:tcPr>
          <w:p w14:paraId="16D38C45"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4CB8EEEF"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6DB3312F"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2022</w:t>
            </w:r>
          </w:p>
        </w:tc>
      </w:tr>
      <w:tr w:rsidR="00C50505" w:rsidRPr="00C50505" w14:paraId="2E7E3F93" w14:textId="77777777" w:rsidTr="00C50505">
        <w:trPr>
          <w:trHeight w:val="368"/>
        </w:trPr>
        <w:tc>
          <w:tcPr>
            <w:tcW w:w="1668" w:type="dxa"/>
            <w:tcBorders>
              <w:top w:val="nil"/>
              <w:left w:val="single" w:sz="4" w:space="0" w:color="auto"/>
              <w:bottom w:val="nil"/>
              <w:right w:val="nil"/>
            </w:tcBorders>
            <w:shd w:val="clear" w:color="000000" w:fill="C00000"/>
            <w:noWrap/>
            <w:hideMark/>
          </w:tcPr>
          <w:p w14:paraId="6311794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hideMark/>
          </w:tcPr>
          <w:p w14:paraId="30678EB0"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hideMark/>
          </w:tcPr>
          <w:p w14:paraId="0FD9B841"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r>
      <w:tr w:rsidR="00C50505" w:rsidRPr="00C50505" w14:paraId="716B639C" w14:textId="77777777" w:rsidTr="00C50505">
        <w:trPr>
          <w:trHeight w:val="368"/>
        </w:trPr>
        <w:tc>
          <w:tcPr>
            <w:tcW w:w="1668" w:type="dxa"/>
            <w:tcBorders>
              <w:top w:val="nil"/>
              <w:left w:val="single" w:sz="4" w:space="0" w:color="auto"/>
              <w:bottom w:val="nil"/>
              <w:right w:val="nil"/>
            </w:tcBorders>
            <w:shd w:val="clear" w:color="000000" w:fill="FFFFFF"/>
            <w:noWrap/>
            <w:hideMark/>
          </w:tcPr>
          <w:p w14:paraId="3C59B974"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(3,300)</w:t>
            </w:r>
          </w:p>
        </w:tc>
        <w:tc>
          <w:tcPr>
            <w:tcW w:w="4230" w:type="dxa"/>
            <w:tcBorders>
              <w:top w:val="nil"/>
              <w:left w:val="nil"/>
              <w:bottom w:val="nil"/>
              <w:right w:val="nil"/>
            </w:tcBorders>
            <w:shd w:val="clear" w:color="000000" w:fill="FFFFFF"/>
            <w:hideMark/>
          </w:tcPr>
          <w:p w14:paraId="592C62D1" w14:textId="77777777" w:rsidR="00C50505" w:rsidRPr="00C50505" w:rsidRDefault="00C50505" w:rsidP="00C50505">
            <w:pPr>
              <w:spacing w:after="0" w:line="240" w:lineRule="auto"/>
              <w:rPr>
                <w:rFonts w:ascii="Calibri" w:eastAsia="Times New Roman" w:hAnsi="Calibri" w:cs="Calibri"/>
                <w:color w:val="000000"/>
                <w:lang w:eastAsia="en-GB"/>
              </w:rPr>
            </w:pPr>
            <w:r w:rsidRPr="00C50505">
              <w:rPr>
                <w:rFonts w:ascii="Calibri" w:eastAsia="Times New Roman" w:hAnsi="Calibri" w:cs="Calibri"/>
                <w:color w:val="000000"/>
                <w:lang w:eastAsia="en-GB"/>
              </w:rPr>
              <w:t>PWLB Loan</w:t>
            </w:r>
          </w:p>
        </w:tc>
        <w:tc>
          <w:tcPr>
            <w:tcW w:w="1668" w:type="dxa"/>
            <w:tcBorders>
              <w:top w:val="nil"/>
              <w:left w:val="nil"/>
              <w:bottom w:val="nil"/>
              <w:right w:val="single" w:sz="4" w:space="0" w:color="auto"/>
            </w:tcBorders>
            <w:shd w:val="clear" w:color="000000" w:fill="FFE1E1"/>
            <w:noWrap/>
            <w:hideMark/>
          </w:tcPr>
          <w:p w14:paraId="16D7D74D"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(3,218)</w:t>
            </w:r>
          </w:p>
        </w:tc>
      </w:tr>
      <w:tr w:rsidR="00C50505" w:rsidRPr="00C50505" w14:paraId="43518D75" w14:textId="77777777" w:rsidTr="00C50505">
        <w:trPr>
          <w:trHeight w:val="368"/>
        </w:trPr>
        <w:tc>
          <w:tcPr>
            <w:tcW w:w="1668" w:type="dxa"/>
            <w:tcBorders>
              <w:top w:val="nil"/>
              <w:left w:val="single" w:sz="4" w:space="0" w:color="auto"/>
              <w:bottom w:val="single" w:sz="4" w:space="0" w:color="auto"/>
              <w:right w:val="nil"/>
            </w:tcBorders>
            <w:shd w:val="clear" w:color="000000" w:fill="C00000"/>
            <w:noWrap/>
            <w:hideMark/>
          </w:tcPr>
          <w:p w14:paraId="3FD9522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(3,300)</w:t>
            </w:r>
          </w:p>
        </w:tc>
        <w:tc>
          <w:tcPr>
            <w:tcW w:w="4230" w:type="dxa"/>
            <w:tcBorders>
              <w:top w:val="nil"/>
              <w:left w:val="nil"/>
              <w:bottom w:val="single" w:sz="4" w:space="0" w:color="auto"/>
              <w:right w:val="nil"/>
            </w:tcBorders>
            <w:shd w:val="clear" w:color="000000" w:fill="C00000"/>
            <w:noWrap/>
            <w:hideMark/>
          </w:tcPr>
          <w:p w14:paraId="0F3287F4"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Total Long Term Borrowing</w:t>
            </w:r>
          </w:p>
        </w:tc>
        <w:tc>
          <w:tcPr>
            <w:tcW w:w="1668" w:type="dxa"/>
            <w:tcBorders>
              <w:top w:val="nil"/>
              <w:left w:val="nil"/>
              <w:bottom w:val="single" w:sz="4" w:space="0" w:color="auto"/>
              <w:right w:val="single" w:sz="4" w:space="0" w:color="auto"/>
            </w:tcBorders>
            <w:shd w:val="clear" w:color="000000" w:fill="C00000"/>
            <w:noWrap/>
            <w:hideMark/>
          </w:tcPr>
          <w:p w14:paraId="20965BEE"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(3,218)</w:t>
            </w:r>
          </w:p>
        </w:tc>
      </w:tr>
    </w:tbl>
    <w:p w14:paraId="76C4D9C6" w14:textId="77777777" w:rsidR="00C50505" w:rsidRPr="00C50505" w:rsidRDefault="00C50505" w:rsidP="00153A32">
      <w:pPr>
        <w:autoSpaceDE w:val="0"/>
        <w:autoSpaceDN w:val="0"/>
        <w:adjustRightInd w:val="0"/>
        <w:spacing w:after="0" w:line="240" w:lineRule="auto"/>
        <w:rPr>
          <w:rFonts w:cs="Arial"/>
          <w:b/>
          <w:bCs/>
        </w:rPr>
      </w:pPr>
    </w:p>
    <w:p w14:paraId="6C1A233F" w14:textId="730DE2DB" w:rsidR="00153A32" w:rsidRPr="007F07C2" w:rsidRDefault="00153A32" w:rsidP="00153A32">
      <w:pPr>
        <w:autoSpaceDE w:val="0"/>
        <w:autoSpaceDN w:val="0"/>
        <w:adjustRightInd w:val="0"/>
        <w:spacing w:after="0" w:line="240" w:lineRule="auto"/>
        <w:rPr>
          <w:rFonts w:cs="Arial"/>
          <w:b/>
          <w:bCs/>
          <w:sz w:val="28"/>
          <w:szCs w:val="28"/>
        </w:rPr>
      </w:pPr>
      <w:r w:rsidRPr="007F07C2">
        <w:rPr>
          <w:rFonts w:cs="Arial"/>
          <w:b/>
          <w:bCs/>
          <w:sz w:val="28"/>
          <w:szCs w:val="28"/>
        </w:rPr>
        <w:t>16</w:t>
      </w:r>
      <w:r w:rsidR="00F84A3C" w:rsidRPr="007F07C2">
        <w:rPr>
          <w:rFonts w:cs="Arial"/>
          <w:b/>
          <w:bCs/>
          <w:sz w:val="28"/>
          <w:szCs w:val="28"/>
        </w:rPr>
        <w:t>.2 Other Long Term Liabilities</w:t>
      </w:r>
    </w:p>
    <w:p w14:paraId="109EC900" w14:textId="46D3BA0B" w:rsidR="00667FAF" w:rsidRDefault="00A26640" w:rsidP="0079406E">
      <w:pPr>
        <w:autoSpaceDE w:val="0"/>
        <w:autoSpaceDN w:val="0"/>
        <w:adjustRightInd w:val="0"/>
        <w:spacing w:after="0" w:line="240" w:lineRule="auto"/>
        <w:rPr>
          <w:rFonts w:cs="Arial"/>
        </w:rPr>
      </w:pPr>
      <w:r w:rsidRPr="007F07C2">
        <w:rPr>
          <w:rFonts w:cs="Arial"/>
        </w:rPr>
        <w:t>The Authority has</w:t>
      </w:r>
      <w:r w:rsidR="00F84A3C" w:rsidRPr="007F07C2">
        <w:rPr>
          <w:rFonts w:cs="Arial"/>
        </w:rPr>
        <w:t xml:space="preserve"> other</w:t>
      </w:r>
      <w:r w:rsidRPr="007F07C2">
        <w:rPr>
          <w:rFonts w:cs="Arial"/>
        </w:rPr>
        <w:t xml:space="preserve"> long term liabilities of £</w:t>
      </w:r>
      <w:r w:rsidR="00B20A45">
        <w:rPr>
          <w:rFonts w:cs="Arial"/>
        </w:rPr>
        <w:t>334.4</w:t>
      </w:r>
      <w:r w:rsidR="00F84A3C" w:rsidRPr="007F07C2">
        <w:rPr>
          <w:rFonts w:cs="Arial"/>
        </w:rPr>
        <w:t>m</w:t>
      </w:r>
      <w:r w:rsidRPr="007F07C2">
        <w:rPr>
          <w:rFonts w:cs="Arial"/>
        </w:rPr>
        <w:t>, which relate to its pension liabilities which are estimated to fall due over the longer term</w:t>
      </w:r>
    </w:p>
    <w:p w14:paraId="4395210C" w14:textId="4B219629" w:rsidR="00C50505" w:rsidRDefault="00C50505" w:rsidP="0079406E">
      <w:pPr>
        <w:autoSpaceDE w:val="0"/>
        <w:autoSpaceDN w:val="0"/>
        <w:adjustRightInd w:val="0"/>
        <w:spacing w:after="0" w:line="240" w:lineRule="auto"/>
        <w:rPr>
          <w:rFonts w:cs="Arial"/>
        </w:rPr>
      </w:pPr>
    </w:p>
    <w:tbl>
      <w:tblPr>
        <w:tblpPr w:leftFromText="180" w:rightFromText="180" w:vertAnchor="text" w:tblpY="1"/>
        <w:tblOverlap w:val="never"/>
        <w:tblW w:w="7566" w:type="dxa"/>
        <w:tblLook w:val="04A0" w:firstRow="1" w:lastRow="0" w:firstColumn="1" w:lastColumn="0" w:noHBand="0" w:noVBand="1"/>
      </w:tblPr>
      <w:tblGrid>
        <w:gridCol w:w="1668"/>
        <w:gridCol w:w="4230"/>
        <w:gridCol w:w="1668"/>
      </w:tblGrid>
      <w:tr w:rsidR="00C50505" w:rsidRPr="00C50505" w14:paraId="1DDBCE34" w14:textId="77777777" w:rsidTr="00C50505">
        <w:trPr>
          <w:trHeight w:val="381"/>
        </w:trPr>
        <w:tc>
          <w:tcPr>
            <w:tcW w:w="1668" w:type="dxa"/>
            <w:tcBorders>
              <w:top w:val="single" w:sz="4" w:space="0" w:color="auto"/>
              <w:left w:val="single" w:sz="4" w:space="0" w:color="auto"/>
              <w:bottom w:val="nil"/>
              <w:right w:val="nil"/>
            </w:tcBorders>
            <w:shd w:val="clear" w:color="000000" w:fill="C00000"/>
            <w:noWrap/>
            <w:hideMark/>
          </w:tcPr>
          <w:p w14:paraId="66153DFA"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2021</w:t>
            </w:r>
          </w:p>
        </w:tc>
        <w:tc>
          <w:tcPr>
            <w:tcW w:w="4230" w:type="dxa"/>
            <w:tcBorders>
              <w:top w:val="single" w:sz="4" w:space="0" w:color="auto"/>
              <w:left w:val="nil"/>
              <w:bottom w:val="nil"/>
              <w:right w:val="nil"/>
            </w:tcBorders>
            <w:shd w:val="clear" w:color="000000" w:fill="C00000"/>
            <w:noWrap/>
            <w:hideMark/>
          </w:tcPr>
          <w:p w14:paraId="57F78B0B"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single" w:sz="4" w:space="0" w:color="auto"/>
              <w:left w:val="nil"/>
              <w:bottom w:val="nil"/>
              <w:right w:val="single" w:sz="4" w:space="0" w:color="auto"/>
            </w:tcBorders>
            <w:shd w:val="clear" w:color="000000" w:fill="C00000"/>
            <w:noWrap/>
            <w:hideMark/>
          </w:tcPr>
          <w:p w14:paraId="4E9DFC10"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31 March 2022</w:t>
            </w:r>
          </w:p>
        </w:tc>
      </w:tr>
      <w:tr w:rsidR="00C50505" w:rsidRPr="00C50505" w14:paraId="41725D95" w14:textId="77777777" w:rsidTr="00C50505">
        <w:trPr>
          <w:trHeight w:val="381"/>
        </w:trPr>
        <w:tc>
          <w:tcPr>
            <w:tcW w:w="1668" w:type="dxa"/>
            <w:tcBorders>
              <w:top w:val="nil"/>
              <w:left w:val="single" w:sz="4" w:space="0" w:color="auto"/>
              <w:bottom w:val="nil"/>
              <w:right w:val="nil"/>
            </w:tcBorders>
            <w:shd w:val="clear" w:color="000000" w:fill="C00000"/>
            <w:noWrap/>
            <w:hideMark/>
          </w:tcPr>
          <w:p w14:paraId="148252F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c>
          <w:tcPr>
            <w:tcW w:w="4230" w:type="dxa"/>
            <w:tcBorders>
              <w:top w:val="nil"/>
              <w:left w:val="nil"/>
              <w:bottom w:val="nil"/>
              <w:right w:val="nil"/>
            </w:tcBorders>
            <w:shd w:val="clear" w:color="000000" w:fill="C00000"/>
            <w:noWrap/>
            <w:hideMark/>
          </w:tcPr>
          <w:p w14:paraId="66B4CE47"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 </w:t>
            </w:r>
          </w:p>
        </w:tc>
        <w:tc>
          <w:tcPr>
            <w:tcW w:w="1668" w:type="dxa"/>
            <w:tcBorders>
              <w:top w:val="nil"/>
              <w:left w:val="nil"/>
              <w:bottom w:val="nil"/>
              <w:right w:val="single" w:sz="4" w:space="0" w:color="auto"/>
            </w:tcBorders>
            <w:shd w:val="clear" w:color="000000" w:fill="C00000"/>
            <w:noWrap/>
            <w:hideMark/>
          </w:tcPr>
          <w:p w14:paraId="415A54C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£000</w:t>
            </w:r>
          </w:p>
        </w:tc>
      </w:tr>
      <w:tr w:rsidR="00C50505" w:rsidRPr="00C50505" w14:paraId="6B804593" w14:textId="77777777" w:rsidTr="00C50505">
        <w:trPr>
          <w:trHeight w:val="381"/>
        </w:trPr>
        <w:tc>
          <w:tcPr>
            <w:tcW w:w="1668" w:type="dxa"/>
            <w:tcBorders>
              <w:top w:val="nil"/>
              <w:left w:val="single" w:sz="4" w:space="0" w:color="auto"/>
              <w:bottom w:val="nil"/>
              <w:right w:val="nil"/>
            </w:tcBorders>
            <w:shd w:val="clear" w:color="000000" w:fill="FFFFFF"/>
            <w:noWrap/>
            <w:hideMark/>
          </w:tcPr>
          <w:p w14:paraId="5B7D056E"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(328,855)</w:t>
            </w:r>
          </w:p>
        </w:tc>
        <w:tc>
          <w:tcPr>
            <w:tcW w:w="4230" w:type="dxa"/>
            <w:tcBorders>
              <w:top w:val="nil"/>
              <w:left w:val="nil"/>
              <w:bottom w:val="nil"/>
              <w:right w:val="nil"/>
            </w:tcBorders>
            <w:shd w:val="clear" w:color="000000" w:fill="FFFFFF"/>
            <w:hideMark/>
          </w:tcPr>
          <w:p w14:paraId="664620CE" w14:textId="77777777" w:rsidR="00C50505" w:rsidRPr="00C50505" w:rsidRDefault="00C50505" w:rsidP="00C50505">
            <w:pPr>
              <w:spacing w:after="0" w:line="240" w:lineRule="auto"/>
              <w:rPr>
                <w:rFonts w:ascii="Calibri" w:eastAsia="Times New Roman" w:hAnsi="Calibri" w:cs="Calibri"/>
                <w:color w:val="000000"/>
                <w:lang w:eastAsia="en-GB"/>
              </w:rPr>
            </w:pPr>
            <w:r w:rsidRPr="00C50505">
              <w:rPr>
                <w:rFonts w:ascii="Calibri" w:eastAsia="Times New Roman" w:hAnsi="Calibri" w:cs="Calibri"/>
                <w:color w:val="000000"/>
                <w:lang w:eastAsia="en-GB"/>
              </w:rPr>
              <w:t>Pension Liabilities</w:t>
            </w:r>
          </w:p>
        </w:tc>
        <w:tc>
          <w:tcPr>
            <w:tcW w:w="1668" w:type="dxa"/>
            <w:tcBorders>
              <w:top w:val="nil"/>
              <w:left w:val="nil"/>
              <w:bottom w:val="nil"/>
              <w:right w:val="single" w:sz="4" w:space="0" w:color="auto"/>
            </w:tcBorders>
            <w:shd w:val="clear" w:color="000000" w:fill="FFE1E1"/>
            <w:noWrap/>
            <w:hideMark/>
          </w:tcPr>
          <w:p w14:paraId="2B65627E" w14:textId="77777777" w:rsidR="00C50505" w:rsidRPr="00C50505" w:rsidRDefault="00C50505" w:rsidP="00C50505">
            <w:pPr>
              <w:spacing w:after="0" w:line="240" w:lineRule="auto"/>
              <w:jc w:val="right"/>
              <w:rPr>
                <w:rFonts w:ascii="Calibri" w:eastAsia="Times New Roman" w:hAnsi="Calibri" w:cs="Calibri"/>
                <w:color w:val="000000"/>
                <w:lang w:eastAsia="en-GB"/>
              </w:rPr>
            </w:pPr>
            <w:r w:rsidRPr="00C50505">
              <w:rPr>
                <w:rFonts w:ascii="Calibri" w:eastAsia="Times New Roman" w:hAnsi="Calibri" w:cs="Calibri"/>
                <w:color w:val="000000"/>
                <w:lang w:eastAsia="en-GB"/>
              </w:rPr>
              <w:t>(334,435)</w:t>
            </w:r>
          </w:p>
        </w:tc>
      </w:tr>
      <w:tr w:rsidR="00C50505" w:rsidRPr="00C50505" w14:paraId="363855E9" w14:textId="77777777" w:rsidTr="00C50505">
        <w:trPr>
          <w:trHeight w:val="381"/>
        </w:trPr>
        <w:tc>
          <w:tcPr>
            <w:tcW w:w="1668" w:type="dxa"/>
            <w:tcBorders>
              <w:top w:val="nil"/>
              <w:left w:val="single" w:sz="4" w:space="0" w:color="auto"/>
              <w:bottom w:val="single" w:sz="4" w:space="0" w:color="auto"/>
              <w:right w:val="nil"/>
            </w:tcBorders>
            <w:shd w:val="clear" w:color="000000" w:fill="C00000"/>
            <w:noWrap/>
            <w:hideMark/>
          </w:tcPr>
          <w:p w14:paraId="32FA1562"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(328,855)</w:t>
            </w:r>
          </w:p>
        </w:tc>
        <w:tc>
          <w:tcPr>
            <w:tcW w:w="4230" w:type="dxa"/>
            <w:tcBorders>
              <w:top w:val="nil"/>
              <w:left w:val="nil"/>
              <w:bottom w:val="single" w:sz="4" w:space="0" w:color="auto"/>
              <w:right w:val="nil"/>
            </w:tcBorders>
            <w:shd w:val="clear" w:color="000000" w:fill="C00000"/>
            <w:noWrap/>
            <w:hideMark/>
          </w:tcPr>
          <w:p w14:paraId="3F13298B" w14:textId="77777777" w:rsidR="00C50505" w:rsidRPr="00C50505" w:rsidRDefault="00C50505" w:rsidP="00C50505">
            <w:pPr>
              <w:spacing w:after="0" w:line="240" w:lineRule="auto"/>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Total Long Term Liabilities</w:t>
            </w:r>
          </w:p>
        </w:tc>
        <w:tc>
          <w:tcPr>
            <w:tcW w:w="1668" w:type="dxa"/>
            <w:tcBorders>
              <w:top w:val="nil"/>
              <w:left w:val="nil"/>
              <w:bottom w:val="single" w:sz="4" w:space="0" w:color="auto"/>
              <w:right w:val="single" w:sz="4" w:space="0" w:color="auto"/>
            </w:tcBorders>
            <w:shd w:val="clear" w:color="000000" w:fill="C00000"/>
            <w:noWrap/>
            <w:hideMark/>
          </w:tcPr>
          <w:p w14:paraId="5D2D8446" w14:textId="77777777" w:rsidR="00C50505" w:rsidRPr="00C50505" w:rsidRDefault="00C50505" w:rsidP="00C50505">
            <w:pPr>
              <w:spacing w:after="0" w:line="240" w:lineRule="auto"/>
              <w:jc w:val="right"/>
              <w:rPr>
                <w:rFonts w:ascii="Calibri" w:eastAsia="Times New Roman" w:hAnsi="Calibri" w:cs="Calibri"/>
                <w:b/>
                <w:bCs/>
                <w:color w:val="FFFFFF"/>
                <w:lang w:eastAsia="en-GB"/>
              </w:rPr>
            </w:pPr>
            <w:r w:rsidRPr="00C50505">
              <w:rPr>
                <w:rFonts w:ascii="Calibri" w:eastAsia="Times New Roman" w:hAnsi="Calibri" w:cs="Calibri"/>
                <w:b/>
                <w:bCs/>
                <w:color w:val="FFFFFF"/>
                <w:lang w:eastAsia="en-GB"/>
              </w:rPr>
              <w:t>(334,435)</w:t>
            </w:r>
          </w:p>
        </w:tc>
      </w:tr>
    </w:tbl>
    <w:p w14:paraId="3E7FC051" w14:textId="6C28E5BE" w:rsidR="00C50505" w:rsidRPr="007F07C2" w:rsidRDefault="00C50505" w:rsidP="0079406E">
      <w:pPr>
        <w:autoSpaceDE w:val="0"/>
        <w:autoSpaceDN w:val="0"/>
        <w:adjustRightInd w:val="0"/>
        <w:spacing w:after="0" w:line="240" w:lineRule="auto"/>
        <w:rPr>
          <w:rFonts w:cs="Arial"/>
        </w:rPr>
      </w:pPr>
      <w:r>
        <w:rPr>
          <w:rFonts w:cs="Arial"/>
        </w:rPr>
        <w:br w:type="textWrapping" w:clear="all"/>
      </w:r>
    </w:p>
    <w:p w14:paraId="5AD51175" w14:textId="77777777"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t>17</w:t>
      </w:r>
      <w:r w:rsidR="0079406E" w:rsidRPr="007F07C2">
        <w:rPr>
          <w:rFonts w:cs="Arial"/>
          <w:b/>
          <w:bCs/>
          <w:sz w:val="28"/>
          <w:szCs w:val="28"/>
        </w:rPr>
        <w:t xml:space="preserve"> Usable reserves </w:t>
      </w:r>
    </w:p>
    <w:p w14:paraId="3B0B9171" w14:textId="77777777" w:rsidR="00B04026" w:rsidRPr="007F07C2" w:rsidRDefault="0079406E" w:rsidP="0079406E">
      <w:pPr>
        <w:autoSpaceDE w:val="0"/>
        <w:autoSpaceDN w:val="0"/>
        <w:adjustRightInd w:val="0"/>
        <w:spacing w:after="0" w:line="240" w:lineRule="auto"/>
        <w:rPr>
          <w:rFonts w:cs="Arial"/>
        </w:rPr>
      </w:pPr>
      <w:r w:rsidRPr="007F07C2">
        <w:rPr>
          <w:rFonts w:cs="Arial"/>
        </w:rPr>
        <w:t>Movements in the Authority’s usable reserves are detailed in the Movement in Reserves statement. The nature</w:t>
      </w:r>
    </w:p>
    <w:p w14:paraId="1BBFE4C7" w14:textId="053B633B" w:rsidR="005C0AA9" w:rsidRPr="00C50505" w:rsidRDefault="0079406E" w:rsidP="0079406E">
      <w:pPr>
        <w:autoSpaceDE w:val="0"/>
        <w:autoSpaceDN w:val="0"/>
        <w:adjustRightInd w:val="0"/>
        <w:spacing w:after="0" w:line="240" w:lineRule="auto"/>
        <w:rPr>
          <w:rFonts w:cs="Arial"/>
        </w:rPr>
      </w:pPr>
      <w:r w:rsidRPr="007F07C2">
        <w:rPr>
          <w:rFonts w:cs="Arial"/>
        </w:rPr>
        <w:t>and purpose of t</w:t>
      </w:r>
      <w:r w:rsidR="00DC3866" w:rsidRPr="007F07C2">
        <w:rPr>
          <w:rFonts w:cs="Arial"/>
        </w:rPr>
        <w:t>hese reserves is set out below:</w:t>
      </w:r>
    </w:p>
    <w:tbl>
      <w:tblPr>
        <w:tblpPr w:leftFromText="180" w:rightFromText="180" w:vertAnchor="text" w:tblpY="1"/>
        <w:tblOverlap w:val="never"/>
        <w:tblW w:w="8381" w:type="dxa"/>
        <w:tblLook w:val="04A0" w:firstRow="1" w:lastRow="0" w:firstColumn="1" w:lastColumn="0" w:noHBand="0" w:noVBand="1"/>
      </w:tblPr>
      <w:tblGrid>
        <w:gridCol w:w="271"/>
        <w:gridCol w:w="1616"/>
        <w:gridCol w:w="271"/>
        <w:gridCol w:w="3654"/>
        <w:gridCol w:w="1701"/>
        <w:gridCol w:w="868"/>
      </w:tblGrid>
      <w:tr w:rsidR="005C0AA9" w:rsidRPr="005C0AA9" w14:paraId="77929F1B" w14:textId="77777777" w:rsidTr="005A184D">
        <w:trPr>
          <w:trHeight w:val="310"/>
        </w:trPr>
        <w:tc>
          <w:tcPr>
            <w:tcW w:w="271" w:type="dxa"/>
            <w:tcBorders>
              <w:top w:val="nil"/>
              <w:left w:val="nil"/>
              <w:bottom w:val="nil"/>
              <w:right w:val="nil"/>
            </w:tcBorders>
            <w:shd w:val="clear" w:color="000000" w:fill="FFFFFF"/>
            <w:noWrap/>
            <w:vAlign w:val="bottom"/>
            <w:hideMark/>
          </w:tcPr>
          <w:p w14:paraId="6D0BB058" w14:textId="4A899903"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nil"/>
              <w:bottom w:val="nil"/>
              <w:right w:val="nil"/>
            </w:tcBorders>
            <w:shd w:val="clear" w:color="000000" w:fill="FFFFFF"/>
            <w:noWrap/>
            <w:hideMark/>
          </w:tcPr>
          <w:p w14:paraId="747901E6"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hideMark/>
          </w:tcPr>
          <w:p w14:paraId="614ABDF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3654" w:type="dxa"/>
            <w:tcBorders>
              <w:top w:val="nil"/>
              <w:left w:val="nil"/>
              <w:bottom w:val="nil"/>
              <w:right w:val="nil"/>
            </w:tcBorders>
            <w:shd w:val="clear" w:color="000000" w:fill="FFFFFF"/>
            <w:noWrap/>
            <w:vAlign w:val="bottom"/>
            <w:hideMark/>
          </w:tcPr>
          <w:p w14:paraId="0B670F8B" w14:textId="77777777" w:rsidR="005C0AA9" w:rsidRPr="005C0AA9" w:rsidRDefault="005C0AA9" w:rsidP="005A184D">
            <w:pPr>
              <w:spacing w:after="0" w:line="240" w:lineRule="auto"/>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0BCBF44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868" w:type="dxa"/>
            <w:tcBorders>
              <w:top w:val="nil"/>
              <w:left w:val="nil"/>
              <w:bottom w:val="nil"/>
              <w:right w:val="nil"/>
            </w:tcBorders>
            <w:shd w:val="clear" w:color="000000" w:fill="FFFFFF"/>
            <w:noWrap/>
            <w:vAlign w:val="bottom"/>
            <w:hideMark/>
          </w:tcPr>
          <w:p w14:paraId="2A681FA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532AFBD8" w14:textId="77777777" w:rsidTr="005A184D">
        <w:trPr>
          <w:trHeight w:val="310"/>
        </w:trPr>
        <w:tc>
          <w:tcPr>
            <w:tcW w:w="271" w:type="dxa"/>
            <w:tcBorders>
              <w:top w:val="nil"/>
              <w:left w:val="nil"/>
              <w:bottom w:val="nil"/>
              <w:right w:val="nil"/>
            </w:tcBorders>
            <w:shd w:val="clear" w:color="000000" w:fill="FFFFFF"/>
            <w:noWrap/>
            <w:vAlign w:val="bottom"/>
            <w:hideMark/>
          </w:tcPr>
          <w:p w14:paraId="4EEEC86B"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nil"/>
              <w:right w:val="nil"/>
            </w:tcBorders>
            <w:shd w:val="clear" w:color="000000" w:fill="C00000"/>
            <w:noWrap/>
            <w:vAlign w:val="bottom"/>
            <w:hideMark/>
          </w:tcPr>
          <w:p w14:paraId="398B8338"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noWrap/>
            <w:vAlign w:val="bottom"/>
            <w:hideMark/>
          </w:tcPr>
          <w:p w14:paraId="3835C6B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nil"/>
              <w:right w:val="nil"/>
            </w:tcBorders>
            <w:shd w:val="clear" w:color="000000" w:fill="C00000"/>
            <w:noWrap/>
            <w:vAlign w:val="bottom"/>
            <w:hideMark/>
          </w:tcPr>
          <w:p w14:paraId="021576B6"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0C77CCE2"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31 March 2022</w:t>
            </w:r>
          </w:p>
        </w:tc>
        <w:tc>
          <w:tcPr>
            <w:tcW w:w="868" w:type="dxa"/>
            <w:tcBorders>
              <w:top w:val="nil"/>
              <w:left w:val="nil"/>
              <w:bottom w:val="nil"/>
              <w:right w:val="nil"/>
            </w:tcBorders>
            <w:shd w:val="clear" w:color="000000" w:fill="FFFFFF"/>
            <w:noWrap/>
            <w:vAlign w:val="bottom"/>
            <w:hideMark/>
          </w:tcPr>
          <w:p w14:paraId="6AFBA66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A641F07" w14:textId="77777777" w:rsidTr="005A184D">
        <w:trPr>
          <w:trHeight w:val="310"/>
        </w:trPr>
        <w:tc>
          <w:tcPr>
            <w:tcW w:w="271" w:type="dxa"/>
            <w:tcBorders>
              <w:top w:val="nil"/>
              <w:left w:val="nil"/>
              <w:bottom w:val="nil"/>
              <w:right w:val="nil"/>
            </w:tcBorders>
            <w:shd w:val="clear" w:color="000000" w:fill="FFFFFF"/>
            <w:noWrap/>
            <w:vAlign w:val="bottom"/>
            <w:hideMark/>
          </w:tcPr>
          <w:p w14:paraId="330C80E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C00000"/>
            <w:noWrap/>
            <w:vAlign w:val="bottom"/>
            <w:hideMark/>
          </w:tcPr>
          <w:p w14:paraId="01BB2725"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C00000"/>
            <w:noWrap/>
            <w:vAlign w:val="bottom"/>
            <w:hideMark/>
          </w:tcPr>
          <w:p w14:paraId="03D9738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nil"/>
              <w:left w:val="nil"/>
              <w:bottom w:val="nil"/>
              <w:right w:val="nil"/>
            </w:tcBorders>
            <w:shd w:val="clear" w:color="000000" w:fill="C00000"/>
            <w:noWrap/>
            <w:vAlign w:val="bottom"/>
            <w:hideMark/>
          </w:tcPr>
          <w:p w14:paraId="48311D7E"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1F453E6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£000</w:t>
            </w:r>
          </w:p>
        </w:tc>
        <w:tc>
          <w:tcPr>
            <w:tcW w:w="868" w:type="dxa"/>
            <w:tcBorders>
              <w:top w:val="nil"/>
              <w:left w:val="nil"/>
              <w:bottom w:val="nil"/>
              <w:right w:val="nil"/>
            </w:tcBorders>
            <w:shd w:val="clear" w:color="000000" w:fill="FFFFFF"/>
            <w:noWrap/>
            <w:vAlign w:val="bottom"/>
            <w:hideMark/>
          </w:tcPr>
          <w:p w14:paraId="3E771B6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2556C5D" w14:textId="77777777" w:rsidTr="005A184D">
        <w:trPr>
          <w:trHeight w:val="310"/>
        </w:trPr>
        <w:tc>
          <w:tcPr>
            <w:tcW w:w="271" w:type="dxa"/>
            <w:tcBorders>
              <w:top w:val="nil"/>
              <w:left w:val="nil"/>
              <w:bottom w:val="nil"/>
              <w:right w:val="nil"/>
            </w:tcBorders>
            <w:shd w:val="clear" w:color="000000" w:fill="FFFFFF"/>
            <w:noWrap/>
            <w:vAlign w:val="bottom"/>
            <w:hideMark/>
          </w:tcPr>
          <w:p w14:paraId="6E07481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865F154"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(3,000)</w:t>
            </w:r>
          </w:p>
        </w:tc>
        <w:tc>
          <w:tcPr>
            <w:tcW w:w="271" w:type="dxa"/>
            <w:tcBorders>
              <w:top w:val="nil"/>
              <w:left w:val="nil"/>
              <w:bottom w:val="nil"/>
              <w:right w:val="nil"/>
            </w:tcBorders>
            <w:shd w:val="clear" w:color="000000" w:fill="FFFFFF"/>
            <w:noWrap/>
            <w:vAlign w:val="bottom"/>
            <w:hideMark/>
          </w:tcPr>
          <w:p w14:paraId="69E7DBEF"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7EED5768"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General Fund</w:t>
            </w:r>
          </w:p>
        </w:tc>
        <w:tc>
          <w:tcPr>
            <w:tcW w:w="1701" w:type="dxa"/>
            <w:tcBorders>
              <w:top w:val="nil"/>
              <w:left w:val="nil"/>
              <w:bottom w:val="nil"/>
              <w:right w:val="single" w:sz="4" w:space="0" w:color="auto"/>
            </w:tcBorders>
            <w:shd w:val="clear" w:color="000000" w:fill="FFE1E1"/>
            <w:noWrap/>
            <w:vAlign w:val="bottom"/>
            <w:hideMark/>
          </w:tcPr>
          <w:p w14:paraId="723F2D16"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(2,000)</w:t>
            </w:r>
          </w:p>
        </w:tc>
        <w:tc>
          <w:tcPr>
            <w:tcW w:w="868" w:type="dxa"/>
            <w:tcBorders>
              <w:top w:val="nil"/>
              <w:left w:val="nil"/>
              <w:bottom w:val="nil"/>
              <w:right w:val="nil"/>
            </w:tcBorders>
            <w:shd w:val="clear" w:color="000000" w:fill="FFFFFF"/>
            <w:noWrap/>
            <w:vAlign w:val="bottom"/>
            <w:hideMark/>
          </w:tcPr>
          <w:p w14:paraId="7CB18C0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5BEA9E1" w14:textId="77777777" w:rsidTr="005A184D">
        <w:trPr>
          <w:trHeight w:val="310"/>
        </w:trPr>
        <w:tc>
          <w:tcPr>
            <w:tcW w:w="271" w:type="dxa"/>
            <w:tcBorders>
              <w:top w:val="nil"/>
              <w:left w:val="nil"/>
              <w:bottom w:val="nil"/>
              <w:right w:val="nil"/>
            </w:tcBorders>
            <w:shd w:val="clear" w:color="000000" w:fill="FFFFFF"/>
            <w:noWrap/>
            <w:vAlign w:val="bottom"/>
            <w:hideMark/>
          </w:tcPr>
          <w:p w14:paraId="622B0FD0"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90A8B36"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(255)</w:t>
            </w:r>
          </w:p>
        </w:tc>
        <w:tc>
          <w:tcPr>
            <w:tcW w:w="271" w:type="dxa"/>
            <w:tcBorders>
              <w:top w:val="nil"/>
              <w:left w:val="nil"/>
              <w:bottom w:val="nil"/>
              <w:right w:val="nil"/>
            </w:tcBorders>
            <w:shd w:val="clear" w:color="000000" w:fill="FFFFFF"/>
            <w:noWrap/>
            <w:vAlign w:val="bottom"/>
            <w:hideMark/>
          </w:tcPr>
          <w:p w14:paraId="148B58A2"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40D3F34D"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Section 106 Receipts</w:t>
            </w:r>
          </w:p>
        </w:tc>
        <w:tc>
          <w:tcPr>
            <w:tcW w:w="1701" w:type="dxa"/>
            <w:tcBorders>
              <w:top w:val="nil"/>
              <w:left w:val="nil"/>
              <w:bottom w:val="nil"/>
              <w:right w:val="single" w:sz="4" w:space="0" w:color="auto"/>
            </w:tcBorders>
            <w:shd w:val="clear" w:color="000000" w:fill="FFE1E1"/>
            <w:noWrap/>
            <w:vAlign w:val="bottom"/>
            <w:hideMark/>
          </w:tcPr>
          <w:p w14:paraId="1E29B082" w14:textId="2612A7C6"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(27</w:t>
            </w:r>
            <w:r w:rsidR="00F131BB">
              <w:rPr>
                <w:rFonts w:ascii="Calibri" w:eastAsia="Times New Roman" w:hAnsi="Calibri" w:cs="Calibri"/>
                <w:color w:val="000000"/>
                <w:lang w:eastAsia="en-GB"/>
              </w:rPr>
              <w:t>3</w:t>
            </w: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40653568"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4B3D33E" w14:textId="77777777" w:rsidTr="005A184D">
        <w:trPr>
          <w:trHeight w:val="310"/>
        </w:trPr>
        <w:tc>
          <w:tcPr>
            <w:tcW w:w="271" w:type="dxa"/>
            <w:tcBorders>
              <w:top w:val="nil"/>
              <w:left w:val="nil"/>
              <w:bottom w:val="nil"/>
              <w:right w:val="nil"/>
            </w:tcBorders>
            <w:shd w:val="clear" w:color="000000" w:fill="FFFFFF"/>
            <w:noWrap/>
            <w:vAlign w:val="bottom"/>
            <w:hideMark/>
          </w:tcPr>
          <w:p w14:paraId="7E87E11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DD2628E"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(250)</w:t>
            </w:r>
          </w:p>
        </w:tc>
        <w:tc>
          <w:tcPr>
            <w:tcW w:w="271" w:type="dxa"/>
            <w:tcBorders>
              <w:top w:val="nil"/>
              <w:left w:val="nil"/>
              <w:bottom w:val="nil"/>
              <w:right w:val="nil"/>
            </w:tcBorders>
            <w:shd w:val="clear" w:color="000000" w:fill="FFFFFF"/>
            <w:noWrap/>
            <w:vAlign w:val="bottom"/>
            <w:hideMark/>
          </w:tcPr>
          <w:p w14:paraId="4B1BB488"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00E9A22C"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Insurance Fund External</w:t>
            </w:r>
          </w:p>
        </w:tc>
        <w:tc>
          <w:tcPr>
            <w:tcW w:w="1701" w:type="dxa"/>
            <w:tcBorders>
              <w:top w:val="nil"/>
              <w:left w:val="nil"/>
              <w:bottom w:val="nil"/>
              <w:right w:val="single" w:sz="4" w:space="0" w:color="auto"/>
            </w:tcBorders>
            <w:shd w:val="clear" w:color="000000" w:fill="FFE1E1"/>
            <w:noWrap/>
            <w:vAlign w:val="bottom"/>
            <w:hideMark/>
          </w:tcPr>
          <w:p w14:paraId="1DFF2084"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(250)</w:t>
            </w:r>
          </w:p>
        </w:tc>
        <w:tc>
          <w:tcPr>
            <w:tcW w:w="868" w:type="dxa"/>
            <w:tcBorders>
              <w:top w:val="nil"/>
              <w:left w:val="nil"/>
              <w:bottom w:val="nil"/>
              <w:right w:val="nil"/>
            </w:tcBorders>
            <w:shd w:val="clear" w:color="000000" w:fill="FFFFFF"/>
            <w:noWrap/>
            <w:vAlign w:val="bottom"/>
            <w:hideMark/>
          </w:tcPr>
          <w:p w14:paraId="5F8F3A13"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D4987B1" w14:textId="77777777" w:rsidTr="005A184D">
        <w:trPr>
          <w:trHeight w:val="310"/>
        </w:trPr>
        <w:tc>
          <w:tcPr>
            <w:tcW w:w="271" w:type="dxa"/>
            <w:tcBorders>
              <w:top w:val="nil"/>
              <w:left w:val="nil"/>
              <w:bottom w:val="nil"/>
              <w:right w:val="nil"/>
            </w:tcBorders>
            <w:shd w:val="clear" w:color="000000" w:fill="FFFFFF"/>
            <w:noWrap/>
            <w:vAlign w:val="bottom"/>
            <w:hideMark/>
          </w:tcPr>
          <w:p w14:paraId="51BBB5B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2936C5D5"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(500)</w:t>
            </w:r>
          </w:p>
        </w:tc>
        <w:tc>
          <w:tcPr>
            <w:tcW w:w="271" w:type="dxa"/>
            <w:tcBorders>
              <w:top w:val="nil"/>
              <w:left w:val="nil"/>
              <w:bottom w:val="nil"/>
              <w:right w:val="nil"/>
            </w:tcBorders>
            <w:shd w:val="clear" w:color="000000" w:fill="FFFFFF"/>
            <w:noWrap/>
            <w:vAlign w:val="bottom"/>
            <w:hideMark/>
          </w:tcPr>
          <w:p w14:paraId="3550577E"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663951D1"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Funding Reserves</w:t>
            </w:r>
          </w:p>
        </w:tc>
        <w:tc>
          <w:tcPr>
            <w:tcW w:w="1701" w:type="dxa"/>
            <w:tcBorders>
              <w:top w:val="nil"/>
              <w:left w:val="nil"/>
              <w:bottom w:val="nil"/>
              <w:right w:val="single" w:sz="4" w:space="0" w:color="auto"/>
            </w:tcBorders>
            <w:shd w:val="clear" w:color="000000" w:fill="FFE1E1"/>
            <w:noWrap/>
            <w:vAlign w:val="bottom"/>
            <w:hideMark/>
          </w:tcPr>
          <w:p w14:paraId="40049EFC"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(924)</w:t>
            </w:r>
          </w:p>
        </w:tc>
        <w:tc>
          <w:tcPr>
            <w:tcW w:w="868" w:type="dxa"/>
            <w:tcBorders>
              <w:top w:val="nil"/>
              <w:left w:val="nil"/>
              <w:bottom w:val="nil"/>
              <w:right w:val="nil"/>
            </w:tcBorders>
            <w:shd w:val="clear" w:color="000000" w:fill="FFFFFF"/>
            <w:noWrap/>
            <w:vAlign w:val="bottom"/>
            <w:hideMark/>
          </w:tcPr>
          <w:p w14:paraId="0C53FE2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2C097D7" w14:textId="77777777" w:rsidTr="005A184D">
        <w:trPr>
          <w:trHeight w:val="310"/>
        </w:trPr>
        <w:tc>
          <w:tcPr>
            <w:tcW w:w="271" w:type="dxa"/>
            <w:tcBorders>
              <w:top w:val="nil"/>
              <w:left w:val="nil"/>
              <w:bottom w:val="nil"/>
              <w:right w:val="nil"/>
            </w:tcBorders>
            <w:shd w:val="clear" w:color="000000" w:fill="FFFFFF"/>
            <w:noWrap/>
            <w:vAlign w:val="bottom"/>
            <w:hideMark/>
          </w:tcPr>
          <w:p w14:paraId="58E75842"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E31B657"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(99)</w:t>
            </w:r>
          </w:p>
        </w:tc>
        <w:tc>
          <w:tcPr>
            <w:tcW w:w="271" w:type="dxa"/>
            <w:tcBorders>
              <w:top w:val="nil"/>
              <w:left w:val="nil"/>
              <w:bottom w:val="nil"/>
              <w:right w:val="nil"/>
            </w:tcBorders>
            <w:shd w:val="clear" w:color="000000" w:fill="FFFFFF"/>
            <w:noWrap/>
            <w:vAlign w:val="bottom"/>
            <w:hideMark/>
          </w:tcPr>
          <w:p w14:paraId="142D03B2"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1DF3803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Carry Forwards</w:t>
            </w:r>
          </w:p>
        </w:tc>
        <w:tc>
          <w:tcPr>
            <w:tcW w:w="1701" w:type="dxa"/>
            <w:tcBorders>
              <w:top w:val="nil"/>
              <w:left w:val="nil"/>
              <w:bottom w:val="nil"/>
              <w:right w:val="single" w:sz="4" w:space="0" w:color="auto"/>
            </w:tcBorders>
            <w:shd w:val="clear" w:color="000000" w:fill="FFE1E1"/>
            <w:noWrap/>
            <w:vAlign w:val="bottom"/>
            <w:hideMark/>
          </w:tcPr>
          <w:p w14:paraId="218A421B"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(151)</w:t>
            </w:r>
          </w:p>
        </w:tc>
        <w:tc>
          <w:tcPr>
            <w:tcW w:w="868" w:type="dxa"/>
            <w:tcBorders>
              <w:top w:val="nil"/>
              <w:left w:val="nil"/>
              <w:bottom w:val="nil"/>
              <w:right w:val="nil"/>
            </w:tcBorders>
            <w:shd w:val="clear" w:color="000000" w:fill="FFFFFF"/>
            <w:noWrap/>
            <w:vAlign w:val="bottom"/>
            <w:hideMark/>
          </w:tcPr>
          <w:p w14:paraId="5016B8E9"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38D7555F" w14:textId="77777777" w:rsidTr="005A184D">
        <w:trPr>
          <w:trHeight w:val="310"/>
        </w:trPr>
        <w:tc>
          <w:tcPr>
            <w:tcW w:w="271" w:type="dxa"/>
            <w:tcBorders>
              <w:top w:val="nil"/>
              <w:left w:val="nil"/>
              <w:bottom w:val="nil"/>
              <w:right w:val="nil"/>
            </w:tcBorders>
            <w:shd w:val="clear" w:color="000000" w:fill="FFFFFF"/>
            <w:noWrap/>
            <w:vAlign w:val="bottom"/>
            <w:hideMark/>
          </w:tcPr>
          <w:p w14:paraId="018DDAB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A0D5103"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(400)</w:t>
            </w:r>
          </w:p>
        </w:tc>
        <w:tc>
          <w:tcPr>
            <w:tcW w:w="271" w:type="dxa"/>
            <w:tcBorders>
              <w:top w:val="nil"/>
              <w:left w:val="nil"/>
              <w:bottom w:val="nil"/>
              <w:right w:val="nil"/>
            </w:tcBorders>
            <w:shd w:val="clear" w:color="000000" w:fill="FFFFFF"/>
            <w:noWrap/>
            <w:vAlign w:val="bottom"/>
            <w:hideMark/>
          </w:tcPr>
          <w:p w14:paraId="2BE9BD7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4115D68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Transformation Reserve</w:t>
            </w:r>
          </w:p>
        </w:tc>
        <w:tc>
          <w:tcPr>
            <w:tcW w:w="1701" w:type="dxa"/>
            <w:tcBorders>
              <w:top w:val="nil"/>
              <w:left w:val="nil"/>
              <w:bottom w:val="nil"/>
              <w:right w:val="single" w:sz="4" w:space="0" w:color="auto"/>
            </w:tcBorders>
            <w:shd w:val="clear" w:color="000000" w:fill="FFE1E1"/>
            <w:noWrap/>
            <w:vAlign w:val="bottom"/>
            <w:hideMark/>
          </w:tcPr>
          <w:p w14:paraId="7DD37BD0"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(681)</w:t>
            </w:r>
          </w:p>
        </w:tc>
        <w:tc>
          <w:tcPr>
            <w:tcW w:w="868" w:type="dxa"/>
            <w:tcBorders>
              <w:top w:val="nil"/>
              <w:left w:val="nil"/>
              <w:bottom w:val="nil"/>
              <w:right w:val="nil"/>
            </w:tcBorders>
            <w:shd w:val="clear" w:color="000000" w:fill="FFFFFF"/>
            <w:noWrap/>
            <w:vAlign w:val="bottom"/>
            <w:hideMark/>
          </w:tcPr>
          <w:p w14:paraId="3541D00D"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2D0398DD" w14:textId="77777777" w:rsidTr="005A184D">
        <w:trPr>
          <w:trHeight w:val="310"/>
        </w:trPr>
        <w:tc>
          <w:tcPr>
            <w:tcW w:w="271" w:type="dxa"/>
            <w:tcBorders>
              <w:top w:val="nil"/>
              <w:left w:val="nil"/>
              <w:bottom w:val="nil"/>
              <w:right w:val="nil"/>
            </w:tcBorders>
            <w:shd w:val="clear" w:color="000000" w:fill="FFFFFF"/>
            <w:noWrap/>
            <w:vAlign w:val="bottom"/>
            <w:hideMark/>
          </w:tcPr>
          <w:p w14:paraId="37F2DE6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7B4AD46E"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(388)</w:t>
            </w:r>
          </w:p>
        </w:tc>
        <w:tc>
          <w:tcPr>
            <w:tcW w:w="271" w:type="dxa"/>
            <w:tcBorders>
              <w:top w:val="nil"/>
              <w:left w:val="nil"/>
              <w:bottom w:val="nil"/>
              <w:right w:val="nil"/>
            </w:tcBorders>
            <w:shd w:val="clear" w:color="000000" w:fill="FFFFFF"/>
            <w:noWrap/>
            <w:vAlign w:val="bottom"/>
            <w:hideMark/>
          </w:tcPr>
          <w:p w14:paraId="00C476F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0C140CD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&amp; ESN</w:t>
            </w:r>
          </w:p>
        </w:tc>
        <w:tc>
          <w:tcPr>
            <w:tcW w:w="1701" w:type="dxa"/>
            <w:tcBorders>
              <w:top w:val="nil"/>
              <w:left w:val="nil"/>
              <w:bottom w:val="nil"/>
              <w:right w:val="single" w:sz="4" w:space="0" w:color="auto"/>
            </w:tcBorders>
            <w:shd w:val="clear" w:color="000000" w:fill="FFE1E1"/>
            <w:noWrap/>
            <w:vAlign w:val="bottom"/>
            <w:hideMark/>
          </w:tcPr>
          <w:p w14:paraId="783D4F4C"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(356)</w:t>
            </w:r>
          </w:p>
        </w:tc>
        <w:tc>
          <w:tcPr>
            <w:tcW w:w="868" w:type="dxa"/>
            <w:tcBorders>
              <w:top w:val="nil"/>
              <w:left w:val="nil"/>
              <w:bottom w:val="nil"/>
              <w:right w:val="nil"/>
            </w:tcBorders>
            <w:shd w:val="clear" w:color="000000" w:fill="FFFFFF"/>
            <w:noWrap/>
            <w:vAlign w:val="bottom"/>
            <w:hideMark/>
          </w:tcPr>
          <w:p w14:paraId="63180EFB"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70D2A1D" w14:textId="77777777" w:rsidTr="005A184D">
        <w:trPr>
          <w:trHeight w:val="310"/>
        </w:trPr>
        <w:tc>
          <w:tcPr>
            <w:tcW w:w="271" w:type="dxa"/>
            <w:tcBorders>
              <w:top w:val="nil"/>
              <w:left w:val="nil"/>
              <w:bottom w:val="nil"/>
              <w:right w:val="nil"/>
            </w:tcBorders>
            <w:shd w:val="clear" w:color="000000" w:fill="FFFFFF"/>
            <w:noWrap/>
            <w:vAlign w:val="bottom"/>
            <w:hideMark/>
          </w:tcPr>
          <w:p w14:paraId="7E0C1C6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31AB0F50"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w:t>
            </w:r>
          </w:p>
        </w:tc>
        <w:tc>
          <w:tcPr>
            <w:tcW w:w="271" w:type="dxa"/>
            <w:tcBorders>
              <w:top w:val="nil"/>
              <w:left w:val="nil"/>
              <w:bottom w:val="nil"/>
              <w:right w:val="nil"/>
            </w:tcBorders>
            <w:shd w:val="clear" w:color="000000" w:fill="FFFFFF"/>
            <w:noWrap/>
            <w:vAlign w:val="bottom"/>
            <w:hideMark/>
          </w:tcPr>
          <w:p w14:paraId="0A772CD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18FFA6C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Equipment Reserve</w:t>
            </w:r>
          </w:p>
        </w:tc>
        <w:tc>
          <w:tcPr>
            <w:tcW w:w="1701" w:type="dxa"/>
            <w:tcBorders>
              <w:top w:val="nil"/>
              <w:left w:val="nil"/>
              <w:bottom w:val="nil"/>
              <w:right w:val="single" w:sz="4" w:space="0" w:color="auto"/>
            </w:tcBorders>
            <w:shd w:val="clear" w:color="000000" w:fill="FFE1E1"/>
            <w:noWrap/>
            <w:vAlign w:val="bottom"/>
            <w:hideMark/>
          </w:tcPr>
          <w:p w14:paraId="22ADA0AB"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(30)</w:t>
            </w:r>
          </w:p>
        </w:tc>
        <w:tc>
          <w:tcPr>
            <w:tcW w:w="868" w:type="dxa"/>
            <w:tcBorders>
              <w:top w:val="nil"/>
              <w:left w:val="nil"/>
              <w:bottom w:val="nil"/>
              <w:right w:val="nil"/>
            </w:tcBorders>
            <w:shd w:val="clear" w:color="000000" w:fill="FFFFFF"/>
            <w:noWrap/>
            <w:vAlign w:val="bottom"/>
            <w:hideMark/>
          </w:tcPr>
          <w:p w14:paraId="79F9966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58DEFAB2" w14:textId="77777777" w:rsidTr="005A184D">
        <w:trPr>
          <w:trHeight w:val="310"/>
        </w:trPr>
        <w:tc>
          <w:tcPr>
            <w:tcW w:w="271" w:type="dxa"/>
            <w:tcBorders>
              <w:top w:val="nil"/>
              <w:left w:val="nil"/>
              <w:bottom w:val="nil"/>
              <w:right w:val="nil"/>
            </w:tcBorders>
            <w:shd w:val="clear" w:color="000000" w:fill="FFFFFF"/>
            <w:noWrap/>
            <w:vAlign w:val="bottom"/>
            <w:hideMark/>
          </w:tcPr>
          <w:p w14:paraId="4F159C3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0B1793D3"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(4,922)</w:t>
            </w:r>
          </w:p>
        </w:tc>
        <w:tc>
          <w:tcPr>
            <w:tcW w:w="271" w:type="dxa"/>
            <w:tcBorders>
              <w:top w:val="single" w:sz="4" w:space="0" w:color="auto"/>
              <w:left w:val="nil"/>
              <w:bottom w:val="single" w:sz="4" w:space="0" w:color="auto"/>
              <w:right w:val="nil"/>
            </w:tcBorders>
            <w:shd w:val="clear" w:color="000000" w:fill="C00000"/>
            <w:noWrap/>
            <w:hideMark/>
          </w:tcPr>
          <w:p w14:paraId="228EB9F4"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5880973D"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General Fund + Earmarked Reserves</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5836D195" w14:textId="09008D22"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(4,66</w:t>
            </w:r>
            <w:r w:rsidR="00F131BB">
              <w:rPr>
                <w:rFonts w:ascii="Calibri" w:eastAsia="Times New Roman" w:hAnsi="Calibri" w:cs="Calibri"/>
                <w:b/>
                <w:bCs/>
                <w:color w:val="FFFFFF"/>
                <w:lang w:eastAsia="en-GB"/>
              </w:rPr>
              <w:t>5</w:t>
            </w: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4A13137A"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6C1168F" w14:textId="77777777" w:rsidTr="005A184D">
        <w:trPr>
          <w:trHeight w:val="310"/>
        </w:trPr>
        <w:tc>
          <w:tcPr>
            <w:tcW w:w="271" w:type="dxa"/>
            <w:tcBorders>
              <w:top w:val="nil"/>
              <w:left w:val="nil"/>
              <w:bottom w:val="nil"/>
              <w:right w:val="nil"/>
            </w:tcBorders>
            <w:shd w:val="clear" w:color="000000" w:fill="FFFFFF"/>
            <w:noWrap/>
            <w:vAlign w:val="bottom"/>
            <w:hideMark/>
          </w:tcPr>
          <w:p w14:paraId="7D447486"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46372E2B"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271" w:type="dxa"/>
            <w:tcBorders>
              <w:top w:val="nil"/>
              <w:left w:val="nil"/>
              <w:bottom w:val="nil"/>
              <w:right w:val="nil"/>
            </w:tcBorders>
            <w:shd w:val="clear" w:color="000000" w:fill="FFFFFF"/>
            <w:noWrap/>
            <w:hideMark/>
          </w:tcPr>
          <w:p w14:paraId="4DF2FA44"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nil"/>
              <w:left w:val="nil"/>
              <w:bottom w:val="nil"/>
              <w:right w:val="nil"/>
            </w:tcBorders>
            <w:shd w:val="clear" w:color="000000" w:fill="FFFFFF"/>
            <w:vAlign w:val="bottom"/>
            <w:hideMark/>
          </w:tcPr>
          <w:p w14:paraId="7D77E9F3"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FFE1E1"/>
            <w:noWrap/>
            <w:vAlign w:val="bottom"/>
            <w:hideMark/>
          </w:tcPr>
          <w:p w14:paraId="7C571B04"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34B45F8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35007FAB" w14:textId="77777777" w:rsidTr="005A184D">
        <w:trPr>
          <w:trHeight w:val="310"/>
        </w:trPr>
        <w:tc>
          <w:tcPr>
            <w:tcW w:w="271" w:type="dxa"/>
            <w:tcBorders>
              <w:top w:val="nil"/>
              <w:left w:val="nil"/>
              <w:bottom w:val="nil"/>
              <w:right w:val="nil"/>
            </w:tcBorders>
            <w:shd w:val="clear" w:color="000000" w:fill="FFFFFF"/>
            <w:noWrap/>
            <w:vAlign w:val="bottom"/>
            <w:hideMark/>
          </w:tcPr>
          <w:p w14:paraId="388B29F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4DD6B809"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(550)</w:t>
            </w:r>
          </w:p>
        </w:tc>
        <w:tc>
          <w:tcPr>
            <w:tcW w:w="271" w:type="dxa"/>
            <w:tcBorders>
              <w:top w:val="nil"/>
              <w:left w:val="nil"/>
              <w:bottom w:val="nil"/>
              <w:right w:val="nil"/>
            </w:tcBorders>
            <w:shd w:val="clear" w:color="000000" w:fill="FFFFFF"/>
            <w:noWrap/>
            <w:hideMark/>
          </w:tcPr>
          <w:p w14:paraId="415F050A"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vAlign w:val="bottom"/>
            <w:hideMark/>
          </w:tcPr>
          <w:p w14:paraId="75512D51"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Grants Unapplied Account</w:t>
            </w:r>
          </w:p>
        </w:tc>
        <w:tc>
          <w:tcPr>
            <w:tcW w:w="1701" w:type="dxa"/>
            <w:tcBorders>
              <w:top w:val="nil"/>
              <w:left w:val="nil"/>
              <w:bottom w:val="nil"/>
              <w:right w:val="single" w:sz="4" w:space="0" w:color="auto"/>
            </w:tcBorders>
            <w:shd w:val="clear" w:color="000000" w:fill="FFE1E1"/>
            <w:noWrap/>
            <w:vAlign w:val="bottom"/>
            <w:hideMark/>
          </w:tcPr>
          <w:p w14:paraId="464470B7" w14:textId="43F64C0A"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(1,04</w:t>
            </w:r>
            <w:r w:rsidR="00F131BB">
              <w:rPr>
                <w:rFonts w:ascii="Calibri" w:eastAsia="Times New Roman" w:hAnsi="Calibri" w:cs="Calibri"/>
                <w:color w:val="000000"/>
                <w:lang w:eastAsia="en-GB"/>
              </w:rPr>
              <w:t>6</w:t>
            </w: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4AA4F2B9"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120217E8" w14:textId="77777777" w:rsidTr="005A184D">
        <w:trPr>
          <w:trHeight w:val="310"/>
        </w:trPr>
        <w:tc>
          <w:tcPr>
            <w:tcW w:w="271" w:type="dxa"/>
            <w:tcBorders>
              <w:top w:val="nil"/>
              <w:left w:val="nil"/>
              <w:bottom w:val="nil"/>
              <w:right w:val="nil"/>
            </w:tcBorders>
            <w:shd w:val="clear" w:color="000000" w:fill="FFFFFF"/>
            <w:noWrap/>
            <w:vAlign w:val="bottom"/>
            <w:hideMark/>
          </w:tcPr>
          <w:p w14:paraId="6F2EA281"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6B1D1177"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(550)</w:t>
            </w:r>
          </w:p>
        </w:tc>
        <w:tc>
          <w:tcPr>
            <w:tcW w:w="271" w:type="dxa"/>
            <w:tcBorders>
              <w:top w:val="single" w:sz="4" w:space="0" w:color="auto"/>
              <w:left w:val="nil"/>
              <w:bottom w:val="single" w:sz="4" w:space="0" w:color="auto"/>
              <w:right w:val="nil"/>
            </w:tcBorders>
            <w:shd w:val="clear" w:color="000000" w:fill="C00000"/>
            <w:noWrap/>
            <w:hideMark/>
          </w:tcPr>
          <w:p w14:paraId="553403EE"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4787AB7C"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Capital Grants Unapplied Account</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3ACA8EB6" w14:textId="745713AA"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(1,04</w:t>
            </w:r>
            <w:r w:rsidR="00F131BB">
              <w:rPr>
                <w:rFonts w:ascii="Calibri" w:eastAsia="Times New Roman" w:hAnsi="Calibri" w:cs="Calibri"/>
                <w:b/>
                <w:bCs/>
                <w:color w:val="FFFFFF"/>
                <w:lang w:eastAsia="en-GB"/>
              </w:rPr>
              <w:t>6</w:t>
            </w: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07D1ADB8"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CF8DC7C" w14:textId="77777777" w:rsidTr="005A184D">
        <w:trPr>
          <w:trHeight w:val="310"/>
        </w:trPr>
        <w:tc>
          <w:tcPr>
            <w:tcW w:w="271" w:type="dxa"/>
            <w:tcBorders>
              <w:top w:val="nil"/>
              <w:left w:val="nil"/>
              <w:bottom w:val="nil"/>
              <w:right w:val="nil"/>
            </w:tcBorders>
            <w:shd w:val="clear" w:color="000000" w:fill="FFFFFF"/>
            <w:noWrap/>
            <w:vAlign w:val="bottom"/>
            <w:hideMark/>
          </w:tcPr>
          <w:p w14:paraId="755BCB43"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5D91BB14"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3AC2E447"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3654" w:type="dxa"/>
            <w:tcBorders>
              <w:top w:val="nil"/>
              <w:left w:val="nil"/>
              <w:bottom w:val="nil"/>
              <w:right w:val="nil"/>
            </w:tcBorders>
            <w:shd w:val="clear" w:color="000000" w:fill="FFFFFF"/>
            <w:noWrap/>
            <w:vAlign w:val="bottom"/>
            <w:hideMark/>
          </w:tcPr>
          <w:p w14:paraId="61BC54DA" w14:textId="77777777" w:rsidR="005C0AA9" w:rsidRPr="005C0AA9" w:rsidRDefault="005C0AA9" w:rsidP="005A184D">
            <w:pPr>
              <w:spacing w:after="0" w:line="240" w:lineRule="auto"/>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11101FF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32A7085E"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07FDFE00" w14:textId="77777777" w:rsidTr="005A184D">
        <w:trPr>
          <w:trHeight w:val="310"/>
        </w:trPr>
        <w:tc>
          <w:tcPr>
            <w:tcW w:w="271" w:type="dxa"/>
            <w:tcBorders>
              <w:top w:val="nil"/>
              <w:left w:val="nil"/>
              <w:bottom w:val="nil"/>
              <w:right w:val="nil"/>
            </w:tcBorders>
            <w:shd w:val="clear" w:color="000000" w:fill="FFFFFF"/>
            <w:noWrap/>
            <w:vAlign w:val="bottom"/>
            <w:hideMark/>
          </w:tcPr>
          <w:p w14:paraId="022F4ED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vAlign w:val="bottom"/>
            <w:hideMark/>
          </w:tcPr>
          <w:p w14:paraId="6BEFBCF5" w14:textId="7AC9C1C1" w:rsidR="005C0AA9" w:rsidRPr="005C0AA9" w:rsidRDefault="005A184D" w:rsidP="005A184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71" w:type="dxa"/>
            <w:tcBorders>
              <w:top w:val="nil"/>
              <w:left w:val="nil"/>
              <w:bottom w:val="nil"/>
              <w:right w:val="nil"/>
            </w:tcBorders>
            <w:shd w:val="clear" w:color="000000" w:fill="FFFFFF"/>
            <w:noWrap/>
            <w:vAlign w:val="bottom"/>
            <w:hideMark/>
          </w:tcPr>
          <w:p w14:paraId="6730E7B5"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3654" w:type="dxa"/>
            <w:tcBorders>
              <w:top w:val="nil"/>
              <w:left w:val="nil"/>
              <w:bottom w:val="nil"/>
              <w:right w:val="nil"/>
            </w:tcBorders>
            <w:shd w:val="clear" w:color="000000" w:fill="FFFFFF"/>
            <w:noWrap/>
            <w:vAlign w:val="bottom"/>
            <w:hideMark/>
          </w:tcPr>
          <w:p w14:paraId="5A36007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Capital Receipts Reserve</w:t>
            </w:r>
          </w:p>
        </w:tc>
        <w:tc>
          <w:tcPr>
            <w:tcW w:w="1701" w:type="dxa"/>
            <w:tcBorders>
              <w:top w:val="nil"/>
              <w:left w:val="nil"/>
              <w:bottom w:val="nil"/>
              <w:right w:val="single" w:sz="4" w:space="0" w:color="auto"/>
            </w:tcBorders>
            <w:shd w:val="clear" w:color="000000" w:fill="FFE1E1"/>
            <w:noWrap/>
            <w:vAlign w:val="bottom"/>
            <w:hideMark/>
          </w:tcPr>
          <w:p w14:paraId="64BCBCC8"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w:t>
            </w:r>
          </w:p>
        </w:tc>
        <w:tc>
          <w:tcPr>
            <w:tcW w:w="868" w:type="dxa"/>
            <w:tcBorders>
              <w:top w:val="nil"/>
              <w:left w:val="nil"/>
              <w:bottom w:val="nil"/>
              <w:right w:val="nil"/>
            </w:tcBorders>
            <w:shd w:val="clear" w:color="000000" w:fill="FFFFFF"/>
            <w:noWrap/>
            <w:vAlign w:val="bottom"/>
            <w:hideMark/>
          </w:tcPr>
          <w:p w14:paraId="37A31F8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610A23C3" w14:textId="77777777" w:rsidTr="005A184D">
        <w:trPr>
          <w:trHeight w:val="310"/>
        </w:trPr>
        <w:tc>
          <w:tcPr>
            <w:tcW w:w="271" w:type="dxa"/>
            <w:tcBorders>
              <w:top w:val="nil"/>
              <w:left w:val="nil"/>
              <w:bottom w:val="nil"/>
              <w:right w:val="nil"/>
            </w:tcBorders>
            <w:shd w:val="clear" w:color="000000" w:fill="FFFFFF"/>
            <w:noWrap/>
            <w:vAlign w:val="bottom"/>
            <w:hideMark/>
          </w:tcPr>
          <w:p w14:paraId="36060C0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21096EEC" w14:textId="0D219B86" w:rsidR="005C0AA9" w:rsidRPr="005C0AA9" w:rsidRDefault="005A184D" w:rsidP="005A184D">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w:t>
            </w:r>
          </w:p>
        </w:tc>
        <w:tc>
          <w:tcPr>
            <w:tcW w:w="271" w:type="dxa"/>
            <w:tcBorders>
              <w:top w:val="single" w:sz="4" w:space="0" w:color="auto"/>
              <w:left w:val="nil"/>
              <w:bottom w:val="single" w:sz="4" w:space="0" w:color="auto"/>
              <w:right w:val="nil"/>
            </w:tcBorders>
            <w:shd w:val="clear" w:color="000000" w:fill="C00000"/>
            <w:noWrap/>
            <w:hideMark/>
          </w:tcPr>
          <w:p w14:paraId="01F1148D"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18AE1D46"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Capital Receipts Reserves</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6AA5B4CF"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w:t>
            </w:r>
          </w:p>
        </w:tc>
        <w:tc>
          <w:tcPr>
            <w:tcW w:w="868" w:type="dxa"/>
            <w:tcBorders>
              <w:top w:val="nil"/>
              <w:left w:val="nil"/>
              <w:bottom w:val="nil"/>
              <w:right w:val="nil"/>
            </w:tcBorders>
            <w:shd w:val="clear" w:color="000000" w:fill="FFFFFF"/>
            <w:noWrap/>
            <w:vAlign w:val="bottom"/>
            <w:hideMark/>
          </w:tcPr>
          <w:p w14:paraId="72166ABF"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29DA1AFF" w14:textId="77777777" w:rsidTr="005A184D">
        <w:trPr>
          <w:trHeight w:val="310"/>
        </w:trPr>
        <w:tc>
          <w:tcPr>
            <w:tcW w:w="271" w:type="dxa"/>
            <w:tcBorders>
              <w:top w:val="nil"/>
              <w:left w:val="nil"/>
              <w:bottom w:val="nil"/>
              <w:right w:val="nil"/>
            </w:tcBorders>
            <w:shd w:val="clear" w:color="000000" w:fill="FFFFFF"/>
            <w:noWrap/>
            <w:vAlign w:val="bottom"/>
            <w:hideMark/>
          </w:tcPr>
          <w:p w14:paraId="5D0ACBC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single" w:sz="4" w:space="0" w:color="auto"/>
              <w:bottom w:val="nil"/>
              <w:right w:val="nil"/>
            </w:tcBorders>
            <w:shd w:val="clear" w:color="000000" w:fill="FFFFFF"/>
            <w:noWrap/>
            <w:hideMark/>
          </w:tcPr>
          <w:p w14:paraId="02386644"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48B7F16E" w14:textId="77777777" w:rsidR="005C0AA9" w:rsidRPr="005C0AA9" w:rsidRDefault="005C0AA9" w:rsidP="005A184D">
            <w:pPr>
              <w:spacing w:after="0" w:line="240" w:lineRule="auto"/>
              <w:jc w:val="right"/>
              <w:rPr>
                <w:rFonts w:ascii="Calibri" w:eastAsia="Times New Roman" w:hAnsi="Calibri" w:cs="Calibri"/>
                <w:b/>
                <w:bCs/>
                <w:color w:val="000000"/>
                <w:lang w:eastAsia="en-GB"/>
              </w:rPr>
            </w:pPr>
            <w:r w:rsidRPr="005C0AA9">
              <w:rPr>
                <w:rFonts w:ascii="Calibri" w:eastAsia="Times New Roman" w:hAnsi="Calibri" w:cs="Calibri"/>
                <w:b/>
                <w:bCs/>
                <w:color w:val="000000"/>
                <w:lang w:eastAsia="en-GB"/>
              </w:rPr>
              <w:t> </w:t>
            </w:r>
          </w:p>
        </w:tc>
        <w:tc>
          <w:tcPr>
            <w:tcW w:w="3654" w:type="dxa"/>
            <w:tcBorders>
              <w:top w:val="nil"/>
              <w:left w:val="nil"/>
              <w:bottom w:val="nil"/>
              <w:right w:val="nil"/>
            </w:tcBorders>
            <w:shd w:val="clear" w:color="000000" w:fill="FFFFFF"/>
            <w:vAlign w:val="bottom"/>
            <w:hideMark/>
          </w:tcPr>
          <w:p w14:paraId="53B5E1AD" w14:textId="77777777" w:rsidR="005C0AA9" w:rsidRPr="005C0AA9" w:rsidRDefault="005C0AA9" w:rsidP="005A184D">
            <w:pPr>
              <w:spacing w:after="0" w:line="240" w:lineRule="auto"/>
              <w:jc w:val="right"/>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039F9D17" w14:textId="77777777" w:rsidR="005C0AA9" w:rsidRPr="005C0AA9" w:rsidRDefault="005C0AA9" w:rsidP="005A184D">
            <w:pPr>
              <w:spacing w:after="0" w:line="240" w:lineRule="auto"/>
              <w:rPr>
                <w:rFonts w:ascii="Calibri" w:eastAsia="Times New Roman" w:hAnsi="Calibri" w:cs="Calibri"/>
                <w:color w:val="000000"/>
                <w:lang w:eastAsia="en-GB"/>
              </w:rPr>
            </w:pPr>
            <w:r w:rsidRPr="005C0AA9">
              <w:rPr>
                <w:rFonts w:ascii="Calibri" w:eastAsia="Times New Roman" w:hAnsi="Calibri" w:cs="Calibri"/>
                <w:color w:val="000000"/>
                <w:lang w:eastAsia="en-GB"/>
              </w:rPr>
              <w:t> </w:t>
            </w:r>
          </w:p>
        </w:tc>
        <w:tc>
          <w:tcPr>
            <w:tcW w:w="868" w:type="dxa"/>
            <w:tcBorders>
              <w:top w:val="nil"/>
              <w:left w:val="nil"/>
              <w:bottom w:val="nil"/>
              <w:right w:val="nil"/>
            </w:tcBorders>
            <w:shd w:val="clear" w:color="000000" w:fill="FFFFFF"/>
            <w:noWrap/>
            <w:vAlign w:val="bottom"/>
            <w:hideMark/>
          </w:tcPr>
          <w:p w14:paraId="1D5A3CC5"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41D1E6C7" w14:textId="77777777" w:rsidTr="005A184D">
        <w:trPr>
          <w:trHeight w:val="310"/>
        </w:trPr>
        <w:tc>
          <w:tcPr>
            <w:tcW w:w="271" w:type="dxa"/>
            <w:tcBorders>
              <w:top w:val="nil"/>
              <w:left w:val="nil"/>
              <w:bottom w:val="nil"/>
              <w:right w:val="nil"/>
            </w:tcBorders>
            <w:shd w:val="clear" w:color="000000" w:fill="FFFFFF"/>
            <w:noWrap/>
            <w:vAlign w:val="bottom"/>
            <w:hideMark/>
          </w:tcPr>
          <w:p w14:paraId="2F4A82C7"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single" w:sz="4" w:space="0" w:color="auto"/>
              <w:left w:val="single" w:sz="4" w:space="0" w:color="auto"/>
              <w:bottom w:val="single" w:sz="4" w:space="0" w:color="auto"/>
              <w:right w:val="nil"/>
            </w:tcBorders>
            <w:shd w:val="clear" w:color="000000" w:fill="C00000"/>
            <w:noWrap/>
            <w:hideMark/>
          </w:tcPr>
          <w:p w14:paraId="5887D37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(5,472)</w:t>
            </w:r>
          </w:p>
        </w:tc>
        <w:tc>
          <w:tcPr>
            <w:tcW w:w="271" w:type="dxa"/>
            <w:tcBorders>
              <w:top w:val="single" w:sz="4" w:space="0" w:color="auto"/>
              <w:left w:val="nil"/>
              <w:bottom w:val="single" w:sz="4" w:space="0" w:color="auto"/>
              <w:right w:val="nil"/>
            </w:tcBorders>
            <w:shd w:val="clear" w:color="000000" w:fill="C00000"/>
            <w:noWrap/>
            <w:hideMark/>
          </w:tcPr>
          <w:p w14:paraId="6DC8B839"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 </w:t>
            </w:r>
          </w:p>
        </w:tc>
        <w:tc>
          <w:tcPr>
            <w:tcW w:w="3654" w:type="dxa"/>
            <w:tcBorders>
              <w:top w:val="single" w:sz="4" w:space="0" w:color="auto"/>
              <w:left w:val="nil"/>
              <w:bottom w:val="single" w:sz="4" w:space="0" w:color="auto"/>
              <w:right w:val="nil"/>
            </w:tcBorders>
            <w:shd w:val="clear" w:color="000000" w:fill="C00000"/>
            <w:vAlign w:val="bottom"/>
            <w:hideMark/>
          </w:tcPr>
          <w:p w14:paraId="485058CB" w14:textId="77777777" w:rsidR="005C0AA9" w:rsidRPr="005C0AA9" w:rsidRDefault="005C0AA9" w:rsidP="005A184D">
            <w:pPr>
              <w:spacing w:after="0" w:line="240" w:lineRule="auto"/>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Total Usable Reserves</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4D6B47C6" w14:textId="77777777" w:rsidR="005C0AA9" w:rsidRPr="005C0AA9" w:rsidRDefault="005C0AA9" w:rsidP="005A184D">
            <w:pPr>
              <w:spacing w:after="0" w:line="240" w:lineRule="auto"/>
              <w:jc w:val="right"/>
              <w:rPr>
                <w:rFonts w:ascii="Calibri" w:eastAsia="Times New Roman" w:hAnsi="Calibri" w:cs="Calibri"/>
                <w:b/>
                <w:bCs/>
                <w:color w:val="FFFFFF"/>
                <w:lang w:eastAsia="en-GB"/>
              </w:rPr>
            </w:pPr>
            <w:r w:rsidRPr="005C0AA9">
              <w:rPr>
                <w:rFonts w:ascii="Calibri" w:eastAsia="Times New Roman" w:hAnsi="Calibri" w:cs="Calibri"/>
                <w:b/>
                <w:bCs/>
                <w:color w:val="FFFFFF"/>
                <w:lang w:eastAsia="en-GB"/>
              </w:rPr>
              <w:t>(5,711)</w:t>
            </w:r>
          </w:p>
        </w:tc>
        <w:tc>
          <w:tcPr>
            <w:tcW w:w="868" w:type="dxa"/>
            <w:tcBorders>
              <w:top w:val="nil"/>
              <w:left w:val="nil"/>
              <w:bottom w:val="nil"/>
              <w:right w:val="nil"/>
            </w:tcBorders>
            <w:shd w:val="clear" w:color="000000" w:fill="FFFFFF"/>
            <w:noWrap/>
            <w:vAlign w:val="bottom"/>
            <w:hideMark/>
          </w:tcPr>
          <w:p w14:paraId="27AD639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r w:rsidR="005C0AA9" w:rsidRPr="005C0AA9" w14:paraId="70C317A5" w14:textId="77777777" w:rsidTr="005A184D">
        <w:trPr>
          <w:trHeight w:val="310"/>
        </w:trPr>
        <w:tc>
          <w:tcPr>
            <w:tcW w:w="271" w:type="dxa"/>
            <w:tcBorders>
              <w:top w:val="nil"/>
              <w:left w:val="nil"/>
              <w:bottom w:val="nil"/>
              <w:right w:val="nil"/>
            </w:tcBorders>
            <w:shd w:val="clear" w:color="000000" w:fill="FFFFFF"/>
            <w:noWrap/>
            <w:vAlign w:val="bottom"/>
            <w:hideMark/>
          </w:tcPr>
          <w:p w14:paraId="2C8F3B1C"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1616" w:type="dxa"/>
            <w:tcBorders>
              <w:top w:val="nil"/>
              <w:left w:val="nil"/>
              <w:bottom w:val="nil"/>
              <w:right w:val="nil"/>
            </w:tcBorders>
            <w:shd w:val="clear" w:color="000000" w:fill="FFFFFF"/>
            <w:noWrap/>
            <w:hideMark/>
          </w:tcPr>
          <w:p w14:paraId="0DDB5A58" w14:textId="77777777" w:rsidR="005C0AA9" w:rsidRPr="005C0AA9" w:rsidRDefault="005C0AA9" w:rsidP="005A184D">
            <w:pPr>
              <w:spacing w:after="0" w:line="240" w:lineRule="auto"/>
              <w:jc w:val="right"/>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271" w:type="dxa"/>
            <w:tcBorders>
              <w:top w:val="nil"/>
              <w:left w:val="nil"/>
              <w:bottom w:val="nil"/>
              <w:right w:val="nil"/>
            </w:tcBorders>
            <w:shd w:val="clear" w:color="000000" w:fill="FFFFFF"/>
            <w:noWrap/>
            <w:hideMark/>
          </w:tcPr>
          <w:p w14:paraId="3325AC26" w14:textId="77777777" w:rsidR="005C0AA9" w:rsidRPr="005C0AA9" w:rsidRDefault="005C0AA9" w:rsidP="005A184D">
            <w:pPr>
              <w:spacing w:after="0" w:line="240" w:lineRule="auto"/>
              <w:jc w:val="right"/>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3654" w:type="dxa"/>
            <w:tcBorders>
              <w:top w:val="nil"/>
              <w:left w:val="nil"/>
              <w:bottom w:val="nil"/>
              <w:right w:val="nil"/>
            </w:tcBorders>
            <w:shd w:val="clear" w:color="000000" w:fill="FFFFFF"/>
            <w:vAlign w:val="bottom"/>
            <w:hideMark/>
          </w:tcPr>
          <w:p w14:paraId="474A00E6" w14:textId="77777777" w:rsidR="005C0AA9" w:rsidRPr="005C0AA9" w:rsidRDefault="005C0AA9" w:rsidP="005A184D">
            <w:pPr>
              <w:spacing w:after="0" w:line="240" w:lineRule="auto"/>
              <w:rPr>
                <w:rFonts w:ascii="Calibri" w:eastAsia="Times New Roman" w:hAnsi="Calibri" w:cs="Calibri"/>
                <w:b/>
                <w:bCs/>
                <w:color w:val="000000"/>
                <w:sz w:val="24"/>
                <w:szCs w:val="24"/>
                <w:lang w:eastAsia="en-GB"/>
              </w:rPr>
            </w:pPr>
            <w:r w:rsidRPr="005C0AA9">
              <w:rPr>
                <w:rFonts w:ascii="Calibri" w:eastAsia="Times New Roman" w:hAnsi="Calibri" w:cs="Calibri"/>
                <w:b/>
                <w:bCs/>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7D116240"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c>
          <w:tcPr>
            <w:tcW w:w="868" w:type="dxa"/>
            <w:tcBorders>
              <w:top w:val="nil"/>
              <w:left w:val="nil"/>
              <w:bottom w:val="nil"/>
              <w:right w:val="nil"/>
            </w:tcBorders>
            <w:shd w:val="clear" w:color="000000" w:fill="FFFFFF"/>
            <w:noWrap/>
            <w:vAlign w:val="bottom"/>
            <w:hideMark/>
          </w:tcPr>
          <w:p w14:paraId="1EF32444" w14:textId="77777777" w:rsidR="005C0AA9" w:rsidRPr="005C0AA9" w:rsidRDefault="005C0AA9" w:rsidP="005A184D">
            <w:pPr>
              <w:spacing w:after="0" w:line="240" w:lineRule="auto"/>
              <w:rPr>
                <w:rFonts w:ascii="Calibri" w:eastAsia="Times New Roman" w:hAnsi="Calibri" w:cs="Calibri"/>
                <w:color w:val="000000"/>
                <w:sz w:val="24"/>
                <w:szCs w:val="24"/>
                <w:lang w:eastAsia="en-GB"/>
              </w:rPr>
            </w:pPr>
            <w:r w:rsidRPr="005C0AA9">
              <w:rPr>
                <w:rFonts w:ascii="Calibri" w:eastAsia="Times New Roman" w:hAnsi="Calibri" w:cs="Calibri"/>
                <w:color w:val="000000"/>
                <w:sz w:val="24"/>
                <w:szCs w:val="24"/>
                <w:lang w:eastAsia="en-GB"/>
              </w:rPr>
              <w:t> </w:t>
            </w:r>
          </w:p>
        </w:tc>
      </w:tr>
    </w:tbl>
    <w:p w14:paraId="0C41C5AC" w14:textId="12133094" w:rsidR="004042C7" w:rsidRPr="005A184D" w:rsidRDefault="005A184D" w:rsidP="004042C7">
      <w:pPr>
        <w:autoSpaceDE w:val="0"/>
        <w:autoSpaceDN w:val="0"/>
        <w:adjustRightInd w:val="0"/>
        <w:spacing w:after="0" w:line="240" w:lineRule="auto"/>
      </w:pPr>
      <w:r>
        <w:rPr>
          <w:rFonts w:cs="Arial"/>
          <w:b/>
          <w:bCs/>
          <w:sz w:val="28"/>
          <w:szCs w:val="28"/>
        </w:rPr>
        <w:br w:type="textWrapping" w:clear="all"/>
      </w:r>
      <w:r w:rsidR="004042C7" w:rsidRPr="007F07C2">
        <w:rPr>
          <w:rFonts w:cs="Arial"/>
          <w:b/>
          <w:bCs/>
          <w:sz w:val="28"/>
          <w:szCs w:val="28"/>
        </w:rPr>
        <w:t xml:space="preserve">17.1 General Fund </w:t>
      </w:r>
    </w:p>
    <w:p w14:paraId="52491706" w14:textId="77777777" w:rsidR="004042C7" w:rsidRPr="007F07C2" w:rsidRDefault="004042C7" w:rsidP="004042C7">
      <w:pPr>
        <w:autoSpaceDE w:val="0"/>
        <w:autoSpaceDN w:val="0"/>
        <w:adjustRightInd w:val="0"/>
        <w:spacing w:after="0" w:line="240" w:lineRule="auto"/>
        <w:rPr>
          <w:rFonts w:cs="Arial"/>
        </w:rPr>
      </w:pPr>
      <w:r w:rsidRPr="007F07C2">
        <w:rPr>
          <w:rFonts w:cs="Arial"/>
        </w:rPr>
        <w:t xml:space="preserve">This is the accumulated surplus of income over expenditure after allowing for any General Fund Reserves. Its strategic use is to safeguard against budget risk and adverse impact on future funding levels. </w:t>
      </w:r>
    </w:p>
    <w:p w14:paraId="59051C37" w14:textId="77777777" w:rsidR="004042C7" w:rsidRPr="007F07C2" w:rsidRDefault="004042C7" w:rsidP="004042C7">
      <w:pPr>
        <w:autoSpaceDE w:val="0"/>
        <w:autoSpaceDN w:val="0"/>
        <w:adjustRightInd w:val="0"/>
        <w:spacing w:after="0" w:line="240" w:lineRule="auto"/>
        <w:rPr>
          <w:rFonts w:cs="Arial"/>
        </w:rPr>
      </w:pPr>
    </w:p>
    <w:p w14:paraId="34185E6C" w14:textId="77777777" w:rsidR="004042C7" w:rsidRPr="007F07C2" w:rsidRDefault="004042C7" w:rsidP="004042C7">
      <w:pPr>
        <w:autoSpaceDE w:val="0"/>
        <w:autoSpaceDN w:val="0"/>
        <w:adjustRightInd w:val="0"/>
        <w:spacing w:after="0" w:line="240" w:lineRule="auto"/>
        <w:rPr>
          <w:rFonts w:cs="Arial"/>
          <w:sz w:val="28"/>
          <w:szCs w:val="28"/>
        </w:rPr>
      </w:pPr>
      <w:r w:rsidRPr="007F07C2">
        <w:rPr>
          <w:rFonts w:cs="Arial"/>
          <w:b/>
          <w:bCs/>
          <w:sz w:val="28"/>
          <w:szCs w:val="28"/>
        </w:rPr>
        <w:t xml:space="preserve">17.2 Capital grants unapplied </w:t>
      </w:r>
    </w:p>
    <w:p w14:paraId="3D0D7F13" w14:textId="74D11083" w:rsidR="00C50505" w:rsidRDefault="004042C7" w:rsidP="0079406E">
      <w:pPr>
        <w:autoSpaceDE w:val="0"/>
        <w:autoSpaceDN w:val="0"/>
        <w:adjustRightInd w:val="0"/>
        <w:spacing w:after="0" w:line="240" w:lineRule="auto"/>
        <w:rPr>
          <w:rFonts w:cs="Arial"/>
        </w:rPr>
      </w:pPr>
      <w:r w:rsidRPr="007F07C2">
        <w:rPr>
          <w:rFonts w:cs="Arial"/>
        </w:rPr>
        <w:t xml:space="preserve">These are grants received for a specific purpose but remaining unspent at the end of the year. </w:t>
      </w:r>
    </w:p>
    <w:p w14:paraId="1373668E" w14:textId="33509B30" w:rsidR="005A184D" w:rsidRDefault="005A184D">
      <w:pPr>
        <w:rPr>
          <w:rFonts w:cs="Arial"/>
        </w:rPr>
      </w:pPr>
      <w:r>
        <w:rPr>
          <w:rFonts w:cs="Arial"/>
        </w:rPr>
        <w:br w:type="page"/>
      </w:r>
    </w:p>
    <w:p w14:paraId="3A2BBE35" w14:textId="6E39DE2E" w:rsidR="00BE7015" w:rsidRPr="00C50505" w:rsidRDefault="00E55282" w:rsidP="0079406E">
      <w:pPr>
        <w:autoSpaceDE w:val="0"/>
        <w:autoSpaceDN w:val="0"/>
        <w:adjustRightInd w:val="0"/>
        <w:spacing w:after="0" w:line="240" w:lineRule="auto"/>
        <w:rPr>
          <w:rFonts w:cs="Arial"/>
        </w:rPr>
      </w:pPr>
      <w:r w:rsidRPr="007F07C2">
        <w:rPr>
          <w:rFonts w:cs="Arial"/>
          <w:b/>
          <w:bCs/>
          <w:sz w:val="28"/>
          <w:szCs w:val="28"/>
        </w:rPr>
        <w:lastRenderedPageBreak/>
        <w:t>18</w:t>
      </w:r>
      <w:r w:rsidR="002957C5" w:rsidRPr="007F07C2">
        <w:rPr>
          <w:rFonts w:cs="Arial"/>
          <w:b/>
          <w:bCs/>
          <w:sz w:val="28"/>
          <w:szCs w:val="28"/>
        </w:rPr>
        <w:t xml:space="preserve"> Unusable reserves </w:t>
      </w:r>
    </w:p>
    <w:p w14:paraId="3B2CBE96" w14:textId="77777777" w:rsidR="004D4088" w:rsidRPr="007F07C2" w:rsidRDefault="0079406E" w:rsidP="0079406E">
      <w:pPr>
        <w:autoSpaceDE w:val="0"/>
        <w:autoSpaceDN w:val="0"/>
        <w:adjustRightInd w:val="0"/>
        <w:spacing w:after="0" w:line="240" w:lineRule="auto"/>
        <w:rPr>
          <w:rFonts w:cs="Arial"/>
        </w:rPr>
      </w:pPr>
      <w:r w:rsidRPr="007F07C2">
        <w:rPr>
          <w:rFonts w:cs="Arial"/>
        </w:rPr>
        <w:t xml:space="preserve">An analysis of the unusable reserves is shown below: </w:t>
      </w:r>
    </w:p>
    <w:tbl>
      <w:tblPr>
        <w:tblW w:w="8996" w:type="dxa"/>
        <w:tblLook w:val="04A0" w:firstRow="1" w:lastRow="0" w:firstColumn="1" w:lastColumn="0" w:noHBand="0" w:noVBand="1"/>
      </w:tblPr>
      <w:tblGrid>
        <w:gridCol w:w="266"/>
        <w:gridCol w:w="1696"/>
        <w:gridCol w:w="271"/>
        <w:gridCol w:w="4430"/>
        <w:gridCol w:w="1701"/>
        <w:gridCol w:w="632"/>
      </w:tblGrid>
      <w:tr w:rsidR="00CA7459" w:rsidRPr="00CA7459" w14:paraId="46B108F5" w14:textId="77777777" w:rsidTr="00914701">
        <w:trPr>
          <w:trHeight w:val="120"/>
        </w:trPr>
        <w:tc>
          <w:tcPr>
            <w:tcW w:w="266" w:type="dxa"/>
            <w:tcBorders>
              <w:top w:val="nil"/>
              <w:left w:val="nil"/>
              <w:bottom w:val="nil"/>
              <w:right w:val="nil"/>
            </w:tcBorders>
            <w:shd w:val="clear" w:color="000000" w:fill="FFFFFF"/>
            <w:noWrap/>
            <w:vAlign w:val="bottom"/>
            <w:hideMark/>
          </w:tcPr>
          <w:p w14:paraId="0CBE620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EC35DC3"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vAlign w:val="bottom"/>
            <w:hideMark/>
          </w:tcPr>
          <w:p w14:paraId="27F0FD06"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0" w:type="dxa"/>
            <w:tcBorders>
              <w:top w:val="nil"/>
              <w:left w:val="nil"/>
              <w:bottom w:val="nil"/>
              <w:right w:val="nil"/>
            </w:tcBorders>
            <w:shd w:val="clear" w:color="000000" w:fill="FFFFFF"/>
            <w:noWrap/>
            <w:vAlign w:val="bottom"/>
            <w:hideMark/>
          </w:tcPr>
          <w:p w14:paraId="63279A55"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01588FD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32" w:type="dxa"/>
            <w:tcBorders>
              <w:top w:val="nil"/>
              <w:left w:val="nil"/>
              <w:bottom w:val="nil"/>
              <w:right w:val="nil"/>
            </w:tcBorders>
            <w:shd w:val="clear" w:color="000000" w:fill="FFFFFF"/>
            <w:noWrap/>
            <w:vAlign w:val="bottom"/>
            <w:hideMark/>
          </w:tcPr>
          <w:p w14:paraId="3D92E03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80E3E99" w14:textId="77777777" w:rsidTr="00914701">
        <w:trPr>
          <w:trHeight w:val="310"/>
        </w:trPr>
        <w:tc>
          <w:tcPr>
            <w:tcW w:w="266" w:type="dxa"/>
            <w:tcBorders>
              <w:top w:val="nil"/>
              <w:left w:val="nil"/>
              <w:bottom w:val="nil"/>
              <w:right w:val="nil"/>
            </w:tcBorders>
            <w:shd w:val="clear" w:color="000000" w:fill="FFFFFF"/>
            <w:noWrap/>
            <w:vAlign w:val="bottom"/>
            <w:hideMark/>
          </w:tcPr>
          <w:p w14:paraId="10B175E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305AD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noWrap/>
            <w:vAlign w:val="bottom"/>
            <w:hideMark/>
          </w:tcPr>
          <w:p w14:paraId="0BD1C4B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single" w:sz="4" w:space="0" w:color="auto"/>
              <w:left w:val="nil"/>
              <w:bottom w:val="nil"/>
              <w:right w:val="nil"/>
            </w:tcBorders>
            <w:shd w:val="clear" w:color="000000" w:fill="C00000"/>
            <w:noWrap/>
            <w:vAlign w:val="bottom"/>
            <w:hideMark/>
          </w:tcPr>
          <w:p w14:paraId="09751FE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6D5626A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32" w:type="dxa"/>
            <w:tcBorders>
              <w:top w:val="nil"/>
              <w:left w:val="nil"/>
              <w:bottom w:val="nil"/>
              <w:right w:val="nil"/>
            </w:tcBorders>
            <w:shd w:val="clear" w:color="000000" w:fill="FFFFFF"/>
            <w:noWrap/>
            <w:vAlign w:val="bottom"/>
            <w:hideMark/>
          </w:tcPr>
          <w:p w14:paraId="1D155FF0"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r>
      <w:tr w:rsidR="00CA7459" w:rsidRPr="00CA7459" w14:paraId="46080AF9" w14:textId="77777777" w:rsidTr="00914701">
        <w:trPr>
          <w:trHeight w:val="310"/>
        </w:trPr>
        <w:tc>
          <w:tcPr>
            <w:tcW w:w="266" w:type="dxa"/>
            <w:tcBorders>
              <w:top w:val="nil"/>
              <w:left w:val="nil"/>
              <w:bottom w:val="nil"/>
              <w:right w:val="nil"/>
            </w:tcBorders>
            <w:shd w:val="clear" w:color="000000" w:fill="FFFFFF"/>
            <w:noWrap/>
            <w:vAlign w:val="bottom"/>
            <w:hideMark/>
          </w:tcPr>
          <w:p w14:paraId="3584473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2EAC64A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C00000"/>
            <w:noWrap/>
            <w:vAlign w:val="bottom"/>
            <w:hideMark/>
          </w:tcPr>
          <w:p w14:paraId="269DBDB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nil"/>
              <w:left w:val="nil"/>
              <w:bottom w:val="nil"/>
              <w:right w:val="nil"/>
            </w:tcBorders>
            <w:shd w:val="clear" w:color="000000" w:fill="C00000"/>
            <w:noWrap/>
            <w:vAlign w:val="bottom"/>
            <w:hideMark/>
          </w:tcPr>
          <w:p w14:paraId="0C851DE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69D8243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32" w:type="dxa"/>
            <w:tcBorders>
              <w:top w:val="nil"/>
              <w:left w:val="nil"/>
              <w:bottom w:val="nil"/>
              <w:right w:val="nil"/>
            </w:tcBorders>
            <w:shd w:val="clear" w:color="000000" w:fill="FFFFFF"/>
            <w:noWrap/>
            <w:vAlign w:val="bottom"/>
            <w:hideMark/>
          </w:tcPr>
          <w:p w14:paraId="23F340C2" w14:textId="77777777" w:rsidR="00CA7459" w:rsidRPr="00CA7459" w:rsidRDefault="00CA7459" w:rsidP="00CA7459">
            <w:pPr>
              <w:spacing w:after="0" w:line="240" w:lineRule="auto"/>
              <w:jc w:val="right"/>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r>
      <w:tr w:rsidR="00CA7459" w:rsidRPr="00CA7459" w14:paraId="45893845" w14:textId="77777777" w:rsidTr="00914701">
        <w:trPr>
          <w:trHeight w:val="310"/>
        </w:trPr>
        <w:tc>
          <w:tcPr>
            <w:tcW w:w="266" w:type="dxa"/>
            <w:tcBorders>
              <w:top w:val="nil"/>
              <w:left w:val="nil"/>
              <w:bottom w:val="nil"/>
              <w:right w:val="nil"/>
            </w:tcBorders>
            <w:shd w:val="clear" w:color="000000" w:fill="FFFFFF"/>
            <w:noWrap/>
            <w:vAlign w:val="bottom"/>
            <w:hideMark/>
          </w:tcPr>
          <w:p w14:paraId="3D99CAA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000142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271" w:type="dxa"/>
            <w:tcBorders>
              <w:top w:val="nil"/>
              <w:left w:val="nil"/>
              <w:bottom w:val="nil"/>
              <w:right w:val="nil"/>
            </w:tcBorders>
            <w:shd w:val="clear" w:color="000000" w:fill="FFFFFF"/>
            <w:noWrap/>
            <w:vAlign w:val="bottom"/>
            <w:hideMark/>
          </w:tcPr>
          <w:p w14:paraId="2E10F6F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5BDEB49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Reserve</w:t>
            </w:r>
          </w:p>
        </w:tc>
        <w:tc>
          <w:tcPr>
            <w:tcW w:w="1701" w:type="dxa"/>
            <w:tcBorders>
              <w:top w:val="nil"/>
              <w:left w:val="nil"/>
              <w:bottom w:val="nil"/>
              <w:right w:val="single" w:sz="4" w:space="0" w:color="auto"/>
            </w:tcBorders>
            <w:shd w:val="clear" w:color="000000" w:fill="FFE1E1"/>
            <w:noWrap/>
            <w:vAlign w:val="bottom"/>
            <w:hideMark/>
          </w:tcPr>
          <w:p w14:paraId="09C42AA1" w14:textId="54D759BA"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(5,3</w:t>
            </w:r>
            <w:r w:rsidR="00531921">
              <w:rPr>
                <w:rFonts w:ascii="Calibri" w:eastAsia="Times New Roman" w:hAnsi="Calibri" w:cs="Calibri"/>
                <w:color w:val="000000"/>
                <w:lang w:eastAsia="en-GB"/>
              </w:rPr>
              <w:t>20</w:t>
            </w:r>
            <w:r w:rsidRPr="00CA7459">
              <w:rPr>
                <w:rFonts w:ascii="Calibri" w:eastAsia="Times New Roman" w:hAnsi="Calibri" w:cs="Calibri"/>
                <w:color w:val="000000"/>
                <w:lang w:eastAsia="en-GB"/>
              </w:rPr>
              <w:t>)</w:t>
            </w:r>
          </w:p>
        </w:tc>
        <w:tc>
          <w:tcPr>
            <w:tcW w:w="632" w:type="dxa"/>
            <w:tcBorders>
              <w:top w:val="nil"/>
              <w:left w:val="nil"/>
              <w:bottom w:val="nil"/>
              <w:right w:val="nil"/>
            </w:tcBorders>
            <w:shd w:val="clear" w:color="000000" w:fill="FFFFFF"/>
            <w:noWrap/>
            <w:vAlign w:val="bottom"/>
            <w:hideMark/>
          </w:tcPr>
          <w:p w14:paraId="45A427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3778D8C" w14:textId="77777777" w:rsidTr="00914701">
        <w:trPr>
          <w:trHeight w:val="310"/>
        </w:trPr>
        <w:tc>
          <w:tcPr>
            <w:tcW w:w="266" w:type="dxa"/>
            <w:tcBorders>
              <w:top w:val="nil"/>
              <w:left w:val="nil"/>
              <w:bottom w:val="nil"/>
              <w:right w:val="nil"/>
            </w:tcBorders>
            <w:shd w:val="clear" w:color="000000" w:fill="FFFFFF"/>
            <w:noWrap/>
            <w:vAlign w:val="bottom"/>
            <w:hideMark/>
          </w:tcPr>
          <w:p w14:paraId="3C40875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1294A0A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(36,255)</w:t>
            </w:r>
          </w:p>
        </w:tc>
        <w:tc>
          <w:tcPr>
            <w:tcW w:w="271" w:type="dxa"/>
            <w:tcBorders>
              <w:top w:val="nil"/>
              <w:left w:val="nil"/>
              <w:bottom w:val="nil"/>
              <w:right w:val="nil"/>
            </w:tcBorders>
            <w:shd w:val="clear" w:color="000000" w:fill="FFFFFF"/>
            <w:noWrap/>
            <w:vAlign w:val="bottom"/>
            <w:hideMark/>
          </w:tcPr>
          <w:p w14:paraId="6AE4A35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605A93D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Capital Adjustment Account</w:t>
            </w:r>
          </w:p>
        </w:tc>
        <w:tc>
          <w:tcPr>
            <w:tcW w:w="1701" w:type="dxa"/>
            <w:tcBorders>
              <w:top w:val="nil"/>
              <w:left w:val="nil"/>
              <w:bottom w:val="nil"/>
              <w:right w:val="single" w:sz="4" w:space="0" w:color="auto"/>
            </w:tcBorders>
            <w:shd w:val="clear" w:color="000000" w:fill="FFE1E1"/>
            <w:noWrap/>
            <w:vAlign w:val="bottom"/>
            <w:hideMark/>
          </w:tcPr>
          <w:p w14:paraId="0DE7C16F" w14:textId="25CFD908"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(35,2</w:t>
            </w:r>
            <w:r w:rsidR="00531921">
              <w:rPr>
                <w:rFonts w:ascii="Calibri" w:eastAsia="Times New Roman" w:hAnsi="Calibri" w:cs="Calibri"/>
                <w:color w:val="000000"/>
                <w:lang w:eastAsia="en-GB"/>
              </w:rPr>
              <w:t>76</w:t>
            </w:r>
            <w:r w:rsidRPr="00CA7459">
              <w:rPr>
                <w:rFonts w:ascii="Calibri" w:eastAsia="Times New Roman" w:hAnsi="Calibri" w:cs="Calibri"/>
                <w:color w:val="000000"/>
                <w:lang w:eastAsia="en-GB"/>
              </w:rPr>
              <w:t>)</w:t>
            </w:r>
          </w:p>
        </w:tc>
        <w:tc>
          <w:tcPr>
            <w:tcW w:w="632" w:type="dxa"/>
            <w:tcBorders>
              <w:top w:val="nil"/>
              <w:left w:val="nil"/>
              <w:bottom w:val="nil"/>
              <w:right w:val="nil"/>
            </w:tcBorders>
            <w:shd w:val="clear" w:color="000000" w:fill="FFFFFF"/>
            <w:noWrap/>
            <w:vAlign w:val="bottom"/>
            <w:hideMark/>
          </w:tcPr>
          <w:p w14:paraId="0EF476A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249C156" w14:textId="77777777" w:rsidTr="00914701">
        <w:trPr>
          <w:trHeight w:val="310"/>
        </w:trPr>
        <w:tc>
          <w:tcPr>
            <w:tcW w:w="266" w:type="dxa"/>
            <w:tcBorders>
              <w:top w:val="nil"/>
              <w:left w:val="nil"/>
              <w:bottom w:val="nil"/>
              <w:right w:val="nil"/>
            </w:tcBorders>
            <w:shd w:val="clear" w:color="000000" w:fill="FFFFFF"/>
            <w:noWrap/>
            <w:vAlign w:val="bottom"/>
            <w:hideMark/>
          </w:tcPr>
          <w:p w14:paraId="2C7E214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center"/>
            <w:hideMark/>
          </w:tcPr>
          <w:p w14:paraId="7DCE9BF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328,856</w:t>
            </w:r>
          </w:p>
        </w:tc>
        <w:tc>
          <w:tcPr>
            <w:tcW w:w="271" w:type="dxa"/>
            <w:tcBorders>
              <w:top w:val="nil"/>
              <w:left w:val="nil"/>
              <w:bottom w:val="nil"/>
              <w:right w:val="nil"/>
            </w:tcBorders>
            <w:shd w:val="clear" w:color="000000" w:fill="FFFFFF"/>
            <w:noWrap/>
            <w:vAlign w:val="bottom"/>
            <w:hideMark/>
          </w:tcPr>
          <w:p w14:paraId="7A416AE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3AAE1D2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Pensions Reserve</w:t>
            </w:r>
          </w:p>
        </w:tc>
        <w:tc>
          <w:tcPr>
            <w:tcW w:w="1701" w:type="dxa"/>
            <w:tcBorders>
              <w:top w:val="nil"/>
              <w:left w:val="nil"/>
              <w:bottom w:val="nil"/>
              <w:right w:val="single" w:sz="4" w:space="0" w:color="auto"/>
            </w:tcBorders>
            <w:shd w:val="clear" w:color="000000" w:fill="FFE1E1"/>
            <w:noWrap/>
            <w:vAlign w:val="bottom"/>
            <w:hideMark/>
          </w:tcPr>
          <w:p w14:paraId="44A1D5F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334,435</w:t>
            </w:r>
          </w:p>
        </w:tc>
        <w:tc>
          <w:tcPr>
            <w:tcW w:w="632" w:type="dxa"/>
            <w:tcBorders>
              <w:top w:val="nil"/>
              <w:left w:val="nil"/>
              <w:bottom w:val="nil"/>
              <w:right w:val="nil"/>
            </w:tcBorders>
            <w:shd w:val="clear" w:color="000000" w:fill="FFFFFF"/>
            <w:noWrap/>
            <w:vAlign w:val="bottom"/>
            <w:hideMark/>
          </w:tcPr>
          <w:p w14:paraId="0F9A01F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88B4A33" w14:textId="77777777" w:rsidTr="00914701">
        <w:trPr>
          <w:trHeight w:val="310"/>
        </w:trPr>
        <w:tc>
          <w:tcPr>
            <w:tcW w:w="266" w:type="dxa"/>
            <w:tcBorders>
              <w:top w:val="nil"/>
              <w:left w:val="nil"/>
              <w:bottom w:val="nil"/>
              <w:right w:val="nil"/>
            </w:tcBorders>
            <w:shd w:val="clear" w:color="000000" w:fill="FFFFFF"/>
            <w:noWrap/>
            <w:vAlign w:val="bottom"/>
            <w:hideMark/>
          </w:tcPr>
          <w:p w14:paraId="028AD5F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center"/>
            <w:hideMark/>
          </w:tcPr>
          <w:p w14:paraId="233F106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271" w:type="dxa"/>
            <w:tcBorders>
              <w:top w:val="nil"/>
              <w:left w:val="nil"/>
              <w:bottom w:val="nil"/>
              <w:right w:val="nil"/>
            </w:tcBorders>
            <w:shd w:val="clear" w:color="000000" w:fill="FFFFFF"/>
            <w:noWrap/>
            <w:vAlign w:val="bottom"/>
            <w:hideMark/>
          </w:tcPr>
          <w:p w14:paraId="4565886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632DC1D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Accumulated Absences Account</w:t>
            </w:r>
          </w:p>
        </w:tc>
        <w:tc>
          <w:tcPr>
            <w:tcW w:w="1701" w:type="dxa"/>
            <w:tcBorders>
              <w:top w:val="nil"/>
              <w:left w:val="nil"/>
              <w:bottom w:val="nil"/>
              <w:right w:val="single" w:sz="4" w:space="0" w:color="auto"/>
            </w:tcBorders>
            <w:shd w:val="clear" w:color="000000" w:fill="FFE1E1"/>
            <w:noWrap/>
            <w:vAlign w:val="bottom"/>
            <w:hideMark/>
          </w:tcPr>
          <w:p w14:paraId="6D72FFD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70</w:t>
            </w:r>
          </w:p>
        </w:tc>
        <w:tc>
          <w:tcPr>
            <w:tcW w:w="632" w:type="dxa"/>
            <w:tcBorders>
              <w:top w:val="nil"/>
              <w:left w:val="nil"/>
              <w:bottom w:val="nil"/>
              <w:right w:val="nil"/>
            </w:tcBorders>
            <w:shd w:val="clear" w:color="000000" w:fill="FFFFFF"/>
            <w:noWrap/>
            <w:vAlign w:val="bottom"/>
            <w:hideMark/>
          </w:tcPr>
          <w:p w14:paraId="6FCDE30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0E4387D" w14:textId="77777777" w:rsidTr="00914701">
        <w:trPr>
          <w:trHeight w:val="310"/>
        </w:trPr>
        <w:tc>
          <w:tcPr>
            <w:tcW w:w="266" w:type="dxa"/>
            <w:tcBorders>
              <w:top w:val="nil"/>
              <w:left w:val="nil"/>
              <w:bottom w:val="nil"/>
              <w:right w:val="nil"/>
            </w:tcBorders>
            <w:shd w:val="clear" w:color="000000" w:fill="FFFFFF"/>
            <w:noWrap/>
            <w:vAlign w:val="bottom"/>
            <w:hideMark/>
          </w:tcPr>
          <w:p w14:paraId="22AA6B75"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single" w:sz="4" w:space="0" w:color="auto"/>
              <w:bottom w:val="nil"/>
              <w:right w:val="nil"/>
            </w:tcBorders>
            <w:shd w:val="clear" w:color="000000" w:fill="FFFFFF"/>
            <w:noWrap/>
            <w:vAlign w:val="center"/>
            <w:hideMark/>
          </w:tcPr>
          <w:p w14:paraId="7EE934A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155</w:t>
            </w:r>
          </w:p>
        </w:tc>
        <w:tc>
          <w:tcPr>
            <w:tcW w:w="271" w:type="dxa"/>
            <w:tcBorders>
              <w:top w:val="nil"/>
              <w:left w:val="nil"/>
              <w:bottom w:val="nil"/>
              <w:right w:val="nil"/>
            </w:tcBorders>
            <w:shd w:val="clear" w:color="000000" w:fill="FFFFFF"/>
            <w:noWrap/>
            <w:vAlign w:val="bottom"/>
            <w:hideMark/>
          </w:tcPr>
          <w:p w14:paraId="5396D47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0" w:type="dxa"/>
            <w:tcBorders>
              <w:top w:val="nil"/>
              <w:left w:val="nil"/>
              <w:bottom w:val="nil"/>
              <w:right w:val="nil"/>
            </w:tcBorders>
            <w:shd w:val="clear" w:color="000000" w:fill="FFFFFF"/>
            <w:noWrap/>
            <w:vAlign w:val="bottom"/>
            <w:hideMark/>
          </w:tcPr>
          <w:p w14:paraId="5C62EB8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Council Tax and NDR Collection Fund Account</w:t>
            </w:r>
          </w:p>
        </w:tc>
        <w:tc>
          <w:tcPr>
            <w:tcW w:w="1701" w:type="dxa"/>
            <w:tcBorders>
              <w:top w:val="nil"/>
              <w:left w:val="nil"/>
              <w:bottom w:val="nil"/>
              <w:right w:val="single" w:sz="4" w:space="0" w:color="auto"/>
            </w:tcBorders>
            <w:shd w:val="clear" w:color="000000" w:fill="FFE1E1"/>
            <w:noWrap/>
            <w:vAlign w:val="bottom"/>
            <w:hideMark/>
          </w:tcPr>
          <w:p w14:paraId="59F22FEC" w14:textId="0DF3DF43" w:rsidR="00CA7459" w:rsidRPr="00CA7459" w:rsidRDefault="00FB2289"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28</w:t>
            </w:r>
            <w:r w:rsidR="00531921">
              <w:rPr>
                <w:rFonts w:ascii="Calibri" w:eastAsia="Times New Roman" w:hAnsi="Calibri" w:cs="Calibri"/>
                <w:color w:val="000000"/>
                <w:lang w:eastAsia="en-GB"/>
              </w:rPr>
              <w:t>1</w:t>
            </w:r>
          </w:p>
        </w:tc>
        <w:tc>
          <w:tcPr>
            <w:tcW w:w="632" w:type="dxa"/>
            <w:tcBorders>
              <w:top w:val="nil"/>
              <w:left w:val="nil"/>
              <w:bottom w:val="nil"/>
              <w:right w:val="nil"/>
            </w:tcBorders>
            <w:shd w:val="clear" w:color="000000" w:fill="FFFFFF"/>
            <w:noWrap/>
            <w:vAlign w:val="bottom"/>
            <w:hideMark/>
          </w:tcPr>
          <w:p w14:paraId="3B254C1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8C7A6D5" w14:textId="77777777" w:rsidTr="00914701">
        <w:trPr>
          <w:trHeight w:val="310"/>
        </w:trPr>
        <w:tc>
          <w:tcPr>
            <w:tcW w:w="266" w:type="dxa"/>
            <w:tcBorders>
              <w:top w:val="nil"/>
              <w:left w:val="nil"/>
              <w:bottom w:val="nil"/>
              <w:right w:val="nil"/>
            </w:tcBorders>
            <w:shd w:val="clear" w:color="000000" w:fill="FFFFFF"/>
            <w:noWrap/>
            <w:vAlign w:val="bottom"/>
            <w:hideMark/>
          </w:tcPr>
          <w:p w14:paraId="6E57E71A"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single" w:sz="4" w:space="0" w:color="auto"/>
              <w:bottom w:val="single" w:sz="4" w:space="0" w:color="auto"/>
              <w:right w:val="nil"/>
            </w:tcBorders>
            <w:shd w:val="clear" w:color="000000" w:fill="C00000"/>
            <w:noWrap/>
            <w:hideMark/>
          </w:tcPr>
          <w:p w14:paraId="3D49CC8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291,190</w:t>
            </w:r>
          </w:p>
        </w:tc>
        <w:tc>
          <w:tcPr>
            <w:tcW w:w="271" w:type="dxa"/>
            <w:tcBorders>
              <w:top w:val="nil"/>
              <w:left w:val="nil"/>
              <w:bottom w:val="single" w:sz="4" w:space="0" w:color="auto"/>
              <w:right w:val="nil"/>
            </w:tcBorders>
            <w:shd w:val="clear" w:color="000000" w:fill="C00000"/>
            <w:noWrap/>
            <w:hideMark/>
          </w:tcPr>
          <w:p w14:paraId="5338291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0" w:type="dxa"/>
            <w:tcBorders>
              <w:top w:val="nil"/>
              <w:left w:val="nil"/>
              <w:bottom w:val="single" w:sz="4" w:space="0" w:color="auto"/>
              <w:right w:val="nil"/>
            </w:tcBorders>
            <w:shd w:val="clear" w:color="000000" w:fill="C00000"/>
            <w:vAlign w:val="bottom"/>
            <w:hideMark/>
          </w:tcPr>
          <w:p w14:paraId="2C8D2D3A"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Total Unusable Reserves</w:t>
            </w:r>
          </w:p>
        </w:tc>
        <w:tc>
          <w:tcPr>
            <w:tcW w:w="1701" w:type="dxa"/>
            <w:tcBorders>
              <w:top w:val="nil"/>
              <w:left w:val="nil"/>
              <w:bottom w:val="single" w:sz="4" w:space="0" w:color="auto"/>
              <w:right w:val="single" w:sz="4" w:space="0" w:color="auto"/>
            </w:tcBorders>
            <w:shd w:val="clear" w:color="000000" w:fill="C00000"/>
            <w:noWrap/>
            <w:vAlign w:val="bottom"/>
            <w:hideMark/>
          </w:tcPr>
          <w:p w14:paraId="3F0CC3B1" w14:textId="6E85908D"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294,</w:t>
            </w:r>
            <w:r w:rsidR="00B4621E">
              <w:rPr>
                <w:rFonts w:ascii="Calibri" w:eastAsia="Times New Roman" w:hAnsi="Calibri" w:cs="Calibri"/>
                <w:b/>
                <w:bCs/>
                <w:color w:val="FFFFFF"/>
                <w:lang w:eastAsia="en-GB"/>
              </w:rPr>
              <w:t>1</w:t>
            </w:r>
            <w:r w:rsidR="00531921">
              <w:rPr>
                <w:rFonts w:ascii="Calibri" w:eastAsia="Times New Roman" w:hAnsi="Calibri" w:cs="Calibri"/>
                <w:b/>
                <w:bCs/>
                <w:color w:val="FFFFFF"/>
                <w:lang w:eastAsia="en-GB"/>
              </w:rPr>
              <w:t>90</w:t>
            </w:r>
          </w:p>
        </w:tc>
        <w:tc>
          <w:tcPr>
            <w:tcW w:w="632" w:type="dxa"/>
            <w:tcBorders>
              <w:top w:val="nil"/>
              <w:left w:val="nil"/>
              <w:bottom w:val="nil"/>
              <w:right w:val="nil"/>
            </w:tcBorders>
            <w:shd w:val="clear" w:color="000000" w:fill="FFFFFF"/>
            <w:noWrap/>
            <w:vAlign w:val="bottom"/>
            <w:hideMark/>
          </w:tcPr>
          <w:p w14:paraId="67BC2AE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r>
      <w:tr w:rsidR="00CA7459" w:rsidRPr="00CA7459" w14:paraId="7E4D8104" w14:textId="77777777" w:rsidTr="00914701">
        <w:trPr>
          <w:trHeight w:val="120"/>
        </w:trPr>
        <w:tc>
          <w:tcPr>
            <w:tcW w:w="266" w:type="dxa"/>
            <w:tcBorders>
              <w:top w:val="nil"/>
              <w:left w:val="nil"/>
              <w:bottom w:val="nil"/>
              <w:right w:val="nil"/>
            </w:tcBorders>
            <w:shd w:val="clear" w:color="000000" w:fill="FFFFFF"/>
            <w:noWrap/>
            <w:vAlign w:val="bottom"/>
            <w:hideMark/>
          </w:tcPr>
          <w:p w14:paraId="5E57FFF6" w14:textId="77777777" w:rsidR="00CA7459" w:rsidRPr="00CA7459" w:rsidRDefault="00CA7459" w:rsidP="00CA7459">
            <w:pPr>
              <w:spacing w:after="0" w:line="240" w:lineRule="auto"/>
              <w:rPr>
                <w:rFonts w:ascii="Calibri" w:eastAsia="Times New Roman" w:hAnsi="Calibri" w:cs="Calibri"/>
                <w:color w:val="FFFFFF"/>
                <w:lang w:eastAsia="en-GB"/>
              </w:rPr>
            </w:pPr>
            <w:r w:rsidRPr="00CA7459">
              <w:rPr>
                <w:rFonts w:ascii="Calibri" w:eastAsia="Times New Roman" w:hAnsi="Calibri" w:cs="Calibri"/>
                <w:color w:val="FFFFFF"/>
                <w:lang w:eastAsia="en-GB"/>
              </w:rPr>
              <w:t> </w:t>
            </w:r>
          </w:p>
        </w:tc>
        <w:tc>
          <w:tcPr>
            <w:tcW w:w="1696" w:type="dxa"/>
            <w:tcBorders>
              <w:top w:val="nil"/>
              <w:left w:val="nil"/>
              <w:bottom w:val="nil"/>
              <w:right w:val="nil"/>
            </w:tcBorders>
            <w:shd w:val="clear" w:color="000000" w:fill="FFFFFF"/>
            <w:noWrap/>
            <w:vAlign w:val="bottom"/>
            <w:hideMark/>
          </w:tcPr>
          <w:p w14:paraId="71035E40"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2943ADF2"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4430" w:type="dxa"/>
            <w:tcBorders>
              <w:top w:val="nil"/>
              <w:left w:val="nil"/>
              <w:bottom w:val="nil"/>
              <w:right w:val="nil"/>
            </w:tcBorders>
            <w:shd w:val="clear" w:color="000000" w:fill="FFFFFF"/>
            <w:noWrap/>
            <w:vAlign w:val="bottom"/>
            <w:hideMark/>
          </w:tcPr>
          <w:p w14:paraId="2474D796"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1701" w:type="dxa"/>
            <w:tcBorders>
              <w:top w:val="nil"/>
              <w:left w:val="nil"/>
              <w:bottom w:val="nil"/>
              <w:right w:val="nil"/>
            </w:tcBorders>
            <w:shd w:val="clear" w:color="000000" w:fill="FFFFFF"/>
            <w:noWrap/>
            <w:vAlign w:val="bottom"/>
            <w:hideMark/>
          </w:tcPr>
          <w:p w14:paraId="317F5196"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c>
          <w:tcPr>
            <w:tcW w:w="632" w:type="dxa"/>
            <w:tcBorders>
              <w:top w:val="nil"/>
              <w:left w:val="nil"/>
              <w:bottom w:val="nil"/>
              <w:right w:val="nil"/>
            </w:tcBorders>
            <w:shd w:val="clear" w:color="000000" w:fill="FFFFFF"/>
            <w:noWrap/>
            <w:vAlign w:val="bottom"/>
            <w:hideMark/>
          </w:tcPr>
          <w:p w14:paraId="7C69B4E4" w14:textId="77777777" w:rsidR="00CA7459" w:rsidRPr="00CA7459" w:rsidRDefault="00CA7459" w:rsidP="00CA7459">
            <w:pPr>
              <w:spacing w:after="0" w:line="240" w:lineRule="auto"/>
              <w:rPr>
                <w:rFonts w:ascii="Calibri" w:eastAsia="Times New Roman" w:hAnsi="Calibri" w:cs="Calibri"/>
                <w:color w:val="000000"/>
                <w:sz w:val="24"/>
                <w:szCs w:val="24"/>
                <w:lang w:eastAsia="en-GB"/>
              </w:rPr>
            </w:pPr>
            <w:r w:rsidRPr="00CA7459">
              <w:rPr>
                <w:rFonts w:ascii="Calibri" w:eastAsia="Times New Roman" w:hAnsi="Calibri" w:cs="Calibri"/>
                <w:color w:val="000000"/>
                <w:sz w:val="24"/>
                <w:szCs w:val="24"/>
                <w:lang w:eastAsia="en-GB"/>
              </w:rPr>
              <w:t> </w:t>
            </w:r>
          </w:p>
        </w:tc>
      </w:tr>
    </w:tbl>
    <w:p w14:paraId="358F4969" w14:textId="77777777" w:rsidR="00CA7459" w:rsidRPr="00CA7459" w:rsidRDefault="00CA7459" w:rsidP="0079406E">
      <w:pPr>
        <w:autoSpaceDE w:val="0"/>
        <w:autoSpaceDN w:val="0"/>
        <w:adjustRightInd w:val="0"/>
        <w:spacing w:after="0" w:line="240" w:lineRule="auto"/>
        <w:rPr>
          <w:rFonts w:cs="Arial"/>
          <w:b/>
          <w:bCs/>
          <w:sz w:val="2"/>
          <w:szCs w:val="2"/>
        </w:rPr>
      </w:pPr>
    </w:p>
    <w:p w14:paraId="2B7B01C8" w14:textId="73704837"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t>18</w:t>
      </w:r>
      <w:r w:rsidR="0079406E" w:rsidRPr="007F07C2">
        <w:rPr>
          <w:rFonts w:cs="Arial"/>
          <w:b/>
          <w:bCs/>
          <w:sz w:val="28"/>
          <w:szCs w:val="28"/>
        </w:rPr>
        <w:t xml:space="preserve">.1 Revaluation reserve </w:t>
      </w:r>
    </w:p>
    <w:p w14:paraId="29002BE7" w14:textId="77777777" w:rsidR="00CF1BC8" w:rsidRPr="007F07C2" w:rsidRDefault="0079406E" w:rsidP="0079406E">
      <w:pPr>
        <w:autoSpaceDE w:val="0"/>
        <w:autoSpaceDN w:val="0"/>
        <w:adjustRightInd w:val="0"/>
        <w:spacing w:after="0" w:line="240" w:lineRule="auto"/>
        <w:rPr>
          <w:rFonts w:cs="Arial"/>
        </w:rPr>
      </w:pPr>
      <w:r w:rsidRPr="007F07C2">
        <w:rPr>
          <w:rFonts w:cs="Arial"/>
        </w:rPr>
        <w:t>The Revaluation Reserve contains the gains</w:t>
      </w:r>
      <w:r w:rsidR="00EC1091" w:rsidRPr="007F07C2">
        <w:rPr>
          <w:rFonts w:cs="Arial"/>
        </w:rPr>
        <w:t>/losses</w:t>
      </w:r>
      <w:r w:rsidRPr="007F07C2">
        <w:rPr>
          <w:rFonts w:cs="Arial"/>
        </w:rPr>
        <w:t xml:space="preserve"> mad</w:t>
      </w:r>
      <w:r w:rsidR="00846FCA" w:rsidRPr="007F07C2">
        <w:rPr>
          <w:rFonts w:cs="Arial"/>
        </w:rPr>
        <w:t xml:space="preserve">e by the Authority arising in </w:t>
      </w:r>
      <w:r w:rsidRPr="007F07C2">
        <w:rPr>
          <w:rFonts w:cs="Arial"/>
        </w:rPr>
        <w:t xml:space="preserve">the value of its </w:t>
      </w:r>
      <w:r w:rsidR="00EC1091" w:rsidRPr="007F07C2">
        <w:rPr>
          <w:rFonts w:cs="Arial"/>
        </w:rPr>
        <w:t xml:space="preserve">Property, Plant </w:t>
      </w:r>
      <w:r w:rsidR="00846FCA" w:rsidRPr="007F07C2">
        <w:rPr>
          <w:rFonts w:cs="Arial"/>
        </w:rPr>
        <w:t>and Equipment.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51C9F931" w14:textId="77777777" w:rsidTr="00914701">
        <w:trPr>
          <w:trHeight w:val="120"/>
        </w:trPr>
        <w:tc>
          <w:tcPr>
            <w:tcW w:w="266" w:type="dxa"/>
            <w:tcBorders>
              <w:top w:val="nil"/>
              <w:left w:val="nil"/>
              <w:bottom w:val="nil"/>
              <w:right w:val="nil"/>
            </w:tcBorders>
            <w:shd w:val="clear" w:color="000000" w:fill="FFFFFF"/>
            <w:noWrap/>
            <w:vAlign w:val="bottom"/>
            <w:hideMark/>
          </w:tcPr>
          <w:p w14:paraId="0B38027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EC3070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1AF2D25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707D4D2B"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12064F7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1723C1A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B5607C7" w14:textId="77777777" w:rsidTr="00914701">
        <w:trPr>
          <w:trHeight w:val="310"/>
        </w:trPr>
        <w:tc>
          <w:tcPr>
            <w:tcW w:w="266" w:type="dxa"/>
            <w:tcBorders>
              <w:top w:val="nil"/>
              <w:left w:val="nil"/>
              <w:bottom w:val="nil"/>
              <w:right w:val="nil"/>
            </w:tcBorders>
            <w:shd w:val="clear" w:color="000000" w:fill="FFFFFF"/>
            <w:noWrap/>
            <w:vAlign w:val="bottom"/>
            <w:hideMark/>
          </w:tcPr>
          <w:p w14:paraId="4C69A37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BB1F8A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459E183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5D14744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74BE011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383CB0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02F97E9" w14:textId="77777777" w:rsidTr="00914701">
        <w:trPr>
          <w:trHeight w:val="310"/>
        </w:trPr>
        <w:tc>
          <w:tcPr>
            <w:tcW w:w="266" w:type="dxa"/>
            <w:tcBorders>
              <w:top w:val="nil"/>
              <w:left w:val="nil"/>
              <w:bottom w:val="nil"/>
              <w:right w:val="nil"/>
            </w:tcBorders>
            <w:shd w:val="clear" w:color="000000" w:fill="FFFFFF"/>
            <w:noWrap/>
            <w:vAlign w:val="bottom"/>
            <w:hideMark/>
          </w:tcPr>
          <w:p w14:paraId="7E75161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6CDD3E0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7EA286D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3C1C95C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2FAB479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58E54FB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5EF7C7C" w14:textId="77777777" w:rsidTr="00914701">
        <w:trPr>
          <w:trHeight w:val="310"/>
        </w:trPr>
        <w:tc>
          <w:tcPr>
            <w:tcW w:w="266" w:type="dxa"/>
            <w:tcBorders>
              <w:top w:val="nil"/>
              <w:left w:val="nil"/>
              <w:bottom w:val="nil"/>
              <w:right w:val="nil"/>
            </w:tcBorders>
            <w:shd w:val="clear" w:color="000000" w:fill="FFFFFF"/>
            <w:noWrap/>
            <w:vAlign w:val="bottom"/>
            <w:hideMark/>
          </w:tcPr>
          <w:p w14:paraId="6CE3B89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772D1E8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(151)</w:t>
            </w:r>
          </w:p>
        </w:tc>
        <w:tc>
          <w:tcPr>
            <w:tcW w:w="266" w:type="dxa"/>
            <w:tcBorders>
              <w:top w:val="nil"/>
              <w:left w:val="nil"/>
              <w:bottom w:val="nil"/>
              <w:right w:val="nil"/>
            </w:tcBorders>
            <w:shd w:val="clear" w:color="000000" w:fill="FFFFFF"/>
            <w:noWrap/>
            <w:vAlign w:val="bottom"/>
            <w:hideMark/>
          </w:tcPr>
          <w:p w14:paraId="18F9A26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3BD8E0A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0A3025B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622" w:type="dxa"/>
            <w:tcBorders>
              <w:top w:val="nil"/>
              <w:left w:val="nil"/>
              <w:bottom w:val="nil"/>
              <w:right w:val="nil"/>
            </w:tcBorders>
            <w:shd w:val="clear" w:color="000000" w:fill="FFFFFF"/>
            <w:noWrap/>
            <w:vAlign w:val="bottom"/>
            <w:hideMark/>
          </w:tcPr>
          <w:p w14:paraId="7423A14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00566F" w14:textId="77777777" w:rsidTr="00914701">
        <w:trPr>
          <w:trHeight w:val="310"/>
        </w:trPr>
        <w:tc>
          <w:tcPr>
            <w:tcW w:w="266" w:type="dxa"/>
            <w:tcBorders>
              <w:top w:val="nil"/>
              <w:left w:val="nil"/>
              <w:bottom w:val="nil"/>
              <w:right w:val="nil"/>
            </w:tcBorders>
            <w:shd w:val="clear" w:color="000000" w:fill="FFFFFF"/>
            <w:noWrap/>
            <w:vAlign w:val="bottom"/>
            <w:hideMark/>
          </w:tcPr>
          <w:p w14:paraId="1F876A6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2909C49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(1,656)</w:t>
            </w:r>
          </w:p>
        </w:tc>
        <w:tc>
          <w:tcPr>
            <w:tcW w:w="266" w:type="dxa"/>
            <w:tcBorders>
              <w:top w:val="nil"/>
              <w:left w:val="nil"/>
              <w:bottom w:val="nil"/>
              <w:right w:val="nil"/>
            </w:tcBorders>
            <w:shd w:val="clear" w:color="000000" w:fill="FFFFFF"/>
            <w:noWrap/>
            <w:vAlign w:val="bottom"/>
            <w:hideMark/>
          </w:tcPr>
          <w:p w14:paraId="76C7A02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63580D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gains in the period</w:t>
            </w:r>
          </w:p>
        </w:tc>
        <w:tc>
          <w:tcPr>
            <w:tcW w:w="1701" w:type="dxa"/>
            <w:tcBorders>
              <w:top w:val="nil"/>
              <w:left w:val="nil"/>
              <w:bottom w:val="nil"/>
              <w:right w:val="single" w:sz="4" w:space="0" w:color="auto"/>
            </w:tcBorders>
            <w:shd w:val="clear" w:color="000000" w:fill="FFE1E1"/>
            <w:noWrap/>
            <w:vAlign w:val="bottom"/>
            <w:hideMark/>
          </w:tcPr>
          <w:p w14:paraId="4407E1D8" w14:textId="5A046F6E"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w:t>
            </w:r>
            <w:r w:rsidR="00531921">
              <w:rPr>
                <w:rFonts w:ascii="Calibri" w:eastAsia="Times New Roman" w:hAnsi="Calibri" w:cs="Calibri"/>
                <w:color w:val="000000"/>
                <w:lang w:eastAsia="en-GB"/>
              </w:rPr>
              <w:t>7</w:t>
            </w:r>
            <w:r w:rsidRPr="00CA7459">
              <w:rPr>
                <w:rFonts w:ascii="Calibri" w:eastAsia="Times New Roman" w:hAnsi="Calibri" w:cs="Calibri"/>
                <w:color w:val="000000"/>
                <w:lang w:eastAsia="en-GB"/>
              </w:rPr>
              <w:t>6)</w:t>
            </w:r>
          </w:p>
        </w:tc>
        <w:tc>
          <w:tcPr>
            <w:tcW w:w="622" w:type="dxa"/>
            <w:tcBorders>
              <w:top w:val="nil"/>
              <w:left w:val="nil"/>
              <w:bottom w:val="nil"/>
              <w:right w:val="nil"/>
            </w:tcBorders>
            <w:shd w:val="clear" w:color="000000" w:fill="FFFFFF"/>
            <w:noWrap/>
            <w:vAlign w:val="bottom"/>
            <w:hideMark/>
          </w:tcPr>
          <w:p w14:paraId="7D6FEDB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056A98E" w14:textId="77777777" w:rsidTr="00914701">
        <w:trPr>
          <w:trHeight w:val="310"/>
        </w:trPr>
        <w:tc>
          <w:tcPr>
            <w:tcW w:w="266" w:type="dxa"/>
            <w:tcBorders>
              <w:top w:val="nil"/>
              <w:left w:val="nil"/>
              <w:bottom w:val="nil"/>
              <w:right w:val="nil"/>
            </w:tcBorders>
            <w:shd w:val="clear" w:color="000000" w:fill="FFFFFF"/>
            <w:noWrap/>
            <w:vAlign w:val="bottom"/>
            <w:hideMark/>
          </w:tcPr>
          <w:p w14:paraId="0A00B40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806F98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151</w:t>
            </w:r>
          </w:p>
        </w:tc>
        <w:tc>
          <w:tcPr>
            <w:tcW w:w="266" w:type="dxa"/>
            <w:tcBorders>
              <w:top w:val="nil"/>
              <w:left w:val="nil"/>
              <w:bottom w:val="nil"/>
              <w:right w:val="nil"/>
            </w:tcBorders>
            <w:shd w:val="clear" w:color="000000" w:fill="FFFFFF"/>
            <w:noWrap/>
            <w:vAlign w:val="bottom"/>
            <w:hideMark/>
          </w:tcPr>
          <w:p w14:paraId="1E9FCED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73CDFDC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loss in the period</w:t>
            </w:r>
          </w:p>
        </w:tc>
        <w:tc>
          <w:tcPr>
            <w:tcW w:w="1701" w:type="dxa"/>
            <w:tcBorders>
              <w:top w:val="nil"/>
              <w:left w:val="nil"/>
              <w:bottom w:val="nil"/>
              <w:right w:val="single" w:sz="4" w:space="0" w:color="auto"/>
            </w:tcBorders>
            <w:shd w:val="clear" w:color="000000" w:fill="FFE1E1"/>
            <w:noWrap/>
            <w:vAlign w:val="bottom"/>
            <w:hideMark/>
          </w:tcPr>
          <w:p w14:paraId="408E34BB" w14:textId="1460EC54"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w:t>
            </w:r>
            <w:r w:rsidR="00531921">
              <w:rPr>
                <w:rFonts w:ascii="Calibri" w:eastAsia="Times New Roman" w:hAnsi="Calibri" w:cs="Calibri"/>
                <w:color w:val="000000"/>
                <w:lang w:eastAsia="en-GB"/>
              </w:rPr>
              <w:t>2</w:t>
            </w:r>
          </w:p>
        </w:tc>
        <w:tc>
          <w:tcPr>
            <w:tcW w:w="622" w:type="dxa"/>
            <w:tcBorders>
              <w:top w:val="nil"/>
              <w:left w:val="nil"/>
              <w:bottom w:val="nil"/>
              <w:right w:val="nil"/>
            </w:tcBorders>
            <w:shd w:val="clear" w:color="000000" w:fill="FFFFFF"/>
            <w:noWrap/>
            <w:vAlign w:val="bottom"/>
            <w:hideMark/>
          </w:tcPr>
          <w:p w14:paraId="2A89B7A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62C45FF" w14:textId="77777777" w:rsidTr="00914701">
        <w:trPr>
          <w:trHeight w:val="310"/>
        </w:trPr>
        <w:tc>
          <w:tcPr>
            <w:tcW w:w="266" w:type="dxa"/>
            <w:tcBorders>
              <w:top w:val="nil"/>
              <w:left w:val="nil"/>
              <w:bottom w:val="nil"/>
              <w:right w:val="nil"/>
            </w:tcBorders>
            <w:shd w:val="clear" w:color="000000" w:fill="FFFFFF"/>
            <w:noWrap/>
            <w:vAlign w:val="bottom"/>
            <w:hideMark/>
          </w:tcPr>
          <w:p w14:paraId="17B36F0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59B7FD9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(1,656)</w:t>
            </w:r>
          </w:p>
        </w:tc>
        <w:tc>
          <w:tcPr>
            <w:tcW w:w="266" w:type="dxa"/>
            <w:tcBorders>
              <w:top w:val="nil"/>
              <w:left w:val="nil"/>
              <w:bottom w:val="single" w:sz="4" w:space="0" w:color="auto"/>
              <w:right w:val="nil"/>
            </w:tcBorders>
            <w:shd w:val="clear" w:color="000000" w:fill="C00000"/>
            <w:noWrap/>
            <w:vAlign w:val="bottom"/>
            <w:hideMark/>
          </w:tcPr>
          <w:p w14:paraId="028991F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72B073AF"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Revaluation Reserve</w:t>
            </w:r>
          </w:p>
        </w:tc>
        <w:tc>
          <w:tcPr>
            <w:tcW w:w="1701" w:type="dxa"/>
            <w:tcBorders>
              <w:top w:val="nil"/>
              <w:left w:val="nil"/>
              <w:bottom w:val="single" w:sz="4" w:space="0" w:color="auto"/>
              <w:right w:val="single" w:sz="4" w:space="0" w:color="auto"/>
            </w:tcBorders>
            <w:shd w:val="clear" w:color="000000" w:fill="C00000"/>
            <w:noWrap/>
            <w:vAlign w:val="bottom"/>
            <w:hideMark/>
          </w:tcPr>
          <w:p w14:paraId="7652F610" w14:textId="0B17DE8F"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(5,3</w:t>
            </w:r>
            <w:r w:rsidR="00531921">
              <w:rPr>
                <w:rFonts w:ascii="Calibri" w:eastAsia="Times New Roman" w:hAnsi="Calibri" w:cs="Calibri"/>
                <w:b/>
                <w:bCs/>
                <w:color w:val="FFFFFF"/>
                <w:lang w:eastAsia="en-GB"/>
              </w:rPr>
              <w:t>20</w:t>
            </w:r>
            <w:r w:rsidRPr="00CA7459">
              <w:rPr>
                <w:rFonts w:ascii="Calibri" w:eastAsia="Times New Roman" w:hAnsi="Calibri" w:cs="Calibri"/>
                <w:b/>
                <w:bCs/>
                <w:color w:val="FFFFFF"/>
                <w:lang w:eastAsia="en-GB"/>
              </w:rPr>
              <w:t>)</w:t>
            </w:r>
          </w:p>
        </w:tc>
        <w:tc>
          <w:tcPr>
            <w:tcW w:w="622" w:type="dxa"/>
            <w:tcBorders>
              <w:top w:val="nil"/>
              <w:left w:val="nil"/>
              <w:bottom w:val="nil"/>
              <w:right w:val="nil"/>
            </w:tcBorders>
            <w:shd w:val="clear" w:color="000000" w:fill="FFFFFF"/>
            <w:noWrap/>
            <w:vAlign w:val="bottom"/>
            <w:hideMark/>
          </w:tcPr>
          <w:p w14:paraId="67B6AD8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2B3C3668" w14:textId="77777777" w:rsidTr="00914701">
        <w:trPr>
          <w:trHeight w:val="120"/>
        </w:trPr>
        <w:tc>
          <w:tcPr>
            <w:tcW w:w="266" w:type="dxa"/>
            <w:tcBorders>
              <w:top w:val="nil"/>
              <w:left w:val="nil"/>
              <w:bottom w:val="nil"/>
              <w:right w:val="nil"/>
            </w:tcBorders>
            <w:shd w:val="clear" w:color="000000" w:fill="FFFFFF"/>
            <w:noWrap/>
            <w:vAlign w:val="bottom"/>
            <w:hideMark/>
          </w:tcPr>
          <w:p w14:paraId="4B8630B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6069CBC"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76B7DF7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0704CC26"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5E18814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6D2478D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05BCEFC1" w14:textId="77777777" w:rsidR="00CA7459" w:rsidRPr="00CA7459" w:rsidRDefault="00CA7459" w:rsidP="0079406E">
      <w:pPr>
        <w:autoSpaceDE w:val="0"/>
        <w:autoSpaceDN w:val="0"/>
        <w:adjustRightInd w:val="0"/>
        <w:spacing w:after="0" w:line="240" w:lineRule="auto"/>
        <w:rPr>
          <w:rFonts w:cs="Arial"/>
          <w:sz w:val="2"/>
          <w:szCs w:val="2"/>
        </w:rPr>
      </w:pPr>
    </w:p>
    <w:p w14:paraId="2ED7D3BE" w14:textId="7AEB95BE" w:rsidR="0079406E" w:rsidRDefault="0079406E" w:rsidP="0079406E">
      <w:pPr>
        <w:autoSpaceDE w:val="0"/>
        <w:autoSpaceDN w:val="0"/>
        <w:adjustRightInd w:val="0"/>
        <w:spacing w:after="0" w:line="240" w:lineRule="auto"/>
        <w:rPr>
          <w:rFonts w:cs="Arial"/>
        </w:rPr>
      </w:pPr>
      <w:r w:rsidRPr="007F07C2">
        <w:rPr>
          <w:rFonts w:cs="Arial"/>
        </w:rPr>
        <w:t>The Reserve contains only revaluation gains</w:t>
      </w:r>
      <w:r w:rsidR="00846FCA" w:rsidRPr="007F07C2">
        <w:rPr>
          <w:rFonts w:cs="Arial"/>
        </w:rPr>
        <w:t>/losses</w:t>
      </w:r>
      <w:r w:rsidRPr="007F07C2">
        <w:rPr>
          <w:rFonts w:cs="Arial"/>
        </w:rPr>
        <w:t xml:space="preserve"> accumulated </w:t>
      </w:r>
      <w:r w:rsidR="00A170F5" w:rsidRPr="007F07C2">
        <w:rPr>
          <w:rFonts w:cs="Arial"/>
        </w:rPr>
        <w:t>since 1 January 2019</w:t>
      </w:r>
      <w:r w:rsidRPr="007F07C2">
        <w:rPr>
          <w:rFonts w:cs="Arial"/>
        </w:rPr>
        <w:t xml:space="preserve">, the date that the Reserve was created. </w:t>
      </w:r>
    </w:p>
    <w:p w14:paraId="039E7E61" w14:textId="77777777" w:rsidR="005A184D" w:rsidRDefault="005A184D" w:rsidP="0079406E">
      <w:pPr>
        <w:autoSpaceDE w:val="0"/>
        <w:autoSpaceDN w:val="0"/>
        <w:adjustRightInd w:val="0"/>
        <w:spacing w:after="0" w:line="240" w:lineRule="auto"/>
        <w:rPr>
          <w:rFonts w:cs="Arial"/>
        </w:rPr>
      </w:pPr>
    </w:p>
    <w:p w14:paraId="21D2BBEC" w14:textId="585D053B"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18</w:t>
      </w:r>
      <w:r w:rsidR="0079406E" w:rsidRPr="007F07C2">
        <w:rPr>
          <w:rFonts w:cs="Arial"/>
          <w:b/>
          <w:bCs/>
          <w:sz w:val="28"/>
          <w:szCs w:val="28"/>
        </w:rPr>
        <w:t xml:space="preserve">.2 Capital adjustment account </w:t>
      </w:r>
    </w:p>
    <w:p w14:paraId="2C8018DD" w14:textId="77777777" w:rsidR="00533C64" w:rsidRPr="00ED2A06" w:rsidRDefault="0079406E" w:rsidP="0079406E">
      <w:pPr>
        <w:autoSpaceDE w:val="0"/>
        <w:autoSpaceDN w:val="0"/>
        <w:adjustRightInd w:val="0"/>
        <w:spacing w:after="0" w:line="240" w:lineRule="auto"/>
        <w:rPr>
          <w:rFonts w:cs="Arial"/>
        </w:rPr>
      </w:pPr>
      <w:r w:rsidRPr="00ED2A06">
        <w:rPr>
          <w:rFonts w:cs="Arial"/>
        </w:rPr>
        <w:t>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 The Account contains accumulated gains and losses on Investment Properties and gains recognised on donated assets that have yet to be consumed by the Authority. The Account also contains revaluation gains accumulated on Property, Plant and Equipment before 1 April 2007, the date that the Revaluation Reserve was cr</w:t>
      </w:r>
      <w:r w:rsidR="0064288B" w:rsidRPr="00ED2A06">
        <w:rPr>
          <w:rFonts w:cs="Arial"/>
        </w:rPr>
        <w:t>eated to hold such gains. Note 7</w:t>
      </w:r>
      <w:r w:rsidRPr="00ED2A06">
        <w:rPr>
          <w:rFonts w:cs="Arial"/>
        </w:rPr>
        <w:t xml:space="preserve"> provides details of the source of all the transactions posted to the Account, apart from those inv</w:t>
      </w:r>
      <w:r w:rsidR="00533C64" w:rsidRPr="00ED2A06">
        <w:rPr>
          <w:rFonts w:cs="Arial"/>
        </w:rPr>
        <w:t>olving the Revaluation Reserve.</w:t>
      </w:r>
    </w:p>
    <w:p w14:paraId="49469EBE" w14:textId="77777777" w:rsidR="009522F4" w:rsidRPr="00ED2A06" w:rsidRDefault="009522F4" w:rsidP="0079406E">
      <w:pPr>
        <w:autoSpaceDE w:val="0"/>
        <w:autoSpaceDN w:val="0"/>
        <w:adjustRightInd w:val="0"/>
        <w:spacing w:after="0" w:line="240" w:lineRule="auto"/>
        <w:rPr>
          <w:rFonts w:cs="Arial"/>
        </w:rPr>
      </w:pPr>
    </w:p>
    <w:p w14:paraId="3544AB4D" w14:textId="02C746C3" w:rsidR="002477CD" w:rsidRPr="00ED2A06" w:rsidRDefault="009522F4" w:rsidP="0079406E">
      <w:pPr>
        <w:autoSpaceDE w:val="0"/>
        <w:autoSpaceDN w:val="0"/>
        <w:adjustRightInd w:val="0"/>
        <w:spacing w:after="0" w:line="240" w:lineRule="auto"/>
        <w:rPr>
          <w:rFonts w:cs="Arial"/>
        </w:rPr>
      </w:pPr>
      <w:r w:rsidRPr="00ED2A06">
        <w:rPr>
          <w:rFonts w:cs="Arial"/>
        </w:rPr>
        <w:t>A breakdown of the CAA balance is set out below:-</w:t>
      </w:r>
    </w:p>
    <w:p w14:paraId="31F24E54" w14:textId="77777777" w:rsidR="00CA7459" w:rsidRPr="007F07C2" w:rsidRDefault="00CA7459" w:rsidP="0079406E">
      <w:pPr>
        <w:autoSpaceDE w:val="0"/>
        <w:autoSpaceDN w:val="0"/>
        <w:adjustRightInd w:val="0"/>
        <w:spacing w:after="0" w:line="240" w:lineRule="auto"/>
        <w:rPr>
          <w:rFonts w:cs="Arial"/>
        </w:rPr>
      </w:pPr>
    </w:p>
    <w:tbl>
      <w:tblPr>
        <w:tblW w:w="8970" w:type="dxa"/>
        <w:tblLook w:val="04A0" w:firstRow="1" w:lastRow="0" w:firstColumn="1" w:lastColumn="0" w:noHBand="0" w:noVBand="1"/>
      </w:tblPr>
      <w:tblGrid>
        <w:gridCol w:w="266"/>
        <w:gridCol w:w="1688"/>
        <w:gridCol w:w="266"/>
        <w:gridCol w:w="4443"/>
        <w:gridCol w:w="1701"/>
        <w:gridCol w:w="606"/>
      </w:tblGrid>
      <w:tr w:rsidR="00CA7459" w:rsidRPr="00CA7459" w14:paraId="7C515E1D" w14:textId="77777777" w:rsidTr="00CA7459">
        <w:trPr>
          <w:trHeight w:val="290"/>
        </w:trPr>
        <w:tc>
          <w:tcPr>
            <w:tcW w:w="266" w:type="dxa"/>
            <w:tcBorders>
              <w:top w:val="nil"/>
              <w:left w:val="nil"/>
              <w:bottom w:val="nil"/>
              <w:right w:val="nil"/>
            </w:tcBorders>
            <w:shd w:val="clear" w:color="000000" w:fill="FFFFFF"/>
            <w:noWrap/>
            <w:vAlign w:val="bottom"/>
            <w:hideMark/>
          </w:tcPr>
          <w:p w14:paraId="5E335A8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single" w:sz="4" w:space="0" w:color="auto"/>
              <w:left w:val="single" w:sz="4" w:space="0" w:color="auto"/>
              <w:bottom w:val="nil"/>
              <w:right w:val="nil"/>
            </w:tcBorders>
            <w:shd w:val="clear" w:color="000000" w:fill="C00000"/>
            <w:noWrap/>
            <w:vAlign w:val="bottom"/>
            <w:hideMark/>
          </w:tcPr>
          <w:p w14:paraId="7324E99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6A2181E5"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single" w:sz="4" w:space="0" w:color="auto"/>
              <w:left w:val="nil"/>
              <w:bottom w:val="nil"/>
              <w:right w:val="nil"/>
            </w:tcBorders>
            <w:shd w:val="clear" w:color="000000" w:fill="C00000"/>
            <w:noWrap/>
            <w:vAlign w:val="bottom"/>
            <w:hideMark/>
          </w:tcPr>
          <w:p w14:paraId="228111C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4C939BC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06" w:type="dxa"/>
            <w:tcBorders>
              <w:top w:val="nil"/>
              <w:left w:val="nil"/>
              <w:bottom w:val="nil"/>
              <w:right w:val="nil"/>
            </w:tcBorders>
            <w:shd w:val="clear" w:color="000000" w:fill="FFFFFF"/>
            <w:noWrap/>
            <w:vAlign w:val="bottom"/>
            <w:hideMark/>
          </w:tcPr>
          <w:p w14:paraId="55CB88F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9AF0DB7" w14:textId="77777777" w:rsidTr="00CA7459">
        <w:trPr>
          <w:trHeight w:val="290"/>
        </w:trPr>
        <w:tc>
          <w:tcPr>
            <w:tcW w:w="266" w:type="dxa"/>
            <w:tcBorders>
              <w:top w:val="nil"/>
              <w:left w:val="nil"/>
              <w:bottom w:val="nil"/>
              <w:right w:val="nil"/>
            </w:tcBorders>
            <w:shd w:val="clear" w:color="000000" w:fill="FFFFFF"/>
            <w:noWrap/>
            <w:vAlign w:val="bottom"/>
            <w:hideMark/>
          </w:tcPr>
          <w:p w14:paraId="5894733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C00000"/>
            <w:noWrap/>
            <w:vAlign w:val="bottom"/>
            <w:hideMark/>
          </w:tcPr>
          <w:p w14:paraId="52143E5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6DA7C4F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nil"/>
              <w:left w:val="nil"/>
              <w:bottom w:val="nil"/>
              <w:right w:val="nil"/>
            </w:tcBorders>
            <w:shd w:val="clear" w:color="000000" w:fill="C00000"/>
            <w:noWrap/>
            <w:vAlign w:val="bottom"/>
            <w:hideMark/>
          </w:tcPr>
          <w:p w14:paraId="583C87F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2538937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06" w:type="dxa"/>
            <w:tcBorders>
              <w:top w:val="nil"/>
              <w:left w:val="nil"/>
              <w:bottom w:val="nil"/>
              <w:right w:val="nil"/>
            </w:tcBorders>
            <w:shd w:val="clear" w:color="000000" w:fill="FFFFFF"/>
            <w:noWrap/>
            <w:vAlign w:val="bottom"/>
            <w:hideMark/>
          </w:tcPr>
          <w:p w14:paraId="067D8DA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696E333" w14:textId="77777777" w:rsidTr="00CA7459">
        <w:trPr>
          <w:trHeight w:val="290"/>
        </w:trPr>
        <w:tc>
          <w:tcPr>
            <w:tcW w:w="266" w:type="dxa"/>
            <w:tcBorders>
              <w:top w:val="nil"/>
              <w:left w:val="nil"/>
              <w:bottom w:val="nil"/>
              <w:right w:val="nil"/>
            </w:tcBorders>
            <w:shd w:val="clear" w:color="000000" w:fill="FFFFFF"/>
            <w:noWrap/>
            <w:vAlign w:val="bottom"/>
            <w:hideMark/>
          </w:tcPr>
          <w:p w14:paraId="6BADF01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0AE138B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(37,457)</w:t>
            </w:r>
          </w:p>
        </w:tc>
        <w:tc>
          <w:tcPr>
            <w:tcW w:w="266" w:type="dxa"/>
            <w:tcBorders>
              <w:top w:val="nil"/>
              <w:left w:val="nil"/>
              <w:bottom w:val="nil"/>
              <w:right w:val="nil"/>
            </w:tcBorders>
            <w:shd w:val="clear" w:color="000000" w:fill="FFFFFF"/>
            <w:noWrap/>
            <w:vAlign w:val="bottom"/>
            <w:hideMark/>
          </w:tcPr>
          <w:p w14:paraId="7D49968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B208EE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7B1760C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(36,255)</w:t>
            </w:r>
          </w:p>
        </w:tc>
        <w:tc>
          <w:tcPr>
            <w:tcW w:w="606" w:type="dxa"/>
            <w:tcBorders>
              <w:top w:val="nil"/>
              <w:left w:val="nil"/>
              <w:bottom w:val="nil"/>
              <w:right w:val="nil"/>
            </w:tcBorders>
            <w:shd w:val="clear" w:color="000000" w:fill="FFFFFF"/>
            <w:noWrap/>
            <w:vAlign w:val="bottom"/>
            <w:hideMark/>
          </w:tcPr>
          <w:p w14:paraId="4AE88DD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3754C3E" w14:textId="77777777" w:rsidTr="00CA7459">
        <w:trPr>
          <w:trHeight w:val="290"/>
        </w:trPr>
        <w:tc>
          <w:tcPr>
            <w:tcW w:w="266" w:type="dxa"/>
            <w:tcBorders>
              <w:top w:val="nil"/>
              <w:left w:val="nil"/>
              <w:bottom w:val="nil"/>
              <w:right w:val="nil"/>
            </w:tcBorders>
            <w:shd w:val="clear" w:color="000000" w:fill="FFFFFF"/>
            <w:noWrap/>
            <w:vAlign w:val="bottom"/>
            <w:hideMark/>
          </w:tcPr>
          <w:p w14:paraId="7596F0C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AA090B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(1,047)</w:t>
            </w:r>
          </w:p>
        </w:tc>
        <w:tc>
          <w:tcPr>
            <w:tcW w:w="266" w:type="dxa"/>
            <w:tcBorders>
              <w:top w:val="nil"/>
              <w:left w:val="nil"/>
              <w:bottom w:val="nil"/>
              <w:right w:val="nil"/>
            </w:tcBorders>
            <w:shd w:val="clear" w:color="000000" w:fill="FFFFFF"/>
            <w:noWrap/>
            <w:vAlign w:val="bottom"/>
            <w:hideMark/>
          </w:tcPr>
          <w:p w14:paraId="3CDC5E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6D1F39F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revenue funding</w:t>
            </w:r>
          </w:p>
        </w:tc>
        <w:tc>
          <w:tcPr>
            <w:tcW w:w="1701" w:type="dxa"/>
            <w:tcBorders>
              <w:top w:val="nil"/>
              <w:left w:val="nil"/>
              <w:bottom w:val="nil"/>
              <w:right w:val="single" w:sz="4" w:space="0" w:color="auto"/>
            </w:tcBorders>
            <w:shd w:val="clear" w:color="000000" w:fill="FFE1E1"/>
            <w:noWrap/>
            <w:vAlign w:val="bottom"/>
            <w:hideMark/>
          </w:tcPr>
          <w:p w14:paraId="61FE8AD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(179)</w:t>
            </w:r>
          </w:p>
        </w:tc>
        <w:tc>
          <w:tcPr>
            <w:tcW w:w="606" w:type="dxa"/>
            <w:tcBorders>
              <w:top w:val="nil"/>
              <w:left w:val="nil"/>
              <w:bottom w:val="nil"/>
              <w:right w:val="nil"/>
            </w:tcBorders>
            <w:shd w:val="clear" w:color="000000" w:fill="FFFFFF"/>
            <w:noWrap/>
            <w:vAlign w:val="bottom"/>
            <w:hideMark/>
          </w:tcPr>
          <w:p w14:paraId="7D20840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30072A1" w14:textId="77777777" w:rsidTr="00CA7459">
        <w:trPr>
          <w:trHeight w:val="290"/>
        </w:trPr>
        <w:tc>
          <w:tcPr>
            <w:tcW w:w="266" w:type="dxa"/>
            <w:tcBorders>
              <w:top w:val="nil"/>
              <w:left w:val="nil"/>
              <w:bottom w:val="nil"/>
              <w:right w:val="nil"/>
            </w:tcBorders>
            <w:shd w:val="clear" w:color="000000" w:fill="FFFFFF"/>
            <w:noWrap/>
            <w:vAlign w:val="bottom"/>
            <w:hideMark/>
          </w:tcPr>
          <w:p w14:paraId="25FAC8C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20F472FA" w14:textId="0126E2AA"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5CEB92A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5465BC2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S106 Funding</w:t>
            </w:r>
          </w:p>
        </w:tc>
        <w:tc>
          <w:tcPr>
            <w:tcW w:w="1701" w:type="dxa"/>
            <w:tcBorders>
              <w:top w:val="nil"/>
              <w:left w:val="nil"/>
              <w:bottom w:val="nil"/>
              <w:right w:val="single" w:sz="4" w:space="0" w:color="auto"/>
            </w:tcBorders>
            <w:shd w:val="clear" w:color="000000" w:fill="FFE1E1"/>
            <w:noWrap/>
            <w:vAlign w:val="bottom"/>
            <w:hideMark/>
          </w:tcPr>
          <w:p w14:paraId="5DEEFEF3" w14:textId="00CCB29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(18</w:t>
            </w:r>
            <w:r w:rsidR="00531921">
              <w:rPr>
                <w:rFonts w:ascii="Calibri" w:eastAsia="Times New Roman" w:hAnsi="Calibri" w:cs="Calibri"/>
                <w:color w:val="000000"/>
                <w:lang w:eastAsia="en-GB"/>
              </w:rPr>
              <w:t>7</w:t>
            </w:r>
            <w:r w:rsidRPr="00CA7459">
              <w:rPr>
                <w:rFonts w:ascii="Calibri" w:eastAsia="Times New Roman" w:hAnsi="Calibri" w:cs="Calibri"/>
                <w:color w:val="000000"/>
                <w:lang w:eastAsia="en-GB"/>
              </w:rPr>
              <w:t>)</w:t>
            </w:r>
          </w:p>
        </w:tc>
        <w:tc>
          <w:tcPr>
            <w:tcW w:w="606" w:type="dxa"/>
            <w:tcBorders>
              <w:top w:val="nil"/>
              <w:left w:val="nil"/>
              <w:bottom w:val="nil"/>
              <w:right w:val="nil"/>
            </w:tcBorders>
            <w:shd w:val="clear" w:color="000000" w:fill="FFFFFF"/>
            <w:noWrap/>
            <w:vAlign w:val="bottom"/>
            <w:hideMark/>
          </w:tcPr>
          <w:p w14:paraId="34B79CA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CF3EFA4" w14:textId="77777777" w:rsidTr="00CA7459">
        <w:trPr>
          <w:trHeight w:val="290"/>
        </w:trPr>
        <w:tc>
          <w:tcPr>
            <w:tcW w:w="266" w:type="dxa"/>
            <w:tcBorders>
              <w:top w:val="nil"/>
              <w:left w:val="nil"/>
              <w:bottom w:val="nil"/>
              <w:right w:val="nil"/>
            </w:tcBorders>
            <w:shd w:val="clear" w:color="000000" w:fill="FFFFFF"/>
            <w:noWrap/>
            <w:vAlign w:val="bottom"/>
            <w:hideMark/>
          </w:tcPr>
          <w:p w14:paraId="433A4F6C"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2F05C046" w14:textId="5BA20A60"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0AAE065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5135E0F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Capital Grants Unapplied</w:t>
            </w:r>
          </w:p>
        </w:tc>
        <w:tc>
          <w:tcPr>
            <w:tcW w:w="1701" w:type="dxa"/>
            <w:tcBorders>
              <w:top w:val="nil"/>
              <w:left w:val="nil"/>
              <w:bottom w:val="nil"/>
              <w:right w:val="single" w:sz="4" w:space="0" w:color="auto"/>
            </w:tcBorders>
            <w:shd w:val="clear" w:color="000000" w:fill="FFE1E1"/>
            <w:noWrap/>
            <w:vAlign w:val="bottom"/>
            <w:hideMark/>
          </w:tcPr>
          <w:p w14:paraId="1B0447C3" w14:textId="41A30A69"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w:t>
            </w:r>
            <w:r w:rsidR="00531921">
              <w:rPr>
                <w:rFonts w:ascii="Calibri" w:eastAsia="Times New Roman" w:hAnsi="Calibri" w:cs="Calibri"/>
                <w:color w:val="000000"/>
                <w:lang w:eastAsia="en-GB"/>
              </w:rPr>
              <w:t>6</w:t>
            </w:r>
            <w:r w:rsidRPr="00CA7459">
              <w:rPr>
                <w:rFonts w:ascii="Calibri" w:eastAsia="Times New Roman" w:hAnsi="Calibri" w:cs="Calibri"/>
                <w:color w:val="000000"/>
                <w:lang w:eastAsia="en-GB"/>
              </w:rPr>
              <w:t>)</w:t>
            </w:r>
          </w:p>
        </w:tc>
        <w:tc>
          <w:tcPr>
            <w:tcW w:w="606" w:type="dxa"/>
            <w:tcBorders>
              <w:top w:val="nil"/>
              <w:left w:val="nil"/>
              <w:bottom w:val="nil"/>
              <w:right w:val="nil"/>
            </w:tcBorders>
            <w:shd w:val="clear" w:color="000000" w:fill="FFFFFF"/>
            <w:noWrap/>
            <w:vAlign w:val="bottom"/>
            <w:hideMark/>
          </w:tcPr>
          <w:p w14:paraId="0E41CA2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549B5B2" w14:textId="77777777" w:rsidTr="00CA7459">
        <w:trPr>
          <w:trHeight w:val="290"/>
        </w:trPr>
        <w:tc>
          <w:tcPr>
            <w:tcW w:w="266" w:type="dxa"/>
            <w:tcBorders>
              <w:top w:val="nil"/>
              <w:left w:val="nil"/>
              <w:bottom w:val="nil"/>
              <w:right w:val="nil"/>
            </w:tcBorders>
            <w:shd w:val="clear" w:color="000000" w:fill="FFFFFF"/>
            <w:noWrap/>
            <w:vAlign w:val="bottom"/>
            <w:hideMark/>
          </w:tcPr>
          <w:p w14:paraId="053D1B0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1442BB14" w14:textId="0B70C30C" w:rsidR="00CA7459" w:rsidRPr="00CA7459" w:rsidRDefault="005A184D"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266" w:type="dxa"/>
            <w:tcBorders>
              <w:top w:val="nil"/>
              <w:left w:val="nil"/>
              <w:bottom w:val="nil"/>
              <w:right w:val="nil"/>
            </w:tcBorders>
            <w:shd w:val="clear" w:color="000000" w:fill="FFFFFF"/>
            <w:noWrap/>
            <w:vAlign w:val="bottom"/>
            <w:hideMark/>
          </w:tcPr>
          <w:p w14:paraId="5F0FB87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7923C08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Additions funded by Capital Receipts</w:t>
            </w:r>
          </w:p>
        </w:tc>
        <w:tc>
          <w:tcPr>
            <w:tcW w:w="1701" w:type="dxa"/>
            <w:tcBorders>
              <w:top w:val="nil"/>
              <w:left w:val="nil"/>
              <w:bottom w:val="nil"/>
              <w:right w:val="single" w:sz="4" w:space="0" w:color="auto"/>
            </w:tcBorders>
            <w:shd w:val="clear" w:color="000000" w:fill="FFE1E1"/>
            <w:noWrap/>
            <w:vAlign w:val="bottom"/>
            <w:hideMark/>
          </w:tcPr>
          <w:p w14:paraId="6B9D25E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(19)</w:t>
            </w:r>
          </w:p>
        </w:tc>
        <w:tc>
          <w:tcPr>
            <w:tcW w:w="606" w:type="dxa"/>
            <w:tcBorders>
              <w:top w:val="nil"/>
              <w:left w:val="nil"/>
              <w:bottom w:val="nil"/>
              <w:right w:val="nil"/>
            </w:tcBorders>
            <w:shd w:val="clear" w:color="000000" w:fill="FFFFFF"/>
            <w:noWrap/>
            <w:vAlign w:val="bottom"/>
            <w:hideMark/>
          </w:tcPr>
          <w:p w14:paraId="06C4C1C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B0D255E" w14:textId="77777777" w:rsidTr="00CA7459">
        <w:trPr>
          <w:trHeight w:val="290"/>
        </w:trPr>
        <w:tc>
          <w:tcPr>
            <w:tcW w:w="266" w:type="dxa"/>
            <w:tcBorders>
              <w:top w:val="nil"/>
              <w:left w:val="nil"/>
              <w:bottom w:val="nil"/>
              <w:right w:val="nil"/>
            </w:tcBorders>
            <w:shd w:val="clear" w:color="000000" w:fill="FFFFFF"/>
            <w:noWrap/>
            <w:vAlign w:val="bottom"/>
            <w:hideMark/>
          </w:tcPr>
          <w:p w14:paraId="37CC4A6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3500C7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1,648</w:t>
            </w:r>
          </w:p>
        </w:tc>
        <w:tc>
          <w:tcPr>
            <w:tcW w:w="266" w:type="dxa"/>
            <w:tcBorders>
              <w:top w:val="nil"/>
              <w:left w:val="nil"/>
              <w:bottom w:val="nil"/>
              <w:right w:val="nil"/>
            </w:tcBorders>
            <w:shd w:val="clear" w:color="000000" w:fill="FFFFFF"/>
            <w:noWrap/>
            <w:vAlign w:val="bottom"/>
            <w:hideMark/>
          </w:tcPr>
          <w:p w14:paraId="20FC0FE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0FAA10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Depreciation</w:t>
            </w:r>
          </w:p>
        </w:tc>
        <w:tc>
          <w:tcPr>
            <w:tcW w:w="1701" w:type="dxa"/>
            <w:tcBorders>
              <w:top w:val="nil"/>
              <w:left w:val="nil"/>
              <w:bottom w:val="nil"/>
              <w:right w:val="single" w:sz="4" w:space="0" w:color="auto"/>
            </w:tcBorders>
            <w:shd w:val="clear" w:color="000000" w:fill="FFE1E1"/>
            <w:noWrap/>
            <w:vAlign w:val="bottom"/>
            <w:hideMark/>
          </w:tcPr>
          <w:p w14:paraId="2A006568" w14:textId="405A4101"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1,2</w:t>
            </w:r>
            <w:r w:rsidR="00531921">
              <w:rPr>
                <w:rFonts w:ascii="Calibri" w:eastAsia="Times New Roman" w:hAnsi="Calibri" w:cs="Calibri"/>
                <w:color w:val="000000"/>
                <w:lang w:eastAsia="en-GB"/>
              </w:rPr>
              <w:t>30</w:t>
            </w:r>
          </w:p>
        </w:tc>
        <w:tc>
          <w:tcPr>
            <w:tcW w:w="606" w:type="dxa"/>
            <w:tcBorders>
              <w:top w:val="nil"/>
              <w:left w:val="nil"/>
              <w:bottom w:val="nil"/>
              <w:right w:val="nil"/>
            </w:tcBorders>
            <w:shd w:val="clear" w:color="000000" w:fill="FFFFFF"/>
            <w:noWrap/>
            <w:vAlign w:val="bottom"/>
            <w:hideMark/>
          </w:tcPr>
          <w:p w14:paraId="6C3F14C8"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3A62C23" w14:textId="77777777" w:rsidTr="00CA7459">
        <w:trPr>
          <w:trHeight w:val="290"/>
        </w:trPr>
        <w:tc>
          <w:tcPr>
            <w:tcW w:w="266" w:type="dxa"/>
            <w:tcBorders>
              <w:top w:val="nil"/>
              <w:left w:val="nil"/>
              <w:bottom w:val="nil"/>
              <w:right w:val="nil"/>
            </w:tcBorders>
            <w:shd w:val="clear" w:color="000000" w:fill="FFFFFF"/>
            <w:noWrap/>
            <w:vAlign w:val="bottom"/>
            <w:hideMark/>
          </w:tcPr>
          <w:p w14:paraId="525F6E2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nil"/>
              <w:right w:val="nil"/>
            </w:tcBorders>
            <w:shd w:val="clear" w:color="000000" w:fill="FFFFFF"/>
            <w:noWrap/>
            <w:vAlign w:val="bottom"/>
            <w:hideMark/>
          </w:tcPr>
          <w:p w14:paraId="321284D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601</w:t>
            </w:r>
          </w:p>
        </w:tc>
        <w:tc>
          <w:tcPr>
            <w:tcW w:w="266" w:type="dxa"/>
            <w:tcBorders>
              <w:top w:val="nil"/>
              <w:left w:val="nil"/>
              <w:bottom w:val="nil"/>
              <w:right w:val="nil"/>
            </w:tcBorders>
            <w:shd w:val="clear" w:color="000000" w:fill="FFFFFF"/>
            <w:noWrap/>
            <w:vAlign w:val="bottom"/>
            <w:hideMark/>
          </w:tcPr>
          <w:p w14:paraId="0B7E494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43" w:type="dxa"/>
            <w:tcBorders>
              <w:top w:val="nil"/>
              <w:left w:val="nil"/>
              <w:bottom w:val="nil"/>
              <w:right w:val="nil"/>
            </w:tcBorders>
            <w:shd w:val="clear" w:color="000000" w:fill="FFFFFF"/>
            <w:noWrap/>
            <w:vAlign w:val="bottom"/>
            <w:hideMark/>
          </w:tcPr>
          <w:p w14:paraId="06CDEC3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Revaluation Losses + Disposals</w:t>
            </w:r>
          </w:p>
        </w:tc>
        <w:tc>
          <w:tcPr>
            <w:tcW w:w="1701" w:type="dxa"/>
            <w:tcBorders>
              <w:top w:val="nil"/>
              <w:left w:val="nil"/>
              <w:bottom w:val="nil"/>
              <w:right w:val="single" w:sz="4" w:space="0" w:color="auto"/>
            </w:tcBorders>
            <w:shd w:val="clear" w:color="000000" w:fill="FFE1E1"/>
            <w:noWrap/>
            <w:vAlign w:val="bottom"/>
            <w:hideMark/>
          </w:tcPr>
          <w:p w14:paraId="24EC5932" w14:textId="130D1A10"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w:t>
            </w:r>
            <w:r w:rsidR="00531921">
              <w:rPr>
                <w:rFonts w:ascii="Calibri" w:eastAsia="Times New Roman" w:hAnsi="Calibri" w:cs="Calibri"/>
                <w:color w:val="000000"/>
                <w:lang w:eastAsia="en-GB"/>
              </w:rPr>
              <w:t>40</w:t>
            </w:r>
          </w:p>
        </w:tc>
        <w:tc>
          <w:tcPr>
            <w:tcW w:w="606" w:type="dxa"/>
            <w:tcBorders>
              <w:top w:val="nil"/>
              <w:left w:val="nil"/>
              <w:bottom w:val="nil"/>
              <w:right w:val="nil"/>
            </w:tcBorders>
            <w:shd w:val="clear" w:color="000000" w:fill="FFFFFF"/>
            <w:noWrap/>
            <w:vAlign w:val="bottom"/>
            <w:hideMark/>
          </w:tcPr>
          <w:p w14:paraId="1A268A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71F9A56" w14:textId="77777777" w:rsidTr="00CA7459">
        <w:trPr>
          <w:trHeight w:val="290"/>
        </w:trPr>
        <w:tc>
          <w:tcPr>
            <w:tcW w:w="266" w:type="dxa"/>
            <w:tcBorders>
              <w:top w:val="nil"/>
              <w:left w:val="nil"/>
              <w:bottom w:val="nil"/>
              <w:right w:val="nil"/>
            </w:tcBorders>
            <w:shd w:val="clear" w:color="000000" w:fill="FFFFFF"/>
            <w:noWrap/>
            <w:vAlign w:val="bottom"/>
            <w:hideMark/>
          </w:tcPr>
          <w:p w14:paraId="28F817A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88" w:type="dxa"/>
            <w:tcBorders>
              <w:top w:val="nil"/>
              <w:left w:val="single" w:sz="4" w:space="0" w:color="auto"/>
              <w:bottom w:val="single" w:sz="4" w:space="0" w:color="auto"/>
              <w:right w:val="nil"/>
            </w:tcBorders>
            <w:shd w:val="clear" w:color="000000" w:fill="C00000"/>
            <w:noWrap/>
            <w:vAlign w:val="bottom"/>
            <w:hideMark/>
          </w:tcPr>
          <w:p w14:paraId="50AF37F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(36,255)</w:t>
            </w:r>
          </w:p>
        </w:tc>
        <w:tc>
          <w:tcPr>
            <w:tcW w:w="266" w:type="dxa"/>
            <w:tcBorders>
              <w:top w:val="nil"/>
              <w:left w:val="nil"/>
              <w:bottom w:val="single" w:sz="4" w:space="0" w:color="auto"/>
              <w:right w:val="nil"/>
            </w:tcBorders>
            <w:shd w:val="clear" w:color="000000" w:fill="C00000"/>
            <w:noWrap/>
            <w:vAlign w:val="bottom"/>
            <w:hideMark/>
          </w:tcPr>
          <w:p w14:paraId="6D027BE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43" w:type="dxa"/>
            <w:tcBorders>
              <w:top w:val="nil"/>
              <w:left w:val="nil"/>
              <w:bottom w:val="single" w:sz="4" w:space="0" w:color="auto"/>
              <w:right w:val="nil"/>
            </w:tcBorders>
            <w:shd w:val="clear" w:color="000000" w:fill="C00000"/>
            <w:noWrap/>
            <w:vAlign w:val="bottom"/>
            <w:hideMark/>
          </w:tcPr>
          <w:p w14:paraId="13576AB1"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Capital Adjustment Reserves</w:t>
            </w:r>
          </w:p>
        </w:tc>
        <w:tc>
          <w:tcPr>
            <w:tcW w:w="1701" w:type="dxa"/>
            <w:tcBorders>
              <w:top w:val="nil"/>
              <w:left w:val="nil"/>
              <w:bottom w:val="single" w:sz="4" w:space="0" w:color="auto"/>
              <w:right w:val="single" w:sz="4" w:space="0" w:color="auto"/>
            </w:tcBorders>
            <w:shd w:val="clear" w:color="000000" w:fill="C00000"/>
            <w:noWrap/>
            <w:vAlign w:val="bottom"/>
            <w:hideMark/>
          </w:tcPr>
          <w:p w14:paraId="1BA4B6D5" w14:textId="52F0DFE1"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(35,2</w:t>
            </w:r>
            <w:r w:rsidR="00531921">
              <w:rPr>
                <w:rFonts w:ascii="Calibri" w:eastAsia="Times New Roman" w:hAnsi="Calibri" w:cs="Calibri"/>
                <w:b/>
                <w:bCs/>
                <w:color w:val="FFFFFF"/>
                <w:lang w:eastAsia="en-GB"/>
              </w:rPr>
              <w:t>76</w:t>
            </w:r>
            <w:r w:rsidRPr="00CA7459">
              <w:rPr>
                <w:rFonts w:ascii="Calibri" w:eastAsia="Times New Roman" w:hAnsi="Calibri" w:cs="Calibri"/>
                <w:b/>
                <w:bCs/>
                <w:color w:val="FFFFFF"/>
                <w:lang w:eastAsia="en-GB"/>
              </w:rPr>
              <w:t>)</w:t>
            </w:r>
          </w:p>
        </w:tc>
        <w:tc>
          <w:tcPr>
            <w:tcW w:w="606" w:type="dxa"/>
            <w:tcBorders>
              <w:top w:val="nil"/>
              <w:left w:val="nil"/>
              <w:bottom w:val="nil"/>
              <w:right w:val="nil"/>
            </w:tcBorders>
            <w:shd w:val="clear" w:color="000000" w:fill="FFFFFF"/>
            <w:noWrap/>
            <w:vAlign w:val="bottom"/>
            <w:hideMark/>
          </w:tcPr>
          <w:p w14:paraId="1906DB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76141AED" w14:textId="247D0558"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18</w:t>
      </w:r>
      <w:r w:rsidR="00533C64" w:rsidRPr="007F07C2">
        <w:rPr>
          <w:rFonts w:cs="Arial"/>
          <w:b/>
          <w:bCs/>
          <w:sz w:val="28"/>
          <w:szCs w:val="28"/>
        </w:rPr>
        <w:t>.</w:t>
      </w:r>
      <w:r w:rsidR="00667FAF" w:rsidRPr="007F07C2">
        <w:rPr>
          <w:rFonts w:cs="Arial"/>
          <w:b/>
          <w:bCs/>
          <w:sz w:val="28"/>
          <w:szCs w:val="28"/>
        </w:rPr>
        <w:t>3</w:t>
      </w:r>
      <w:r w:rsidR="0079406E" w:rsidRPr="007F07C2">
        <w:rPr>
          <w:rFonts w:cs="Arial"/>
          <w:b/>
          <w:bCs/>
          <w:sz w:val="28"/>
          <w:szCs w:val="28"/>
        </w:rPr>
        <w:t xml:space="preserve"> Pension reserve </w:t>
      </w:r>
    </w:p>
    <w:p w14:paraId="6000713F" w14:textId="2EA65568" w:rsidR="00557029" w:rsidRPr="007F07C2" w:rsidRDefault="0079406E" w:rsidP="0079406E">
      <w:pPr>
        <w:autoSpaceDE w:val="0"/>
        <w:autoSpaceDN w:val="0"/>
        <w:adjustRightInd w:val="0"/>
        <w:spacing w:after="0" w:line="240" w:lineRule="auto"/>
        <w:rPr>
          <w:rFonts w:cs="Arial"/>
        </w:rPr>
      </w:pPr>
      <w:r w:rsidRPr="007F07C2">
        <w:rPr>
          <w:rFonts w:cs="Arial"/>
        </w:rPr>
        <w:t xml:space="preserve">The Pension Reserve absorbs the timing differences arising from the different arrangements for accounting for post-employment benefits and for funding benefits in accordance with statutory provisions. The Authority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 </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51964D08" w14:textId="77777777" w:rsidTr="00CA7459">
        <w:trPr>
          <w:trHeight w:val="120"/>
        </w:trPr>
        <w:tc>
          <w:tcPr>
            <w:tcW w:w="266" w:type="dxa"/>
            <w:tcBorders>
              <w:top w:val="nil"/>
              <w:left w:val="nil"/>
              <w:bottom w:val="nil"/>
              <w:right w:val="nil"/>
            </w:tcBorders>
            <w:shd w:val="clear" w:color="000000" w:fill="FFFFFF"/>
            <w:noWrap/>
            <w:vAlign w:val="bottom"/>
            <w:hideMark/>
          </w:tcPr>
          <w:p w14:paraId="2ACC276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50F4997"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66871D24"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6875CE82"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0A8048A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767069C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7AAF9B9" w14:textId="77777777" w:rsidTr="00CA7459">
        <w:trPr>
          <w:trHeight w:val="290"/>
        </w:trPr>
        <w:tc>
          <w:tcPr>
            <w:tcW w:w="266" w:type="dxa"/>
            <w:tcBorders>
              <w:top w:val="nil"/>
              <w:left w:val="nil"/>
              <w:bottom w:val="nil"/>
              <w:right w:val="nil"/>
            </w:tcBorders>
            <w:shd w:val="clear" w:color="000000" w:fill="FFFFFF"/>
            <w:noWrap/>
            <w:vAlign w:val="bottom"/>
            <w:hideMark/>
          </w:tcPr>
          <w:p w14:paraId="0E161B0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1179D5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01FB8BC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2A2E89E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566DD0E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4DF4E96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9DD4FEE" w14:textId="77777777" w:rsidTr="00CA7459">
        <w:trPr>
          <w:trHeight w:val="290"/>
        </w:trPr>
        <w:tc>
          <w:tcPr>
            <w:tcW w:w="266" w:type="dxa"/>
            <w:tcBorders>
              <w:top w:val="nil"/>
              <w:left w:val="nil"/>
              <w:bottom w:val="nil"/>
              <w:right w:val="nil"/>
            </w:tcBorders>
            <w:shd w:val="clear" w:color="000000" w:fill="FFFFFF"/>
            <w:noWrap/>
            <w:vAlign w:val="bottom"/>
            <w:hideMark/>
          </w:tcPr>
          <w:p w14:paraId="053AF7D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4243A1F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37A961E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781E180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358CFCCB"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7CCAC46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7E0A7CD" w14:textId="77777777" w:rsidTr="00CA7459">
        <w:trPr>
          <w:trHeight w:val="290"/>
        </w:trPr>
        <w:tc>
          <w:tcPr>
            <w:tcW w:w="266" w:type="dxa"/>
            <w:tcBorders>
              <w:top w:val="nil"/>
              <w:left w:val="nil"/>
              <w:bottom w:val="nil"/>
              <w:right w:val="nil"/>
            </w:tcBorders>
            <w:shd w:val="clear" w:color="000000" w:fill="FFFFFF"/>
            <w:noWrap/>
            <w:vAlign w:val="bottom"/>
            <w:hideMark/>
          </w:tcPr>
          <w:p w14:paraId="0A500D0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3C111F9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290,446</w:t>
            </w:r>
          </w:p>
        </w:tc>
        <w:tc>
          <w:tcPr>
            <w:tcW w:w="266" w:type="dxa"/>
            <w:tcBorders>
              <w:top w:val="nil"/>
              <w:left w:val="nil"/>
              <w:bottom w:val="nil"/>
              <w:right w:val="nil"/>
            </w:tcBorders>
            <w:shd w:val="clear" w:color="000000" w:fill="FFFFFF"/>
            <w:noWrap/>
            <w:vAlign w:val="bottom"/>
            <w:hideMark/>
          </w:tcPr>
          <w:p w14:paraId="77F586F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2148C5B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7FD6F37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328,856</w:t>
            </w:r>
          </w:p>
        </w:tc>
        <w:tc>
          <w:tcPr>
            <w:tcW w:w="622" w:type="dxa"/>
            <w:tcBorders>
              <w:top w:val="nil"/>
              <w:left w:val="nil"/>
              <w:bottom w:val="nil"/>
              <w:right w:val="nil"/>
            </w:tcBorders>
            <w:shd w:val="clear" w:color="000000" w:fill="FFFFFF"/>
            <w:noWrap/>
            <w:vAlign w:val="bottom"/>
            <w:hideMark/>
          </w:tcPr>
          <w:p w14:paraId="74464C0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600C79" w14:textId="77777777" w:rsidTr="00CA7459">
        <w:trPr>
          <w:trHeight w:val="290"/>
        </w:trPr>
        <w:tc>
          <w:tcPr>
            <w:tcW w:w="266" w:type="dxa"/>
            <w:tcBorders>
              <w:top w:val="nil"/>
              <w:left w:val="nil"/>
              <w:bottom w:val="nil"/>
              <w:right w:val="nil"/>
            </w:tcBorders>
            <w:shd w:val="clear" w:color="000000" w:fill="FFFFFF"/>
            <w:noWrap/>
            <w:vAlign w:val="bottom"/>
            <w:hideMark/>
          </w:tcPr>
          <w:p w14:paraId="109240E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5D0F18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38,410</w:t>
            </w:r>
          </w:p>
        </w:tc>
        <w:tc>
          <w:tcPr>
            <w:tcW w:w="266" w:type="dxa"/>
            <w:tcBorders>
              <w:top w:val="nil"/>
              <w:left w:val="nil"/>
              <w:bottom w:val="nil"/>
              <w:right w:val="nil"/>
            </w:tcBorders>
            <w:shd w:val="clear" w:color="000000" w:fill="FFFFFF"/>
            <w:noWrap/>
            <w:vAlign w:val="bottom"/>
            <w:hideMark/>
          </w:tcPr>
          <w:p w14:paraId="4BCE9B7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502DF7E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Actuarial (Gains)/Losses</w:t>
            </w:r>
          </w:p>
        </w:tc>
        <w:tc>
          <w:tcPr>
            <w:tcW w:w="1701" w:type="dxa"/>
            <w:tcBorders>
              <w:top w:val="nil"/>
              <w:left w:val="nil"/>
              <w:bottom w:val="nil"/>
              <w:right w:val="single" w:sz="4" w:space="0" w:color="auto"/>
            </w:tcBorders>
            <w:shd w:val="clear" w:color="000000" w:fill="FFE1E1"/>
            <w:noWrap/>
            <w:vAlign w:val="bottom"/>
            <w:hideMark/>
          </w:tcPr>
          <w:p w14:paraId="0E8BEEB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5,579</w:t>
            </w:r>
          </w:p>
        </w:tc>
        <w:tc>
          <w:tcPr>
            <w:tcW w:w="622" w:type="dxa"/>
            <w:tcBorders>
              <w:top w:val="nil"/>
              <w:left w:val="nil"/>
              <w:bottom w:val="nil"/>
              <w:right w:val="nil"/>
            </w:tcBorders>
            <w:shd w:val="clear" w:color="000000" w:fill="FFFFFF"/>
            <w:noWrap/>
            <w:vAlign w:val="bottom"/>
            <w:hideMark/>
          </w:tcPr>
          <w:p w14:paraId="2952039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8F30DBB" w14:textId="77777777" w:rsidTr="00CA7459">
        <w:trPr>
          <w:trHeight w:val="290"/>
        </w:trPr>
        <w:tc>
          <w:tcPr>
            <w:tcW w:w="266" w:type="dxa"/>
            <w:tcBorders>
              <w:top w:val="nil"/>
              <w:left w:val="nil"/>
              <w:bottom w:val="nil"/>
              <w:right w:val="nil"/>
            </w:tcBorders>
            <w:shd w:val="clear" w:color="000000" w:fill="FFFFFF"/>
            <w:noWrap/>
            <w:vAlign w:val="bottom"/>
            <w:hideMark/>
          </w:tcPr>
          <w:p w14:paraId="61CB514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4FF9EA0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328,856</w:t>
            </w:r>
          </w:p>
        </w:tc>
        <w:tc>
          <w:tcPr>
            <w:tcW w:w="266" w:type="dxa"/>
            <w:tcBorders>
              <w:top w:val="nil"/>
              <w:left w:val="nil"/>
              <w:bottom w:val="single" w:sz="4" w:space="0" w:color="auto"/>
              <w:right w:val="nil"/>
            </w:tcBorders>
            <w:shd w:val="clear" w:color="000000" w:fill="C00000"/>
            <w:noWrap/>
            <w:vAlign w:val="bottom"/>
            <w:hideMark/>
          </w:tcPr>
          <w:p w14:paraId="41941B8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69F210F1"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Pension Reserve</w:t>
            </w:r>
          </w:p>
        </w:tc>
        <w:tc>
          <w:tcPr>
            <w:tcW w:w="1701" w:type="dxa"/>
            <w:tcBorders>
              <w:top w:val="nil"/>
              <w:left w:val="nil"/>
              <w:bottom w:val="single" w:sz="4" w:space="0" w:color="auto"/>
              <w:right w:val="single" w:sz="4" w:space="0" w:color="auto"/>
            </w:tcBorders>
            <w:shd w:val="clear" w:color="000000" w:fill="C00000"/>
            <w:noWrap/>
            <w:vAlign w:val="bottom"/>
            <w:hideMark/>
          </w:tcPr>
          <w:p w14:paraId="0680DF25"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334,435</w:t>
            </w:r>
          </w:p>
        </w:tc>
        <w:tc>
          <w:tcPr>
            <w:tcW w:w="622" w:type="dxa"/>
            <w:tcBorders>
              <w:top w:val="nil"/>
              <w:left w:val="nil"/>
              <w:bottom w:val="nil"/>
              <w:right w:val="nil"/>
            </w:tcBorders>
            <w:shd w:val="clear" w:color="000000" w:fill="FFFFFF"/>
            <w:noWrap/>
            <w:vAlign w:val="bottom"/>
            <w:hideMark/>
          </w:tcPr>
          <w:p w14:paraId="18FD500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1C27936A" w14:textId="77777777" w:rsidTr="00CA7459">
        <w:trPr>
          <w:trHeight w:val="120"/>
        </w:trPr>
        <w:tc>
          <w:tcPr>
            <w:tcW w:w="266" w:type="dxa"/>
            <w:tcBorders>
              <w:top w:val="nil"/>
              <w:left w:val="nil"/>
              <w:bottom w:val="nil"/>
              <w:right w:val="nil"/>
            </w:tcBorders>
            <w:shd w:val="clear" w:color="000000" w:fill="FFFFFF"/>
            <w:noWrap/>
            <w:vAlign w:val="bottom"/>
            <w:hideMark/>
          </w:tcPr>
          <w:p w14:paraId="2F6290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35B034F"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059AD5E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200DB20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4874651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3457821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66FB80DF" w14:textId="336582DC" w:rsidR="004D4088" w:rsidRPr="007F07C2" w:rsidRDefault="004D4088" w:rsidP="0079406E">
      <w:pPr>
        <w:autoSpaceDE w:val="0"/>
        <w:autoSpaceDN w:val="0"/>
        <w:adjustRightInd w:val="0"/>
        <w:spacing w:after="0" w:line="240" w:lineRule="auto"/>
        <w:rPr>
          <w:rFonts w:cs="Arial"/>
        </w:rPr>
      </w:pPr>
    </w:p>
    <w:p w14:paraId="6456167C" w14:textId="77777777" w:rsidR="005B1455" w:rsidRPr="007F07C2" w:rsidRDefault="00F34C51" w:rsidP="00F34C51">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18.4 Accumulated Absences Account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2BCBF67E" w14:textId="77777777" w:rsidTr="00CA7459">
        <w:trPr>
          <w:trHeight w:val="120"/>
        </w:trPr>
        <w:tc>
          <w:tcPr>
            <w:tcW w:w="266" w:type="dxa"/>
            <w:tcBorders>
              <w:top w:val="nil"/>
              <w:left w:val="nil"/>
              <w:bottom w:val="nil"/>
              <w:right w:val="nil"/>
            </w:tcBorders>
            <w:shd w:val="clear" w:color="000000" w:fill="FFFFFF"/>
            <w:noWrap/>
            <w:vAlign w:val="bottom"/>
            <w:hideMark/>
          </w:tcPr>
          <w:p w14:paraId="208EB39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1D8CC44F"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3C53C85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753A846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60F7585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0C04B62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A2BEFCD" w14:textId="77777777" w:rsidTr="00CA7459">
        <w:trPr>
          <w:trHeight w:val="290"/>
        </w:trPr>
        <w:tc>
          <w:tcPr>
            <w:tcW w:w="266" w:type="dxa"/>
            <w:tcBorders>
              <w:top w:val="nil"/>
              <w:left w:val="nil"/>
              <w:bottom w:val="nil"/>
              <w:right w:val="nil"/>
            </w:tcBorders>
            <w:shd w:val="clear" w:color="000000" w:fill="FFFFFF"/>
            <w:noWrap/>
            <w:vAlign w:val="bottom"/>
            <w:hideMark/>
          </w:tcPr>
          <w:p w14:paraId="4ABC05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2A388FDA"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56F35F0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5190AE2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3675497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4C8FF80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4DA5017" w14:textId="77777777" w:rsidTr="00CA7459">
        <w:trPr>
          <w:trHeight w:val="290"/>
        </w:trPr>
        <w:tc>
          <w:tcPr>
            <w:tcW w:w="266" w:type="dxa"/>
            <w:tcBorders>
              <w:top w:val="nil"/>
              <w:left w:val="nil"/>
              <w:bottom w:val="nil"/>
              <w:right w:val="nil"/>
            </w:tcBorders>
            <w:shd w:val="clear" w:color="000000" w:fill="FFFFFF"/>
            <w:noWrap/>
            <w:vAlign w:val="bottom"/>
            <w:hideMark/>
          </w:tcPr>
          <w:p w14:paraId="129B6697"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6EBB5D8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250030D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135E09C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19A9420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0D56C54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0BB59F3F" w14:textId="77777777" w:rsidTr="00CA7459">
        <w:trPr>
          <w:trHeight w:val="290"/>
        </w:trPr>
        <w:tc>
          <w:tcPr>
            <w:tcW w:w="266" w:type="dxa"/>
            <w:tcBorders>
              <w:top w:val="nil"/>
              <w:left w:val="nil"/>
              <w:bottom w:val="nil"/>
              <w:right w:val="nil"/>
            </w:tcBorders>
            <w:shd w:val="clear" w:color="000000" w:fill="FFFFFF"/>
            <w:noWrap/>
            <w:vAlign w:val="bottom"/>
            <w:hideMark/>
          </w:tcPr>
          <w:p w14:paraId="563F576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708C41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105</w:t>
            </w:r>
          </w:p>
        </w:tc>
        <w:tc>
          <w:tcPr>
            <w:tcW w:w="266" w:type="dxa"/>
            <w:tcBorders>
              <w:top w:val="nil"/>
              <w:left w:val="nil"/>
              <w:bottom w:val="nil"/>
              <w:right w:val="nil"/>
            </w:tcBorders>
            <w:shd w:val="clear" w:color="000000" w:fill="FFFFFF"/>
            <w:noWrap/>
            <w:vAlign w:val="bottom"/>
            <w:hideMark/>
          </w:tcPr>
          <w:p w14:paraId="0658612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07930B9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2F30D9E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622" w:type="dxa"/>
            <w:tcBorders>
              <w:top w:val="nil"/>
              <w:left w:val="nil"/>
              <w:bottom w:val="nil"/>
              <w:right w:val="nil"/>
            </w:tcBorders>
            <w:shd w:val="clear" w:color="000000" w:fill="FFFFFF"/>
            <w:noWrap/>
            <w:vAlign w:val="bottom"/>
            <w:hideMark/>
          </w:tcPr>
          <w:p w14:paraId="00244D4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EC817EC" w14:textId="77777777" w:rsidTr="00CA7459">
        <w:trPr>
          <w:trHeight w:val="290"/>
        </w:trPr>
        <w:tc>
          <w:tcPr>
            <w:tcW w:w="266" w:type="dxa"/>
            <w:tcBorders>
              <w:top w:val="nil"/>
              <w:left w:val="nil"/>
              <w:bottom w:val="nil"/>
              <w:right w:val="nil"/>
            </w:tcBorders>
            <w:shd w:val="clear" w:color="000000" w:fill="FFFFFF"/>
            <w:noWrap/>
            <w:vAlign w:val="bottom"/>
            <w:hideMark/>
          </w:tcPr>
          <w:p w14:paraId="51AAF06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25D68B3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(15)</w:t>
            </w:r>
          </w:p>
        </w:tc>
        <w:tc>
          <w:tcPr>
            <w:tcW w:w="266" w:type="dxa"/>
            <w:tcBorders>
              <w:top w:val="nil"/>
              <w:left w:val="nil"/>
              <w:bottom w:val="nil"/>
              <w:right w:val="nil"/>
            </w:tcBorders>
            <w:shd w:val="clear" w:color="000000" w:fill="FFFFFF"/>
            <w:noWrap/>
            <w:vAlign w:val="bottom"/>
            <w:hideMark/>
          </w:tcPr>
          <w:p w14:paraId="32A675D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3702DAC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Provision for the period</w:t>
            </w:r>
          </w:p>
        </w:tc>
        <w:tc>
          <w:tcPr>
            <w:tcW w:w="1701" w:type="dxa"/>
            <w:tcBorders>
              <w:top w:val="nil"/>
              <w:left w:val="nil"/>
              <w:bottom w:val="nil"/>
              <w:right w:val="single" w:sz="4" w:space="0" w:color="auto"/>
            </w:tcBorders>
            <w:shd w:val="clear" w:color="000000" w:fill="FFE1E1"/>
            <w:noWrap/>
            <w:vAlign w:val="bottom"/>
            <w:hideMark/>
          </w:tcPr>
          <w:p w14:paraId="038F9D7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(20)</w:t>
            </w:r>
          </w:p>
        </w:tc>
        <w:tc>
          <w:tcPr>
            <w:tcW w:w="622" w:type="dxa"/>
            <w:tcBorders>
              <w:top w:val="nil"/>
              <w:left w:val="nil"/>
              <w:bottom w:val="nil"/>
              <w:right w:val="nil"/>
            </w:tcBorders>
            <w:shd w:val="clear" w:color="000000" w:fill="FFFFFF"/>
            <w:noWrap/>
            <w:vAlign w:val="bottom"/>
            <w:hideMark/>
          </w:tcPr>
          <w:p w14:paraId="3798DFA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4ADAFA5" w14:textId="77777777" w:rsidTr="00CA7459">
        <w:trPr>
          <w:trHeight w:val="290"/>
        </w:trPr>
        <w:tc>
          <w:tcPr>
            <w:tcW w:w="266" w:type="dxa"/>
            <w:tcBorders>
              <w:top w:val="nil"/>
              <w:left w:val="nil"/>
              <w:bottom w:val="nil"/>
              <w:right w:val="nil"/>
            </w:tcBorders>
            <w:shd w:val="clear" w:color="000000" w:fill="FFFFFF"/>
            <w:noWrap/>
            <w:vAlign w:val="bottom"/>
            <w:hideMark/>
          </w:tcPr>
          <w:p w14:paraId="5D4AC34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18324F1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90</w:t>
            </w:r>
          </w:p>
        </w:tc>
        <w:tc>
          <w:tcPr>
            <w:tcW w:w="266" w:type="dxa"/>
            <w:tcBorders>
              <w:top w:val="nil"/>
              <w:left w:val="nil"/>
              <w:bottom w:val="single" w:sz="4" w:space="0" w:color="auto"/>
              <w:right w:val="nil"/>
            </w:tcBorders>
            <w:shd w:val="clear" w:color="000000" w:fill="C00000"/>
            <w:noWrap/>
            <w:vAlign w:val="bottom"/>
            <w:hideMark/>
          </w:tcPr>
          <w:p w14:paraId="5D10E61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6C57FE28"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Accumulated Absences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06BE43C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70</w:t>
            </w:r>
          </w:p>
        </w:tc>
        <w:tc>
          <w:tcPr>
            <w:tcW w:w="622" w:type="dxa"/>
            <w:tcBorders>
              <w:top w:val="nil"/>
              <w:left w:val="nil"/>
              <w:bottom w:val="nil"/>
              <w:right w:val="nil"/>
            </w:tcBorders>
            <w:shd w:val="clear" w:color="000000" w:fill="FFFFFF"/>
            <w:noWrap/>
            <w:vAlign w:val="bottom"/>
            <w:hideMark/>
          </w:tcPr>
          <w:p w14:paraId="4C3A53C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5E030CB" w14:textId="77777777" w:rsidTr="00CA7459">
        <w:trPr>
          <w:trHeight w:val="120"/>
        </w:trPr>
        <w:tc>
          <w:tcPr>
            <w:tcW w:w="266" w:type="dxa"/>
            <w:tcBorders>
              <w:top w:val="nil"/>
              <w:left w:val="nil"/>
              <w:bottom w:val="nil"/>
              <w:right w:val="nil"/>
            </w:tcBorders>
            <w:shd w:val="clear" w:color="000000" w:fill="FFFFFF"/>
            <w:noWrap/>
            <w:vAlign w:val="bottom"/>
            <w:hideMark/>
          </w:tcPr>
          <w:p w14:paraId="4638346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753FC0D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29D6CFE1"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30F1AC4D"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426BDD57"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3F1724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28608C52" w14:textId="77777777" w:rsidR="00380787" w:rsidRPr="007F07C2" w:rsidRDefault="00572201" w:rsidP="009739F3">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18.5 Col</w:t>
      </w:r>
      <w:r w:rsidR="00380787" w:rsidRPr="007F07C2">
        <w:rPr>
          <w:rFonts w:eastAsia="Times New Roman" w:cs="Arial"/>
          <w:b/>
          <w:bCs/>
          <w:color w:val="000000"/>
          <w:sz w:val="28"/>
          <w:szCs w:val="28"/>
          <w:lang w:eastAsia="en-GB"/>
        </w:rPr>
        <w:t>lection Fund Adjustment Account</w:t>
      </w:r>
    </w:p>
    <w:tbl>
      <w:tblPr>
        <w:tblW w:w="8986" w:type="dxa"/>
        <w:tblLook w:val="04A0" w:firstRow="1" w:lastRow="0" w:firstColumn="1" w:lastColumn="0" w:noHBand="0" w:noVBand="1"/>
      </w:tblPr>
      <w:tblGrid>
        <w:gridCol w:w="266"/>
        <w:gridCol w:w="1696"/>
        <w:gridCol w:w="266"/>
        <w:gridCol w:w="4435"/>
        <w:gridCol w:w="1701"/>
        <w:gridCol w:w="622"/>
      </w:tblGrid>
      <w:tr w:rsidR="00CA7459" w:rsidRPr="00CA7459" w14:paraId="6ED896D8" w14:textId="77777777" w:rsidTr="00CA7459">
        <w:trPr>
          <w:trHeight w:val="120"/>
        </w:trPr>
        <w:tc>
          <w:tcPr>
            <w:tcW w:w="266" w:type="dxa"/>
            <w:tcBorders>
              <w:top w:val="nil"/>
              <w:left w:val="nil"/>
              <w:bottom w:val="nil"/>
              <w:right w:val="nil"/>
            </w:tcBorders>
            <w:shd w:val="clear" w:color="000000" w:fill="FFFFFF"/>
            <w:noWrap/>
            <w:vAlign w:val="bottom"/>
            <w:hideMark/>
          </w:tcPr>
          <w:p w14:paraId="62111BF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4569EFD3"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0C22547C"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4435" w:type="dxa"/>
            <w:tcBorders>
              <w:top w:val="nil"/>
              <w:left w:val="nil"/>
              <w:bottom w:val="nil"/>
              <w:right w:val="nil"/>
            </w:tcBorders>
            <w:shd w:val="clear" w:color="000000" w:fill="FFFFFF"/>
            <w:noWrap/>
            <w:vAlign w:val="bottom"/>
            <w:hideMark/>
          </w:tcPr>
          <w:p w14:paraId="1C0FE2EE" w14:textId="77777777" w:rsidR="00CA7459" w:rsidRPr="00CA7459" w:rsidRDefault="00CA7459" w:rsidP="00CA7459">
            <w:pPr>
              <w:spacing w:after="0" w:line="240" w:lineRule="auto"/>
              <w:rPr>
                <w:rFonts w:ascii="Calibri" w:eastAsia="Times New Roman" w:hAnsi="Calibri" w:cs="Calibri"/>
                <w:b/>
                <w:bCs/>
                <w:color w:val="000000"/>
                <w:lang w:eastAsia="en-GB"/>
              </w:rPr>
            </w:pPr>
            <w:r w:rsidRPr="00CA7459">
              <w:rPr>
                <w:rFonts w:ascii="Calibri" w:eastAsia="Times New Roman" w:hAnsi="Calibri" w:cs="Calibri"/>
                <w:b/>
                <w:bCs/>
                <w:color w:val="000000"/>
                <w:lang w:eastAsia="en-GB"/>
              </w:rPr>
              <w:t> </w:t>
            </w:r>
          </w:p>
        </w:tc>
        <w:tc>
          <w:tcPr>
            <w:tcW w:w="1701" w:type="dxa"/>
            <w:tcBorders>
              <w:top w:val="nil"/>
              <w:left w:val="nil"/>
              <w:bottom w:val="nil"/>
              <w:right w:val="nil"/>
            </w:tcBorders>
            <w:shd w:val="clear" w:color="000000" w:fill="FFFFFF"/>
            <w:noWrap/>
            <w:vAlign w:val="bottom"/>
            <w:hideMark/>
          </w:tcPr>
          <w:p w14:paraId="28817BA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622" w:type="dxa"/>
            <w:tcBorders>
              <w:top w:val="nil"/>
              <w:left w:val="nil"/>
              <w:bottom w:val="nil"/>
              <w:right w:val="nil"/>
            </w:tcBorders>
            <w:shd w:val="clear" w:color="000000" w:fill="FFFFFF"/>
            <w:noWrap/>
            <w:vAlign w:val="bottom"/>
            <w:hideMark/>
          </w:tcPr>
          <w:p w14:paraId="0A72BD6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196DA72" w14:textId="77777777" w:rsidTr="00CA7459">
        <w:trPr>
          <w:trHeight w:val="290"/>
        </w:trPr>
        <w:tc>
          <w:tcPr>
            <w:tcW w:w="266" w:type="dxa"/>
            <w:tcBorders>
              <w:top w:val="nil"/>
              <w:left w:val="nil"/>
              <w:bottom w:val="nil"/>
              <w:right w:val="nil"/>
            </w:tcBorders>
            <w:shd w:val="clear" w:color="000000" w:fill="FFFFFF"/>
            <w:noWrap/>
            <w:vAlign w:val="bottom"/>
            <w:hideMark/>
          </w:tcPr>
          <w:p w14:paraId="061FBD6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single" w:sz="4" w:space="0" w:color="auto"/>
              <w:left w:val="single" w:sz="4" w:space="0" w:color="auto"/>
              <w:bottom w:val="nil"/>
              <w:right w:val="nil"/>
            </w:tcBorders>
            <w:shd w:val="clear" w:color="000000" w:fill="C00000"/>
            <w:noWrap/>
            <w:vAlign w:val="bottom"/>
            <w:hideMark/>
          </w:tcPr>
          <w:p w14:paraId="0AB2DA3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2021</w:t>
            </w:r>
          </w:p>
        </w:tc>
        <w:tc>
          <w:tcPr>
            <w:tcW w:w="266" w:type="dxa"/>
            <w:tcBorders>
              <w:top w:val="single" w:sz="4" w:space="0" w:color="auto"/>
              <w:left w:val="nil"/>
              <w:bottom w:val="nil"/>
              <w:right w:val="nil"/>
            </w:tcBorders>
            <w:shd w:val="clear" w:color="000000" w:fill="C00000"/>
            <w:noWrap/>
            <w:vAlign w:val="bottom"/>
            <w:hideMark/>
          </w:tcPr>
          <w:p w14:paraId="0A6B0F4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single" w:sz="4" w:space="0" w:color="auto"/>
              <w:left w:val="nil"/>
              <w:bottom w:val="nil"/>
              <w:right w:val="nil"/>
            </w:tcBorders>
            <w:shd w:val="clear" w:color="000000" w:fill="C00000"/>
            <w:noWrap/>
            <w:vAlign w:val="bottom"/>
            <w:hideMark/>
          </w:tcPr>
          <w:p w14:paraId="48351A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383A7AA8"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31 March 2022</w:t>
            </w:r>
          </w:p>
        </w:tc>
        <w:tc>
          <w:tcPr>
            <w:tcW w:w="622" w:type="dxa"/>
            <w:tcBorders>
              <w:top w:val="nil"/>
              <w:left w:val="nil"/>
              <w:bottom w:val="nil"/>
              <w:right w:val="nil"/>
            </w:tcBorders>
            <w:shd w:val="clear" w:color="000000" w:fill="FFFFFF"/>
            <w:noWrap/>
            <w:vAlign w:val="bottom"/>
            <w:hideMark/>
          </w:tcPr>
          <w:p w14:paraId="368042F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4BBB65A" w14:textId="77777777" w:rsidTr="00CA7459">
        <w:trPr>
          <w:trHeight w:val="290"/>
        </w:trPr>
        <w:tc>
          <w:tcPr>
            <w:tcW w:w="266" w:type="dxa"/>
            <w:tcBorders>
              <w:top w:val="nil"/>
              <w:left w:val="nil"/>
              <w:bottom w:val="nil"/>
              <w:right w:val="nil"/>
            </w:tcBorders>
            <w:shd w:val="clear" w:color="000000" w:fill="FFFFFF"/>
            <w:noWrap/>
            <w:vAlign w:val="bottom"/>
            <w:hideMark/>
          </w:tcPr>
          <w:p w14:paraId="43472EE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C00000"/>
            <w:noWrap/>
            <w:vAlign w:val="bottom"/>
            <w:hideMark/>
          </w:tcPr>
          <w:p w14:paraId="1CDEB4D3"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26CBCDE2"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C00000"/>
            <w:noWrap/>
            <w:vAlign w:val="bottom"/>
            <w:hideMark/>
          </w:tcPr>
          <w:p w14:paraId="73A618A9"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460D092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£000</w:t>
            </w:r>
          </w:p>
        </w:tc>
        <w:tc>
          <w:tcPr>
            <w:tcW w:w="622" w:type="dxa"/>
            <w:tcBorders>
              <w:top w:val="nil"/>
              <w:left w:val="nil"/>
              <w:bottom w:val="nil"/>
              <w:right w:val="nil"/>
            </w:tcBorders>
            <w:shd w:val="clear" w:color="000000" w:fill="FFFFFF"/>
            <w:noWrap/>
            <w:vAlign w:val="bottom"/>
            <w:hideMark/>
          </w:tcPr>
          <w:p w14:paraId="7D23E2A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6C40C699" w14:textId="77777777" w:rsidTr="00CA7459">
        <w:trPr>
          <w:trHeight w:val="290"/>
        </w:trPr>
        <w:tc>
          <w:tcPr>
            <w:tcW w:w="266" w:type="dxa"/>
            <w:tcBorders>
              <w:top w:val="nil"/>
              <w:left w:val="nil"/>
              <w:bottom w:val="nil"/>
              <w:right w:val="nil"/>
            </w:tcBorders>
            <w:shd w:val="clear" w:color="000000" w:fill="FFFFFF"/>
            <w:noWrap/>
            <w:vAlign w:val="bottom"/>
            <w:hideMark/>
          </w:tcPr>
          <w:p w14:paraId="104F7AD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427F2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88</w:t>
            </w:r>
          </w:p>
        </w:tc>
        <w:tc>
          <w:tcPr>
            <w:tcW w:w="266" w:type="dxa"/>
            <w:tcBorders>
              <w:top w:val="nil"/>
              <w:left w:val="nil"/>
              <w:bottom w:val="nil"/>
              <w:right w:val="nil"/>
            </w:tcBorders>
            <w:shd w:val="clear" w:color="000000" w:fill="FFFFFF"/>
            <w:noWrap/>
            <w:vAlign w:val="bottom"/>
            <w:hideMark/>
          </w:tcPr>
          <w:p w14:paraId="1B91F04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48BADB4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Council Tax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437C3C8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90</w:t>
            </w:r>
          </w:p>
        </w:tc>
        <w:tc>
          <w:tcPr>
            <w:tcW w:w="622" w:type="dxa"/>
            <w:tcBorders>
              <w:top w:val="nil"/>
              <w:left w:val="nil"/>
              <w:bottom w:val="nil"/>
              <w:right w:val="nil"/>
            </w:tcBorders>
            <w:shd w:val="clear" w:color="000000" w:fill="FFFFFF"/>
            <w:noWrap/>
            <w:vAlign w:val="bottom"/>
            <w:hideMark/>
          </w:tcPr>
          <w:p w14:paraId="102B67FB"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57E2A1CD" w14:textId="77777777" w:rsidTr="00CA7459">
        <w:trPr>
          <w:trHeight w:val="290"/>
        </w:trPr>
        <w:tc>
          <w:tcPr>
            <w:tcW w:w="266" w:type="dxa"/>
            <w:tcBorders>
              <w:top w:val="nil"/>
              <w:left w:val="nil"/>
              <w:bottom w:val="nil"/>
              <w:right w:val="nil"/>
            </w:tcBorders>
            <w:shd w:val="clear" w:color="000000" w:fill="FFFFFF"/>
            <w:noWrap/>
            <w:vAlign w:val="bottom"/>
            <w:hideMark/>
          </w:tcPr>
          <w:p w14:paraId="0C0FC13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nil"/>
              <w:right w:val="nil"/>
            </w:tcBorders>
            <w:shd w:val="clear" w:color="000000" w:fill="FFFFFF"/>
            <w:noWrap/>
            <w:vAlign w:val="bottom"/>
            <w:hideMark/>
          </w:tcPr>
          <w:p w14:paraId="53730D9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67</w:t>
            </w:r>
          </w:p>
        </w:tc>
        <w:tc>
          <w:tcPr>
            <w:tcW w:w="266" w:type="dxa"/>
            <w:tcBorders>
              <w:top w:val="nil"/>
              <w:left w:val="nil"/>
              <w:bottom w:val="nil"/>
              <w:right w:val="nil"/>
            </w:tcBorders>
            <w:shd w:val="clear" w:color="000000" w:fill="FFFFFF"/>
            <w:noWrap/>
            <w:vAlign w:val="bottom"/>
            <w:hideMark/>
          </w:tcPr>
          <w:p w14:paraId="7FDDAB80"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4435" w:type="dxa"/>
            <w:tcBorders>
              <w:top w:val="nil"/>
              <w:left w:val="nil"/>
              <w:bottom w:val="nil"/>
              <w:right w:val="nil"/>
            </w:tcBorders>
            <w:shd w:val="clear" w:color="000000" w:fill="FFFFFF"/>
            <w:noWrap/>
            <w:vAlign w:val="bottom"/>
            <w:hideMark/>
          </w:tcPr>
          <w:p w14:paraId="7609568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NNDR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5F49F4E0" w14:textId="61276C85" w:rsidR="00CA7459" w:rsidRPr="00CA7459" w:rsidRDefault="00B4621E" w:rsidP="00CA745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191</w:t>
            </w:r>
          </w:p>
        </w:tc>
        <w:tc>
          <w:tcPr>
            <w:tcW w:w="622" w:type="dxa"/>
            <w:tcBorders>
              <w:top w:val="nil"/>
              <w:left w:val="nil"/>
              <w:bottom w:val="nil"/>
              <w:right w:val="nil"/>
            </w:tcBorders>
            <w:shd w:val="clear" w:color="000000" w:fill="FFFFFF"/>
            <w:noWrap/>
            <w:vAlign w:val="bottom"/>
            <w:hideMark/>
          </w:tcPr>
          <w:p w14:paraId="3344223F"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37FC9E89" w14:textId="77777777" w:rsidTr="00CA7459">
        <w:trPr>
          <w:trHeight w:val="290"/>
        </w:trPr>
        <w:tc>
          <w:tcPr>
            <w:tcW w:w="266" w:type="dxa"/>
            <w:tcBorders>
              <w:top w:val="nil"/>
              <w:left w:val="nil"/>
              <w:bottom w:val="nil"/>
              <w:right w:val="nil"/>
            </w:tcBorders>
            <w:shd w:val="clear" w:color="000000" w:fill="FFFFFF"/>
            <w:noWrap/>
            <w:vAlign w:val="bottom"/>
            <w:hideMark/>
          </w:tcPr>
          <w:p w14:paraId="2C662A4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single" w:sz="4" w:space="0" w:color="auto"/>
              <w:bottom w:val="single" w:sz="4" w:space="0" w:color="auto"/>
              <w:right w:val="nil"/>
            </w:tcBorders>
            <w:shd w:val="clear" w:color="000000" w:fill="C00000"/>
            <w:noWrap/>
            <w:vAlign w:val="bottom"/>
            <w:hideMark/>
          </w:tcPr>
          <w:p w14:paraId="6671132D"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                        155 </w:t>
            </w:r>
          </w:p>
        </w:tc>
        <w:tc>
          <w:tcPr>
            <w:tcW w:w="266" w:type="dxa"/>
            <w:tcBorders>
              <w:top w:val="nil"/>
              <w:left w:val="nil"/>
              <w:bottom w:val="single" w:sz="4" w:space="0" w:color="auto"/>
              <w:right w:val="nil"/>
            </w:tcBorders>
            <w:shd w:val="clear" w:color="000000" w:fill="C00000"/>
            <w:noWrap/>
            <w:vAlign w:val="bottom"/>
            <w:hideMark/>
          </w:tcPr>
          <w:p w14:paraId="1AF98B54"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single" w:sz="4" w:space="0" w:color="auto"/>
              <w:right w:val="nil"/>
            </w:tcBorders>
            <w:shd w:val="clear" w:color="000000" w:fill="C00000"/>
            <w:noWrap/>
            <w:vAlign w:val="bottom"/>
            <w:hideMark/>
          </w:tcPr>
          <w:p w14:paraId="7262D128"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Collection Fund Adjustment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53FEDBD9" w14:textId="258801DC" w:rsidR="00CA7459" w:rsidRPr="00CA7459" w:rsidRDefault="00B4621E" w:rsidP="00CA7459">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281</w:t>
            </w:r>
          </w:p>
        </w:tc>
        <w:tc>
          <w:tcPr>
            <w:tcW w:w="622" w:type="dxa"/>
            <w:tcBorders>
              <w:top w:val="nil"/>
              <w:left w:val="nil"/>
              <w:bottom w:val="nil"/>
              <w:right w:val="nil"/>
            </w:tcBorders>
            <w:shd w:val="clear" w:color="000000" w:fill="FFFFFF"/>
            <w:noWrap/>
            <w:vAlign w:val="bottom"/>
            <w:hideMark/>
          </w:tcPr>
          <w:p w14:paraId="7344F87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4165CF88" w14:textId="77777777" w:rsidTr="00CA7459">
        <w:trPr>
          <w:trHeight w:val="120"/>
        </w:trPr>
        <w:tc>
          <w:tcPr>
            <w:tcW w:w="266" w:type="dxa"/>
            <w:tcBorders>
              <w:top w:val="nil"/>
              <w:left w:val="nil"/>
              <w:bottom w:val="nil"/>
              <w:right w:val="nil"/>
            </w:tcBorders>
            <w:shd w:val="clear" w:color="000000" w:fill="FFFFFF"/>
            <w:noWrap/>
            <w:vAlign w:val="bottom"/>
            <w:hideMark/>
          </w:tcPr>
          <w:p w14:paraId="715AB55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1696" w:type="dxa"/>
            <w:tcBorders>
              <w:top w:val="nil"/>
              <w:left w:val="nil"/>
              <w:bottom w:val="nil"/>
              <w:right w:val="nil"/>
            </w:tcBorders>
            <w:shd w:val="clear" w:color="000000" w:fill="FFFFFF"/>
            <w:noWrap/>
            <w:vAlign w:val="bottom"/>
            <w:hideMark/>
          </w:tcPr>
          <w:p w14:paraId="3FEB1CE6"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266" w:type="dxa"/>
            <w:tcBorders>
              <w:top w:val="nil"/>
              <w:left w:val="nil"/>
              <w:bottom w:val="nil"/>
              <w:right w:val="nil"/>
            </w:tcBorders>
            <w:shd w:val="clear" w:color="000000" w:fill="FFFFFF"/>
            <w:noWrap/>
            <w:vAlign w:val="bottom"/>
            <w:hideMark/>
          </w:tcPr>
          <w:p w14:paraId="39C08530"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4435" w:type="dxa"/>
            <w:tcBorders>
              <w:top w:val="nil"/>
              <w:left w:val="nil"/>
              <w:bottom w:val="nil"/>
              <w:right w:val="nil"/>
            </w:tcBorders>
            <w:shd w:val="clear" w:color="000000" w:fill="FFFFFF"/>
            <w:noWrap/>
            <w:vAlign w:val="bottom"/>
            <w:hideMark/>
          </w:tcPr>
          <w:p w14:paraId="29C24FEA" w14:textId="77777777" w:rsidR="00CA7459" w:rsidRPr="00CA7459" w:rsidRDefault="00CA7459" w:rsidP="00CA7459">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FFFFFF"/>
            <w:noWrap/>
            <w:vAlign w:val="bottom"/>
            <w:hideMark/>
          </w:tcPr>
          <w:p w14:paraId="1E8096CE" w14:textId="77777777" w:rsidR="00CA7459" w:rsidRPr="00CA7459" w:rsidRDefault="00CA7459" w:rsidP="00CA7459">
            <w:pPr>
              <w:spacing w:after="0" w:line="240" w:lineRule="auto"/>
              <w:jc w:val="right"/>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622" w:type="dxa"/>
            <w:tcBorders>
              <w:top w:val="nil"/>
              <w:left w:val="nil"/>
              <w:bottom w:val="nil"/>
              <w:right w:val="nil"/>
            </w:tcBorders>
            <w:shd w:val="clear" w:color="000000" w:fill="FFFFFF"/>
            <w:noWrap/>
            <w:vAlign w:val="bottom"/>
            <w:hideMark/>
          </w:tcPr>
          <w:p w14:paraId="46262BA9"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bl>
    <w:p w14:paraId="041083AA" w14:textId="77777777" w:rsidR="005A184D" w:rsidRDefault="005A184D" w:rsidP="0079406E">
      <w:pPr>
        <w:autoSpaceDE w:val="0"/>
        <w:autoSpaceDN w:val="0"/>
        <w:adjustRightInd w:val="0"/>
        <w:spacing w:after="0" w:line="240" w:lineRule="auto"/>
        <w:rPr>
          <w:rFonts w:cs="Arial"/>
          <w:b/>
          <w:bCs/>
          <w:sz w:val="28"/>
          <w:szCs w:val="28"/>
        </w:rPr>
      </w:pPr>
    </w:p>
    <w:p w14:paraId="40309067" w14:textId="56179C7F" w:rsidR="005A184D" w:rsidRDefault="005A184D">
      <w:pPr>
        <w:rPr>
          <w:rFonts w:cs="Arial"/>
          <w:b/>
          <w:bCs/>
          <w:sz w:val="28"/>
          <w:szCs w:val="28"/>
        </w:rPr>
      </w:pPr>
      <w:r>
        <w:rPr>
          <w:rFonts w:cs="Arial"/>
          <w:b/>
          <w:bCs/>
          <w:sz w:val="28"/>
          <w:szCs w:val="28"/>
        </w:rPr>
        <w:br w:type="page"/>
      </w:r>
    </w:p>
    <w:p w14:paraId="7B8C7B8E" w14:textId="0897BCBF"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lastRenderedPageBreak/>
        <w:t>19</w:t>
      </w:r>
      <w:r w:rsidR="00910DB8" w:rsidRPr="007F07C2">
        <w:rPr>
          <w:rFonts w:cs="Arial"/>
          <w:b/>
          <w:bCs/>
          <w:sz w:val="28"/>
          <w:szCs w:val="28"/>
        </w:rPr>
        <w:t>.</w:t>
      </w:r>
      <w:r w:rsidR="0079406E" w:rsidRPr="007F07C2">
        <w:rPr>
          <w:rFonts w:cs="Arial"/>
          <w:b/>
          <w:bCs/>
          <w:sz w:val="28"/>
          <w:szCs w:val="28"/>
        </w:rPr>
        <w:t xml:space="preserve"> Officers’ remuneration </w:t>
      </w:r>
    </w:p>
    <w:p w14:paraId="0D757BAD" w14:textId="6F6E0A7B" w:rsidR="00A54D4A" w:rsidRDefault="0079406E" w:rsidP="00532B59">
      <w:pPr>
        <w:autoSpaceDE w:val="0"/>
        <w:autoSpaceDN w:val="0"/>
        <w:adjustRightInd w:val="0"/>
        <w:spacing w:after="0" w:line="240" w:lineRule="auto"/>
        <w:rPr>
          <w:rFonts w:cs="Arial"/>
        </w:rPr>
      </w:pPr>
      <w:r w:rsidRPr="007F07C2">
        <w:rPr>
          <w:rFonts w:cs="Arial"/>
        </w:rPr>
        <w:t xml:space="preserve">The number of officers whose remuneration, excluding pension contributions, was </w:t>
      </w:r>
      <w:r w:rsidRPr="007F07C2">
        <w:rPr>
          <w:rFonts w:cs="Arial"/>
          <w:b/>
          <w:bCs/>
        </w:rPr>
        <w:t xml:space="preserve">£50,000 </w:t>
      </w:r>
      <w:r w:rsidR="004F5BD2" w:rsidRPr="007F07C2">
        <w:rPr>
          <w:rFonts w:cs="Arial"/>
        </w:rPr>
        <w:t>or more during 202</w:t>
      </w:r>
      <w:r w:rsidR="00DF23A6">
        <w:rPr>
          <w:rFonts w:cs="Arial"/>
        </w:rPr>
        <w:t>1</w:t>
      </w:r>
      <w:r w:rsidR="0071420C" w:rsidRPr="007F07C2">
        <w:rPr>
          <w:rFonts w:cs="Arial"/>
        </w:rPr>
        <w:t>/</w:t>
      </w:r>
      <w:r w:rsidR="000E0E5A" w:rsidRPr="007F07C2">
        <w:rPr>
          <w:rFonts w:cs="Arial"/>
        </w:rPr>
        <w:t>2</w:t>
      </w:r>
      <w:r w:rsidR="00DF23A6">
        <w:rPr>
          <w:rFonts w:cs="Arial"/>
        </w:rPr>
        <w:t xml:space="preserve">2 </w:t>
      </w:r>
      <w:r w:rsidR="0071420C" w:rsidRPr="007F07C2">
        <w:rPr>
          <w:rFonts w:cs="Arial"/>
        </w:rPr>
        <w:t xml:space="preserve"> </w:t>
      </w:r>
      <w:r w:rsidRPr="007F07C2">
        <w:rPr>
          <w:rFonts w:cs="Arial"/>
        </w:rPr>
        <w:t xml:space="preserve">is listed below: </w:t>
      </w:r>
    </w:p>
    <w:p w14:paraId="6B9505DE" w14:textId="77777777" w:rsidR="00B6142C" w:rsidRDefault="00B6142C" w:rsidP="00532B59">
      <w:pPr>
        <w:autoSpaceDE w:val="0"/>
        <w:autoSpaceDN w:val="0"/>
        <w:adjustRightInd w:val="0"/>
        <w:spacing w:after="0" w:line="240" w:lineRule="auto"/>
        <w:rPr>
          <w:rFonts w:cs="Arial"/>
        </w:rPr>
      </w:pPr>
    </w:p>
    <w:tbl>
      <w:tblPr>
        <w:tblW w:w="4460" w:type="dxa"/>
        <w:tblLook w:val="04A0" w:firstRow="1" w:lastRow="0" w:firstColumn="1" w:lastColumn="0" w:noHBand="0" w:noVBand="1"/>
      </w:tblPr>
      <w:tblGrid>
        <w:gridCol w:w="1120"/>
        <w:gridCol w:w="2160"/>
        <w:gridCol w:w="1180"/>
      </w:tblGrid>
      <w:tr w:rsidR="00B6142C" w:rsidRPr="00B6142C" w14:paraId="23DCC20C" w14:textId="77777777" w:rsidTr="00B6142C">
        <w:trPr>
          <w:trHeight w:val="600"/>
        </w:trPr>
        <w:tc>
          <w:tcPr>
            <w:tcW w:w="1120" w:type="dxa"/>
            <w:tcBorders>
              <w:top w:val="single" w:sz="4" w:space="0" w:color="auto"/>
              <w:left w:val="single" w:sz="4" w:space="0" w:color="auto"/>
              <w:bottom w:val="nil"/>
              <w:right w:val="nil"/>
            </w:tcBorders>
            <w:shd w:val="clear" w:color="000000" w:fill="C00000"/>
            <w:vAlign w:val="center"/>
            <w:hideMark/>
          </w:tcPr>
          <w:p w14:paraId="433D2FC6"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Number of Officers</w:t>
            </w:r>
          </w:p>
        </w:tc>
        <w:tc>
          <w:tcPr>
            <w:tcW w:w="2160" w:type="dxa"/>
            <w:tcBorders>
              <w:top w:val="single" w:sz="4" w:space="0" w:color="auto"/>
              <w:left w:val="nil"/>
              <w:bottom w:val="nil"/>
              <w:right w:val="nil"/>
            </w:tcBorders>
            <w:shd w:val="clear" w:color="000000" w:fill="C00000"/>
            <w:vAlign w:val="center"/>
            <w:hideMark/>
          </w:tcPr>
          <w:p w14:paraId="1D5E8CC8"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 xml:space="preserve">Remuneration Band </w:t>
            </w:r>
          </w:p>
        </w:tc>
        <w:tc>
          <w:tcPr>
            <w:tcW w:w="1180" w:type="dxa"/>
            <w:tcBorders>
              <w:top w:val="single" w:sz="4" w:space="0" w:color="auto"/>
              <w:left w:val="nil"/>
              <w:bottom w:val="nil"/>
              <w:right w:val="single" w:sz="4" w:space="0" w:color="auto"/>
            </w:tcBorders>
            <w:shd w:val="clear" w:color="000000" w:fill="C00000"/>
            <w:vAlign w:val="center"/>
            <w:hideMark/>
          </w:tcPr>
          <w:p w14:paraId="4F4BA3EE"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Number of Officers</w:t>
            </w:r>
          </w:p>
        </w:tc>
      </w:tr>
      <w:tr w:rsidR="00B6142C" w:rsidRPr="00B6142C" w14:paraId="5390EAEB" w14:textId="77777777" w:rsidTr="00B6142C">
        <w:trPr>
          <w:trHeight w:val="570"/>
        </w:trPr>
        <w:tc>
          <w:tcPr>
            <w:tcW w:w="1120" w:type="dxa"/>
            <w:tcBorders>
              <w:top w:val="nil"/>
              <w:left w:val="single" w:sz="4" w:space="0" w:color="auto"/>
              <w:bottom w:val="single" w:sz="4" w:space="0" w:color="auto"/>
              <w:right w:val="nil"/>
            </w:tcBorders>
            <w:shd w:val="clear" w:color="000000" w:fill="C00000"/>
            <w:vAlign w:val="bottom"/>
            <w:hideMark/>
          </w:tcPr>
          <w:p w14:paraId="670CFF01"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2020/21</w:t>
            </w:r>
          </w:p>
        </w:tc>
        <w:tc>
          <w:tcPr>
            <w:tcW w:w="2160" w:type="dxa"/>
            <w:tcBorders>
              <w:top w:val="nil"/>
              <w:left w:val="nil"/>
              <w:bottom w:val="single" w:sz="4" w:space="0" w:color="auto"/>
              <w:right w:val="nil"/>
            </w:tcBorders>
            <w:shd w:val="clear" w:color="000000" w:fill="C00000"/>
            <w:vAlign w:val="bottom"/>
            <w:hideMark/>
          </w:tcPr>
          <w:p w14:paraId="789FAF7D"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 </w:t>
            </w:r>
          </w:p>
        </w:tc>
        <w:tc>
          <w:tcPr>
            <w:tcW w:w="1180" w:type="dxa"/>
            <w:tcBorders>
              <w:top w:val="nil"/>
              <w:left w:val="nil"/>
              <w:bottom w:val="single" w:sz="4" w:space="0" w:color="auto"/>
              <w:right w:val="single" w:sz="4" w:space="0" w:color="auto"/>
            </w:tcBorders>
            <w:shd w:val="clear" w:color="000000" w:fill="C00000"/>
            <w:vAlign w:val="bottom"/>
            <w:hideMark/>
          </w:tcPr>
          <w:p w14:paraId="211C3E5B" w14:textId="77777777" w:rsidR="00B6142C" w:rsidRPr="00B6142C" w:rsidRDefault="00B6142C" w:rsidP="00B6142C">
            <w:pPr>
              <w:spacing w:after="0" w:line="240" w:lineRule="auto"/>
              <w:jc w:val="center"/>
              <w:rPr>
                <w:rFonts w:ascii="Calibri" w:eastAsia="Times New Roman" w:hAnsi="Calibri" w:cs="Calibri"/>
                <w:b/>
                <w:bCs/>
                <w:color w:val="FFFFFF"/>
                <w:lang w:eastAsia="en-GB"/>
              </w:rPr>
            </w:pPr>
            <w:r w:rsidRPr="00B6142C">
              <w:rPr>
                <w:rFonts w:ascii="Calibri" w:eastAsia="Times New Roman" w:hAnsi="Calibri" w:cs="Calibri"/>
                <w:b/>
                <w:bCs/>
                <w:color w:val="FFFFFF"/>
                <w:lang w:eastAsia="en-GB"/>
              </w:rPr>
              <w:t>2021/22</w:t>
            </w:r>
          </w:p>
        </w:tc>
      </w:tr>
      <w:tr w:rsidR="00B6142C" w:rsidRPr="00B6142C" w14:paraId="4897E043"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79912C9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19</w:t>
            </w:r>
          </w:p>
        </w:tc>
        <w:tc>
          <w:tcPr>
            <w:tcW w:w="2160" w:type="dxa"/>
            <w:tcBorders>
              <w:top w:val="nil"/>
              <w:left w:val="single" w:sz="4" w:space="0" w:color="auto"/>
              <w:bottom w:val="nil"/>
              <w:right w:val="single" w:sz="4" w:space="0" w:color="auto"/>
            </w:tcBorders>
            <w:shd w:val="clear" w:color="000000" w:fill="FFFFFF"/>
            <w:vAlign w:val="center"/>
            <w:hideMark/>
          </w:tcPr>
          <w:p w14:paraId="51694472"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£50,000 - £54,999</w:t>
            </w:r>
          </w:p>
        </w:tc>
        <w:tc>
          <w:tcPr>
            <w:tcW w:w="1180" w:type="dxa"/>
            <w:tcBorders>
              <w:top w:val="nil"/>
              <w:left w:val="nil"/>
              <w:bottom w:val="nil"/>
              <w:right w:val="single" w:sz="4" w:space="0" w:color="auto"/>
            </w:tcBorders>
            <w:shd w:val="clear" w:color="000000" w:fill="FFE1E1"/>
            <w:noWrap/>
            <w:hideMark/>
          </w:tcPr>
          <w:p w14:paraId="4E73B948"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21</w:t>
            </w:r>
          </w:p>
        </w:tc>
      </w:tr>
      <w:tr w:rsidR="00B6142C" w:rsidRPr="00B6142C" w14:paraId="06ECAAAE"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058353C5"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12</w:t>
            </w:r>
          </w:p>
        </w:tc>
        <w:tc>
          <w:tcPr>
            <w:tcW w:w="2160" w:type="dxa"/>
            <w:tcBorders>
              <w:top w:val="nil"/>
              <w:left w:val="single" w:sz="4" w:space="0" w:color="auto"/>
              <w:bottom w:val="nil"/>
              <w:right w:val="single" w:sz="4" w:space="0" w:color="auto"/>
            </w:tcBorders>
            <w:shd w:val="clear" w:color="000000" w:fill="FFFFFF"/>
            <w:vAlign w:val="center"/>
            <w:hideMark/>
          </w:tcPr>
          <w:p w14:paraId="1A314F7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£55,000 - £59,999</w:t>
            </w:r>
          </w:p>
        </w:tc>
        <w:tc>
          <w:tcPr>
            <w:tcW w:w="1180" w:type="dxa"/>
            <w:tcBorders>
              <w:top w:val="nil"/>
              <w:left w:val="nil"/>
              <w:bottom w:val="nil"/>
              <w:right w:val="single" w:sz="4" w:space="0" w:color="auto"/>
            </w:tcBorders>
            <w:shd w:val="clear" w:color="000000" w:fill="FFE1E1"/>
            <w:noWrap/>
            <w:hideMark/>
          </w:tcPr>
          <w:p w14:paraId="70C3143F"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22</w:t>
            </w:r>
          </w:p>
        </w:tc>
      </w:tr>
      <w:tr w:rsidR="00B6142C" w:rsidRPr="00B6142C" w14:paraId="417B772F"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405C7701"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364E3822"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£60,000 - £64,999</w:t>
            </w:r>
          </w:p>
        </w:tc>
        <w:tc>
          <w:tcPr>
            <w:tcW w:w="1180" w:type="dxa"/>
            <w:tcBorders>
              <w:top w:val="nil"/>
              <w:left w:val="nil"/>
              <w:bottom w:val="nil"/>
              <w:right w:val="single" w:sz="4" w:space="0" w:color="auto"/>
            </w:tcBorders>
            <w:shd w:val="clear" w:color="000000" w:fill="FFE1E1"/>
            <w:noWrap/>
            <w:hideMark/>
          </w:tcPr>
          <w:p w14:paraId="71CC30DD"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7</w:t>
            </w:r>
          </w:p>
        </w:tc>
      </w:tr>
      <w:tr w:rsidR="00B6142C" w:rsidRPr="00B6142C" w14:paraId="054249FF"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38982B4E"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40C21206"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£65,000 - £69,999</w:t>
            </w:r>
          </w:p>
        </w:tc>
        <w:tc>
          <w:tcPr>
            <w:tcW w:w="1180" w:type="dxa"/>
            <w:tcBorders>
              <w:top w:val="nil"/>
              <w:left w:val="nil"/>
              <w:bottom w:val="nil"/>
              <w:right w:val="single" w:sz="4" w:space="0" w:color="auto"/>
            </w:tcBorders>
            <w:shd w:val="clear" w:color="000000" w:fill="FFE1E1"/>
            <w:noWrap/>
            <w:hideMark/>
          </w:tcPr>
          <w:p w14:paraId="703A3CFB"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7092ADE9"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5B1D62D3"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3</w:t>
            </w:r>
          </w:p>
        </w:tc>
        <w:tc>
          <w:tcPr>
            <w:tcW w:w="2160" w:type="dxa"/>
            <w:tcBorders>
              <w:top w:val="nil"/>
              <w:left w:val="single" w:sz="4" w:space="0" w:color="auto"/>
              <w:bottom w:val="nil"/>
              <w:right w:val="single" w:sz="4" w:space="0" w:color="auto"/>
            </w:tcBorders>
            <w:shd w:val="clear" w:color="000000" w:fill="FFFFFF"/>
            <w:vAlign w:val="center"/>
            <w:hideMark/>
          </w:tcPr>
          <w:p w14:paraId="1165126B"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£70,000 - £74,999</w:t>
            </w:r>
          </w:p>
        </w:tc>
        <w:tc>
          <w:tcPr>
            <w:tcW w:w="1180" w:type="dxa"/>
            <w:tcBorders>
              <w:top w:val="nil"/>
              <w:left w:val="nil"/>
              <w:bottom w:val="nil"/>
              <w:right w:val="single" w:sz="4" w:space="0" w:color="auto"/>
            </w:tcBorders>
            <w:shd w:val="clear" w:color="000000" w:fill="FFE1E1"/>
            <w:noWrap/>
            <w:hideMark/>
          </w:tcPr>
          <w:p w14:paraId="6D805D92"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745FE049"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4626B7D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56684245"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£75,000 - £79,999</w:t>
            </w:r>
          </w:p>
        </w:tc>
        <w:tc>
          <w:tcPr>
            <w:tcW w:w="1180" w:type="dxa"/>
            <w:tcBorders>
              <w:top w:val="nil"/>
              <w:left w:val="nil"/>
              <w:bottom w:val="nil"/>
              <w:right w:val="single" w:sz="4" w:space="0" w:color="auto"/>
            </w:tcBorders>
            <w:shd w:val="clear" w:color="000000" w:fill="FFE1E1"/>
            <w:noWrap/>
            <w:hideMark/>
          </w:tcPr>
          <w:p w14:paraId="78C3389D"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w:t>
            </w:r>
          </w:p>
        </w:tc>
      </w:tr>
      <w:tr w:rsidR="00B6142C" w:rsidRPr="00B6142C" w14:paraId="41E99BC2"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1D2C3719"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444A872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£80,000 - £84,999</w:t>
            </w:r>
          </w:p>
        </w:tc>
        <w:tc>
          <w:tcPr>
            <w:tcW w:w="1180" w:type="dxa"/>
            <w:tcBorders>
              <w:top w:val="nil"/>
              <w:left w:val="nil"/>
              <w:bottom w:val="nil"/>
              <w:right w:val="single" w:sz="4" w:space="0" w:color="auto"/>
            </w:tcBorders>
            <w:shd w:val="clear" w:color="000000" w:fill="FFE1E1"/>
            <w:noWrap/>
            <w:hideMark/>
          </w:tcPr>
          <w:p w14:paraId="7A30EC63"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r w:rsidR="00B6142C" w:rsidRPr="00B6142C" w14:paraId="206BF03D"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3A093CD1"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0F6EE184"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£85,000 - £89,999</w:t>
            </w:r>
          </w:p>
        </w:tc>
        <w:tc>
          <w:tcPr>
            <w:tcW w:w="1180" w:type="dxa"/>
            <w:tcBorders>
              <w:top w:val="nil"/>
              <w:left w:val="nil"/>
              <w:bottom w:val="nil"/>
              <w:right w:val="single" w:sz="4" w:space="0" w:color="auto"/>
            </w:tcBorders>
            <w:shd w:val="clear" w:color="000000" w:fill="FFE1E1"/>
            <w:noWrap/>
            <w:hideMark/>
          </w:tcPr>
          <w:p w14:paraId="2BCE3249"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74B98C82"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67EC2634"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6982951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£90,000 - £94,999</w:t>
            </w:r>
          </w:p>
        </w:tc>
        <w:tc>
          <w:tcPr>
            <w:tcW w:w="1180" w:type="dxa"/>
            <w:tcBorders>
              <w:top w:val="nil"/>
              <w:left w:val="nil"/>
              <w:bottom w:val="nil"/>
              <w:right w:val="single" w:sz="4" w:space="0" w:color="auto"/>
            </w:tcBorders>
            <w:shd w:val="clear" w:color="000000" w:fill="FFE1E1"/>
            <w:noWrap/>
            <w:hideMark/>
          </w:tcPr>
          <w:p w14:paraId="519FA63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326A1D4B"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0D505E53"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2</w:t>
            </w:r>
          </w:p>
        </w:tc>
        <w:tc>
          <w:tcPr>
            <w:tcW w:w="2160" w:type="dxa"/>
            <w:tcBorders>
              <w:top w:val="nil"/>
              <w:left w:val="single" w:sz="4" w:space="0" w:color="auto"/>
              <w:bottom w:val="nil"/>
              <w:right w:val="single" w:sz="4" w:space="0" w:color="auto"/>
            </w:tcBorders>
            <w:shd w:val="clear" w:color="000000" w:fill="FFFFFF"/>
            <w:vAlign w:val="center"/>
            <w:hideMark/>
          </w:tcPr>
          <w:p w14:paraId="5F3F5CCF"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£95,000 - £99,999</w:t>
            </w:r>
          </w:p>
        </w:tc>
        <w:tc>
          <w:tcPr>
            <w:tcW w:w="1180" w:type="dxa"/>
            <w:tcBorders>
              <w:top w:val="nil"/>
              <w:left w:val="nil"/>
              <w:bottom w:val="nil"/>
              <w:right w:val="single" w:sz="4" w:space="0" w:color="auto"/>
            </w:tcBorders>
            <w:shd w:val="clear" w:color="000000" w:fill="FFE1E1"/>
            <w:noWrap/>
            <w:hideMark/>
          </w:tcPr>
          <w:p w14:paraId="1CD8560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2</w:t>
            </w:r>
          </w:p>
        </w:tc>
      </w:tr>
      <w:tr w:rsidR="00B6142C" w:rsidRPr="00B6142C" w14:paraId="06393083" w14:textId="77777777" w:rsidTr="00B6142C">
        <w:trPr>
          <w:trHeight w:val="315"/>
        </w:trPr>
        <w:tc>
          <w:tcPr>
            <w:tcW w:w="1120" w:type="dxa"/>
            <w:tcBorders>
              <w:top w:val="nil"/>
              <w:left w:val="single" w:sz="4" w:space="0" w:color="auto"/>
              <w:bottom w:val="nil"/>
              <w:right w:val="nil"/>
            </w:tcBorders>
            <w:shd w:val="clear" w:color="000000" w:fill="FFFFFF"/>
            <w:vAlign w:val="center"/>
            <w:hideMark/>
          </w:tcPr>
          <w:p w14:paraId="2BF2A7A8"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w:t>
            </w:r>
          </w:p>
        </w:tc>
        <w:tc>
          <w:tcPr>
            <w:tcW w:w="2160" w:type="dxa"/>
            <w:tcBorders>
              <w:top w:val="nil"/>
              <w:left w:val="single" w:sz="4" w:space="0" w:color="auto"/>
              <w:bottom w:val="nil"/>
              <w:right w:val="single" w:sz="4" w:space="0" w:color="auto"/>
            </w:tcBorders>
            <w:shd w:val="clear" w:color="000000" w:fill="FFFFFF"/>
            <w:vAlign w:val="center"/>
            <w:hideMark/>
          </w:tcPr>
          <w:p w14:paraId="1716909B"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£115,000 - £119,999</w:t>
            </w:r>
          </w:p>
        </w:tc>
        <w:tc>
          <w:tcPr>
            <w:tcW w:w="1180" w:type="dxa"/>
            <w:tcBorders>
              <w:top w:val="nil"/>
              <w:left w:val="nil"/>
              <w:bottom w:val="nil"/>
              <w:right w:val="single" w:sz="4" w:space="0" w:color="auto"/>
            </w:tcBorders>
            <w:shd w:val="clear" w:color="000000" w:fill="FFE1E1"/>
            <w:noWrap/>
            <w:hideMark/>
          </w:tcPr>
          <w:p w14:paraId="57B6431A"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w:t>
            </w:r>
          </w:p>
        </w:tc>
      </w:tr>
      <w:tr w:rsidR="00B6142C" w:rsidRPr="00B6142C" w14:paraId="026D5273" w14:textId="77777777" w:rsidTr="00B6142C">
        <w:trPr>
          <w:trHeight w:val="315"/>
        </w:trPr>
        <w:tc>
          <w:tcPr>
            <w:tcW w:w="1120" w:type="dxa"/>
            <w:tcBorders>
              <w:top w:val="nil"/>
              <w:left w:val="single" w:sz="4" w:space="0" w:color="auto"/>
              <w:bottom w:val="single" w:sz="4" w:space="0" w:color="auto"/>
              <w:right w:val="nil"/>
            </w:tcBorders>
            <w:shd w:val="clear" w:color="000000" w:fill="FFFFFF"/>
            <w:vAlign w:val="center"/>
            <w:hideMark/>
          </w:tcPr>
          <w:p w14:paraId="5B06D2ED"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w:t>
            </w:r>
          </w:p>
        </w:tc>
        <w:tc>
          <w:tcPr>
            <w:tcW w:w="2160" w:type="dxa"/>
            <w:tcBorders>
              <w:top w:val="nil"/>
              <w:left w:val="single" w:sz="4" w:space="0" w:color="auto"/>
              <w:bottom w:val="single" w:sz="4" w:space="0" w:color="auto"/>
              <w:right w:val="single" w:sz="4" w:space="0" w:color="auto"/>
            </w:tcBorders>
            <w:shd w:val="clear" w:color="000000" w:fill="FFFFFF"/>
            <w:vAlign w:val="center"/>
            <w:hideMark/>
          </w:tcPr>
          <w:p w14:paraId="2FD6B6EC" w14:textId="77777777" w:rsidR="00B6142C" w:rsidRPr="00B6142C" w:rsidRDefault="00B6142C" w:rsidP="00B6142C">
            <w:pPr>
              <w:spacing w:after="0" w:line="240" w:lineRule="auto"/>
              <w:jc w:val="center"/>
              <w:rPr>
                <w:rFonts w:ascii="Calibri" w:eastAsia="Times New Roman" w:hAnsi="Calibri" w:cs="Calibri"/>
                <w:lang w:eastAsia="en-GB"/>
              </w:rPr>
            </w:pPr>
            <w:r w:rsidRPr="00B6142C">
              <w:rPr>
                <w:rFonts w:ascii="Calibri" w:eastAsia="Times New Roman" w:hAnsi="Calibri" w:cs="Calibri"/>
                <w:lang w:eastAsia="en-GB"/>
              </w:rPr>
              <w:t>£120,000 - £124,999</w:t>
            </w:r>
          </w:p>
        </w:tc>
        <w:tc>
          <w:tcPr>
            <w:tcW w:w="1180" w:type="dxa"/>
            <w:tcBorders>
              <w:top w:val="nil"/>
              <w:left w:val="nil"/>
              <w:bottom w:val="single" w:sz="4" w:space="0" w:color="auto"/>
              <w:right w:val="single" w:sz="4" w:space="0" w:color="auto"/>
            </w:tcBorders>
            <w:shd w:val="clear" w:color="000000" w:fill="FFE1E1"/>
            <w:noWrap/>
            <w:hideMark/>
          </w:tcPr>
          <w:p w14:paraId="5B3459FE" w14:textId="77777777" w:rsidR="00B6142C" w:rsidRPr="00B6142C" w:rsidRDefault="00B6142C" w:rsidP="00B6142C">
            <w:pPr>
              <w:spacing w:after="0" w:line="240" w:lineRule="auto"/>
              <w:jc w:val="center"/>
              <w:rPr>
                <w:rFonts w:ascii="Calibri" w:eastAsia="Times New Roman" w:hAnsi="Calibri" w:cs="Calibri"/>
                <w:color w:val="000000"/>
                <w:lang w:eastAsia="en-GB"/>
              </w:rPr>
            </w:pPr>
            <w:r w:rsidRPr="00B6142C">
              <w:rPr>
                <w:rFonts w:ascii="Calibri" w:eastAsia="Times New Roman" w:hAnsi="Calibri" w:cs="Calibri"/>
                <w:color w:val="000000"/>
                <w:lang w:eastAsia="en-GB"/>
              </w:rPr>
              <w:t>1</w:t>
            </w:r>
          </w:p>
        </w:tc>
      </w:tr>
    </w:tbl>
    <w:p w14:paraId="73DC64D3" w14:textId="77777777" w:rsidR="00B6142C" w:rsidRPr="00CA7459" w:rsidRDefault="00B6142C" w:rsidP="00532B59">
      <w:pPr>
        <w:autoSpaceDE w:val="0"/>
        <w:autoSpaceDN w:val="0"/>
        <w:adjustRightInd w:val="0"/>
        <w:spacing w:after="0" w:line="240" w:lineRule="auto"/>
        <w:rPr>
          <w:rFonts w:cs="Arial"/>
        </w:rPr>
      </w:pPr>
    </w:p>
    <w:p w14:paraId="7566D7C3" w14:textId="77777777" w:rsidR="00532B59" w:rsidRPr="007F07C2" w:rsidRDefault="00E55282" w:rsidP="00532B59">
      <w:pPr>
        <w:autoSpaceDE w:val="0"/>
        <w:autoSpaceDN w:val="0"/>
        <w:adjustRightInd w:val="0"/>
        <w:spacing w:after="0" w:line="240" w:lineRule="auto"/>
        <w:rPr>
          <w:rFonts w:cs="Arial"/>
          <w:b/>
          <w:bCs/>
          <w:sz w:val="28"/>
          <w:szCs w:val="28"/>
        </w:rPr>
      </w:pPr>
      <w:r w:rsidRPr="007F07C2">
        <w:rPr>
          <w:rFonts w:cs="Arial"/>
          <w:b/>
          <w:bCs/>
          <w:sz w:val="28"/>
          <w:szCs w:val="28"/>
        </w:rPr>
        <w:t>19</w:t>
      </w:r>
      <w:r w:rsidR="00532B59" w:rsidRPr="007F07C2">
        <w:rPr>
          <w:rFonts w:cs="Arial"/>
          <w:b/>
          <w:bCs/>
          <w:sz w:val="28"/>
          <w:szCs w:val="28"/>
        </w:rPr>
        <w:t xml:space="preserve">.1 </w:t>
      </w:r>
      <w:r w:rsidR="00C619E1" w:rsidRPr="007F07C2">
        <w:rPr>
          <w:rFonts w:cs="Arial"/>
          <w:b/>
          <w:bCs/>
          <w:sz w:val="28"/>
          <w:szCs w:val="28"/>
        </w:rPr>
        <w:t>Senior Officer Remuneration</w:t>
      </w:r>
      <w:r w:rsidR="00532B59" w:rsidRPr="007F07C2">
        <w:rPr>
          <w:rFonts w:cs="Arial"/>
          <w:b/>
          <w:bCs/>
          <w:sz w:val="28"/>
          <w:szCs w:val="28"/>
        </w:rPr>
        <w:t xml:space="preserve"> </w:t>
      </w:r>
    </w:p>
    <w:p w14:paraId="3DF3C2BF" w14:textId="77777777" w:rsidR="00532B59" w:rsidRPr="007F07C2" w:rsidRDefault="00532B59" w:rsidP="00532B59">
      <w:pPr>
        <w:autoSpaceDE w:val="0"/>
        <w:autoSpaceDN w:val="0"/>
        <w:adjustRightInd w:val="0"/>
        <w:spacing w:after="0" w:line="240" w:lineRule="auto"/>
        <w:rPr>
          <w:rFonts w:cs="Arial"/>
        </w:rPr>
      </w:pPr>
      <w:r w:rsidRPr="007F07C2">
        <w:rPr>
          <w:rFonts w:cs="Arial"/>
        </w:rPr>
        <w:t>Full year remuneration amounts for all senior officers are included in the table of re</w:t>
      </w:r>
      <w:r w:rsidR="00980729" w:rsidRPr="007F07C2">
        <w:rPr>
          <w:rFonts w:cs="Arial"/>
        </w:rPr>
        <w:t>muneration by pay band in Note 19</w:t>
      </w:r>
      <w:r w:rsidRPr="007F07C2">
        <w:rPr>
          <w:rFonts w:cs="Arial"/>
        </w:rPr>
        <w:t xml:space="preserve"> (above). </w:t>
      </w:r>
    </w:p>
    <w:p w14:paraId="4B82E729" w14:textId="77777777" w:rsidR="00532B59" w:rsidRPr="007F07C2" w:rsidRDefault="00532B59" w:rsidP="0079406E">
      <w:pPr>
        <w:autoSpaceDE w:val="0"/>
        <w:autoSpaceDN w:val="0"/>
        <w:adjustRightInd w:val="0"/>
        <w:spacing w:after="0" w:line="240" w:lineRule="auto"/>
        <w:rPr>
          <w:rFonts w:cs="Arial"/>
        </w:rPr>
      </w:pPr>
    </w:p>
    <w:p w14:paraId="77EAFE8F" w14:textId="66B95048" w:rsidR="00D71AFC" w:rsidRPr="007F07C2" w:rsidRDefault="0079406E" w:rsidP="0079406E">
      <w:pPr>
        <w:autoSpaceDE w:val="0"/>
        <w:autoSpaceDN w:val="0"/>
        <w:adjustRightInd w:val="0"/>
        <w:spacing w:after="0" w:line="240" w:lineRule="auto"/>
        <w:rPr>
          <w:rFonts w:cs="Arial"/>
        </w:rPr>
      </w:pPr>
      <w:r w:rsidRPr="007F07C2">
        <w:rPr>
          <w:rFonts w:cs="Arial"/>
        </w:rPr>
        <w:t>The tables below detail the individual remunerat</w:t>
      </w:r>
      <w:r w:rsidR="004F5BD2" w:rsidRPr="007F07C2">
        <w:rPr>
          <w:rFonts w:cs="Arial"/>
        </w:rPr>
        <w:t>ion of senior employee’s for 202</w:t>
      </w:r>
      <w:r w:rsidR="00322873">
        <w:rPr>
          <w:rFonts w:cs="Arial"/>
        </w:rPr>
        <w:t>1</w:t>
      </w:r>
      <w:r w:rsidRPr="007F07C2">
        <w:rPr>
          <w:rFonts w:cs="Arial"/>
        </w:rPr>
        <w:t>/</w:t>
      </w:r>
      <w:r w:rsidR="000E0E5A" w:rsidRPr="007F07C2">
        <w:rPr>
          <w:rFonts w:cs="Arial"/>
        </w:rPr>
        <w:t>2</w:t>
      </w:r>
      <w:r w:rsidR="00322873">
        <w:rPr>
          <w:rFonts w:cs="Arial"/>
        </w:rPr>
        <w:t>2</w:t>
      </w:r>
      <w:r w:rsidR="00C619E1" w:rsidRPr="007F07C2">
        <w:rPr>
          <w:rFonts w:cs="Arial"/>
        </w:rPr>
        <w:t xml:space="preserve"> and </w:t>
      </w:r>
      <w:r w:rsidR="00D71AFC" w:rsidRPr="007F07C2">
        <w:rPr>
          <w:rFonts w:cs="Arial"/>
        </w:rPr>
        <w:t>20</w:t>
      </w:r>
      <w:r w:rsidR="00322873">
        <w:rPr>
          <w:rFonts w:cs="Arial"/>
        </w:rPr>
        <w:t>20</w:t>
      </w:r>
      <w:r w:rsidR="00D71AFC" w:rsidRPr="007F07C2">
        <w:rPr>
          <w:rFonts w:cs="Arial"/>
        </w:rPr>
        <w:t>/2</w:t>
      </w:r>
      <w:r w:rsidR="00322873">
        <w:rPr>
          <w:rFonts w:cs="Arial"/>
        </w:rPr>
        <w:t>1</w:t>
      </w:r>
      <w:r w:rsidR="00D71AFC" w:rsidRPr="007F07C2">
        <w:rPr>
          <w:rFonts w:cs="Arial"/>
        </w:rPr>
        <w:t xml:space="preserve"> </w:t>
      </w:r>
      <w:r w:rsidRPr="007F07C2">
        <w:rPr>
          <w:rFonts w:cs="Arial"/>
        </w:rPr>
        <w:t>respectively.</w:t>
      </w:r>
    </w:p>
    <w:p w14:paraId="0D34BF05" w14:textId="77777777" w:rsidR="00FF7122" w:rsidRPr="007F07C2" w:rsidRDefault="0079406E" w:rsidP="0079406E">
      <w:pPr>
        <w:autoSpaceDE w:val="0"/>
        <w:autoSpaceDN w:val="0"/>
        <w:adjustRightInd w:val="0"/>
        <w:spacing w:after="0" w:line="240" w:lineRule="auto"/>
      </w:pPr>
      <w:r w:rsidRPr="007F07C2">
        <w:rPr>
          <w:rFonts w:cs="Arial"/>
        </w:rPr>
        <w:t xml:space="preserve"> </w:t>
      </w:r>
    </w:p>
    <w:tbl>
      <w:tblPr>
        <w:tblW w:w="10460" w:type="dxa"/>
        <w:tblLook w:val="04A0" w:firstRow="1" w:lastRow="0" w:firstColumn="1" w:lastColumn="0" w:noHBand="0" w:noVBand="1"/>
      </w:tblPr>
      <w:tblGrid>
        <w:gridCol w:w="4215"/>
        <w:gridCol w:w="1278"/>
        <w:gridCol w:w="1278"/>
        <w:gridCol w:w="940"/>
        <w:gridCol w:w="940"/>
        <w:gridCol w:w="941"/>
        <w:gridCol w:w="1225"/>
      </w:tblGrid>
      <w:tr w:rsidR="00CA7459" w:rsidRPr="00CA7459" w14:paraId="550EE698" w14:textId="77777777" w:rsidTr="00CA7459">
        <w:trPr>
          <w:trHeight w:val="1148"/>
        </w:trPr>
        <w:tc>
          <w:tcPr>
            <w:tcW w:w="4215" w:type="dxa"/>
            <w:tcBorders>
              <w:top w:val="single" w:sz="4" w:space="0" w:color="auto"/>
              <w:left w:val="single" w:sz="4" w:space="0" w:color="auto"/>
              <w:bottom w:val="nil"/>
              <w:right w:val="nil"/>
            </w:tcBorders>
            <w:shd w:val="clear" w:color="000000" w:fill="C00000"/>
            <w:vAlign w:val="center"/>
            <w:hideMark/>
          </w:tcPr>
          <w:p w14:paraId="60221BBD" w14:textId="77777777" w:rsidR="005A184D"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2021/22                                                      </w:t>
            </w:r>
          </w:p>
          <w:p w14:paraId="19D290BF" w14:textId="178F1727" w:rsidR="00CA7459" w:rsidRPr="00CA7459"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Post</w:t>
            </w:r>
            <w:r w:rsidR="005A184D">
              <w:rPr>
                <w:rFonts w:ascii="Calibri" w:eastAsia="Times New Roman" w:hAnsi="Calibri" w:cs="Calibri"/>
                <w:b/>
                <w:bCs/>
                <w:color w:val="FFFFFF"/>
                <w:lang w:eastAsia="en-GB"/>
              </w:rPr>
              <w:t xml:space="preserve"> </w:t>
            </w:r>
            <w:r w:rsidRPr="00CA7459">
              <w:rPr>
                <w:rFonts w:ascii="Calibri" w:eastAsia="Times New Roman" w:hAnsi="Calibri" w:cs="Calibri"/>
                <w:b/>
                <w:bCs/>
                <w:color w:val="FFFFFF"/>
                <w:lang w:eastAsia="en-GB"/>
              </w:rPr>
              <w:t>Holder Information</w:t>
            </w:r>
          </w:p>
        </w:tc>
        <w:tc>
          <w:tcPr>
            <w:tcW w:w="1216" w:type="dxa"/>
            <w:tcBorders>
              <w:top w:val="single" w:sz="4" w:space="0" w:color="auto"/>
              <w:left w:val="nil"/>
              <w:bottom w:val="nil"/>
              <w:right w:val="nil"/>
            </w:tcBorders>
            <w:shd w:val="clear" w:color="000000" w:fill="C00000"/>
            <w:vAlign w:val="center"/>
            <w:hideMark/>
          </w:tcPr>
          <w:p w14:paraId="3E07B5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Start Date (with NCFRA)</w:t>
            </w:r>
          </w:p>
        </w:tc>
        <w:tc>
          <w:tcPr>
            <w:tcW w:w="1216" w:type="dxa"/>
            <w:tcBorders>
              <w:top w:val="single" w:sz="4" w:space="0" w:color="auto"/>
              <w:left w:val="nil"/>
              <w:bottom w:val="nil"/>
              <w:right w:val="nil"/>
            </w:tcBorders>
            <w:shd w:val="clear" w:color="000000" w:fill="C00000"/>
            <w:vAlign w:val="center"/>
            <w:hideMark/>
          </w:tcPr>
          <w:p w14:paraId="48D1497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Leaving Date</w:t>
            </w:r>
          </w:p>
        </w:tc>
        <w:tc>
          <w:tcPr>
            <w:tcW w:w="940" w:type="dxa"/>
            <w:tcBorders>
              <w:top w:val="single" w:sz="4" w:space="0" w:color="auto"/>
              <w:left w:val="nil"/>
              <w:bottom w:val="nil"/>
              <w:right w:val="nil"/>
            </w:tcBorders>
            <w:shd w:val="clear" w:color="000000" w:fill="C00000"/>
            <w:vAlign w:val="center"/>
            <w:hideMark/>
          </w:tcPr>
          <w:p w14:paraId="1FFD67F4"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Salary                                                                </w:t>
            </w:r>
          </w:p>
        </w:tc>
        <w:tc>
          <w:tcPr>
            <w:tcW w:w="940" w:type="dxa"/>
            <w:tcBorders>
              <w:top w:val="single" w:sz="4" w:space="0" w:color="auto"/>
              <w:left w:val="nil"/>
              <w:bottom w:val="nil"/>
              <w:right w:val="nil"/>
            </w:tcBorders>
            <w:shd w:val="clear" w:color="000000" w:fill="C00000"/>
            <w:vAlign w:val="center"/>
            <w:hideMark/>
          </w:tcPr>
          <w:p w14:paraId="5789B4C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Other                                                                      </w:t>
            </w:r>
          </w:p>
        </w:tc>
        <w:tc>
          <w:tcPr>
            <w:tcW w:w="940" w:type="dxa"/>
            <w:tcBorders>
              <w:top w:val="single" w:sz="4" w:space="0" w:color="auto"/>
              <w:left w:val="nil"/>
              <w:bottom w:val="nil"/>
              <w:right w:val="nil"/>
            </w:tcBorders>
            <w:shd w:val="clear" w:color="000000" w:fill="C00000"/>
            <w:vAlign w:val="center"/>
            <w:hideMark/>
          </w:tcPr>
          <w:p w14:paraId="58EA59BE"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Total Excl Pension  </w:t>
            </w:r>
          </w:p>
        </w:tc>
        <w:tc>
          <w:tcPr>
            <w:tcW w:w="993" w:type="dxa"/>
            <w:tcBorders>
              <w:top w:val="single" w:sz="4" w:space="0" w:color="auto"/>
              <w:left w:val="nil"/>
              <w:bottom w:val="nil"/>
              <w:right w:val="single" w:sz="4" w:space="0" w:color="auto"/>
            </w:tcBorders>
            <w:shd w:val="clear" w:color="000000" w:fill="C00000"/>
            <w:vAlign w:val="center"/>
            <w:hideMark/>
          </w:tcPr>
          <w:p w14:paraId="3181A11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Employer's   Pension </w:t>
            </w:r>
          </w:p>
        </w:tc>
      </w:tr>
      <w:tr w:rsidR="00CA7459" w:rsidRPr="00CA7459" w14:paraId="4A829D3B" w14:textId="77777777" w:rsidTr="00CA7459">
        <w:trPr>
          <w:trHeight w:val="300"/>
        </w:trPr>
        <w:tc>
          <w:tcPr>
            <w:tcW w:w="4215" w:type="dxa"/>
            <w:tcBorders>
              <w:top w:val="nil"/>
              <w:left w:val="single" w:sz="4" w:space="0" w:color="auto"/>
              <w:bottom w:val="nil"/>
              <w:right w:val="nil"/>
            </w:tcBorders>
            <w:shd w:val="clear" w:color="000000" w:fill="C00000"/>
            <w:vAlign w:val="center"/>
            <w:hideMark/>
          </w:tcPr>
          <w:p w14:paraId="37B1483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nil"/>
              <w:right w:val="nil"/>
            </w:tcBorders>
            <w:shd w:val="clear" w:color="000000" w:fill="C00000"/>
            <w:vAlign w:val="center"/>
            <w:hideMark/>
          </w:tcPr>
          <w:p w14:paraId="272CF8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nil"/>
              <w:right w:val="nil"/>
            </w:tcBorders>
            <w:shd w:val="clear" w:color="000000" w:fill="C00000"/>
            <w:vAlign w:val="center"/>
            <w:hideMark/>
          </w:tcPr>
          <w:p w14:paraId="034C8DE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940" w:type="dxa"/>
            <w:tcBorders>
              <w:top w:val="nil"/>
              <w:left w:val="nil"/>
              <w:bottom w:val="nil"/>
              <w:right w:val="nil"/>
            </w:tcBorders>
            <w:shd w:val="clear" w:color="000000" w:fill="C00000"/>
            <w:vAlign w:val="center"/>
            <w:hideMark/>
          </w:tcPr>
          <w:p w14:paraId="2AED2306"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nil"/>
              <w:right w:val="nil"/>
            </w:tcBorders>
            <w:shd w:val="clear" w:color="000000" w:fill="C00000"/>
            <w:vAlign w:val="center"/>
            <w:hideMark/>
          </w:tcPr>
          <w:p w14:paraId="66656EED"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nil"/>
              <w:right w:val="nil"/>
            </w:tcBorders>
            <w:shd w:val="clear" w:color="000000" w:fill="C00000"/>
            <w:vAlign w:val="center"/>
            <w:hideMark/>
          </w:tcPr>
          <w:p w14:paraId="5C5D7175"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93" w:type="dxa"/>
            <w:tcBorders>
              <w:top w:val="nil"/>
              <w:left w:val="nil"/>
              <w:bottom w:val="nil"/>
              <w:right w:val="single" w:sz="4" w:space="0" w:color="auto"/>
            </w:tcBorders>
            <w:shd w:val="clear" w:color="000000" w:fill="C00000"/>
            <w:vAlign w:val="center"/>
            <w:hideMark/>
          </w:tcPr>
          <w:p w14:paraId="07D67CE9"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r>
      <w:tr w:rsidR="00CA7459" w:rsidRPr="00CA7459" w14:paraId="111E84B3" w14:textId="77777777" w:rsidTr="00CA7459">
        <w:trPr>
          <w:trHeight w:val="295"/>
        </w:trPr>
        <w:tc>
          <w:tcPr>
            <w:tcW w:w="4215" w:type="dxa"/>
            <w:tcBorders>
              <w:top w:val="single" w:sz="4" w:space="0" w:color="auto"/>
              <w:left w:val="single" w:sz="4" w:space="0" w:color="auto"/>
              <w:bottom w:val="nil"/>
              <w:right w:val="nil"/>
            </w:tcBorders>
            <w:shd w:val="clear" w:color="000000" w:fill="FFFFFF"/>
            <w:noWrap/>
            <w:vAlign w:val="bottom"/>
            <w:hideMark/>
          </w:tcPr>
          <w:p w14:paraId="0FD6CF2E" w14:textId="1B9431CE"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Chief Fire Officer - D Dovey </w:t>
            </w:r>
          </w:p>
        </w:tc>
        <w:tc>
          <w:tcPr>
            <w:tcW w:w="1216" w:type="dxa"/>
            <w:tcBorders>
              <w:top w:val="single" w:sz="4" w:space="0" w:color="auto"/>
              <w:left w:val="nil"/>
              <w:bottom w:val="nil"/>
              <w:right w:val="nil"/>
            </w:tcBorders>
            <w:shd w:val="clear" w:color="000000" w:fill="FFFFFF"/>
            <w:noWrap/>
            <w:vAlign w:val="bottom"/>
            <w:hideMark/>
          </w:tcPr>
          <w:p w14:paraId="3ED6DD0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single" w:sz="4" w:space="0" w:color="auto"/>
              <w:left w:val="nil"/>
              <w:bottom w:val="nil"/>
              <w:right w:val="nil"/>
            </w:tcBorders>
            <w:shd w:val="clear" w:color="000000" w:fill="FFFFFF"/>
            <w:vAlign w:val="bottom"/>
            <w:hideMark/>
          </w:tcPr>
          <w:p w14:paraId="53E9E35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single" w:sz="4" w:space="0" w:color="auto"/>
              <w:left w:val="nil"/>
              <w:bottom w:val="nil"/>
              <w:right w:val="nil"/>
            </w:tcBorders>
            <w:shd w:val="clear" w:color="000000" w:fill="FFFFFF"/>
            <w:noWrap/>
            <w:vAlign w:val="bottom"/>
            <w:hideMark/>
          </w:tcPr>
          <w:p w14:paraId="4EC2F78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123,259 </w:t>
            </w:r>
          </w:p>
        </w:tc>
        <w:tc>
          <w:tcPr>
            <w:tcW w:w="940" w:type="dxa"/>
            <w:tcBorders>
              <w:top w:val="single" w:sz="4" w:space="0" w:color="auto"/>
              <w:left w:val="nil"/>
              <w:bottom w:val="nil"/>
              <w:right w:val="nil"/>
            </w:tcBorders>
            <w:shd w:val="clear" w:color="000000" w:fill="FFFFFF"/>
            <w:noWrap/>
            <w:vAlign w:val="bottom"/>
            <w:hideMark/>
          </w:tcPr>
          <w:p w14:paraId="289F43C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single" w:sz="4" w:space="0" w:color="auto"/>
              <w:left w:val="nil"/>
              <w:bottom w:val="nil"/>
              <w:right w:val="nil"/>
            </w:tcBorders>
            <w:shd w:val="clear" w:color="000000" w:fill="FFFFFF"/>
            <w:noWrap/>
            <w:vAlign w:val="bottom"/>
            <w:hideMark/>
          </w:tcPr>
          <w:p w14:paraId="00F8BAB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123,259 </w:t>
            </w:r>
          </w:p>
        </w:tc>
        <w:tc>
          <w:tcPr>
            <w:tcW w:w="993" w:type="dxa"/>
            <w:tcBorders>
              <w:top w:val="single" w:sz="4" w:space="0" w:color="auto"/>
              <w:left w:val="nil"/>
              <w:bottom w:val="nil"/>
              <w:right w:val="single" w:sz="4" w:space="0" w:color="auto"/>
            </w:tcBorders>
            <w:shd w:val="clear" w:color="000000" w:fill="FFFFFF"/>
            <w:noWrap/>
            <w:vAlign w:val="bottom"/>
            <w:hideMark/>
          </w:tcPr>
          <w:p w14:paraId="611F842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r>
      <w:tr w:rsidR="00CA7459" w:rsidRPr="00CA7459" w14:paraId="5D4E0423"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5AD5778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(1)</w:t>
            </w:r>
          </w:p>
        </w:tc>
        <w:tc>
          <w:tcPr>
            <w:tcW w:w="1216" w:type="dxa"/>
            <w:tcBorders>
              <w:top w:val="nil"/>
              <w:left w:val="nil"/>
              <w:bottom w:val="nil"/>
              <w:right w:val="nil"/>
            </w:tcBorders>
            <w:shd w:val="clear" w:color="000000" w:fill="FFFFFF"/>
            <w:noWrap/>
            <w:vAlign w:val="bottom"/>
            <w:hideMark/>
          </w:tcPr>
          <w:p w14:paraId="4A567DB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3216D8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473E00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40" w:type="dxa"/>
            <w:tcBorders>
              <w:top w:val="nil"/>
              <w:left w:val="nil"/>
              <w:bottom w:val="nil"/>
              <w:right w:val="nil"/>
            </w:tcBorders>
            <w:shd w:val="clear" w:color="000000" w:fill="FFFFFF"/>
            <w:noWrap/>
            <w:vAlign w:val="bottom"/>
            <w:hideMark/>
          </w:tcPr>
          <w:p w14:paraId="4C65924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6FA8A62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93" w:type="dxa"/>
            <w:tcBorders>
              <w:top w:val="nil"/>
              <w:left w:val="nil"/>
              <w:bottom w:val="nil"/>
              <w:right w:val="single" w:sz="4" w:space="0" w:color="auto"/>
            </w:tcBorders>
            <w:shd w:val="clear" w:color="000000" w:fill="FFFFFF"/>
            <w:noWrap/>
            <w:vAlign w:val="bottom"/>
            <w:hideMark/>
          </w:tcPr>
          <w:p w14:paraId="33FBC8A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28,601 </w:t>
            </w:r>
          </w:p>
        </w:tc>
      </w:tr>
      <w:tr w:rsidR="00CA7459" w:rsidRPr="00CA7459" w14:paraId="4E301B56"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15019F8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(2)</w:t>
            </w:r>
          </w:p>
        </w:tc>
        <w:tc>
          <w:tcPr>
            <w:tcW w:w="1216" w:type="dxa"/>
            <w:tcBorders>
              <w:top w:val="nil"/>
              <w:left w:val="nil"/>
              <w:bottom w:val="nil"/>
              <w:right w:val="nil"/>
            </w:tcBorders>
            <w:shd w:val="clear" w:color="000000" w:fill="FFFFFF"/>
            <w:noWrap/>
            <w:vAlign w:val="bottom"/>
            <w:hideMark/>
          </w:tcPr>
          <w:p w14:paraId="7A51348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185964B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38792DD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40" w:type="dxa"/>
            <w:tcBorders>
              <w:top w:val="nil"/>
              <w:left w:val="nil"/>
              <w:bottom w:val="nil"/>
              <w:right w:val="nil"/>
            </w:tcBorders>
            <w:shd w:val="clear" w:color="000000" w:fill="FFFFFF"/>
            <w:noWrap/>
            <w:vAlign w:val="bottom"/>
            <w:hideMark/>
          </w:tcPr>
          <w:p w14:paraId="1BDFC8B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73244F9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99,308 </w:t>
            </w:r>
          </w:p>
        </w:tc>
        <w:tc>
          <w:tcPr>
            <w:tcW w:w="993" w:type="dxa"/>
            <w:tcBorders>
              <w:top w:val="nil"/>
              <w:left w:val="nil"/>
              <w:bottom w:val="nil"/>
              <w:right w:val="single" w:sz="4" w:space="0" w:color="auto"/>
            </w:tcBorders>
            <w:shd w:val="clear" w:color="000000" w:fill="FFFFFF"/>
            <w:noWrap/>
            <w:vAlign w:val="bottom"/>
            <w:hideMark/>
          </w:tcPr>
          <w:p w14:paraId="530DA99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28,601 </w:t>
            </w:r>
          </w:p>
        </w:tc>
      </w:tr>
      <w:tr w:rsidR="00CA7459" w:rsidRPr="00CA7459" w14:paraId="12A12A72"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26959A65"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(1)</w:t>
            </w:r>
          </w:p>
        </w:tc>
        <w:tc>
          <w:tcPr>
            <w:tcW w:w="1216" w:type="dxa"/>
            <w:tcBorders>
              <w:top w:val="nil"/>
              <w:left w:val="nil"/>
              <w:bottom w:val="nil"/>
              <w:right w:val="nil"/>
            </w:tcBorders>
            <w:shd w:val="clear" w:color="000000" w:fill="FFFFFF"/>
            <w:noWrap/>
            <w:vAlign w:val="bottom"/>
            <w:hideMark/>
          </w:tcPr>
          <w:p w14:paraId="5450DA9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3CDF0B7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53C836B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62,766 </w:t>
            </w:r>
          </w:p>
        </w:tc>
        <w:tc>
          <w:tcPr>
            <w:tcW w:w="940" w:type="dxa"/>
            <w:tcBorders>
              <w:top w:val="nil"/>
              <w:left w:val="nil"/>
              <w:bottom w:val="nil"/>
              <w:right w:val="nil"/>
            </w:tcBorders>
            <w:shd w:val="clear" w:color="000000" w:fill="FFFFFF"/>
            <w:noWrap/>
            <w:vAlign w:val="bottom"/>
            <w:hideMark/>
          </w:tcPr>
          <w:p w14:paraId="42E8CE5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17,267 </w:t>
            </w:r>
          </w:p>
        </w:tc>
        <w:tc>
          <w:tcPr>
            <w:tcW w:w="940" w:type="dxa"/>
            <w:tcBorders>
              <w:top w:val="nil"/>
              <w:left w:val="nil"/>
              <w:bottom w:val="nil"/>
              <w:right w:val="nil"/>
            </w:tcBorders>
            <w:shd w:val="clear" w:color="000000" w:fill="FFFFFF"/>
            <w:noWrap/>
            <w:vAlign w:val="bottom"/>
            <w:hideMark/>
          </w:tcPr>
          <w:p w14:paraId="783FFB9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80,033 </w:t>
            </w:r>
          </w:p>
        </w:tc>
        <w:tc>
          <w:tcPr>
            <w:tcW w:w="993" w:type="dxa"/>
            <w:tcBorders>
              <w:top w:val="nil"/>
              <w:left w:val="nil"/>
              <w:bottom w:val="nil"/>
              <w:right w:val="single" w:sz="4" w:space="0" w:color="auto"/>
            </w:tcBorders>
            <w:shd w:val="clear" w:color="000000" w:fill="FFFFFF"/>
            <w:noWrap/>
            <w:vAlign w:val="bottom"/>
            <w:hideMark/>
          </w:tcPr>
          <w:p w14:paraId="49A323C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23,049 </w:t>
            </w:r>
          </w:p>
        </w:tc>
      </w:tr>
      <w:tr w:rsidR="00CA7459" w:rsidRPr="00CA7459" w14:paraId="32A38B08"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4BE60904"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(2)</w:t>
            </w:r>
          </w:p>
        </w:tc>
        <w:tc>
          <w:tcPr>
            <w:tcW w:w="1216" w:type="dxa"/>
            <w:tcBorders>
              <w:top w:val="nil"/>
              <w:left w:val="nil"/>
              <w:bottom w:val="nil"/>
              <w:right w:val="nil"/>
            </w:tcBorders>
            <w:shd w:val="clear" w:color="000000" w:fill="FFFFFF"/>
            <w:noWrap/>
            <w:vAlign w:val="bottom"/>
            <w:hideMark/>
          </w:tcPr>
          <w:p w14:paraId="52F4C1B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01/01/2020</w:t>
            </w:r>
          </w:p>
        </w:tc>
        <w:tc>
          <w:tcPr>
            <w:tcW w:w="1216" w:type="dxa"/>
            <w:tcBorders>
              <w:top w:val="nil"/>
              <w:left w:val="nil"/>
              <w:bottom w:val="nil"/>
              <w:right w:val="nil"/>
            </w:tcBorders>
            <w:shd w:val="clear" w:color="000000" w:fill="FFFFFF"/>
            <w:vAlign w:val="bottom"/>
            <w:hideMark/>
          </w:tcPr>
          <w:p w14:paraId="12B916A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1A5BCF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58,695 </w:t>
            </w:r>
          </w:p>
        </w:tc>
        <w:tc>
          <w:tcPr>
            <w:tcW w:w="940" w:type="dxa"/>
            <w:tcBorders>
              <w:top w:val="nil"/>
              <w:left w:val="nil"/>
              <w:bottom w:val="nil"/>
              <w:right w:val="nil"/>
            </w:tcBorders>
            <w:shd w:val="clear" w:color="000000" w:fill="FFFFFF"/>
            <w:noWrap/>
            <w:vAlign w:val="bottom"/>
            <w:hideMark/>
          </w:tcPr>
          <w:p w14:paraId="2E4FE69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16,384 </w:t>
            </w:r>
          </w:p>
        </w:tc>
        <w:tc>
          <w:tcPr>
            <w:tcW w:w="940" w:type="dxa"/>
            <w:tcBorders>
              <w:top w:val="nil"/>
              <w:left w:val="nil"/>
              <w:bottom w:val="nil"/>
              <w:right w:val="nil"/>
            </w:tcBorders>
            <w:shd w:val="clear" w:color="000000" w:fill="FFFFFF"/>
            <w:noWrap/>
            <w:vAlign w:val="bottom"/>
            <w:hideMark/>
          </w:tcPr>
          <w:p w14:paraId="4A4EF16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75,079 </w:t>
            </w:r>
          </w:p>
        </w:tc>
        <w:tc>
          <w:tcPr>
            <w:tcW w:w="993" w:type="dxa"/>
            <w:tcBorders>
              <w:top w:val="nil"/>
              <w:left w:val="nil"/>
              <w:bottom w:val="nil"/>
              <w:right w:val="single" w:sz="4" w:space="0" w:color="auto"/>
            </w:tcBorders>
            <w:shd w:val="clear" w:color="000000" w:fill="FFFFFF"/>
            <w:noWrap/>
            <w:vAlign w:val="bottom"/>
            <w:hideMark/>
          </w:tcPr>
          <w:p w14:paraId="519094A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21,616 </w:t>
            </w:r>
          </w:p>
        </w:tc>
      </w:tr>
      <w:tr w:rsidR="00CA7459" w:rsidRPr="00CA7459" w14:paraId="74527F6B"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47198CDE"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(3)</w:t>
            </w:r>
          </w:p>
        </w:tc>
        <w:tc>
          <w:tcPr>
            <w:tcW w:w="1216" w:type="dxa"/>
            <w:tcBorders>
              <w:top w:val="nil"/>
              <w:left w:val="nil"/>
              <w:bottom w:val="nil"/>
              <w:right w:val="nil"/>
            </w:tcBorders>
            <w:shd w:val="clear" w:color="000000" w:fill="FFFFFF"/>
            <w:noWrap/>
            <w:vAlign w:val="bottom"/>
            <w:hideMark/>
          </w:tcPr>
          <w:p w14:paraId="3A3E0E1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9B07D3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02BFE16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56,522 </w:t>
            </w:r>
          </w:p>
        </w:tc>
        <w:tc>
          <w:tcPr>
            <w:tcW w:w="940" w:type="dxa"/>
            <w:tcBorders>
              <w:top w:val="nil"/>
              <w:left w:val="nil"/>
              <w:bottom w:val="nil"/>
              <w:right w:val="nil"/>
            </w:tcBorders>
            <w:shd w:val="clear" w:color="000000" w:fill="FFFFFF"/>
            <w:noWrap/>
            <w:vAlign w:val="bottom"/>
            <w:hideMark/>
          </w:tcPr>
          <w:p w14:paraId="1635DD3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13,717 </w:t>
            </w:r>
          </w:p>
        </w:tc>
        <w:tc>
          <w:tcPr>
            <w:tcW w:w="940" w:type="dxa"/>
            <w:tcBorders>
              <w:top w:val="nil"/>
              <w:left w:val="nil"/>
              <w:bottom w:val="nil"/>
              <w:right w:val="nil"/>
            </w:tcBorders>
            <w:shd w:val="clear" w:color="000000" w:fill="FFFFFF"/>
            <w:noWrap/>
            <w:vAlign w:val="bottom"/>
            <w:hideMark/>
          </w:tcPr>
          <w:p w14:paraId="2B75644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70,239 </w:t>
            </w:r>
          </w:p>
        </w:tc>
        <w:tc>
          <w:tcPr>
            <w:tcW w:w="993" w:type="dxa"/>
            <w:tcBorders>
              <w:top w:val="nil"/>
              <w:left w:val="nil"/>
              <w:bottom w:val="nil"/>
              <w:right w:val="single" w:sz="4" w:space="0" w:color="auto"/>
            </w:tcBorders>
            <w:shd w:val="clear" w:color="000000" w:fill="FFFFFF"/>
            <w:noWrap/>
            <w:vAlign w:val="bottom"/>
            <w:hideMark/>
          </w:tcPr>
          <w:p w14:paraId="5195A11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19,183 </w:t>
            </w:r>
          </w:p>
        </w:tc>
      </w:tr>
      <w:tr w:rsidR="00CA7459" w:rsidRPr="00CA7459" w14:paraId="3EC00DEF" w14:textId="77777777" w:rsidTr="00CA7459">
        <w:trPr>
          <w:trHeight w:val="295"/>
        </w:trPr>
        <w:tc>
          <w:tcPr>
            <w:tcW w:w="4215" w:type="dxa"/>
            <w:tcBorders>
              <w:top w:val="nil"/>
              <w:left w:val="single" w:sz="4" w:space="0" w:color="auto"/>
              <w:bottom w:val="nil"/>
              <w:right w:val="nil"/>
            </w:tcBorders>
            <w:shd w:val="clear" w:color="000000" w:fill="FFFFFF"/>
            <w:noWrap/>
            <w:vAlign w:val="bottom"/>
            <w:hideMark/>
          </w:tcPr>
          <w:p w14:paraId="1BEF1A51"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Head of Protection</w:t>
            </w:r>
          </w:p>
        </w:tc>
        <w:tc>
          <w:tcPr>
            <w:tcW w:w="1216" w:type="dxa"/>
            <w:tcBorders>
              <w:top w:val="nil"/>
              <w:left w:val="nil"/>
              <w:bottom w:val="nil"/>
              <w:right w:val="nil"/>
            </w:tcBorders>
            <w:shd w:val="clear" w:color="000000" w:fill="FFFFFF"/>
            <w:noWrap/>
            <w:vAlign w:val="bottom"/>
            <w:hideMark/>
          </w:tcPr>
          <w:p w14:paraId="3ED16560"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022AE67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42D783B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40" w:type="dxa"/>
            <w:tcBorders>
              <w:top w:val="nil"/>
              <w:left w:val="nil"/>
              <w:bottom w:val="nil"/>
              <w:right w:val="nil"/>
            </w:tcBorders>
            <w:shd w:val="clear" w:color="000000" w:fill="FFFFFF"/>
            <w:noWrap/>
            <w:vAlign w:val="bottom"/>
            <w:hideMark/>
          </w:tcPr>
          <w:p w14:paraId="60E42D2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2CA58B8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93" w:type="dxa"/>
            <w:tcBorders>
              <w:top w:val="nil"/>
              <w:left w:val="nil"/>
              <w:bottom w:val="nil"/>
              <w:right w:val="single" w:sz="4" w:space="0" w:color="auto"/>
            </w:tcBorders>
            <w:shd w:val="clear" w:color="000000" w:fill="FFFFFF"/>
            <w:noWrap/>
            <w:vAlign w:val="bottom"/>
            <w:hideMark/>
          </w:tcPr>
          <w:p w14:paraId="65E5DF9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9,797 </w:t>
            </w:r>
          </w:p>
        </w:tc>
      </w:tr>
      <w:tr w:rsidR="00CA7459" w:rsidRPr="00CA7459" w14:paraId="7095D1B5" w14:textId="77777777" w:rsidTr="00CA7459">
        <w:trPr>
          <w:trHeight w:val="295"/>
        </w:trPr>
        <w:tc>
          <w:tcPr>
            <w:tcW w:w="4215" w:type="dxa"/>
            <w:tcBorders>
              <w:top w:val="nil"/>
              <w:left w:val="single" w:sz="4" w:space="0" w:color="auto"/>
              <w:bottom w:val="single" w:sz="4" w:space="0" w:color="auto"/>
              <w:right w:val="nil"/>
            </w:tcBorders>
            <w:shd w:val="clear" w:color="000000" w:fill="FFFFFF"/>
            <w:noWrap/>
            <w:vAlign w:val="bottom"/>
            <w:hideMark/>
          </w:tcPr>
          <w:p w14:paraId="68E34E62"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Prevention, Safeguarding and Partnership Manager</w:t>
            </w:r>
          </w:p>
        </w:tc>
        <w:tc>
          <w:tcPr>
            <w:tcW w:w="1216" w:type="dxa"/>
            <w:tcBorders>
              <w:top w:val="nil"/>
              <w:left w:val="nil"/>
              <w:bottom w:val="single" w:sz="4" w:space="0" w:color="auto"/>
              <w:right w:val="nil"/>
            </w:tcBorders>
            <w:shd w:val="clear" w:color="000000" w:fill="FFFFFF"/>
            <w:noWrap/>
            <w:vAlign w:val="bottom"/>
            <w:hideMark/>
          </w:tcPr>
          <w:p w14:paraId="7342E72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single" w:sz="4" w:space="0" w:color="auto"/>
              <w:right w:val="nil"/>
            </w:tcBorders>
            <w:shd w:val="clear" w:color="000000" w:fill="FFFFFF"/>
            <w:vAlign w:val="bottom"/>
            <w:hideMark/>
          </w:tcPr>
          <w:p w14:paraId="68AAD66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single" w:sz="4" w:space="0" w:color="auto"/>
              <w:right w:val="nil"/>
            </w:tcBorders>
            <w:shd w:val="clear" w:color="000000" w:fill="FFFFFF"/>
            <w:noWrap/>
            <w:vAlign w:val="bottom"/>
            <w:hideMark/>
          </w:tcPr>
          <w:p w14:paraId="7CF0046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40" w:type="dxa"/>
            <w:tcBorders>
              <w:top w:val="nil"/>
              <w:left w:val="nil"/>
              <w:bottom w:val="single" w:sz="4" w:space="0" w:color="auto"/>
              <w:right w:val="nil"/>
            </w:tcBorders>
            <w:shd w:val="clear" w:color="000000" w:fill="FFFFFF"/>
            <w:noWrap/>
            <w:vAlign w:val="bottom"/>
            <w:hideMark/>
          </w:tcPr>
          <w:p w14:paraId="1EE6059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single" w:sz="4" w:space="0" w:color="auto"/>
              <w:right w:val="nil"/>
            </w:tcBorders>
            <w:shd w:val="clear" w:color="000000" w:fill="FFFFFF"/>
            <w:noWrap/>
            <w:vAlign w:val="bottom"/>
            <w:hideMark/>
          </w:tcPr>
          <w:p w14:paraId="797041D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56,628 </w:t>
            </w:r>
          </w:p>
        </w:tc>
        <w:tc>
          <w:tcPr>
            <w:tcW w:w="993" w:type="dxa"/>
            <w:tcBorders>
              <w:top w:val="nil"/>
              <w:left w:val="nil"/>
              <w:bottom w:val="single" w:sz="4" w:space="0" w:color="auto"/>
              <w:right w:val="single" w:sz="4" w:space="0" w:color="auto"/>
            </w:tcBorders>
            <w:shd w:val="clear" w:color="000000" w:fill="FFFFFF"/>
            <w:noWrap/>
            <w:vAlign w:val="bottom"/>
            <w:hideMark/>
          </w:tcPr>
          <w:p w14:paraId="629B082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9,797 </w:t>
            </w:r>
          </w:p>
        </w:tc>
      </w:tr>
      <w:tr w:rsidR="00CA7459" w:rsidRPr="00CA7459" w14:paraId="41E5E6D4" w14:textId="77777777" w:rsidTr="00CA7459">
        <w:trPr>
          <w:trHeight w:val="300"/>
        </w:trPr>
        <w:tc>
          <w:tcPr>
            <w:tcW w:w="4215" w:type="dxa"/>
            <w:tcBorders>
              <w:top w:val="nil"/>
              <w:left w:val="nil"/>
              <w:bottom w:val="nil"/>
              <w:right w:val="nil"/>
            </w:tcBorders>
            <w:shd w:val="clear" w:color="000000" w:fill="FFFFFF"/>
            <w:noWrap/>
            <w:vAlign w:val="bottom"/>
            <w:hideMark/>
          </w:tcPr>
          <w:p w14:paraId="47C64511" w14:textId="77777777" w:rsidR="00CA7459" w:rsidRDefault="00CA7459" w:rsidP="00CA7459">
            <w:pPr>
              <w:spacing w:after="0" w:line="240" w:lineRule="auto"/>
              <w:rPr>
                <w:rFonts w:ascii="Calibri" w:eastAsia="Times New Roman" w:hAnsi="Calibri" w:cs="Calibri"/>
                <w:b/>
                <w:bCs/>
                <w:color w:val="000000"/>
                <w:sz w:val="20"/>
                <w:szCs w:val="20"/>
                <w:lang w:eastAsia="en-GB"/>
              </w:rPr>
            </w:pPr>
          </w:p>
          <w:p w14:paraId="3E9AF667" w14:textId="7AF6C871" w:rsidR="00CA7459" w:rsidRPr="00CA7459" w:rsidRDefault="00CA7459" w:rsidP="00CA7459">
            <w:pPr>
              <w:spacing w:after="0" w:line="240" w:lineRule="auto"/>
              <w:rPr>
                <w:rFonts w:ascii="Calibri" w:eastAsia="Times New Roman" w:hAnsi="Calibri" w:cs="Calibri"/>
                <w:b/>
                <w:bCs/>
                <w:color w:val="000000"/>
                <w:sz w:val="20"/>
                <w:szCs w:val="20"/>
                <w:lang w:eastAsia="en-GB"/>
              </w:rPr>
            </w:pPr>
          </w:p>
        </w:tc>
        <w:tc>
          <w:tcPr>
            <w:tcW w:w="1216" w:type="dxa"/>
            <w:tcBorders>
              <w:top w:val="nil"/>
              <w:left w:val="nil"/>
              <w:bottom w:val="nil"/>
              <w:right w:val="nil"/>
            </w:tcBorders>
            <w:shd w:val="clear" w:color="000000" w:fill="FFFFFF"/>
            <w:noWrap/>
            <w:vAlign w:val="bottom"/>
            <w:hideMark/>
          </w:tcPr>
          <w:p w14:paraId="59EBABC0"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1216" w:type="dxa"/>
            <w:tcBorders>
              <w:top w:val="nil"/>
              <w:left w:val="nil"/>
              <w:bottom w:val="nil"/>
              <w:right w:val="nil"/>
            </w:tcBorders>
            <w:shd w:val="clear" w:color="000000" w:fill="FFFFFF"/>
            <w:vAlign w:val="bottom"/>
            <w:hideMark/>
          </w:tcPr>
          <w:p w14:paraId="4128D8E4"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57156B22" w14:textId="77777777" w:rsidR="00CA7459" w:rsidRPr="00CA7459" w:rsidRDefault="00CA7459" w:rsidP="00CA7459">
            <w:pPr>
              <w:spacing w:after="0" w:line="240" w:lineRule="auto"/>
              <w:jc w:val="right"/>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6BBBDC0E"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20F5E3B9"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93" w:type="dxa"/>
            <w:tcBorders>
              <w:top w:val="nil"/>
              <w:left w:val="nil"/>
              <w:bottom w:val="nil"/>
              <w:right w:val="nil"/>
            </w:tcBorders>
            <w:shd w:val="clear" w:color="000000" w:fill="FFFFFF"/>
            <w:noWrap/>
            <w:vAlign w:val="bottom"/>
            <w:hideMark/>
          </w:tcPr>
          <w:p w14:paraId="142DF39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C80BDE9" w14:textId="77777777" w:rsidTr="00CA7459">
        <w:trPr>
          <w:trHeight w:val="300"/>
        </w:trPr>
        <w:tc>
          <w:tcPr>
            <w:tcW w:w="4215" w:type="dxa"/>
            <w:tcBorders>
              <w:top w:val="nil"/>
              <w:left w:val="nil"/>
              <w:bottom w:val="nil"/>
              <w:right w:val="nil"/>
            </w:tcBorders>
            <w:shd w:val="clear" w:color="000000" w:fill="FFFFFF"/>
            <w:noWrap/>
            <w:vAlign w:val="bottom"/>
            <w:hideMark/>
          </w:tcPr>
          <w:p w14:paraId="2BD53519" w14:textId="77777777" w:rsidR="00CA7459" w:rsidRPr="00CA7459" w:rsidRDefault="00CA7459" w:rsidP="00CA7459">
            <w:pPr>
              <w:spacing w:after="0" w:line="240" w:lineRule="auto"/>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1216" w:type="dxa"/>
            <w:tcBorders>
              <w:top w:val="nil"/>
              <w:left w:val="nil"/>
              <w:bottom w:val="nil"/>
              <w:right w:val="nil"/>
            </w:tcBorders>
            <w:shd w:val="clear" w:color="000000" w:fill="FFFFFF"/>
            <w:noWrap/>
            <w:vAlign w:val="bottom"/>
            <w:hideMark/>
          </w:tcPr>
          <w:p w14:paraId="2D62D102"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1216" w:type="dxa"/>
            <w:tcBorders>
              <w:top w:val="nil"/>
              <w:left w:val="nil"/>
              <w:bottom w:val="nil"/>
              <w:right w:val="nil"/>
            </w:tcBorders>
            <w:shd w:val="clear" w:color="000000" w:fill="FFFFFF"/>
            <w:vAlign w:val="bottom"/>
            <w:hideMark/>
          </w:tcPr>
          <w:p w14:paraId="42F8F3CC"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vAlign w:val="bottom"/>
            <w:hideMark/>
          </w:tcPr>
          <w:p w14:paraId="63ADAA2E" w14:textId="77777777" w:rsidR="00CA7459" w:rsidRPr="00CA7459" w:rsidRDefault="00CA7459" w:rsidP="00CA7459">
            <w:pPr>
              <w:spacing w:after="0" w:line="240" w:lineRule="auto"/>
              <w:jc w:val="right"/>
              <w:rPr>
                <w:rFonts w:ascii="Calibri" w:eastAsia="Times New Roman" w:hAnsi="Calibri" w:cs="Calibri"/>
                <w:b/>
                <w:bCs/>
                <w:color w:val="000000"/>
                <w:sz w:val="20"/>
                <w:szCs w:val="20"/>
                <w:lang w:eastAsia="en-GB"/>
              </w:rPr>
            </w:pPr>
            <w:r w:rsidRPr="00CA7459">
              <w:rPr>
                <w:rFonts w:ascii="Calibri" w:eastAsia="Times New Roman" w:hAnsi="Calibri" w:cs="Calibri"/>
                <w:b/>
                <w:bCs/>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18669515"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40" w:type="dxa"/>
            <w:tcBorders>
              <w:top w:val="nil"/>
              <w:left w:val="nil"/>
              <w:bottom w:val="nil"/>
              <w:right w:val="nil"/>
            </w:tcBorders>
            <w:shd w:val="clear" w:color="000000" w:fill="FFFFFF"/>
            <w:noWrap/>
            <w:vAlign w:val="bottom"/>
            <w:hideMark/>
          </w:tcPr>
          <w:p w14:paraId="32720F76" w14:textId="77777777" w:rsidR="00CA7459" w:rsidRPr="00CA7459" w:rsidRDefault="00CA7459" w:rsidP="00CA7459">
            <w:pPr>
              <w:spacing w:after="0" w:line="240" w:lineRule="auto"/>
              <w:jc w:val="right"/>
              <w:rPr>
                <w:rFonts w:ascii="Calibri" w:eastAsia="Times New Roman" w:hAnsi="Calibri" w:cs="Calibri"/>
                <w:color w:val="000000"/>
                <w:sz w:val="20"/>
                <w:szCs w:val="20"/>
                <w:lang w:eastAsia="en-GB"/>
              </w:rPr>
            </w:pPr>
            <w:r w:rsidRPr="00CA7459">
              <w:rPr>
                <w:rFonts w:ascii="Calibri" w:eastAsia="Times New Roman" w:hAnsi="Calibri" w:cs="Calibri"/>
                <w:color w:val="000000"/>
                <w:sz w:val="20"/>
                <w:szCs w:val="20"/>
                <w:lang w:eastAsia="en-GB"/>
              </w:rPr>
              <w:t> </w:t>
            </w:r>
          </w:p>
        </w:tc>
        <w:tc>
          <w:tcPr>
            <w:tcW w:w="993" w:type="dxa"/>
            <w:tcBorders>
              <w:top w:val="nil"/>
              <w:left w:val="nil"/>
              <w:bottom w:val="nil"/>
              <w:right w:val="nil"/>
            </w:tcBorders>
            <w:shd w:val="clear" w:color="000000" w:fill="FFFFFF"/>
            <w:noWrap/>
            <w:vAlign w:val="bottom"/>
            <w:hideMark/>
          </w:tcPr>
          <w:p w14:paraId="5CC7EA9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r>
      <w:tr w:rsidR="00CA7459" w:rsidRPr="00CA7459" w14:paraId="72779AB8" w14:textId="77777777" w:rsidTr="00CA7459">
        <w:trPr>
          <w:trHeight w:val="1148"/>
        </w:trPr>
        <w:tc>
          <w:tcPr>
            <w:tcW w:w="4215" w:type="dxa"/>
            <w:tcBorders>
              <w:top w:val="single" w:sz="4" w:space="0" w:color="auto"/>
              <w:left w:val="single" w:sz="4" w:space="0" w:color="auto"/>
              <w:bottom w:val="nil"/>
              <w:right w:val="nil"/>
            </w:tcBorders>
            <w:shd w:val="clear" w:color="000000" w:fill="C00000"/>
            <w:vAlign w:val="center"/>
            <w:hideMark/>
          </w:tcPr>
          <w:p w14:paraId="632253D2" w14:textId="77777777" w:rsidR="005A184D" w:rsidRDefault="00CA7459" w:rsidP="005A184D">
            <w:pPr>
              <w:spacing w:after="0" w:line="240" w:lineRule="auto"/>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lastRenderedPageBreak/>
              <w:t xml:space="preserve">2020/21                                                       </w:t>
            </w:r>
          </w:p>
          <w:p w14:paraId="72027FEA" w14:textId="7721B4CF" w:rsidR="00CA7459" w:rsidRPr="00CA7459" w:rsidRDefault="005A184D" w:rsidP="005A184D">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Post </w:t>
            </w:r>
            <w:r w:rsidR="00CA7459" w:rsidRPr="00CA7459">
              <w:rPr>
                <w:rFonts w:ascii="Calibri" w:eastAsia="Times New Roman" w:hAnsi="Calibri" w:cs="Calibri"/>
                <w:b/>
                <w:bCs/>
                <w:color w:val="FFFFFF"/>
                <w:lang w:eastAsia="en-GB"/>
              </w:rPr>
              <w:t>Holder Information</w:t>
            </w:r>
          </w:p>
        </w:tc>
        <w:tc>
          <w:tcPr>
            <w:tcW w:w="1216" w:type="dxa"/>
            <w:tcBorders>
              <w:top w:val="single" w:sz="4" w:space="0" w:color="auto"/>
              <w:left w:val="nil"/>
              <w:bottom w:val="nil"/>
              <w:right w:val="nil"/>
            </w:tcBorders>
            <w:shd w:val="clear" w:color="000000" w:fill="C00000"/>
            <w:vAlign w:val="center"/>
            <w:hideMark/>
          </w:tcPr>
          <w:p w14:paraId="64F21FFA"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Start Date (with NCFRA)</w:t>
            </w:r>
          </w:p>
        </w:tc>
        <w:tc>
          <w:tcPr>
            <w:tcW w:w="1216" w:type="dxa"/>
            <w:tcBorders>
              <w:top w:val="single" w:sz="4" w:space="0" w:color="auto"/>
              <w:left w:val="nil"/>
              <w:bottom w:val="nil"/>
              <w:right w:val="nil"/>
            </w:tcBorders>
            <w:shd w:val="clear" w:color="000000" w:fill="C00000"/>
            <w:vAlign w:val="center"/>
            <w:hideMark/>
          </w:tcPr>
          <w:p w14:paraId="37C1B048"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Leaving Date</w:t>
            </w:r>
          </w:p>
        </w:tc>
        <w:tc>
          <w:tcPr>
            <w:tcW w:w="940" w:type="dxa"/>
            <w:tcBorders>
              <w:top w:val="single" w:sz="4" w:space="0" w:color="auto"/>
              <w:left w:val="nil"/>
              <w:bottom w:val="nil"/>
              <w:right w:val="nil"/>
            </w:tcBorders>
            <w:shd w:val="clear" w:color="000000" w:fill="C00000"/>
            <w:vAlign w:val="center"/>
            <w:hideMark/>
          </w:tcPr>
          <w:p w14:paraId="1C949AAB"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Salary                                                                </w:t>
            </w:r>
          </w:p>
        </w:tc>
        <w:tc>
          <w:tcPr>
            <w:tcW w:w="940" w:type="dxa"/>
            <w:tcBorders>
              <w:top w:val="single" w:sz="4" w:space="0" w:color="auto"/>
              <w:left w:val="nil"/>
              <w:bottom w:val="nil"/>
              <w:right w:val="nil"/>
            </w:tcBorders>
            <w:shd w:val="clear" w:color="000000" w:fill="C00000"/>
            <w:vAlign w:val="center"/>
            <w:hideMark/>
          </w:tcPr>
          <w:p w14:paraId="0BFE43CD"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Other                                                                      </w:t>
            </w:r>
          </w:p>
        </w:tc>
        <w:tc>
          <w:tcPr>
            <w:tcW w:w="940" w:type="dxa"/>
            <w:tcBorders>
              <w:top w:val="single" w:sz="4" w:space="0" w:color="auto"/>
              <w:left w:val="nil"/>
              <w:bottom w:val="nil"/>
              <w:right w:val="nil"/>
            </w:tcBorders>
            <w:shd w:val="clear" w:color="000000" w:fill="C00000"/>
            <w:vAlign w:val="center"/>
            <w:hideMark/>
          </w:tcPr>
          <w:p w14:paraId="347BD35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Total Excl Pension  </w:t>
            </w:r>
          </w:p>
        </w:tc>
        <w:tc>
          <w:tcPr>
            <w:tcW w:w="993" w:type="dxa"/>
            <w:tcBorders>
              <w:top w:val="single" w:sz="4" w:space="0" w:color="auto"/>
              <w:left w:val="nil"/>
              <w:bottom w:val="nil"/>
              <w:right w:val="single" w:sz="4" w:space="0" w:color="auto"/>
            </w:tcBorders>
            <w:shd w:val="clear" w:color="000000" w:fill="C00000"/>
            <w:vAlign w:val="center"/>
            <w:hideMark/>
          </w:tcPr>
          <w:p w14:paraId="0D6839A1"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xml:space="preserve">Employer's   Pension </w:t>
            </w:r>
          </w:p>
        </w:tc>
      </w:tr>
      <w:tr w:rsidR="00CA7459" w:rsidRPr="00CA7459" w14:paraId="14021B5C" w14:textId="77777777" w:rsidTr="00CA7459">
        <w:trPr>
          <w:trHeight w:val="465"/>
        </w:trPr>
        <w:tc>
          <w:tcPr>
            <w:tcW w:w="4215" w:type="dxa"/>
            <w:tcBorders>
              <w:top w:val="nil"/>
              <w:left w:val="single" w:sz="4" w:space="0" w:color="auto"/>
              <w:bottom w:val="single" w:sz="4" w:space="0" w:color="auto"/>
              <w:right w:val="nil"/>
            </w:tcBorders>
            <w:shd w:val="clear" w:color="000000" w:fill="C00000"/>
            <w:vAlign w:val="center"/>
            <w:hideMark/>
          </w:tcPr>
          <w:p w14:paraId="71777EC0"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single" w:sz="4" w:space="0" w:color="auto"/>
              <w:right w:val="nil"/>
            </w:tcBorders>
            <w:shd w:val="clear" w:color="000000" w:fill="C00000"/>
            <w:vAlign w:val="center"/>
            <w:hideMark/>
          </w:tcPr>
          <w:p w14:paraId="104679F9"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1216" w:type="dxa"/>
            <w:tcBorders>
              <w:top w:val="nil"/>
              <w:left w:val="nil"/>
              <w:bottom w:val="single" w:sz="4" w:space="0" w:color="auto"/>
              <w:right w:val="nil"/>
            </w:tcBorders>
            <w:shd w:val="clear" w:color="000000" w:fill="C00000"/>
            <w:vAlign w:val="center"/>
            <w:hideMark/>
          </w:tcPr>
          <w:p w14:paraId="7AC2006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 </w:t>
            </w:r>
          </w:p>
        </w:tc>
        <w:tc>
          <w:tcPr>
            <w:tcW w:w="940" w:type="dxa"/>
            <w:tcBorders>
              <w:top w:val="nil"/>
              <w:left w:val="nil"/>
              <w:bottom w:val="single" w:sz="4" w:space="0" w:color="auto"/>
              <w:right w:val="nil"/>
            </w:tcBorders>
            <w:shd w:val="clear" w:color="000000" w:fill="C00000"/>
            <w:vAlign w:val="center"/>
            <w:hideMark/>
          </w:tcPr>
          <w:p w14:paraId="7F972D8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single" w:sz="4" w:space="0" w:color="auto"/>
              <w:right w:val="nil"/>
            </w:tcBorders>
            <w:shd w:val="clear" w:color="000000" w:fill="C00000"/>
            <w:vAlign w:val="center"/>
            <w:hideMark/>
          </w:tcPr>
          <w:p w14:paraId="65BBD0BE"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40" w:type="dxa"/>
            <w:tcBorders>
              <w:top w:val="nil"/>
              <w:left w:val="nil"/>
              <w:bottom w:val="single" w:sz="4" w:space="0" w:color="auto"/>
              <w:right w:val="nil"/>
            </w:tcBorders>
            <w:shd w:val="clear" w:color="000000" w:fill="C00000"/>
            <w:vAlign w:val="center"/>
            <w:hideMark/>
          </w:tcPr>
          <w:p w14:paraId="7143E45C"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c>
          <w:tcPr>
            <w:tcW w:w="993" w:type="dxa"/>
            <w:tcBorders>
              <w:top w:val="nil"/>
              <w:left w:val="nil"/>
              <w:bottom w:val="single" w:sz="4" w:space="0" w:color="auto"/>
              <w:right w:val="single" w:sz="4" w:space="0" w:color="auto"/>
            </w:tcBorders>
            <w:shd w:val="clear" w:color="000000" w:fill="C00000"/>
            <w:vAlign w:val="center"/>
            <w:hideMark/>
          </w:tcPr>
          <w:p w14:paraId="549C875F" w14:textId="77777777" w:rsidR="00CA7459" w:rsidRPr="00CA7459" w:rsidRDefault="00CA7459" w:rsidP="00CA7459">
            <w:pPr>
              <w:spacing w:after="0" w:line="240" w:lineRule="auto"/>
              <w:jc w:val="center"/>
              <w:rPr>
                <w:rFonts w:ascii="Calibri" w:eastAsia="Times New Roman" w:hAnsi="Calibri" w:cs="Calibri"/>
                <w:b/>
                <w:bCs/>
                <w:color w:val="FFFFFF"/>
                <w:lang w:eastAsia="en-GB"/>
              </w:rPr>
            </w:pPr>
            <w:r w:rsidRPr="00CA7459">
              <w:rPr>
                <w:rFonts w:ascii="Calibri" w:eastAsia="Times New Roman" w:hAnsi="Calibri" w:cs="Calibri"/>
                <w:b/>
                <w:bCs/>
                <w:color w:val="FFFFFF"/>
                <w:lang w:eastAsia="en-GB"/>
              </w:rPr>
              <w:t>£</w:t>
            </w:r>
          </w:p>
        </w:tc>
      </w:tr>
      <w:tr w:rsidR="00CA7459" w:rsidRPr="00CA7459" w14:paraId="30C7DE33"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2FE055B7" w14:textId="3EF87C42"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Chief Fire Officer - D Dovey</w:t>
            </w:r>
            <w:r w:rsidR="009D509D">
              <w:rPr>
                <w:rFonts w:ascii="Calibri" w:eastAsia="Times New Roman" w:hAnsi="Calibri" w:cs="Calibri"/>
                <w:color w:val="000000"/>
                <w:lang w:eastAsia="en-GB"/>
              </w:rPr>
              <w:t xml:space="preserve"> *</w:t>
            </w:r>
          </w:p>
        </w:tc>
        <w:tc>
          <w:tcPr>
            <w:tcW w:w="1216" w:type="dxa"/>
            <w:tcBorders>
              <w:top w:val="nil"/>
              <w:left w:val="nil"/>
              <w:bottom w:val="nil"/>
              <w:right w:val="nil"/>
            </w:tcBorders>
            <w:shd w:val="clear" w:color="000000" w:fill="FFFFFF"/>
            <w:noWrap/>
            <w:vAlign w:val="bottom"/>
            <w:hideMark/>
          </w:tcPr>
          <w:p w14:paraId="4C45174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119B222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077971A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123,850 </w:t>
            </w:r>
          </w:p>
        </w:tc>
        <w:tc>
          <w:tcPr>
            <w:tcW w:w="940" w:type="dxa"/>
            <w:tcBorders>
              <w:top w:val="nil"/>
              <w:left w:val="nil"/>
              <w:bottom w:val="nil"/>
              <w:right w:val="nil"/>
            </w:tcBorders>
            <w:shd w:val="clear" w:color="000000" w:fill="FFFFFF"/>
            <w:noWrap/>
            <w:vAlign w:val="bottom"/>
            <w:hideMark/>
          </w:tcPr>
          <w:p w14:paraId="590A04C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70675DA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123,850 </w:t>
            </w:r>
          </w:p>
        </w:tc>
        <w:tc>
          <w:tcPr>
            <w:tcW w:w="993" w:type="dxa"/>
            <w:tcBorders>
              <w:top w:val="nil"/>
              <w:left w:val="nil"/>
              <w:bottom w:val="nil"/>
              <w:right w:val="single" w:sz="4" w:space="0" w:color="auto"/>
            </w:tcBorders>
            <w:shd w:val="clear" w:color="000000" w:fill="FFFFFF"/>
            <w:noWrap/>
            <w:vAlign w:val="bottom"/>
            <w:hideMark/>
          </w:tcPr>
          <w:p w14:paraId="4881A5F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24,325 </w:t>
            </w:r>
          </w:p>
        </w:tc>
      </w:tr>
      <w:tr w:rsidR="00CA7459" w:rsidRPr="00CA7459" w14:paraId="7DDC0B2D"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7EA4279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(1)</w:t>
            </w:r>
          </w:p>
        </w:tc>
        <w:tc>
          <w:tcPr>
            <w:tcW w:w="1216" w:type="dxa"/>
            <w:tcBorders>
              <w:top w:val="nil"/>
              <w:left w:val="nil"/>
              <w:bottom w:val="nil"/>
              <w:right w:val="nil"/>
            </w:tcBorders>
            <w:shd w:val="clear" w:color="000000" w:fill="FFFFFF"/>
            <w:noWrap/>
            <w:vAlign w:val="bottom"/>
            <w:hideMark/>
          </w:tcPr>
          <w:p w14:paraId="7A8F964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71844A0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7B19BA19"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95,370 </w:t>
            </w:r>
          </w:p>
        </w:tc>
        <w:tc>
          <w:tcPr>
            <w:tcW w:w="940" w:type="dxa"/>
            <w:tcBorders>
              <w:top w:val="nil"/>
              <w:left w:val="nil"/>
              <w:bottom w:val="nil"/>
              <w:right w:val="nil"/>
            </w:tcBorders>
            <w:shd w:val="clear" w:color="000000" w:fill="FFFFFF"/>
            <w:noWrap/>
            <w:vAlign w:val="bottom"/>
            <w:hideMark/>
          </w:tcPr>
          <w:p w14:paraId="2505482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56AD7F0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95,370 </w:t>
            </w:r>
          </w:p>
        </w:tc>
        <w:tc>
          <w:tcPr>
            <w:tcW w:w="993" w:type="dxa"/>
            <w:tcBorders>
              <w:top w:val="nil"/>
              <w:left w:val="nil"/>
              <w:bottom w:val="nil"/>
              <w:right w:val="single" w:sz="4" w:space="0" w:color="auto"/>
            </w:tcBorders>
            <w:shd w:val="clear" w:color="000000" w:fill="FFFFFF"/>
            <w:noWrap/>
            <w:vAlign w:val="bottom"/>
            <w:hideMark/>
          </w:tcPr>
          <w:p w14:paraId="58EFAD6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27,469 </w:t>
            </w:r>
          </w:p>
        </w:tc>
      </w:tr>
      <w:tr w:rsidR="00CA7459" w:rsidRPr="00CA7459" w14:paraId="166A932E"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7DA5B77A"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Assistant Chief Fire Officer (2)</w:t>
            </w:r>
          </w:p>
        </w:tc>
        <w:tc>
          <w:tcPr>
            <w:tcW w:w="1216" w:type="dxa"/>
            <w:tcBorders>
              <w:top w:val="nil"/>
              <w:left w:val="nil"/>
              <w:bottom w:val="nil"/>
              <w:right w:val="nil"/>
            </w:tcBorders>
            <w:shd w:val="clear" w:color="000000" w:fill="FFFFFF"/>
            <w:noWrap/>
            <w:vAlign w:val="bottom"/>
            <w:hideMark/>
          </w:tcPr>
          <w:p w14:paraId="597CC685"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vAlign w:val="bottom"/>
            <w:hideMark/>
          </w:tcPr>
          <w:p w14:paraId="22D8B84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F216A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95,380 </w:t>
            </w:r>
          </w:p>
        </w:tc>
        <w:tc>
          <w:tcPr>
            <w:tcW w:w="940" w:type="dxa"/>
            <w:tcBorders>
              <w:top w:val="nil"/>
              <w:left w:val="nil"/>
              <w:bottom w:val="nil"/>
              <w:right w:val="nil"/>
            </w:tcBorders>
            <w:shd w:val="clear" w:color="000000" w:fill="FFFFFF"/>
            <w:noWrap/>
            <w:vAlign w:val="bottom"/>
            <w:hideMark/>
          </w:tcPr>
          <w:p w14:paraId="7002AF37"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   </w:t>
            </w:r>
          </w:p>
        </w:tc>
        <w:tc>
          <w:tcPr>
            <w:tcW w:w="940" w:type="dxa"/>
            <w:tcBorders>
              <w:top w:val="nil"/>
              <w:left w:val="nil"/>
              <w:bottom w:val="nil"/>
              <w:right w:val="nil"/>
            </w:tcBorders>
            <w:shd w:val="clear" w:color="000000" w:fill="FFFFFF"/>
            <w:noWrap/>
            <w:vAlign w:val="bottom"/>
            <w:hideMark/>
          </w:tcPr>
          <w:p w14:paraId="3208D023"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95,380 </w:t>
            </w:r>
          </w:p>
        </w:tc>
        <w:tc>
          <w:tcPr>
            <w:tcW w:w="993" w:type="dxa"/>
            <w:tcBorders>
              <w:top w:val="nil"/>
              <w:left w:val="nil"/>
              <w:bottom w:val="nil"/>
              <w:right w:val="single" w:sz="4" w:space="0" w:color="auto"/>
            </w:tcBorders>
            <w:shd w:val="clear" w:color="000000" w:fill="FFFFFF"/>
            <w:noWrap/>
            <w:vAlign w:val="bottom"/>
            <w:hideMark/>
          </w:tcPr>
          <w:p w14:paraId="17258BA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27,469 </w:t>
            </w:r>
          </w:p>
        </w:tc>
      </w:tr>
      <w:tr w:rsidR="00CA7459" w:rsidRPr="00CA7459" w14:paraId="0CC5A282"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119D1093"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(1)</w:t>
            </w:r>
          </w:p>
        </w:tc>
        <w:tc>
          <w:tcPr>
            <w:tcW w:w="1216" w:type="dxa"/>
            <w:tcBorders>
              <w:top w:val="nil"/>
              <w:left w:val="nil"/>
              <w:bottom w:val="nil"/>
              <w:right w:val="nil"/>
            </w:tcBorders>
            <w:shd w:val="clear" w:color="000000" w:fill="FFFFFF"/>
            <w:noWrap/>
            <w:vAlign w:val="bottom"/>
            <w:hideMark/>
          </w:tcPr>
          <w:p w14:paraId="5191881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01/01/2020</w:t>
            </w:r>
          </w:p>
        </w:tc>
        <w:tc>
          <w:tcPr>
            <w:tcW w:w="1216" w:type="dxa"/>
            <w:tcBorders>
              <w:top w:val="nil"/>
              <w:left w:val="nil"/>
              <w:bottom w:val="nil"/>
              <w:right w:val="nil"/>
            </w:tcBorders>
            <w:shd w:val="clear" w:color="000000" w:fill="FFFFFF"/>
            <w:vAlign w:val="bottom"/>
            <w:hideMark/>
          </w:tcPr>
          <w:p w14:paraId="571F503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nil"/>
              <w:right w:val="nil"/>
            </w:tcBorders>
            <w:shd w:val="clear" w:color="000000" w:fill="FFFFFF"/>
            <w:noWrap/>
            <w:vAlign w:val="bottom"/>
            <w:hideMark/>
          </w:tcPr>
          <w:p w14:paraId="6754669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55,737 </w:t>
            </w:r>
          </w:p>
        </w:tc>
        <w:tc>
          <w:tcPr>
            <w:tcW w:w="940" w:type="dxa"/>
            <w:tcBorders>
              <w:top w:val="nil"/>
              <w:left w:val="nil"/>
              <w:bottom w:val="nil"/>
              <w:right w:val="nil"/>
            </w:tcBorders>
            <w:shd w:val="clear" w:color="000000" w:fill="FFFFFF"/>
            <w:noWrap/>
            <w:vAlign w:val="bottom"/>
            <w:hideMark/>
          </w:tcPr>
          <w:p w14:paraId="2BF0227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15,508 </w:t>
            </w:r>
          </w:p>
        </w:tc>
        <w:tc>
          <w:tcPr>
            <w:tcW w:w="940" w:type="dxa"/>
            <w:tcBorders>
              <w:top w:val="nil"/>
              <w:left w:val="nil"/>
              <w:bottom w:val="nil"/>
              <w:right w:val="nil"/>
            </w:tcBorders>
            <w:shd w:val="clear" w:color="000000" w:fill="FFFFFF"/>
            <w:noWrap/>
            <w:vAlign w:val="bottom"/>
            <w:hideMark/>
          </w:tcPr>
          <w:p w14:paraId="366816BD"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71,245 </w:t>
            </w:r>
          </w:p>
        </w:tc>
        <w:tc>
          <w:tcPr>
            <w:tcW w:w="993" w:type="dxa"/>
            <w:tcBorders>
              <w:top w:val="nil"/>
              <w:left w:val="nil"/>
              <w:bottom w:val="nil"/>
              <w:right w:val="single" w:sz="4" w:space="0" w:color="auto"/>
            </w:tcBorders>
            <w:shd w:val="clear" w:color="000000" w:fill="FFFFFF"/>
            <w:noWrap/>
            <w:vAlign w:val="bottom"/>
            <w:hideMark/>
          </w:tcPr>
          <w:p w14:paraId="523D17C4"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20,519 </w:t>
            </w:r>
          </w:p>
        </w:tc>
      </w:tr>
      <w:tr w:rsidR="00CA7459" w:rsidRPr="00CA7459" w14:paraId="56126666" w14:textId="77777777" w:rsidTr="00CA7459">
        <w:trPr>
          <w:trHeight w:val="300"/>
        </w:trPr>
        <w:tc>
          <w:tcPr>
            <w:tcW w:w="4215" w:type="dxa"/>
            <w:tcBorders>
              <w:top w:val="nil"/>
              <w:left w:val="single" w:sz="4" w:space="0" w:color="auto"/>
              <w:bottom w:val="nil"/>
              <w:right w:val="nil"/>
            </w:tcBorders>
            <w:shd w:val="clear" w:color="000000" w:fill="FFFFFF"/>
            <w:noWrap/>
            <w:vAlign w:val="bottom"/>
            <w:hideMark/>
          </w:tcPr>
          <w:p w14:paraId="14F802B6"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(2)</w:t>
            </w:r>
          </w:p>
        </w:tc>
        <w:tc>
          <w:tcPr>
            <w:tcW w:w="1216" w:type="dxa"/>
            <w:tcBorders>
              <w:top w:val="nil"/>
              <w:left w:val="nil"/>
              <w:bottom w:val="nil"/>
              <w:right w:val="nil"/>
            </w:tcBorders>
            <w:shd w:val="clear" w:color="000000" w:fill="FFFFFF"/>
            <w:noWrap/>
            <w:vAlign w:val="bottom"/>
            <w:hideMark/>
          </w:tcPr>
          <w:p w14:paraId="098CBD6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nil"/>
              <w:right w:val="nil"/>
            </w:tcBorders>
            <w:shd w:val="clear" w:color="000000" w:fill="FFFFFF"/>
            <w:noWrap/>
            <w:vAlign w:val="bottom"/>
            <w:hideMark/>
          </w:tcPr>
          <w:p w14:paraId="774B2EF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31/08/2020</w:t>
            </w:r>
          </w:p>
        </w:tc>
        <w:tc>
          <w:tcPr>
            <w:tcW w:w="940" w:type="dxa"/>
            <w:tcBorders>
              <w:top w:val="nil"/>
              <w:left w:val="nil"/>
              <w:bottom w:val="nil"/>
              <w:right w:val="nil"/>
            </w:tcBorders>
            <w:shd w:val="clear" w:color="000000" w:fill="FFFFFF"/>
            <w:noWrap/>
            <w:vAlign w:val="bottom"/>
            <w:hideMark/>
          </w:tcPr>
          <w:p w14:paraId="1A54F6E6"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25,988 </w:t>
            </w:r>
          </w:p>
        </w:tc>
        <w:tc>
          <w:tcPr>
            <w:tcW w:w="940" w:type="dxa"/>
            <w:tcBorders>
              <w:top w:val="nil"/>
              <w:left w:val="nil"/>
              <w:bottom w:val="nil"/>
              <w:right w:val="nil"/>
            </w:tcBorders>
            <w:shd w:val="clear" w:color="000000" w:fill="FFFFFF"/>
            <w:noWrap/>
            <w:vAlign w:val="bottom"/>
            <w:hideMark/>
          </w:tcPr>
          <w:p w14:paraId="48908822"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7,594 </w:t>
            </w:r>
          </w:p>
        </w:tc>
        <w:tc>
          <w:tcPr>
            <w:tcW w:w="940" w:type="dxa"/>
            <w:tcBorders>
              <w:top w:val="nil"/>
              <w:left w:val="nil"/>
              <w:bottom w:val="nil"/>
              <w:right w:val="nil"/>
            </w:tcBorders>
            <w:shd w:val="clear" w:color="000000" w:fill="FFFFFF"/>
            <w:noWrap/>
            <w:vAlign w:val="bottom"/>
            <w:hideMark/>
          </w:tcPr>
          <w:p w14:paraId="6BC34B2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33,582 </w:t>
            </w:r>
          </w:p>
        </w:tc>
        <w:tc>
          <w:tcPr>
            <w:tcW w:w="993" w:type="dxa"/>
            <w:tcBorders>
              <w:top w:val="nil"/>
              <w:left w:val="nil"/>
              <w:bottom w:val="nil"/>
              <w:right w:val="single" w:sz="4" w:space="0" w:color="auto"/>
            </w:tcBorders>
            <w:shd w:val="clear" w:color="000000" w:fill="FFFFFF"/>
            <w:noWrap/>
            <w:vAlign w:val="bottom"/>
            <w:hideMark/>
          </w:tcPr>
          <w:p w14:paraId="3E261578"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12,526 </w:t>
            </w:r>
          </w:p>
        </w:tc>
      </w:tr>
      <w:tr w:rsidR="00CA7459" w:rsidRPr="00CA7459" w14:paraId="4B9918C5" w14:textId="77777777" w:rsidTr="00CA7459">
        <w:trPr>
          <w:trHeight w:val="300"/>
        </w:trPr>
        <w:tc>
          <w:tcPr>
            <w:tcW w:w="4215" w:type="dxa"/>
            <w:tcBorders>
              <w:top w:val="nil"/>
              <w:left w:val="single" w:sz="4" w:space="0" w:color="auto"/>
              <w:bottom w:val="single" w:sz="4" w:space="0" w:color="auto"/>
              <w:right w:val="nil"/>
            </w:tcBorders>
            <w:shd w:val="clear" w:color="000000" w:fill="FFFFFF"/>
            <w:noWrap/>
            <w:vAlign w:val="bottom"/>
            <w:hideMark/>
          </w:tcPr>
          <w:p w14:paraId="1AEF2DAD" w14:textId="77777777" w:rsidR="00CA7459" w:rsidRPr="00CA7459" w:rsidRDefault="00CA7459" w:rsidP="00CA7459">
            <w:pPr>
              <w:spacing w:after="0" w:line="240" w:lineRule="auto"/>
              <w:rPr>
                <w:rFonts w:ascii="Calibri" w:eastAsia="Times New Roman" w:hAnsi="Calibri" w:cs="Calibri"/>
                <w:color w:val="000000"/>
                <w:lang w:eastAsia="en-GB"/>
              </w:rPr>
            </w:pPr>
            <w:r w:rsidRPr="00CA7459">
              <w:rPr>
                <w:rFonts w:ascii="Calibri" w:eastAsia="Times New Roman" w:hAnsi="Calibri" w:cs="Calibri"/>
                <w:color w:val="000000"/>
                <w:lang w:eastAsia="en-GB"/>
              </w:rPr>
              <w:t>Area Manager (3)</w:t>
            </w:r>
          </w:p>
        </w:tc>
        <w:tc>
          <w:tcPr>
            <w:tcW w:w="1216" w:type="dxa"/>
            <w:tcBorders>
              <w:top w:val="nil"/>
              <w:left w:val="nil"/>
              <w:bottom w:val="single" w:sz="4" w:space="0" w:color="auto"/>
              <w:right w:val="nil"/>
            </w:tcBorders>
            <w:shd w:val="clear" w:color="000000" w:fill="FFFFFF"/>
            <w:noWrap/>
            <w:vAlign w:val="bottom"/>
            <w:hideMark/>
          </w:tcPr>
          <w:p w14:paraId="64B7F86C"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01/01/2019</w:t>
            </w:r>
          </w:p>
        </w:tc>
        <w:tc>
          <w:tcPr>
            <w:tcW w:w="1216" w:type="dxa"/>
            <w:tcBorders>
              <w:top w:val="nil"/>
              <w:left w:val="nil"/>
              <w:bottom w:val="single" w:sz="4" w:space="0" w:color="auto"/>
              <w:right w:val="nil"/>
            </w:tcBorders>
            <w:shd w:val="clear" w:color="000000" w:fill="FFFFFF"/>
            <w:vAlign w:val="bottom"/>
            <w:hideMark/>
          </w:tcPr>
          <w:p w14:paraId="00C23861"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w:t>
            </w:r>
          </w:p>
        </w:tc>
        <w:tc>
          <w:tcPr>
            <w:tcW w:w="940" w:type="dxa"/>
            <w:tcBorders>
              <w:top w:val="nil"/>
              <w:left w:val="nil"/>
              <w:bottom w:val="single" w:sz="4" w:space="0" w:color="auto"/>
              <w:right w:val="nil"/>
            </w:tcBorders>
            <w:shd w:val="clear" w:color="000000" w:fill="FFFFFF"/>
            <w:noWrap/>
            <w:vAlign w:val="bottom"/>
            <w:hideMark/>
          </w:tcPr>
          <w:p w14:paraId="35F99F5B"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56,427 </w:t>
            </w:r>
          </w:p>
        </w:tc>
        <w:tc>
          <w:tcPr>
            <w:tcW w:w="940" w:type="dxa"/>
            <w:tcBorders>
              <w:top w:val="nil"/>
              <w:left w:val="nil"/>
              <w:bottom w:val="single" w:sz="4" w:space="0" w:color="auto"/>
              <w:right w:val="nil"/>
            </w:tcBorders>
            <w:shd w:val="clear" w:color="000000" w:fill="FFFFFF"/>
            <w:noWrap/>
            <w:vAlign w:val="bottom"/>
            <w:hideMark/>
          </w:tcPr>
          <w:p w14:paraId="44632FCA"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16,117 </w:t>
            </w:r>
          </w:p>
        </w:tc>
        <w:tc>
          <w:tcPr>
            <w:tcW w:w="940" w:type="dxa"/>
            <w:tcBorders>
              <w:top w:val="nil"/>
              <w:left w:val="nil"/>
              <w:bottom w:val="single" w:sz="4" w:space="0" w:color="auto"/>
              <w:right w:val="nil"/>
            </w:tcBorders>
            <w:shd w:val="clear" w:color="000000" w:fill="FFFFFF"/>
            <w:noWrap/>
            <w:vAlign w:val="bottom"/>
            <w:hideMark/>
          </w:tcPr>
          <w:p w14:paraId="2C2D337F"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72,544 </w:t>
            </w:r>
          </w:p>
        </w:tc>
        <w:tc>
          <w:tcPr>
            <w:tcW w:w="993" w:type="dxa"/>
            <w:tcBorders>
              <w:top w:val="nil"/>
              <w:left w:val="nil"/>
              <w:bottom w:val="single" w:sz="4" w:space="0" w:color="auto"/>
              <w:right w:val="single" w:sz="4" w:space="0" w:color="auto"/>
            </w:tcBorders>
            <w:shd w:val="clear" w:color="000000" w:fill="FFFFFF"/>
            <w:noWrap/>
            <w:vAlign w:val="bottom"/>
            <w:hideMark/>
          </w:tcPr>
          <w:p w14:paraId="5D1D642E" w14:textId="77777777" w:rsidR="00CA7459" w:rsidRPr="00CA7459" w:rsidRDefault="00CA7459" w:rsidP="00CA7459">
            <w:pPr>
              <w:spacing w:after="0" w:line="240" w:lineRule="auto"/>
              <w:jc w:val="right"/>
              <w:rPr>
                <w:rFonts w:ascii="Calibri" w:eastAsia="Times New Roman" w:hAnsi="Calibri" w:cs="Calibri"/>
                <w:color w:val="000000"/>
                <w:lang w:eastAsia="en-GB"/>
              </w:rPr>
            </w:pPr>
            <w:r w:rsidRPr="00CA7459">
              <w:rPr>
                <w:rFonts w:ascii="Calibri" w:eastAsia="Times New Roman" w:hAnsi="Calibri" w:cs="Calibri"/>
                <w:color w:val="000000"/>
                <w:lang w:eastAsia="en-GB"/>
              </w:rPr>
              <w:t xml:space="preserve">        20,718 </w:t>
            </w:r>
          </w:p>
        </w:tc>
      </w:tr>
    </w:tbl>
    <w:p w14:paraId="4DD57549" w14:textId="77777777" w:rsidR="00322873" w:rsidRPr="007F07C2" w:rsidRDefault="00322873" w:rsidP="0079406E">
      <w:pPr>
        <w:autoSpaceDE w:val="0"/>
        <w:autoSpaceDN w:val="0"/>
        <w:adjustRightInd w:val="0"/>
        <w:spacing w:after="0" w:line="240" w:lineRule="auto"/>
        <w:rPr>
          <w:rFonts w:cs="Arial"/>
        </w:rPr>
      </w:pPr>
    </w:p>
    <w:p w14:paraId="29BD396D" w14:textId="77777777" w:rsidR="006423C6" w:rsidRPr="007F07C2" w:rsidRDefault="00F91130" w:rsidP="00F91130">
      <w:pPr>
        <w:autoSpaceDE w:val="0"/>
        <w:autoSpaceDN w:val="0"/>
        <w:adjustRightInd w:val="0"/>
        <w:spacing w:after="0" w:line="240" w:lineRule="auto"/>
        <w:rPr>
          <w:rFonts w:cs="Arial"/>
        </w:rPr>
      </w:pPr>
      <w:r w:rsidRPr="007F07C2">
        <w:rPr>
          <w:rFonts w:cs="Arial"/>
        </w:rPr>
        <w:t>* D Dovey retired on 30</w:t>
      </w:r>
      <w:r w:rsidRPr="007F07C2">
        <w:rPr>
          <w:rFonts w:cs="Arial"/>
          <w:vertAlign w:val="superscript"/>
        </w:rPr>
        <w:t xml:space="preserve"> </w:t>
      </w:r>
      <w:r w:rsidRPr="007F07C2">
        <w:rPr>
          <w:rFonts w:cs="Arial"/>
        </w:rPr>
        <w:t>September 2020 and was re-appointed in October 2020 in line with the Covid provisions.  Employers Pension Contributions are to September 2020.</w:t>
      </w:r>
    </w:p>
    <w:p w14:paraId="69AB168B" w14:textId="77777777" w:rsidR="00B6142C" w:rsidRDefault="00B6142C" w:rsidP="0079406E">
      <w:pPr>
        <w:autoSpaceDE w:val="0"/>
        <w:autoSpaceDN w:val="0"/>
        <w:adjustRightInd w:val="0"/>
        <w:spacing w:after="0" w:line="240" w:lineRule="auto"/>
      </w:pPr>
    </w:p>
    <w:p w14:paraId="747D929C" w14:textId="1E66D2A0" w:rsidR="003B78CA" w:rsidRPr="007F07C2" w:rsidRDefault="003B78CA" w:rsidP="0079406E">
      <w:pPr>
        <w:autoSpaceDE w:val="0"/>
        <w:autoSpaceDN w:val="0"/>
        <w:adjustRightInd w:val="0"/>
        <w:spacing w:after="0" w:line="240" w:lineRule="auto"/>
        <w:rPr>
          <w:rFonts w:cs="Arial"/>
        </w:rPr>
      </w:pPr>
      <w:r w:rsidRPr="007F07C2">
        <w:rPr>
          <w:rFonts w:cs="Arial"/>
        </w:rPr>
        <w:t>A number of the senior off</w:t>
      </w:r>
      <w:r w:rsidR="00276F96" w:rsidRPr="007F07C2">
        <w:rPr>
          <w:rFonts w:cs="Arial"/>
        </w:rPr>
        <w:t>icers for the NCFRA are employe</w:t>
      </w:r>
      <w:r w:rsidRPr="007F07C2">
        <w:rPr>
          <w:rFonts w:cs="Arial"/>
        </w:rPr>
        <w:t>d and</w:t>
      </w:r>
      <w:r w:rsidR="00533C64" w:rsidRPr="007F07C2">
        <w:rPr>
          <w:rFonts w:cs="Arial"/>
        </w:rPr>
        <w:t xml:space="preserve"> remunerated by</w:t>
      </w:r>
      <w:r w:rsidR="00B0406A">
        <w:rPr>
          <w:rFonts w:cs="Arial"/>
        </w:rPr>
        <w:t xml:space="preserve"> either</w:t>
      </w:r>
      <w:r w:rsidR="00533C64" w:rsidRPr="007F07C2">
        <w:rPr>
          <w:rFonts w:cs="Arial"/>
        </w:rPr>
        <w:t xml:space="preserve"> the OPFCC</w:t>
      </w:r>
      <w:r w:rsidR="00B0406A">
        <w:rPr>
          <w:rFonts w:cs="Arial"/>
        </w:rPr>
        <w:t xml:space="preserve"> or the OCC</w:t>
      </w:r>
      <w:r w:rsidR="00533C64" w:rsidRPr="007F07C2">
        <w:rPr>
          <w:rFonts w:cs="Arial"/>
        </w:rPr>
        <w:t>.  These</w:t>
      </w:r>
      <w:r w:rsidRPr="007F07C2">
        <w:rPr>
          <w:rFonts w:cs="Arial"/>
        </w:rPr>
        <w:t xml:space="preserve"> posts are detailed below and details of their remuneration are included within the OPFCC accounts</w:t>
      </w:r>
      <w:r w:rsidR="003973BB" w:rsidRPr="007F07C2">
        <w:rPr>
          <w:rFonts w:cs="Arial"/>
        </w:rPr>
        <w:t>.</w:t>
      </w:r>
    </w:p>
    <w:p w14:paraId="106E5573" w14:textId="77777777" w:rsidR="00D325B8" w:rsidRPr="007F07C2" w:rsidRDefault="00D325B8" w:rsidP="0079406E">
      <w:pPr>
        <w:autoSpaceDE w:val="0"/>
        <w:autoSpaceDN w:val="0"/>
        <w:adjustRightInd w:val="0"/>
        <w:spacing w:after="0" w:line="240" w:lineRule="auto"/>
        <w:rPr>
          <w:rFonts w:cs="Arial"/>
        </w:rPr>
      </w:pPr>
    </w:p>
    <w:tbl>
      <w:tblPr>
        <w:tblW w:w="8620" w:type="dxa"/>
        <w:tblLook w:val="04A0" w:firstRow="1" w:lastRow="0" w:firstColumn="1" w:lastColumn="0" w:noHBand="0" w:noVBand="1"/>
      </w:tblPr>
      <w:tblGrid>
        <w:gridCol w:w="6202"/>
        <w:gridCol w:w="2418"/>
      </w:tblGrid>
      <w:tr w:rsidR="0063585E" w:rsidRPr="007F07C2" w14:paraId="417921E0" w14:textId="77777777" w:rsidTr="00B6142C">
        <w:trPr>
          <w:trHeight w:val="992"/>
        </w:trPr>
        <w:tc>
          <w:tcPr>
            <w:tcW w:w="6202" w:type="dxa"/>
            <w:tcBorders>
              <w:top w:val="single" w:sz="4" w:space="0" w:color="auto"/>
              <w:left w:val="single" w:sz="4" w:space="0" w:color="auto"/>
              <w:bottom w:val="nil"/>
              <w:right w:val="nil"/>
            </w:tcBorders>
            <w:shd w:val="clear" w:color="000000" w:fill="C00000"/>
            <w:vAlign w:val="center"/>
            <w:hideMark/>
          </w:tcPr>
          <w:p w14:paraId="73D0CA1B" w14:textId="77777777" w:rsidR="0063585E" w:rsidRPr="007F07C2" w:rsidRDefault="0063585E" w:rsidP="0063585E">
            <w:pPr>
              <w:spacing w:after="0" w:line="240" w:lineRule="auto"/>
              <w:jc w:val="center"/>
              <w:rPr>
                <w:rFonts w:ascii="Calibri" w:eastAsia="Times New Roman" w:hAnsi="Calibri" w:cs="Times New Roman"/>
                <w:b/>
                <w:bCs/>
                <w:color w:val="FFFFFF"/>
                <w:lang w:eastAsia="en-GB"/>
              </w:rPr>
            </w:pPr>
            <w:r w:rsidRPr="007F07C2">
              <w:rPr>
                <w:rFonts w:ascii="Calibri" w:eastAsia="Times New Roman" w:hAnsi="Calibri" w:cs="Times New Roman"/>
                <w:b/>
                <w:bCs/>
                <w:color w:val="FFFFFF"/>
                <w:lang w:eastAsia="en-GB"/>
              </w:rPr>
              <w:t>Post Holder Information</w:t>
            </w:r>
          </w:p>
        </w:tc>
        <w:tc>
          <w:tcPr>
            <w:tcW w:w="241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2BE669E4" w14:textId="77777777" w:rsidR="0063585E" w:rsidRPr="007F07C2" w:rsidRDefault="0063585E" w:rsidP="0063585E">
            <w:pPr>
              <w:spacing w:after="0" w:line="240" w:lineRule="auto"/>
              <w:jc w:val="center"/>
              <w:rPr>
                <w:rFonts w:ascii="Calibri" w:eastAsia="Times New Roman" w:hAnsi="Calibri" w:cs="Times New Roman"/>
                <w:b/>
                <w:bCs/>
                <w:color w:val="FFFFFF"/>
                <w:lang w:eastAsia="en-GB"/>
              </w:rPr>
            </w:pPr>
            <w:r w:rsidRPr="007F07C2">
              <w:rPr>
                <w:rFonts w:ascii="Calibri" w:eastAsia="Times New Roman" w:hAnsi="Calibri" w:cs="Times New Roman"/>
                <w:b/>
                <w:bCs/>
                <w:color w:val="FFFFFF"/>
                <w:lang w:eastAsia="en-GB"/>
              </w:rPr>
              <w:t>Start Date (with NCFRA)</w:t>
            </w:r>
          </w:p>
        </w:tc>
      </w:tr>
      <w:tr w:rsidR="0063585E" w:rsidRPr="007F07C2" w14:paraId="4B090EDA" w14:textId="77777777" w:rsidTr="00B6142C">
        <w:trPr>
          <w:trHeight w:val="495"/>
        </w:trPr>
        <w:tc>
          <w:tcPr>
            <w:tcW w:w="6202" w:type="dxa"/>
            <w:tcBorders>
              <w:top w:val="single" w:sz="4" w:space="0" w:color="auto"/>
              <w:left w:val="single" w:sz="4" w:space="0" w:color="auto"/>
              <w:bottom w:val="nil"/>
              <w:right w:val="single" w:sz="4" w:space="0" w:color="auto"/>
            </w:tcBorders>
            <w:shd w:val="clear" w:color="000000" w:fill="FFFFFF"/>
            <w:noWrap/>
            <w:vAlign w:val="bottom"/>
            <w:hideMark/>
          </w:tcPr>
          <w:p w14:paraId="5F15643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Police, Fire and Crime Commissioner</w:t>
            </w:r>
          </w:p>
        </w:tc>
        <w:tc>
          <w:tcPr>
            <w:tcW w:w="2418" w:type="dxa"/>
            <w:tcBorders>
              <w:top w:val="nil"/>
              <w:left w:val="nil"/>
              <w:bottom w:val="nil"/>
              <w:right w:val="single" w:sz="4" w:space="0" w:color="auto"/>
            </w:tcBorders>
            <w:shd w:val="clear" w:color="000000" w:fill="FFFFFF"/>
            <w:noWrap/>
            <w:vAlign w:val="bottom"/>
            <w:hideMark/>
          </w:tcPr>
          <w:p w14:paraId="52B37E81"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63585E" w:rsidRPr="007F07C2" w14:paraId="6BEBF9E1" w14:textId="77777777" w:rsidTr="00B6142C">
        <w:trPr>
          <w:trHeight w:val="495"/>
        </w:trPr>
        <w:tc>
          <w:tcPr>
            <w:tcW w:w="6202" w:type="dxa"/>
            <w:tcBorders>
              <w:top w:val="nil"/>
              <w:left w:val="single" w:sz="4" w:space="0" w:color="auto"/>
              <w:bottom w:val="nil"/>
              <w:right w:val="single" w:sz="4" w:space="0" w:color="auto"/>
            </w:tcBorders>
            <w:shd w:val="clear" w:color="000000" w:fill="FFFFFF"/>
            <w:noWrap/>
            <w:vAlign w:val="bottom"/>
            <w:hideMark/>
          </w:tcPr>
          <w:p w14:paraId="358BA1E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Monitoring Officer</w:t>
            </w:r>
          </w:p>
        </w:tc>
        <w:tc>
          <w:tcPr>
            <w:tcW w:w="2418" w:type="dxa"/>
            <w:tcBorders>
              <w:top w:val="nil"/>
              <w:left w:val="nil"/>
              <w:bottom w:val="nil"/>
              <w:right w:val="single" w:sz="4" w:space="0" w:color="auto"/>
            </w:tcBorders>
            <w:shd w:val="clear" w:color="000000" w:fill="FFFFFF"/>
            <w:noWrap/>
            <w:vAlign w:val="bottom"/>
            <w:hideMark/>
          </w:tcPr>
          <w:p w14:paraId="48CFEE0B"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63585E" w:rsidRPr="007F07C2" w14:paraId="235323BB" w14:textId="77777777" w:rsidTr="00B6142C">
        <w:trPr>
          <w:trHeight w:val="495"/>
        </w:trPr>
        <w:tc>
          <w:tcPr>
            <w:tcW w:w="6202" w:type="dxa"/>
            <w:tcBorders>
              <w:top w:val="nil"/>
              <w:left w:val="single" w:sz="4" w:space="0" w:color="auto"/>
              <w:bottom w:val="nil"/>
              <w:right w:val="single" w:sz="4" w:space="0" w:color="auto"/>
            </w:tcBorders>
            <w:shd w:val="clear" w:color="000000" w:fill="FFFFFF"/>
            <w:noWrap/>
            <w:vAlign w:val="bottom"/>
            <w:hideMark/>
          </w:tcPr>
          <w:p w14:paraId="56DE1D6E" w14:textId="77777777" w:rsidR="0063585E" w:rsidRPr="007F07C2" w:rsidRDefault="0063585E" w:rsidP="0063585E">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Chief Finance Officer</w:t>
            </w:r>
          </w:p>
        </w:tc>
        <w:tc>
          <w:tcPr>
            <w:tcW w:w="2418" w:type="dxa"/>
            <w:tcBorders>
              <w:top w:val="nil"/>
              <w:left w:val="nil"/>
              <w:bottom w:val="nil"/>
              <w:right w:val="single" w:sz="4" w:space="0" w:color="auto"/>
            </w:tcBorders>
            <w:shd w:val="clear" w:color="000000" w:fill="FFFFFF"/>
            <w:noWrap/>
            <w:vAlign w:val="bottom"/>
            <w:hideMark/>
          </w:tcPr>
          <w:p w14:paraId="221BE5FF" w14:textId="77777777" w:rsidR="0063585E" w:rsidRPr="007F07C2" w:rsidRDefault="0063585E" w:rsidP="00B6142C">
            <w:pPr>
              <w:spacing w:after="0" w:line="240" w:lineRule="auto"/>
              <w:jc w:val="center"/>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01/01/2019</w:t>
            </w:r>
          </w:p>
        </w:tc>
      </w:tr>
      <w:tr w:rsidR="00BE7F14" w:rsidRPr="007F07C2" w14:paraId="242A727D" w14:textId="77777777" w:rsidTr="00B6142C">
        <w:trPr>
          <w:trHeight w:val="495"/>
        </w:trPr>
        <w:tc>
          <w:tcPr>
            <w:tcW w:w="6202" w:type="dxa"/>
            <w:tcBorders>
              <w:top w:val="nil"/>
              <w:left w:val="single" w:sz="4" w:space="0" w:color="auto"/>
              <w:bottom w:val="single" w:sz="4" w:space="0" w:color="auto"/>
              <w:right w:val="single" w:sz="4" w:space="0" w:color="auto"/>
            </w:tcBorders>
            <w:shd w:val="clear" w:color="000000" w:fill="FFFFFF"/>
            <w:noWrap/>
            <w:vAlign w:val="bottom"/>
          </w:tcPr>
          <w:p w14:paraId="478E8A56" w14:textId="4146941C" w:rsidR="00BE7F14" w:rsidRPr="007F07C2" w:rsidRDefault="0041448C" w:rsidP="0063585E">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Assistant Chief Officer (Enabling Services)</w:t>
            </w:r>
          </w:p>
        </w:tc>
        <w:tc>
          <w:tcPr>
            <w:tcW w:w="2418" w:type="dxa"/>
            <w:tcBorders>
              <w:top w:val="nil"/>
              <w:left w:val="nil"/>
              <w:bottom w:val="single" w:sz="4" w:space="0" w:color="auto"/>
              <w:right w:val="single" w:sz="4" w:space="0" w:color="auto"/>
            </w:tcBorders>
            <w:shd w:val="clear" w:color="000000" w:fill="FFFFFF"/>
            <w:noWrap/>
            <w:vAlign w:val="bottom"/>
          </w:tcPr>
          <w:p w14:paraId="425DD112" w14:textId="5A31D6AC" w:rsidR="00BE7F14" w:rsidRPr="007F07C2" w:rsidRDefault="0041448C" w:rsidP="00B6142C">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01/04/2020</w:t>
            </w:r>
          </w:p>
        </w:tc>
      </w:tr>
    </w:tbl>
    <w:p w14:paraId="0B76DBD0" w14:textId="77777777" w:rsidR="0063585E" w:rsidRPr="007F07C2" w:rsidRDefault="0063585E" w:rsidP="0079406E">
      <w:pPr>
        <w:autoSpaceDE w:val="0"/>
        <w:autoSpaceDN w:val="0"/>
        <w:adjustRightInd w:val="0"/>
        <w:spacing w:after="0" w:line="240" w:lineRule="auto"/>
        <w:rPr>
          <w:rFonts w:cs="Arial"/>
        </w:rPr>
      </w:pPr>
    </w:p>
    <w:p w14:paraId="69DB6917" w14:textId="7FF071C8" w:rsidR="005B6959" w:rsidRPr="007F07C2" w:rsidRDefault="00C91159" w:rsidP="0079406E">
      <w:pPr>
        <w:autoSpaceDE w:val="0"/>
        <w:autoSpaceDN w:val="0"/>
        <w:adjustRightInd w:val="0"/>
        <w:spacing w:after="0" w:line="240" w:lineRule="auto"/>
        <w:rPr>
          <w:rFonts w:cs="Arial"/>
        </w:rPr>
      </w:pPr>
      <w:r w:rsidRPr="007F07C2">
        <w:rPr>
          <w:rFonts w:cs="Arial"/>
        </w:rPr>
        <w:t>A</w:t>
      </w:r>
      <w:r w:rsidR="0075586D" w:rsidRPr="007F07C2">
        <w:rPr>
          <w:rFonts w:cs="Arial"/>
        </w:rPr>
        <w:t>ll of the above role</w:t>
      </w:r>
      <w:r w:rsidR="00062F19" w:rsidRPr="007F07C2">
        <w:rPr>
          <w:rFonts w:cs="Arial"/>
        </w:rPr>
        <w:t>s</w:t>
      </w:r>
      <w:r w:rsidR="0075586D" w:rsidRPr="007F07C2">
        <w:rPr>
          <w:rFonts w:cs="Arial"/>
        </w:rPr>
        <w:t xml:space="preserve"> </w:t>
      </w:r>
      <w:r w:rsidR="00E7202B" w:rsidRPr="007F07C2">
        <w:rPr>
          <w:rFonts w:cs="Arial"/>
        </w:rPr>
        <w:t xml:space="preserve">remain as at </w:t>
      </w:r>
      <w:r w:rsidR="00E361A3" w:rsidRPr="007F07C2">
        <w:rPr>
          <w:rFonts w:cs="Arial"/>
        </w:rPr>
        <w:t>3</w:t>
      </w:r>
      <w:r w:rsidR="00F91130" w:rsidRPr="007F07C2">
        <w:rPr>
          <w:rFonts w:cs="Arial"/>
        </w:rPr>
        <w:t>1 March 202</w:t>
      </w:r>
      <w:r w:rsidR="00E54138">
        <w:rPr>
          <w:rFonts w:cs="Arial"/>
        </w:rPr>
        <w:t>2</w:t>
      </w:r>
      <w:r w:rsidR="00E7202B" w:rsidRPr="007F07C2">
        <w:rPr>
          <w:rFonts w:cs="Arial"/>
        </w:rPr>
        <w:t>.</w:t>
      </w:r>
    </w:p>
    <w:p w14:paraId="215B8FD8" w14:textId="77777777" w:rsidR="005B6959" w:rsidRPr="007F07C2" w:rsidRDefault="005B6959" w:rsidP="0079406E">
      <w:pPr>
        <w:autoSpaceDE w:val="0"/>
        <w:autoSpaceDN w:val="0"/>
        <w:adjustRightInd w:val="0"/>
        <w:spacing w:after="0" w:line="240" w:lineRule="auto"/>
        <w:rPr>
          <w:rFonts w:cs="Arial"/>
          <w:sz w:val="14"/>
        </w:rPr>
      </w:pPr>
    </w:p>
    <w:p w14:paraId="50AA07F1" w14:textId="4C6C92DE" w:rsidR="00C619E1" w:rsidRPr="007F07C2" w:rsidRDefault="00C93D25" w:rsidP="00C619E1">
      <w:pPr>
        <w:autoSpaceDE w:val="0"/>
        <w:autoSpaceDN w:val="0"/>
        <w:adjustRightInd w:val="0"/>
        <w:spacing w:after="0" w:line="240" w:lineRule="auto"/>
        <w:rPr>
          <w:rFonts w:cs="Arial"/>
        </w:rPr>
      </w:pPr>
      <w:r w:rsidRPr="007F07C2">
        <w:t>For the 20</w:t>
      </w:r>
      <w:r w:rsidR="00E54138">
        <w:t>21</w:t>
      </w:r>
      <w:r w:rsidRPr="007F07C2">
        <w:t>/2</w:t>
      </w:r>
      <w:r w:rsidR="00E54138">
        <w:t>2</w:t>
      </w:r>
      <w:r w:rsidR="003157CC" w:rsidRPr="007F07C2">
        <w:t xml:space="preserve"> financial year, the Authority</w:t>
      </w:r>
      <w:r w:rsidR="009540C6" w:rsidRPr="007F07C2">
        <w:rPr>
          <w:rFonts w:cs="Arial"/>
        </w:rPr>
        <w:t xml:space="preserve"> made a contribution to OPFCC </w:t>
      </w:r>
      <w:r w:rsidR="00A54D4A" w:rsidRPr="007F07C2">
        <w:rPr>
          <w:rFonts w:cs="Arial"/>
        </w:rPr>
        <w:t xml:space="preserve">and this is referenced further within the </w:t>
      </w:r>
      <w:r w:rsidR="00743416" w:rsidRPr="007F07C2">
        <w:rPr>
          <w:rFonts w:cs="Arial"/>
        </w:rPr>
        <w:t>related</w:t>
      </w:r>
      <w:r w:rsidR="00A54D4A" w:rsidRPr="007F07C2">
        <w:rPr>
          <w:rFonts w:cs="Arial"/>
        </w:rPr>
        <w:t xml:space="preserve"> parties note</w:t>
      </w:r>
      <w:r w:rsidR="009540C6" w:rsidRPr="007F07C2">
        <w:rPr>
          <w:rFonts w:cs="Arial"/>
        </w:rPr>
        <w:t xml:space="preserve">. </w:t>
      </w:r>
    </w:p>
    <w:p w14:paraId="25FF846A" w14:textId="77777777" w:rsidR="00656DB2" w:rsidRPr="007F07C2" w:rsidRDefault="00656DB2" w:rsidP="00C619E1">
      <w:pPr>
        <w:autoSpaceDE w:val="0"/>
        <w:autoSpaceDN w:val="0"/>
        <w:adjustRightInd w:val="0"/>
        <w:spacing w:after="0" w:line="240" w:lineRule="auto"/>
        <w:rPr>
          <w:rFonts w:cs="Arial"/>
        </w:rPr>
      </w:pPr>
    </w:p>
    <w:p w14:paraId="5687A482"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20</w:t>
      </w:r>
      <w:r w:rsidR="0079406E" w:rsidRPr="007F07C2">
        <w:rPr>
          <w:rFonts w:cs="Arial"/>
          <w:b/>
          <w:bCs/>
          <w:sz w:val="28"/>
          <w:szCs w:val="28"/>
        </w:rPr>
        <w:t xml:space="preserve"> External Audit costs </w:t>
      </w:r>
    </w:p>
    <w:p w14:paraId="6C2501E6" w14:textId="02A0ECE8" w:rsidR="005A184D" w:rsidRDefault="009540C6" w:rsidP="005A184D">
      <w:pPr>
        <w:autoSpaceDE w:val="0"/>
        <w:autoSpaceDN w:val="0"/>
        <w:adjustRightInd w:val="0"/>
        <w:spacing w:after="0" w:line="240" w:lineRule="auto"/>
        <w:rPr>
          <w:rFonts w:cs="Arial"/>
          <w:sz w:val="18"/>
          <w:szCs w:val="18"/>
        </w:rPr>
      </w:pPr>
      <w:r w:rsidRPr="007F07C2">
        <w:rPr>
          <w:rFonts w:cs="Arial"/>
        </w:rPr>
        <w:t xml:space="preserve">The </w:t>
      </w:r>
      <w:r w:rsidR="00743416" w:rsidRPr="007F07C2">
        <w:rPr>
          <w:rFonts w:cs="Arial"/>
        </w:rPr>
        <w:t>Public</w:t>
      </w:r>
      <w:r w:rsidRPr="007F07C2">
        <w:rPr>
          <w:rFonts w:cs="Arial"/>
        </w:rPr>
        <w:t xml:space="preserve"> Sector Audit Appointments (PSAA) have set a scale fee of £25</w:t>
      </w:r>
      <w:r w:rsidR="00DE1FD3">
        <w:rPr>
          <w:rFonts w:cs="Arial"/>
        </w:rPr>
        <w:t>k</w:t>
      </w:r>
      <w:r w:rsidRPr="007F07C2">
        <w:rPr>
          <w:rFonts w:cs="Arial"/>
        </w:rPr>
        <w:t xml:space="preserve"> for external audit services carried out by th</w:t>
      </w:r>
      <w:r w:rsidR="00A56623" w:rsidRPr="007F07C2">
        <w:rPr>
          <w:rFonts w:cs="Arial"/>
        </w:rPr>
        <w:t>e appointed auditor (EY) in 202</w:t>
      </w:r>
      <w:r w:rsidR="00E54138">
        <w:rPr>
          <w:rFonts w:cs="Arial"/>
        </w:rPr>
        <w:t>1</w:t>
      </w:r>
      <w:r w:rsidR="00A56623" w:rsidRPr="007F07C2">
        <w:rPr>
          <w:rFonts w:cs="Arial"/>
        </w:rPr>
        <w:t>/2</w:t>
      </w:r>
      <w:r w:rsidR="00E54138">
        <w:rPr>
          <w:rFonts w:cs="Arial"/>
        </w:rPr>
        <w:t>2</w:t>
      </w:r>
      <w:r w:rsidR="00062F19" w:rsidRPr="007F07C2">
        <w:rPr>
          <w:rFonts w:cs="Arial"/>
        </w:rPr>
        <w:t xml:space="preserve"> (the </w:t>
      </w:r>
      <w:r w:rsidR="00B91C33" w:rsidRPr="007F07C2">
        <w:rPr>
          <w:rFonts w:cs="Arial"/>
        </w:rPr>
        <w:t>scale fee of</w:t>
      </w:r>
      <w:r w:rsidR="00062F19" w:rsidRPr="007F07C2">
        <w:rPr>
          <w:rFonts w:cs="Arial"/>
        </w:rPr>
        <w:t xml:space="preserve"> £2</w:t>
      </w:r>
      <w:r w:rsidR="00A56623" w:rsidRPr="007F07C2">
        <w:rPr>
          <w:rFonts w:cs="Arial"/>
        </w:rPr>
        <w:t>5</w:t>
      </w:r>
      <w:r w:rsidR="00DE1FD3">
        <w:rPr>
          <w:rFonts w:cs="Arial"/>
        </w:rPr>
        <w:t>k</w:t>
      </w:r>
      <w:r w:rsidR="00A56623" w:rsidRPr="007F07C2">
        <w:rPr>
          <w:rFonts w:cs="Arial"/>
        </w:rPr>
        <w:t xml:space="preserve"> was payable for 20</w:t>
      </w:r>
      <w:r w:rsidR="00E54138">
        <w:rPr>
          <w:rFonts w:cs="Arial"/>
        </w:rPr>
        <w:t>20</w:t>
      </w:r>
      <w:r w:rsidR="00A56623" w:rsidRPr="007F07C2">
        <w:rPr>
          <w:rFonts w:cs="Arial"/>
        </w:rPr>
        <w:t>/2</w:t>
      </w:r>
      <w:r w:rsidR="00E54138">
        <w:rPr>
          <w:rFonts w:cs="Arial"/>
        </w:rPr>
        <w:t>1</w:t>
      </w:r>
      <w:r w:rsidR="00B91C33" w:rsidRPr="007F07C2">
        <w:rPr>
          <w:rFonts w:cs="Arial"/>
        </w:rPr>
        <w:t xml:space="preserve"> and further cost requested remain under discussion</w:t>
      </w:r>
      <w:r w:rsidR="00A54D4A" w:rsidRPr="007F07C2">
        <w:rPr>
          <w:rFonts w:cs="Arial"/>
        </w:rPr>
        <w:t xml:space="preserve"> with PSAA</w:t>
      </w:r>
      <w:r w:rsidR="00062F19" w:rsidRPr="007F07C2">
        <w:rPr>
          <w:rFonts w:cs="Arial"/>
        </w:rPr>
        <w:t>)</w:t>
      </w:r>
      <w:r w:rsidRPr="007F07C2">
        <w:rPr>
          <w:rFonts w:cs="Arial"/>
        </w:rPr>
        <w:t xml:space="preserve">. The </w:t>
      </w:r>
      <w:r w:rsidR="00A56623" w:rsidRPr="007F07C2">
        <w:rPr>
          <w:rFonts w:cs="Arial"/>
        </w:rPr>
        <w:t>2020/21</w:t>
      </w:r>
      <w:r w:rsidR="00062F19" w:rsidRPr="007F07C2">
        <w:rPr>
          <w:rFonts w:cs="Arial"/>
        </w:rPr>
        <w:t xml:space="preserve"> </w:t>
      </w:r>
      <w:r w:rsidRPr="007F07C2">
        <w:rPr>
          <w:rFonts w:cs="Arial"/>
        </w:rPr>
        <w:t>amount is</w:t>
      </w:r>
      <w:r w:rsidR="00B91C33" w:rsidRPr="007F07C2">
        <w:rPr>
          <w:rFonts w:cs="Arial"/>
        </w:rPr>
        <w:t xml:space="preserve"> also</w:t>
      </w:r>
      <w:r w:rsidRPr="007F07C2">
        <w:rPr>
          <w:rFonts w:cs="Arial"/>
        </w:rPr>
        <w:t xml:space="preserve"> cur</w:t>
      </w:r>
      <w:r w:rsidR="00A56623" w:rsidRPr="007F07C2">
        <w:rPr>
          <w:rFonts w:cs="Arial"/>
        </w:rPr>
        <w:t>rently under discussion with EY.</w:t>
      </w:r>
    </w:p>
    <w:p w14:paraId="52511F5D" w14:textId="77777777" w:rsidR="004636B4" w:rsidRPr="004636B4" w:rsidRDefault="005A184D" w:rsidP="004636B4">
      <w:pPr>
        <w:autoSpaceDE w:val="0"/>
        <w:autoSpaceDN w:val="0"/>
        <w:adjustRightInd w:val="0"/>
        <w:spacing w:after="0" w:line="240" w:lineRule="auto"/>
        <w:rPr>
          <w:rFonts w:cs="Arial"/>
          <w:b/>
          <w:bCs/>
          <w:sz w:val="28"/>
          <w:szCs w:val="28"/>
        </w:rPr>
      </w:pPr>
      <w:r>
        <w:rPr>
          <w:rFonts w:cs="Arial"/>
          <w:sz w:val="18"/>
          <w:szCs w:val="18"/>
        </w:rPr>
        <w:br w:type="page"/>
      </w:r>
      <w:r w:rsidR="0079406E" w:rsidRPr="007F07C2">
        <w:rPr>
          <w:rFonts w:cs="Arial"/>
          <w:b/>
          <w:bCs/>
          <w:sz w:val="28"/>
          <w:szCs w:val="28"/>
        </w:rPr>
        <w:lastRenderedPageBreak/>
        <w:t>2</w:t>
      </w:r>
      <w:r w:rsidR="00E55282" w:rsidRPr="007F07C2">
        <w:rPr>
          <w:rFonts w:cs="Arial"/>
          <w:b/>
          <w:bCs/>
          <w:sz w:val="28"/>
          <w:szCs w:val="28"/>
        </w:rPr>
        <w:t>1</w:t>
      </w:r>
      <w:r w:rsidR="0079406E" w:rsidRPr="007F07C2">
        <w:rPr>
          <w:rFonts w:cs="Arial"/>
          <w:b/>
          <w:bCs/>
          <w:sz w:val="28"/>
          <w:szCs w:val="28"/>
        </w:rPr>
        <w:t xml:space="preserve"> Related parties </w:t>
      </w:r>
    </w:p>
    <w:p w14:paraId="76FC6383" w14:textId="60C3CB0A" w:rsidR="00EF4B59" w:rsidRPr="004636B4" w:rsidRDefault="00EF4B59" w:rsidP="004636B4">
      <w:pPr>
        <w:rPr>
          <w:rFonts w:cs="Arial"/>
          <w:sz w:val="18"/>
          <w:szCs w:val="18"/>
        </w:rPr>
      </w:pPr>
      <w:r w:rsidRPr="00ED2A06">
        <w:rPr>
          <w:rFonts w:cs="Arial"/>
        </w:rPr>
        <w:t>IPSAS 20 Related Party Disclosures, based on IAS 24, requires NCFRA to disclose material transactions and outstanding balances with related parties – bodies or individuals that have the potential to control or influence NCFRA or to be controlled or influenced by NCFRA.</w:t>
      </w:r>
    </w:p>
    <w:p w14:paraId="69CB10E8" w14:textId="77777777" w:rsidR="00EF4B59" w:rsidRPr="00ED2A06" w:rsidRDefault="00EF4B59" w:rsidP="00EF4B59">
      <w:pPr>
        <w:autoSpaceDE w:val="0"/>
        <w:autoSpaceDN w:val="0"/>
        <w:adjustRightInd w:val="0"/>
        <w:spacing w:after="0" w:line="240" w:lineRule="auto"/>
        <w:rPr>
          <w:rFonts w:cs="Arial"/>
        </w:rPr>
      </w:pPr>
      <w:r w:rsidRPr="00ED2A06">
        <w:rPr>
          <w:rFonts w:cs="Arial"/>
        </w:rPr>
        <w:t xml:space="preserve">Central Government has effective control over the general operations of both NCFRA and the OPFCC. It is responsible for providing the statutory framework within which NCFRA and the OPFCC operates, together with funding in the form of general or specific grants. </w:t>
      </w:r>
    </w:p>
    <w:p w14:paraId="2E549250" w14:textId="77777777" w:rsidR="00EF4B59" w:rsidRPr="00ED2A06" w:rsidRDefault="00EF4B59" w:rsidP="00EF4B59">
      <w:pPr>
        <w:autoSpaceDE w:val="0"/>
        <w:autoSpaceDN w:val="0"/>
        <w:adjustRightInd w:val="0"/>
        <w:spacing w:after="0" w:line="240" w:lineRule="auto"/>
        <w:rPr>
          <w:rFonts w:cs="Arial"/>
        </w:rPr>
      </w:pPr>
    </w:p>
    <w:p w14:paraId="7D7DCE77" w14:textId="640901A8" w:rsidR="00EF4B59" w:rsidRPr="00ED2A06" w:rsidRDefault="00EF4B59" w:rsidP="00EF4B59">
      <w:pPr>
        <w:autoSpaceDE w:val="0"/>
        <w:autoSpaceDN w:val="0"/>
        <w:adjustRightInd w:val="0"/>
        <w:spacing w:after="0" w:line="240" w:lineRule="auto"/>
        <w:rPr>
          <w:rFonts w:cs="Arial"/>
        </w:rPr>
      </w:pPr>
      <w:r w:rsidRPr="00ED2A06">
        <w:rPr>
          <w:rFonts w:cs="Arial"/>
        </w:rPr>
        <w:t>In January 2019, the Police Fire and Crime Commissioner (PFCC) took on Governance for the Northamptonshire Commissioner Fire and Rescue Authority (NCFRA). The Director of Delivery (and Monitoring Officer) and Chief Finance Officer of the OPFCC undertake these roles in NCFRA. All OPFCC Directors and OPFCC staff support the governance of NCFRA and a joint Communications Team for OPFCC and Fire was also in place during the year. The costs are reviewed annually and in 2021</w:t>
      </w:r>
      <w:r w:rsidR="00914701">
        <w:rPr>
          <w:rFonts w:cs="Arial"/>
        </w:rPr>
        <w:t>/</w:t>
      </w:r>
      <w:r w:rsidRPr="00ED2A06">
        <w:rPr>
          <w:rFonts w:cs="Arial"/>
        </w:rPr>
        <w:t>22, the sum of £362</w:t>
      </w:r>
      <w:r w:rsidR="00DE1FD3">
        <w:rPr>
          <w:rFonts w:cs="Arial"/>
        </w:rPr>
        <w:t>k</w:t>
      </w:r>
      <w:r w:rsidRPr="00ED2A06">
        <w:rPr>
          <w:rFonts w:cs="Arial"/>
        </w:rPr>
        <w:t xml:space="preserve"> was charged to NCFRA for this support. </w:t>
      </w:r>
    </w:p>
    <w:p w14:paraId="5E66AF67" w14:textId="77777777" w:rsidR="00EF4B59" w:rsidRPr="00ED2A06" w:rsidRDefault="00EF4B59" w:rsidP="00EF4B59">
      <w:pPr>
        <w:autoSpaceDE w:val="0"/>
        <w:autoSpaceDN w:val="0"/>
        <w:adjustRightInd w:val="0"/>
        <w:spacing w:after="0" w:line="240" w:lineRule="auto"/>
        <w:rPr>
          <w:rFonts w:cs="Arial"/>
        </w:rPr>
      </w:pPr>
    </w:p>
    <w:p w14:paraId="2463EC25" w14:textId="0E1B6364" w:rsidR="00EF4B59" w:rsidRPr="00ED2A06" w:rsidRDefault="00EF4B59" w:rsidP="00EF4B59">
      <w:pPr>
        <w:autoSpaceDE w:val="0"/>
        <w:autoSpaceDN w:val="0"/>
        <w:adjustRightInd w:val="0"/>
        <w:spacing w:after="0" w:line="240" w:lineRule="auto"/>
        <w:rPr>
          <w:rFonts w:cs="Arial"/>
        </w:rPr>
      </w:pPr>
      <w:r w:rsidRPr="00ED2A06">
        <w:rPr>
          <w:rFonts w:cs="Arial"/>
        </w:rPr>
        <w:t>Furthermore, the OPFCC agreed to fund a post in Fire of up to three years to support Youth engagement, the LGA subscription and a contribution to the acorn demography tool. These costs equated to £51</w:t>
      </w:r>
      <w:r w:rsidR="00DE1FD3">
        <w:rPr>
          <w:rFonts w:cs="Arial"/>
        </w:rPr>
        <w:t>k</w:t>
      </w:r>
      <w:r w:rsidRPr="00ED2A06">
        <w:rPr>
          <w:rFonts w:cs="Arial"/>
        </w:rPr>
        <w:t>.</w:t>
      </w:r>
    </w:p>
    <w:p w14:paraId="2867063C" w14:textId="77777777" w:rsidR="00EF4B59" w:rsidRPr="00ED2A06" w:rsidRDefault="00EF4B59" w:rsidP="00EF4B59">
      <w:pPr>
        <w:autoSpaceDE w:val="0"/>
        <w:autoSpaceDN w:val="0"/>
        <w:adjustRightInd w:val="0"/>
        <w:spacing w:after="0" w:line="240" w:lineRule="auto"/>
        <w:rPr>
          <w:rFonts w:cs="Arial"/>
        </w:rPr>
      </w:pPr>
    </w:p>
    <w:p w14:paraId="1366E785" w14:textId="3B66E081" w:rsidR="00EF4B59" w:rsidRPr="00ED2A06" w:rsidRDefault="00EF4B59" w:rsidP="00EF4B59">
      <w:pPr>
        <w:autoSpaceDE w:val="0"/>
        <w:autoSpaceDN w:val="0"/>
        <w:adjustRightInd w:val="0"/>
        <w:spacing w:after="0" w:line="240" w:lineRule="auto"/>
        <w:rPr>
          <w:rFonts w:cs="Arial"/>
        </w:rPr>
      </w:pPr>
      <w:r w:rsidRPr="00ED2A06">
        <w:rPr>
          <w:rFonts w:cs="Arial"/>
        </w:rPr>
        <w:t>In 2021</w:t>
      </w:r>
      <w:r w:rsidR="00914701">
        <w:rPr>
          <w:rFonts w:cs="Arial"/>
        </w:rPr>
        <w:t>/</w:t>
      </w:r>
      <w:r w:rsidRPr="00ED2A06">
        <w:rPr>
          <w:rFonts w:cs="Arial"/>
        </w:rPr>
        <w:t>22, NCFRA paid the OPFCC the third and final contribution of £63</w:t>
      </w:r>
      <w:r w:rsidR="00DE1FD3">
        <w:rPr>
          <w:rFonts w:cs="Arial"/>
        </w:rPr>
        <w:t>k</w:t>
      </w:r>
      <w:r w:rsidRPr="00ED2A06">
        <w:rPr>
          <w:rFonts w:cs="Arial"/>
        </w:rPr>
        <w:t xml:space="preserve"> towards Fires share of the set up costs. Whilst paid over three years, these costs were accounted for in 2018</w:t>
      </w:r>
      <w:r w:rsidR="00914701">
        <w:rPr>
          <w:rFonts w:cs="Arial"/>
        </w:rPr>
        <w:t>/</w:t>
      </w:r>
      <w:r w:rsidRPr="00ED2A06">
        <w:rPr>
          <w:rFonts w:cs="Arial"/>
        </w:rPr>
        <w:t>19.</w:t>
      </w:r>
    </w:p>
    <w:p w14:paraId="6DCC83E0" w14:textId="77777777" w:rsidR="00EF4B59" w:rsidRPr="00ED2A06" w:rsidRDefault="00EF4B59" w:rsidP="00EF4B59">
      <w:pPr>
        <w:autoSpaceDE w:val="0"/>
        <w:autoSpaceDN w:val="0"/>
        <w:adjustRightInd w:val="0"/>
        <w:spacing w:after="0" w:line="240" w:lineRule="auto"/>
        <w:rPr>
          <w:rFonts w:cs="Arial"/>
        </w:rPr>
      </w:pPr>
    </w:p>
    <w:p w14:paraId="59EC08CE" w14:textId="77777777" w:rsidR="00EF4B59" w:rsidRPr="00ED2A06" w:rsidRDefault="00EF4B59" w:rsidP="00EF4B59">
      <w:pPr>
        <w:autoSpaceDE w:val="0"/>
        <w:autoSpaceDN w:val="0"/>
        <w:adjustRightInd w:val="0"/>
        <w:spacing w:after="0" w:line="240" w:lineRule="auto"/>
        <w:rPr>
          <w:rFonts w:cs="Arial"/>
        </w:rPr>
      </w:pPr>
      <w:r w:rsidRPr="00ED2A06">
        <w:rPr>
          <w:rFonts w:cs="Arial"/>
        </w:rPr>
        <w:t>NCFRA and Northamptonshire Police work together on a number of collaboration activities or where one organisation provides services for another. A separate collaboration agreement is in place which sets out the governance arrangements for existing and future collaborative activities between OPFCC, the Chief Constable (CC) and NCFRA. This agreement was reviewed in December 2021.</w:t>
      </w:r>
    </w:p>
    <w:p w14:paraId="4F1ABE59" w14:textId="77777777" w:rsidR="00EF4B59" w:rsidRPr="00ED2A06" w:rsidRDefault="00EF4B59" w:rsidP="00EF4B59">
      <w:pPr>
        <w:autoSpaceDE w:val="0"/>
        <w:autoSpaceDN w:val="0"/>
        <w:adjustRightInd w:val="0"/>
        <w:spacing w:after="0" w:line="240" w:lineRule="auto"/>
        <w:rPr>
          <w:rFonts w:cs="Arial"/>
        </w:rPr>
      </w:pPr>
    </w:p>
    <w:p w14:paraId="50052B4E" w14:textId="3B9C559E" w:rsidR="00EF4B59" w:rsidRPr="00ED2A06" w:rsidRDefault="00EF4B59" w:rsidP="00EF4B59">
      <w:pPr>
        <w:autoSpaceDE w:val="0"/>
        <w:autoSpaceDN w:val="0"/>
        <w:adjustRightInd w:val="0"/>
        <w:spacing w:after="0" w:line="240" w:lineRule="auto"/>
        <w:rPr>
          <w:rFonts w:cs="Arial"/>
        </w:rPr>
      </w:pPr>
      <w:r w:rsidRPr="00ED2A06">
        <w:rPr>
          <w:rFonts w:cs="Arial"/>
        </w:rPr>
        <w:t>NCFRA and Police collaborate on operational and non- operational activities. Enabling services for shared support services teams were further embedded for Finance, Estates, Commercial Procurement, Fleet, HR, ICT and Stores during the year and Fire moved into the shared Darby House accommodation. During 2021</w:t>
      </w:r>
      <w:r w:rsidR="00914701">
        <w:rPr>
          <w:rFonts w:cs="Arial"/>
        </w:rPr>
        <w:t>/</w:t>
      </w:r>
      <w:r w:rsidRPr="00ED2A06">
        <w:rPr>
          <w:rFonts w:cs="Arial"/>
        </w:rPr>
        <w:t>22, net charges of £1.208m were charged by Police to NCFRA for these services.</w:t>
      </w:r>
    </w:p>
    <w:p w14:paraId="715B3A68" w14:textId="77777777" w:rsidR="00EF4B59" w:rsidRPr="00ED2A06" w:rsidRDefault="00EF4B59" w:rsidP="00EF4B59">
      <w:pPr>
        <w:autoSpaceDE w:val="0"/>
        <w:autoSpaceDN w:val="0"/>
        <w:adjustRightInd w:val="0"/>
        <w:spacing w:after="0" w:line="240" w:lineRule="auto"/>
        <w:rPr>
          <w:rFonts w:cs="Arial"/>
        </w:rPr>
      </w:pPr>
    </w:p>
    <w:p w14:paraId="53DC9746" w14:textId="77777777" w:rsidR="00EF4B59" w:rsidRPr="00ED2A06" w:rsidRDefault="00EF4B59" w:rsidP="00EF4B59">
      <w:pPr>
        <w:autoSpaceDE w:val="0"/>
        <w:autoSpaceDN w:val="0"/>
        <w:adjustRightInd w:val="0"/>
        <w:spacing w:after="0" w:line="240" w:lineRule="auto"/>
        <w:rPr>
          <w:rFonts w:cs="Arial"/>
        </w:rPr>
      </w:pPr>
      <w:r w:rsidRPr="00ED2A06">
        <w:rPr>
          <w:rFonts w:cs="Arial"/>
        </w:rPr>
        <w:t>NCFRA collaborate and deliver mutual aid arrangements to and from other Fire Authorities. They collaborate with Warwickshire for the control room and system.</w:t>
      </w:r>
    </w:p>
    <w:p w14:paraId="50A43D0F" w14:textId="77777777" w:rsidR="00EF4B59" w:rsidRPr="00ED2A06" w:rsidRDefault="00EF4B59" w:rsidP="00EF4B59">
      <w:pPr>
        <w:autoSpaceDE w:val="0"/>
        <w:autoSpaceDN w:val="0"/>
        <w:adjustRightInd w:val="0"/>
        <w:spacing w:after="0" w:line="240" w:lineRule="auto"/>
        <w:rPr>
          <w:rFonts w:cs="Arial"/>
        </w:rPr>
      </w:pPr>
    </w:p>
    <w:p w14:paraId="47C7401D" w14:textId="77777777" w:rsidR="00EF4B59" w:rsidRPr="00ED2A06" w:rsidRDefault="00EF4B59" w:rsidP="00EF4B59">
      <w:pPr>
        <w:autoSpaceDE w:val="0"/>
        <w:autoSpaceDN w:val="0"/>
        <w:adjustRightInd w:val="0"/>
        <w:spacing w:after="0" w:line="240" w:lineRule="auto"/>
        <w:rPr>
          <w:rFonts w:cs="Arial"/>
        </w:rPr>
      </w:pPr>
      <w:r w:rsidRPr="00ED2A06">
        <w:rPr>
          <w:rFonts w:cs="Arial"/>
        </w:rPr>
        <w:t xml:space="preserve">The OPFCC maintains a register of business interests and key members of staff in the OPFCC and NCFRA Chief Officers and the JIAC members are required, at the end of each year, to declare whether they, or any member of their immediate family, have had any related party transactions (i.e. significant financial dealings) with the OPFCC and NCFRA. All returns were received and reviewed by the S151 Officer. </w:t>
      </w:r>
    </w:p>
    <w:p w14:paraId="41F3864E" w14:textId="77777777" w:rsidR="00EF4B59" w:rsidRPr="00ED2A06" w:rsidRDefault="00EF4B59" w:rsidP="00EF4B59">
      <w:pPr>
        <w:autoSpaceDE w:val="0"/>
        <w:autoSpaceDN w:val="0"/>
        <w:adjustRightInd w:val="0"/>
        <w:spacing w:after="0" w:line="240" w:lineRule="auto"/>
        <w:rPr>
          <w:rFonts w:cs="Arial"/>
        </w:rPr>
      </w:pPr>
    </w:p>
    <w:p w14:paraId="36743C26" w14:textId="77777777" w:rsidR="00EF4B59" w:rsidRPr="00ED2A06" w:rsidRDefault="00EF4B59" w:rsidP="00EF4B59">
      <w:pPr>
        <w:autoSpaceDE w:val="0"/>
        <w:autoSpaceDN w:val="0"/>
        <w:adjustRightInd w:val="0"/>
        <w:spacing w:after="0" w:line="240" w:lineRule="auto"/>
        <w:rPr>
          <w:rFonts w:cs="Arial"/>
        </w:rPr>
      </w:pPr>
      <w:r w:rsidRPr="00ED2A06">
        <w:rPr>
          <w:rFonts w:cs="Arial"/>
        </w:rPr>
        <w:t>During the year, whilst NCFRA do not contribute financially, they continued as active participants in the Cadets arrangements with other Bluelight services in Northamptonshire.</w:t>
      </w:r>
    </w:p>
    <w:p w14:paraId="2434412B" w14:textId="77777777" w:rsidR="00EF4B59" w:rsidRPr="00ED2A06" w:rsidRDefault="00EF4B59" w:rsidP="00EF4B59">
      <w:pPr>
        <w:autoSpaceDE w:val="0"/>
        <w:autoSpaceDN w:val="0"/>
        <w:adjustRightInd w:val="0"/>
        <w:spacing w:after="0" w:line="240" w:lineRule="auto"/>
        <w:rPr>
          <w:rFonts w:cs="Arial"/>
        </w:rPr>
      </w:pPr>
    </w:p>
    <w:p w14:paraId="03B4CD6A" w14:textId="74341CAA" w:rsidR="00EF4B59" w:rsidRPr="00ED2A06" w:rsidRDefault="00EF4B59" w:rsidP="00EF4B59">
      <w:pPr>
        <w:autoSpaceDE w:val="0"/>
        <w:autoSpaceDN w:val="0"/>
        <w:adjustRightInd w:val="0"/>
        <w:spacing w:after="0" w:line="240" w:lineRule="auto"/>
        <w:rPr>
          <w:rFonts w:cs="Arial"/>
        </w:rPr>
      </w:pPr>
      <w:r w:rsidRPr="00ED2A06">
        <w:rPr>
          <w:rFonts w:cs="Arial"/>
        </w:rPr>
        <w:t>During the first seven months of the year, NCFRA used the commercial procurement services of MINT which equated to approx. £17.5</w:t>
      </w:r>
      <w:r w:rsidR="00DE1FD3">
        <w:rPr>
          <w:rFonts w:cs="Arial"/>
        </w:rPr>
        <w:t>k</w:t>
      </w:r>
      <w:r w:rsidRPr="00ED2A06">
        <w:rPr>
          <w:rFonts w:cs="Arial"/>
        </w:rPr>
        <w:t xml:space="preserve">. MINT was set up as a Limited Liability Partnership in 2020 by the PFCC Northamptonshire and the PCC Nottinghamshire to provide procurement services for organisations. The PFCC and the Director of Early Intervention and Monitoring Officer are two of the board members of the company. Procurement services were provided to NCFRA by shared services arrangements from October 2021 and MINT ceased trading on 31 March 2022. </w:t>
      </w:r>
    </w:p>
    <w:p w14:paraId="4A39173A" w14:textId="77777777" w:rsidR="00EF4B59" w:rsidRPr="00ED2A06" w:rsidRDefault="00EF4B59" w:rsidP="00EF4B59">
      <w:pPr>
        <w:autoSpaceDE w:val="0"/>
        <w:autoSpaceDN w:val="0"/>
        <w:adjustRightInd w:val="0"/>
        <w:spacing w:after="0" w:line="240" w:lineRule="auto"/>
        <w:rPr>
          <w:rFonts w:cs="Arial"/>
        </w:rPr>
      </w:pPr>
    </w:p>
    <w:p w14:paraId="0B3CDCFF" w14:textId="5DB28E5A" w:rsidR="00EF4B59" w:rsidRPr="00ED2A06" w:rsidRDefault="00EF4B59" w:rsidP="00EF4B59">
      <w:pPr>
        <w:autoSpaceDE w:val="0"/>
        <w:autoSpaceDN w:val="0"/>
        <w:adjustRightInd w:val="0"/>
        <w:spacing w:after="0" w:line="240" w:lineRule="auto"/>
        <w:rPr>
          <w:rFonts w:cs="Arial"/>
        </w:rPr>
      </w:pPr>
      <w:r w:rsidRPr="00ED2A06">
        <w:rPr>
          <w:rFonts w:cs="Arial"/>
        </w:rPr>
        <w:t>NCFRA continued to receive some support services from West and North Northamptonshire which had been previously provided by Local Government Shared Services (LGSS) and Northamptonshire County Council (NCC).  These charges equated to £202</w:t>
      </w:r>
      <w:r w:rsidR="00DE1FD3">
        <w:rPr>
          <w:rFonts w:cs="Arial"/>
        </w:rPr>
        <w:t>k</w:t>
      </w:r>
      <w:r w:rsidRPr="00ED2A06">
        <w:rPr>
          <w:rFonts w:cs="Arial"/>
        </w:rPr>
        <w:t xml:space="preserve"> from West and £15</w:t>
      </w:r>
      <w:r w:rsidR="00DE1FD3">
        <w:rPr>
          <w:rFonts w:cs="Arial"/>
        </w:rPr>
        <w:t>k</w:t>
      </w:r>
      <w:r w:rsidRPr="00ED2A06">
        <w:rPr>
          <w:rFonts w:cs="Arial"/>
        </w:rPr>
        <w:t xml:space="preserve"> from North Northamptonshire during 2021</w:t>
      </w:r>
      <w:r w:rsidR="00914701">
        <w:rPr>
          <w:rFonts w:cs="Arial"/>
        </w:rPr>
        <w:t>/</w:t>
      </w:r>
      <w:r w:rsidRPr="00ED2A06">
        <w:rPr>
          <w:rFonts w:cs="Arial"/>
        </w:rPr>
        <w:t>22.</w:t>
      </w:r>
    </w:p>
    <w:p w14:paraId="38F6DCB5" w14:textId="77777777" w:rsidR="00EF4B59" w:rsidRPr="00ED2A06" w:rsidRDefault="00EF4B59" w:rsidP="00EF4B59">
      <w:pPr>
        <w:autoSpaceDE w:val="0"/>
        <w:autoSpaceDN w:val="0"/>
        <w:adjustRightInd w:val="0"/>
        <w:spacing w:after="0" w:line="240" w:lineRule="auto"/>
        <w:rPr>
          <w:rFonts w:cs="Arial"/>
        </w:rPr>
      </w:pPr>
    </w:p>
    <w:p w14:paraId="6199F585" w14:textId="3A1BB334" w:rsidR="00B6142C" w:rsidRDefault="00EF4B59" w:rsidP="0079406E">
      <w:pPr>
        <w:autoSpaceDE w:val="0"/>
        <w:autoSpaceDN w:val="0"/>
        <w:adjustRightInd w:val="0"/>
        <w:spacing w:after="0" w:line="240" w:lineRule="auto"/>
        <w:rPr>
          <w:rFonts w:cs="Arial"/>
        </w:rPr>
      </w:pPr>
      <w:r w:rsidRPr="00ED2A06">
        <w:rPr>
          <w:rFonts w:cs="Arial"/>
        </w:rPr>
        <w:t>During the COVID-19 Pandemic, NCFRA have provided mutual aid arrangements to other public sector organisations as part of the local resilience forum for Northamptonshire. Some costs could be recharged and any additional costs were met from COVID-19 funding from the Home Office.</w:t>
      </w:r>
    </w:p>
    <w:p w14:paraId="53B6B026" w14:textId="77777777" w:rsidR="003C3A4C" w:rsidRDefault="003C3A4C" w:rsidP="0079406E">
      <w:pPr>
        <w:autoSpaceDE w:val="0"/>
        <w:autoSpaceDN w:val="0"/>
        <w:adjustRightInd w:val="0"/>
        <w:spacing w:after="0" w:line="240" w:lineRule="auto"/>
        <w:rPr>
          <w:rFonts w:cs="Arial"/>
        </w:rPr>
      </w:pPr>
    </w:p>
    <w:p w14:paraId="5155544F" w14:textId="78BF6531" w:rsidR="0079406E" w:rsidRPr="00B6142C" w:rsidRDefault="0079406E" w:rsidP="0079406E">
      <w:pPr>
        <w:autoSpaceDE w:val="0"/>
        <w:autoSpaceDN w:val="0"/>
        <w:adjustRightInd w:val="0"/>
        <w:spacing w:after="0" w:line="240" w:lineRule="auto"/>
        <w:rPr>
          <w:rFonts w:cs="Arial"/>
        </w:rPr>
      </w:pPr>
      <w:r w:rsidRPr="007F07C2">
        <w:rPr>
          <w:rFonts w:cs="Arial"/>
          <w:b/>
          <w:bCs/>
          <w:sz w:val="28"/>
          <w:szCs w:val="28"/>
        </w:rPr>
        <w:lastRenderedPageBreak/>
        <w:t>2</w:t>
      </w:r>
      <w:r w:rsidR="00E55282" w:rsidRPr="007F07C2">
        <w:rPr>
          <w:rFonts w:cs="Arial"/>
          <w:b/>
          <w:bCs/>
          <w:sz w:val="28"/>
          <w:szCs w:val="28"/>
        </w:rPr>
        <w:t>2</w:t>
      </w:r>
      <w:r w:rsidRPr="007F07C2">
        <w:rPr>
          <w:rFonts w:cs="Arial"/>
          <w:b/>
          <w:bCs/>
          <w:sz w:val="28"/>
          <w:szCs w:val="28"/>
        </w:rPr>
        <w:t xml:space="preserve"> Capital expenditure and capital financing </w:t>
      </w:r>
    </w:p>
    <w:p w14:paraId="22CC745C" w14:textId="77777777" w:rsidR="006D0C7E" w:rsidRPr="007F07C2" w:rsidRDefault="00EC5F91" w:rsidP="0079406E">
      <w:pPr>
        <w:autoSpaceDE w:val="0"/>
        <w:autoSpaceDN w:val="0"/>
        <w:adjustRightInd w:val="0"/>
        <w:spacing w:after="0" w:line="240" w:lineRule="auto"/>
      </w:pPr>
      <w:r w:rsidRPr="007F07C2">
        <w:t>The movement on the Capital Financing Requirement in the year was as follows:</w:t>
      </w:r>
    </w:p>
    <w:tbl>
      <w:tblPr>
        <w:tblW w:w="0" w:type="auto"/>
        <w:tblLayout w:type="fixed"/>
        <w:tblLook w:val="04A0" w:firstRow="1" w:lastRow="0" w:firstColumn="1" w:lastColumn="0" w:noHBand="0" w:noVBand="1"/>
      </w:tblPr>
      <w:tblGrid>
        <w:gridCol w:w="315"/>
        <w:gridCol w:w="2003"/>
        <w:gridCol w:w="5130"/>
        <w:gridCol w:w="1635"/>
        <w:gridCol w:w="276"/>
      </w:tblGrid>
      <w:tr w:rsidR="000E3E81" w:rsidRPr="001B221B" w14:paraId="1AD199AC" w14:textId="77777777" w:rsidTr="007B26E9">
        <w:trPr>
          <w:trHeight w:val="109"/>
        </w:trPr>
        <w:tc>
          <w:tcPr>
            <w:tcW w:w="315" w:type="dxa"/>
            <w:tcBorders>
              <w:top w:val="nil"/>
              <w:left w:val="nil"/>
              <w:bottom w:val="nil"/>
              <w:right w:val="nil"/>
            </w:tcBorders>
            <w:shd w:val="clear" w:color="000000" w:fill="FFFFFF"/>
            <w:noWrap/>
            <w:vAlign w:val="bottom"/>
            <w:hideMark/>
          </w:tcPr>
          <w:p w14:paraId="0930258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nil"/>
              <w:right w:val="nil"/>
            </w:tcBorders>
            <w:shd w:val="clear" w:color="000000" w:fill="FFFFFF"/>
            <w:vAlign w:val="bottom"/>
            <w:hideMark/>
          </w:tcPr>
          <w:p w14:paraId="171C76C0"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5130" w:type="dxa"/>
            <w:tcBorders>
              <w:top w:val="nil"/>
              <w:left w:val="nil"/>
              <w:right w:val="nil"/>
            </w:tcBorders>
            <w:shd w:val="clear" w:color="000000" w:fill="FFFFFF"/>
            <w:vAlign w:val="bottom"/>
            <w:hideMark/>
          </w:tcPr>
          <w:p w14:paraId="3A045AE6"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635" w:type="dxa"/>
            <w:tcBorders>
              <w:top w:val="nil"/>
              <w:left w:val="nil"/>
              <w:right w:val="nil"/>
            </w:tcBorders>
            <w:shd w:val="clear" w:color="000000" w:fill="FFFFFF"/>
            <w:noWrap/>
            <w:hideMark/>
          </w:tcPr>
          <w:p w14:paraId="541FF767"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276" w:type="dxa"/>
            <w:tcBorders>
              <w:top w:val="nil"/>
              <w:left w:val="nil"/>
              <w:bottom w:val="nil"/>
              <w:right w:val="nil"/>
            </w:tcBorders>
            <w:shd w:val="clear" w:color="000000" w:fill="FFFFFF"/>
            <w:noWrap/>
            <w:hideMark/>
          </w:tcPr>
          <w:p w14:paraId="6963200E"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0E3E81" w:rsidRPr="001B221B" w14:paraId="0B698F3D" w14:textId="77777777" w:rsidTr="007B26E9">
        <w:trPr>
          <w:trHeight w:val="283"/>
        </w:trPr>
        <w:tc>
          <w:tcPr>
            <w:tcW w:w="315" w:type="dxa"/>
            <w:tcBorders>
              <w:top w:val="nil"/>
              <w:left w:val="nil"/>
              <w:bottom w:val="nil"/>
            </w:tcBorders>
            <w:shd w:val="clear" w:color="000000" w:fill="FFFFFF"/>
            <w:noWrap/>
            <w:vAlign w:val="bottom"/>
            <w:hideMark/>
          </w:tcPr>
          <w:p w14:paraId="7601142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bottom w:val="nil"/>
              <w:right w:val="nil"/>
            </w:tcBorders>
            <w:shd w:val="clear" w:color="000000" w:fill="C00000"/>
            <w:noWrap/>
            <w:vAlign w:val="bottom"/>
            <w:hideMark/>
          </w:tcPr>
          <w:p w14:paraId="226E1C1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5130" w:type="dxa"/>
            <w:tcBorders>
              <w:left w:val="nil"/>
              <w:bottom w:val="nil"/>
              <w:right w:val="nil"/>
            </w:tcBorders>
            <w:shd w:val="clear" w:color="000000" w:fill="C00000"/>
            <w:noWrap/>
            <w:vAlign w:val="bottom"/>
            <w:hideMark/>
          </w:tcPr>
          <w:p w14:paraId="7539748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left w:val="nil"/>
              <w:bottom w:val="nil"/>
            </w:tcBorders>
            <w:shd w:val="clear" w:color="000000" w:fill="C00000"/>
            <w:noWrap/>
            <w:vAlign w:val="bottom"/>
            <w:hideMark/>
          </w:tcPr>
          <w:p w14:paraId="3839344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276" w:type="dxa"/>
            <w:tcBorders>
              <w:top w:val="nil"/>
              <w:left w:val="nil"/>
              <w:bottom w:val="nil"/>
              <w:right w:val="nil"/>
            </w:tcBorders>
            <w:shd w:val="clear" w:color="000000" w:fill="FFFFFF"/>
            <w:noWrap/>
            <w:hideMark/>
          </w:tcPr>
          <w:p w14:paraId="0596F60A"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0E3E81" w:rsidRPr="001B221B" w14:paraId="3D8E301E" w14:textId="77777777" w:rsidTr="007B26E9">
        <w:trPr>
          <w:trHeight w:val="283"/>
        </w:trPr>
        <w:tc>
          <w:tcPr>
            <w:tcW w:w="315" w:type="dxa"/>
            <w:tcBorders>
              <w:top w:val="nil"/>
              <w:left w:val="nil"/>
              <w:bottom w:val="nil"/>
            </w:tcBorders>
            <w:shd w:val="clear" w:color="000000" w:fill="FFFFFF"/>
            <w:noWrap/>
            <w:vAlign w:val="bottom"/>
            <w:hideMark/>
          </w:tcPr>
          <w:p w14:paraId="6BA8D41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bottom w:val="nil"/>
              <w:right w:val="nil"/>
            </w:tcBorders>
            <w:shd w:val="clear" w:color="000000" w:fill="C00000"/>
            <w:noWrap/>
            <w:vAlign w:val="bottom"/>
            <w:hideMark/>
          </w:tcPr>
          <w:p w14:paraId="46DCD09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5130" w:type="dxa"/>
            <w:tcBorders>
              <w:top w:val="nil"/>
              <w:left w:val="nil"/>
              <w:bottom w:val="nil"/>
              <w:right w:val="nil"/>
            </w:tcBorders>
            <w:shd w:val="clear" w:color="000000" w:fill="C00000"/>
            <w:noWrap/>
            <w:vAlign w:val="bottom"/>
            <w:hideMark/>
          </w:tcPr>
          <w:p w14:paraId="203B1C1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top w:val="nil"/>
              <w:left w:val="nil"/>
              <w:bottom w:val="nil"/>
            </w:tcBorders>
            <w:shd w:val="clear" w:color="000000" w:fill="C00000"/>
            <w:noWrap/>
            <w:vAlign w:val="bottom"/>
            <w:hideMark/>
          </w:tcPr>
          <w:p w14:paraId="16B102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6" w:type="dxa"/>
            <w:tcBorders>
              <w:top w:val="nil"/>
              <w:left w:val="nil"/>
              <w:bottom w:val="nil"/>
              <w:right w:val="nil"/>
            </w:tcBorders>
            <w:shd w:val="clear" w:color="000000" w:fill="FFFFFF"/>
            <w:noWrap/>
            <w:vAlign w:val="bottom"/>
            <w:hideMark/>
          </w:tcPr>
          <w:p w14:paraId="1FB35345"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15A38BE3" w14:textId="77777777" w:rsidTr="007B26E9">
        <w:trPr>
          <w:trHeight w:val="283"/>
        </w:trPr>
        <w:tc>
          <w:tcPr>
            <w:tcW w:w="315" w:type="dxa"/>
            <w:tcBorders>
              <w:top w:val="nil"/>
              <w:left w:val="nil"/>
              <w:bottom w:val="nil"/>
              <w:right w:val="nil"/>
            </w:tcBorders>
            <w:shd w:val="clear" w:color="000000" w:fill="FFFFFF"/>
            <w:noWrap/>
            <w:vAlign w:val="bottom"/>
            <w:hideMark/>
          </w:tcPr>
          <w:p w14:paraId="12D8D5A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2388361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auto" w:fill="auto"/>
            <w:noWrap/>
            <w:vAlign w:val="bottom"/>
            <w:hideMark/>
          </w:tcPr>
          <w:p w14:paraId="3B8FD777"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Capital Financing Requirement</w:t>
            </w:r>
          </w:p>
        </w:tc>
        <w:tc>
          <w:tcPr>
            <w:tcW w:w="1635" w:type="dxa"/>
            <w:tcBorders>
              <w:top w:val="nil"/>
              <w:left w:val="nil"/>
              <w:bottom w:val="nil"/>
              <w:right w:val="single" w:sz="4" w:space="0" w:color="auto"/>
            </w:tcBorders>
            <w:shd w:val="clear" w:color="000000" w:fill="FFE1E1"/>
            <w:noWrap/>
            <w:vAlign w:val="bottom"/>
            <w:hideMark/>
          </w:tcPr>
          <w:p w14:paraId="1849B22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3,300</w:t>
            </w:r>
          </w:p>
        </w:tc>
        <w:tc>
          <w:tcPr>
            <w:tcW w:w="276" w:type="dxa"/>
            <w:tcBorders>
              <w:top w:val="nil"/>
              <w:left w:val="nil"/>
              <w:bottom w:val="nil"/>
              <w:right w:val="nil"/>
            </w:tcBorders>
            <w:shd w:val="clear" w:color="000000" w:fill="FFFFFF"/>
            <w:noWrap/>
            <w:vAlign w:val="bottom"/>
            <w:hideMark/>
          </w:tcPr>
          <w:p w14:paraId="5E44EF7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0971B051" w14:textId="77777777" w:rsidTr="007B26E9">
        <w:trPr>
          <w:trHeight w:val="283"/>
        </w:trPr>
        <w:tc>
          <w:tcPr>
            <w:tcW w:w="315" w:type="dxa"/>
            <w:tcBorders>
              <w:top w:val="nil"/>
              <w:left w:val="nil"/>
              <w:bottom w:val="nil"/>
              <w:right w:val="nil"/>
            </w:tcBorders>
            <w:shd w:val="clear" w:color="000000" w:fill="FFFFFF"/>
            <w:noWrap/>
            <w:vAlign w:val="bottom"/>
            <w:hideMark/>
          </w:tcPr>
          <w:p w14:paraId="3E3A4D45"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5DB326A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3CDFE08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35" w:type="dxa"/>
            <w:tcBorders>
              <w:top w:val="nil"/>
              <w:left w:val="nil"/>
              <w:bottom w:val="nil"/>
              <w:right w:val="single" w:sz="4" w:space="0" w:color="auto"/>
            </w:tcBorders>
            <w:shd w:val="clear" w:color="000000" w:fill="FFE1E1"/>
            <w:noWrap/>
            <w:vAlign w:val="bottom"/>
            <w:hideMark/>
          </w:tcPr>
          <w:p w14:paraId="73B4F2B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7FD0D46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4381C2CA" w14:textId="77777777" w:rsidTr="007B26E9">
        <w:trPr>
          <w:trHeight w:val="283"/>
        </w:trPr>
        <w:tc>
          <w:tcPr>
            <w:tcW w:w="315" w:type="dxa"/>
            <w:tcBorders>
              <w:top w:val="nil"/>
              <w:left w:val="nil"/>
              <w:bottom w:val="nil"/>
              <w:right w:val="nil"/>
            </w:tcBorders>
            <w:shd w:val="clear" w:color="000000" w:fill="FFFFFF"/>
            <w:noWrap/>
            <w:vAlign w:val="bottom"/>
            <w:hideMark/>
          </w:tcPr>
          <w:p w14:paraId="6985C3C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4BB3A30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auto" w:fill="auto"/>
            <w:noWrap/>
            <w:vAlign w:val="bottom"/>
            <w:hideMark/>
          </w:tcPr>
          <w:p w14:paraId="4581E3D6"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Capital Investment:</w:t>
            </w:r>
          </w:p>
        </w:tc>
        <w:tc>
          <w:tcPr>
            <w:tcW w:w="1635" w:type="dxa"/>
            <w:tcBorders>
              <w:top w:val="nil"/>
              <w:left w:val="nil"/>
              <w:bottom w:val="nil"/>
              <w:right w:val="single" w:sz="4" w:space="0" w:color="auto"/>
            </w:tcBorders>
            <w:shd w:val="clear" w:color="000000" w:fill="FFE1E1"/>
            <w:noWrap/>
            <w:vAlign w:val="bottom"/>
            <w:hideMark/>
          </w:tcPr>
          <w:p w14:paraId="230E6D9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7B8F4CC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59AFDA4D" w14:textId="77777777" w:rsidTr="007B26E9">
        <w:trPr>
          <w:trHeight w:val="283"/>
        </w:trPr>
        <w:tc>
          <w:tcPr>
            <w:tcW w:w="315" w:type="dxa"/>
            <w:tcBorders>
              <w:top w:val="nil"/>
              <w:left w:val="nil"/>
              <w:bottom w:val="nil"/>
              <w:right w:val="nil"/>
            </w:tcBorders>
            <w:shd w:val="clear" w:color="000000" w:fill="FFFFFF"/>
            <w:noWrap/>
            <w:vAlign w:val="bottom"/>
            <w:hideMark/>
          </w:tcPr>
          <w:p w14:paraId="641A9E5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single" w:sz="4" w:space="0" w:color="auto"/>
              <w:right w:val="nil"/>
            </w:tcBorders>
            <w:shd w:val="clear" w:color="000000" w:fill="FFFFFF"/>
            <w:noWrap/>
            <w:vAlign w:val="bottom"/>
            <w:hideMark/>
          </w:tcPr>
          <w:p w14:paraId="6C3868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4,239</w:t>
            </w:r>
          </w:p>
        </w:tc>
        <w:tc>
          <w:tcPr>
            <w:tcW w:w="5130" w:type="dxa"/>
            <w:tcBorders>
              <w:top w:val="nil"/>
              <w:left w:val="nil"/>
              <w:bottom w:val="nil"/>
              <w:right w:val="nil"/>
            </w:tcBorders>
            <w:shd w:val="clear" w:color="000000" w:fill="FFFFFF"/>
            <w:noWrap/>
            <w:vAlign w:val="bottom"/>
            <w:hideMark/>
          </w:tcPr>
          <w:p w14:paraId="4B11103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Property, Plant and Equipment</w:t>
            </w:r>
          </w:p>
        </w:tc>
        <w:tc>
          <w:tcPr>
            <w:tcW w:w="1635" w:type="dxa"/>
            <w:tcBorders>
              <w:top w:val="nil"/>
              <w:left w:val="nil"/>
              <w:bottom w:val="single" w:sz="4" w:space="0" w:color="auto"/>
              <w:right w:val="single" w:sz="4" w:space="0" w:color="auto"/>
            </w:tcBorders>
            <w:shd w:val="clear" w:color="000000" w:fill="FFE1E1"/>
            <w:noWrap/>
            <w:vAlign w:val="bottom"/>
            <w:hideMark/>
          </w:tcPr>
          <w:p w14:paraId="68A70F9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2,843</w:t>
            </w:r>
          </w:p>
        </w:tc>
        <w:tc>
          <w:tcPr>
            <w:tcW w:w="276" w:type="dxa"/>
            <w:tcBorders>
              <w:top w:val="nil"/>
              <w:left w:val="nil"/>
              <w:bottom w:val="nil"/>
              <w:right w:val="nil"/>
            </w:tcBorders>
            <w:shd w:val="clear" w:color="000000" w:fill="FFFFFF"/>
            <w:noWrap/>
            <w:vAlign w:val="bottom"/>
            <w:hideMark/>
          </w:tcPr>
          <w:p w14:paraId="6C0D6A3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00A4CFC3" w14:textId="77777777" w:rsidTr="007B26E9">
        <w:trPr>
          <w:trHeight w:val="283"/>
        </w:trPr>
        <w:tc>
          <w:tcPr>
            <w:tcW w:w="315" w:type="dxa"/>
            <w:tcBorders>
              <w:top w:val="nil"/>
              <w:left w:val="nil"/>
              <w:bottom w:val="nil"/>
              <w:right w:val="nil"/>
            </w:tcBorders>
            <w:shd w:val="clear" w:color="000000" w:fill="FFFFFF"/>
            <w:noWrap/>
            <w:vAlign w:val="bottom"/>
            <w:hideMark/>
          </w:tcPr>
          <w:p w14:paraId="4A56A99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79B4FC1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4,239</w:t>
            </w:r>
          </w:p>
        </w:tc>
        <w:tc>
          <w:tcPr>
            <w:tcW w:w="5130" w:type="dxa"/>
            <w:tcBorders>
              <w:top w:val="nil"/>
              <w:left w:val="nil"/>
              <w:bottom w:val="nil"/>
              <w:right w:val="nil"/>
            </w:tcBorders>
            <w:shd w:val="clear" w:color="000000" w:fill="FFFFFF"/>
            <w:noWrap/>
            <w:vAlign w:val="bottom"/>
            <w:hideMark/>
          </w:tcPr>
          <w:p w14:paraId="2F37F053"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Capital Spending</w:t>
            </w:r>
          </w:p>
        </w:tc>
        <w:tc>
          <w:tcPr>
            <w:tcW w:w="1635" w:type="dxa"/>
            <w:tcBorders>
              <w:top w:val="nil"/>
              <w:left w:val="nil"/>
              <w:bottom w:val="nil"/>
              <w:right w:val="single" w:sz="4" w:space="0" w:color="auto"/>
            </w:tcBorders>
            <w:shd w:val="clear" w:color="000000" w:fill="FFE1E1"/>
            <w:noWrap/>
            <w:vAlign w:val="bottom"/>
            <w:hideMark/>
          </w:tcPr>
          <w:p w14:paraId="100B5E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2,843</w:t>
            </w:r>
          </w:p>
        </w:tc>
        <w:tc>
          <w:tcPr>
            <w:tcW w:w="276" w:type="dxa"/>
            <w:tcBorders>
              <w:top w:val="nil"/>
              <w:left w:val="nil"/>
              <w:bottom w:val="nil"/>
              <w:right w:val="nil"/>
            </w:tcBorders>
            <w:shd w:val="clear" w:color="000000" w:fill="FFFFFF"/>
            <w:noWrap/>
            <w:vAlign w:val="bottom"/>
            <w:hideMark/>
          </w:tcPr>
          <w:p w14:paraId="1F2C46C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21D69B12" w14:textId="77777777" w:rsidTr="007B26E9">
        <w:trPr>
          <w:trHeight w:val="283"/>
        </w:trPr>
        <w:tc>
          <w:tcPr>
            <w:tcW w:w="315" w:type="dxa"/>
            <w:tcBorders>
              <w:top w:val="nil"/>
              <w:left w:val="nil"/>
              <w:bottom w:val="nil"/>
              <w:right w:val="nil"/>
            </w:tcBorders>
            <w:shd w:val="clear" w:color="000000" w:fill="FFFFFF"/>
            <w:noWrap/>
            <w:vAlign w:val="bottom"/>
            <w:hideMark/>
          </w:tcPr>
          <w:p w14:paraId="4DC3228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5210D28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6A69C53B"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635" w:type="dxa"/>
            <w:tcBorders>
              <w:top w:val="nil"/>
              <w:left w:val="nil"/>
              <w:bottom w:val="nil"/>
              <w:right w:val="single" w:sz="4" w:space="0" w:color="auto"/>
            </w:tcBorders>
            <w:shd w:val="clear" w:color="000000" w:fill="FFE1E1"/>
            <w:noWrap/>
            <w:vAlign w:val="bottom"/>
            <w:hideMark/>
          </w:tcPr>
          <w:p w14:paraId="76C0651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4DF3ECF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1507AA98" w14:textId="77777777" w:rsidTr="007B26E9">
        <w:trPr>
          <w:trHeight w:val="283"/>
        </w:trPr>
        <w:tc>
          <w:tcPr>
            <w:tcW w:w="315" w:type="dxa"/>
            <w:tcBorders>
              <w:top w:val="nil"/>
              <w:left w:val="nil"/>
              <w:bottom w:val="nil"/>
              <w:right w:val="nil"/>
            </w:tcBorders>
            <w:shd w:val="clear" w:color="000000" w:fill="FFFFFF"/>
            <w:noWrap/>
            <w:vAlign w:val="bottom"/>
            <w:hideMark/>
          </w:tcPr>
          <w:p w14:paraId="4107C520"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6222305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54A48F8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Sources of Finance:</w:t>
            </w:r>
          </w:p>
        </w:tc>
        <w:tc>
          <w:tcPr>
            <w:tcW w:w="1635" w:type="dxa"/>
            <w:tcBorders>
              <w:top w:val="nil"/>
              <w:left w:val="nil"/>
              <w:bottom w:val="nil"/>
              <w:right w:val="single" w:sz="4" w:space="0" w:color="auto"/>
            </w:tcBorders>
            <w:shd w:val="clear" w:color="000000" w:fill="FFE1E1"/>
            <w:noWrap/>
            <w:vAlign w:val="bottom"/>
            <w:hideMark/>
          </w:tcPr>
          <w:p w14:paraId="48224046"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6508934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F941424" w14:textId="77777777" w:rsidTr="007B26E9">
        <w:trPr>
          <w:trHeight w:val="283"/>
        </w:trPr>
        <w:tc>
          <w:tcPr>
            <w:tcW w:w="315" w:type="dxa"/>
            <w:tcBorders>
              <w:top w:val="nil"/>
              <w:left w:val="nil"/>
              <w:bottom w:val="nil"/>
              <w:right w:val="nil"/>
            </w:tcBorders>
            <w:shd w:val="clear" w:color="000000" w:fill="FFFFFF"/>
            <w:noWrap/>
            <w:vAlign w:val="bottom"/>
            <w:hideMark/>
          </w:tcPr>
          <w:p w14:paraId="622856D8"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40987D3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w:t>
            </w:r>
          </w:p>
        </w:tc>
        <w:tc>
          <w:tcPr>
            <w:tcW w:w="5130" w:type="dxa"/>
            <w:tcBorders>
              <w:top w:val="nil"/>
              <w:left w:val="nil"/>
              <w:bottom w:val="nil"/>
              <w:right w:val="nil"/>
            </w:tcBorders>
            <w:shd w:val="clear" w:color="000000" w:fill="FFFFFF"/>
            <w:noWrap/>
            <w:vAlign w:val="bottom"/>
            <w:hideMark/>
          </w:tcPr>
          <w:p w14:paraId="3507FA7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Capital Receipts</w:t>
            </w:r>
          </w:p>
        </w:tc>
        <w:tc>
          <w:tcPr>
            <w:tcW w:w="1635" w:type="dxa"/>
            <w:tcBorders>
              <w:top w:val="nil"/>
              <w:left w:val="nil"/>
              <w:bottom w:val="nil"/>
              <w:right w:val="single" w:sz="4" w:space="0" w:color="auto"/>
            </w:tcBorders>
            <w:shd w:val="clear" w:color="000000" w:fill="FFE1E1"/>
            <w:noWrap/>
            <w:vAlign w:val="bottom"/>
            <w:hideMark/>
          </w:tcPr>
          <w:p w14:paraId="0E20D1D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(19)</w:t>
            </w:r>
          </w:p>
        </w:tc>
        <w:tc>
          <w:tcPr>
            <w:tcW w:w="276" w:type="dxa"/>
            <w:tcBorders>
              <w:top w:val="nil"/>
              <w:left w:val="nil"/>
              <w:bottom w:val="nil"/>
              <w:right w:val="nil"/>
            </w:tcBorders>
            <w:shd w:val="clear" w:color="000000" w:fill="FFFFFF"/>
            <w:noWrap/>
            <w:vAlign w:val="bottom"/>
            <w:hideMark/>
          </w:tcPr>
          <w:p w14:paraId="1C1F15CD"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70D4057F" w14:textId="77777777" w:rsidTr="007B26E9">
        <w:trPr>
          <w:trHeight w:val="283"/>
        </w:trPr>
        <w:tc>
          <w:tcPr>
            <w:tcW w:w="315" w:type="dxa"/>
            <w:tcBorders>
              <w:top w:val="nil"/>
              <w:left w:val="nil"/>
              <w:bottom w:val="nil"/>
              <w:right w:val="nil"/>
            </w:tcBorders>
            <w:shd w:val="clear" w:color="000000" w:fill="FFFFFF"/>
            <w:noWrap/>
            <w:vAlign w:val="bottom"/>
            <w:hideMark/>
          </w:tcPr>
          <w:p w14:paraId="1ED58B89"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0156D45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000000" w:fill="FFFFFF"/>
            <w:noWrap/>
            <w:vAlign w:val="bottom"/>
            <w:hideMark/>
          </w:tcPr>
          <w:p w14:paraId="7B1C278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Earmarked Reserves</w:t>
            </w:r>
          </w:p>
        </w:tc>
        <w:tc>
          <w:tcPr>
            <w:tcW w:w="1635" w:type="dxa"/>
            <w:tcBorders>
              <w:top w:val="nil"/>
              <w:left w:val="nil"/>
              <w:bottom w:val="nil"/>
              <w:right w:val="single" w:sz="4" w:space="0" w:color="auto"/>
            </w:tcBorders>
            <w:shd w:val="clear" w:color="000000" w:fill="FFE1E1"/>
            <w:noWrap/>
            <w:vAlign w:val="bottom"/>
            <w:hideMark/>
          </w:tcPr>
          <w:p w14:paraId="02263D4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w:t>
            </w:r>
          </w:p>
        </w:tc>
        <w:tc>
          <w:tcPr>
            <w:tcW w:w="276" w:type="dxa"/>
            <w:tcBorders>
              <w:top w:val="nil"/>
              <w:left w:val="nil"/>
              <w:bottom w:val="nil"/>
              <w:right w:val="nil"/>
            </w:tcBorders>
            <w:shd w:val="clear" w:color="000000" w:fill="FFFFFF"/>
            <w:noWrap/>
            <w:vAlign w:val="bottom"/>
            <w:hideMark/>
          </w:tcPr>
          <w:p w14:paraId="100A290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954692B" w14:textId="77777777" w:rsidTr="007B26E9">
        <w:trPr>
          <w:trHeight w:val="283"/>
        </w:trPr>
        <w:tc>
          <w:tcPr>
            <w:tcW w:w="315" w:type="dxa"/>
            <w:tcBorders>
              <w:top w:val="nil"/>
              <w:left w:val="nil"/>
              <w:bottom w:val="nil"/>
              <w:right w:val="nil"/>
            </w:tcBorders>
            <w:shd w:val="clear" w:color="000000" w:fill="FFFFFF"/>
            <w:noWrap/>
            <w:vAlign w:val="bottom"/>
            <w:hideMark/>
          </w:tcPr>
          <w:p w14:paraId="10E3CCD4"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0E35A5E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5130" w:type="dxa"/>
            <w:tcBorders>
              <w:top w:val="nil"/>
              <w:left w:val="nil"/>
              <w:bottom w:val="nil"/>
              <w:right w:val="nil"/>
            </w:tcBorders>
            <w:shd w:val="clear" w:color="000000" w:fill="FFFFFF"/>
            <w:noWrap/>
            <w:vAlign w:val="bottom"/>
            <w:hideMark/>
          </w:tcPr>
          <w:p w14:paraId="3B29597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Section 106 Receipts</w:t>
            </w:r>
          </w:p>
        </w:tc>
        <w:tc>
          <w:tcPr>
            <w:tcW w:w="1635" w:type="dxa"/>
            <w:tcBorders>
              <w:top w:val="nil"/>
              <w:left w:val="nil"/>
              <w:bottom w:val="nil"/>
              <w:right w:val="single" w:sz="4" w:space="0" w:color="auto"/>
            </w:tcBorders>
            <w:shd w:val="clear" w:color="000000" w:fill="FFE1E1"/>
            <w:noWrap/>
            <w:vAlign w:val="bottom"/>
            <w:hideMark/>
          </w:tcPr>
          <w:p w14:paraId="3C5920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(188)</w:t>
            </w:r>
          </w:p>
        </w:tc>
        <w:tc>
          <w:tcPr>
            <w:tcW w:w="276" w:type="dxa"/>
            <w:tcBorders>
              <w:top w:val="nil"/>
              <w:left w:val="nil"/>
              <w:bottom w:val="nil"/>
              <w:right w:val="nil"/>
            </w:tcBorders>
            <w:shd w:val="clear" w:color="000000" w:fill="FFFFFF"/>
            <w:noWrap/>
            <w:vAlign w:val="bottom"/>
            <w:hideMark/>
          </w:tcPr>
          <w:p w14:paraId="423E411A"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4FE98451" w14:textId="77777777" w:rsidTr="007B26E9">
        <w:trPr>
          <w:trHeight w:val="283"/>
        </w:trPr>
        <w:tc>
          <w:tcPr>
            <w:tcW w:w="315" w:type="dxa"/>
            <w:tcBorders>
              <w:top w:val="nil"/>
              <w:left w:val="nil"/>
              <w:bottom w:val="nil"/>
              <w:right w:val="nil"/>
            </w:tcBorders>
            <w:shd w:val="clear" w:color="000000" w:fill="FFFFFF"/>
            <w:noWrap/>
            <w:vAlign w:val="bottom"/>
            <w:hideMark/>
          </w:tcPr>
          <w:p w14:paraId="665397F2"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2FF90C6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5130" w:type="dxa"/>
            <w:tcBorders>
              <w:top w:val="nil"/>
              <w:left w:val="nil"/>
              <w:bottom w:val="nil"/>
              <w:right w:val="nil"/>
            </w:tcBorders>
            <w:shd w:val="clear" w:color="000000" w:fill="FFFFFF"/>
            <w:noWrap/>
            <w:vAlign w:val="bottom"/>
            <w:hideMark/>
          </w:tcPr>
          <w:p w14:paraId="005CF3E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Sums set aside from revenue:</w:t>
            </w:r>
          </w:p>
        </w:tc>
        <w:tc>
          <w:tcPr>
            <w:tcW w:w="1635" w:type="dxa"/>
            <w:tcBorders>
              <w:top w:val="nil"/>
              <w:left w:val="nil"/>
              <w:bottom w:val="nil"/>
              <w:right w:val="single" w:sz="4" w:space="0" w:color="auto"/>
            </w:tcBorders>
            <w:shd w:val="clear" w:color="000000" w:fill="FFE1E1"/>
            <w:noWrap/>
            <w:vAlign w:val="bottom"/>
            <w:hideMark/>
          </w:tcPr>
          <w:p w14:paraId="0905B8C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3B8DF47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2B0CC927" w14:textId="77777777" w:rsidTr="007B26E9">
        <w:trPr>
          <w:trHeight w:val="283"/>
        </w:trPr>
        <w:tc>
          <w:tcPr>
            <w:tcW w:w="315" w:type="dxa"/>
            <w:tcBorders>
              <w:top w:val="nil"/>
              <w:left w:val="nil"/>
              <w:bottom w:val="nil"/>
              <w:right w:val="nil"/>
            </w:tcBorders>
            <w:shd w:val="clear" w:color="000000" w:fill="FFFFFF"/>
            <w:noWrap/>
            <w:vAlign w:val="bottom"/>
            <w:hideMark/>
          </w:tcPr>
          <w:p w14:paraId="4C86005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single" w:sz="4" w:space="0" w:color="auto"/>
              <w:right w:val="nil"/>
            </w:tcBorders>
            <w:shd w:val="clear" w:color="000000" w:fill="FFFFFF"/>
            <w:noWrap/>
            <w:vAlign w:val="bottom"/>
            <w:hideMark/>
          </w:tcPr>
          <w:p w14:paraId="4BC7556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(908)</w:t>
            </w:r>
          </w:p>
        </w:tc>
        <w:tc>
          <w:tcPr>
            <w:tcW w:w="5130" w:type="dxa"/>
            <w:tcBorders>
              <w:top w:val="nil"/>
              <w:left w:val="nil"/>
              <w:bottom w:val="nil"/>
              <w:right w:val="nil"/>
            </w:tcBorders>
            <w:shd w:val="clear" w:color="000000" w:fill="FFFFFF"/>
            <w:noWrap/>
            <w:vAlign w:val="bottom"/>
            <w:hideMark/>
          </w:tcPr>
          <w:p w14:paraId="3923534A" w14:textId="77777777" w:rsidR="001B221B" w:rsidRPr="001B221B" w:rsidRDefault="001B221B" w:rsidP="001B221B">
            <w:pPr>
              <w:spacing w:after="0" w:line="240" w:lineRule="auto"/>
              <w:ind w:firstLineChars="200" w:firstLine="440"/>
              <w:rPr>
                <w:rFonts w:ascii="Calibri" w:eastAsia="Times New Roman" w:hAnsi="Calibri" w:cs="Calibri"/>
                <w:color w:val="000000"/>
                <w:lang w:eastAsia="en-GB"/>
              </w:rPr>
            </w:pPr>
            <w:r w:rsidRPr="001B221B">
              <w:rPr>
                <w:rFonts w:ascii="Calibri" w:eastAsia="Times New Roman" w:hAnsi="Calibri" w:cs="Calibri"/>
                <w:color w:val="000000"/>
                <w:lang w:eastAsia="en-GB"/>
              </w:rPr>
              <w:t>Direct revenue contributions</w:t>
            </w:r>
          </w:p>
        </w:tc>
        <w:tc>
          <w:tcPr>
            <w:tcW w:w="1635" w:type="dxa"/>
            <w:tcBorders>
              <w:top w:val="nil"/>
              <w:left w:val="nil"/>
              <w:bottom w:val="single" w:sz="4" w:space="0" w:color="auto"/>
              <w:right w:val="single" w:sz="4" w:space="0" w:color="auto"/>
            </w:tcBorders>
            <w:shd w:val="clear" w:color="000000" w:fill="FFE1E1"/>
            <w:noWrap/>
            <w:vAlign w:val="bottom"/>
            <w:hideMark/>
          </w:tcPr>
          <w:p w14:paraId="1B3F0AB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(179)</w:t>
            </w:r>
          </w:p>
        </w:tc>
        <w:tc>
          <w:tcPr>
            <w:tcW w:w="276" w:type="dxa"/>
            <w:tcBorders>
              <w:top w:val="nil"/>
              <w:left w:val="nil"/>
              <w:bottom w:val="nil"/>
              <w:right w:val="nil"/>
            </w:tcBorders>
            <w:shd w:val="clear" w:color="000000" w:fill="FFFFFF"/>
            <w:noWrap/>
            <w:vAlign w:val="bottom"/>
            <w:hideMark/>
          </w:tcPr>
          <w:p w14:paraId="5C89BC6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3E996F3" w14:textId="77777777" w:rsidTr="007B26E9">
        <w:trPr>
          <w:trHeight w:val="283"/>
        </w:trPr>
        <w:tc>
          <w:tcPr>
            <w:tcW w:w="315" w:type="dxa"/>
            <w:tcBorders>
              <w:top w:val="nil"/>
              <w:left w:val="nil"/>
              <w:bottom w:val="nil"/>
              <w:right w:val="nil"/>
            </w:tcBorders>
            <w:shd w:val="clear" w:color="000000" w:fill="FFFFFF"/>
            <w:noWrap/>
            <w:vAlign w:val="bottom"/>
            <w:hideMark/>
          </w:tcPr>
          <w:p w14:paraId="248DB6E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single" w:sz="4" w:space="0" w:color="auto"/>
              <w:bottom w:val="nil"/>
              <w:right w:val="nil"/>
            </w:tcBorders>
            <w:shd w:val="clear" w:color="000000" w:fill="FFFFFF"/>
            <w:noWrap/>
            <w:vAlign w:val="bottom"/>
            <w:hideMark/>
          </w:tcPr>
          <w:p w14:paraId="6BAFB98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(939)</w:t>
            </w:r>
          </w:p>
        </w:tc>
        <w:tc>
          <w:tcPr>
            <w:tcW w:w="5130" w:type="dxa"/>
            <w:tcBorders>
              <w:top w:val="nil"/>
              <w:left w:val="nil"/>
              <w:bottom w:val="nil"/>
              <w:right w:val="nil"/>
            </w:tcBorders>
            <w:shd w:val="clear" w:color="000000" w:fill="FFFFFF"/>
            <w:noWrap/>
            <w:vAlign w:val="bottom"/>
            <w:hideMark/>
          </w:tcPr>
          <w:p w14:paraId="4F6D4D8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Sources of Finance</w:t>
            </w:r>
          </w:p>
        </w:tc>
        <w:tc>
          <w:tcPr>
            <w:tcW w:w="1635" w:type="dxa"/>
            <w:tcBorders>
              <w:top w:val="nil"/>
              <w:left w:val="nil"/>
              <w:bottom w:val="nil"/>
              <w:right w:val="single" w:sz="4" w:space="0" w:color="auto"/>
            </w:tcBorders>
            <w:shd w:val="clear" w:color="000000" w:fill="FFE1E1"/>
            <w:noWrap/>
            <w:vAlign w:val="bottom"/>
            <w:hideMark/>
          </w:tcPr>
          <w:p w14:paraId="2F450E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(390)</w:t>
            </w:r>
          </w:p>
        </w:tc>
        <w:tc>
          <w:tcPr>
            <w:tcW w:w="276" w:type="dxa"/>
            <w:tcBorders>
              <w:top w:val="nil"/>
              <w:left w:val="nil"/>
              <w:bottom w:val="nil"/>
              <w:right w:val="nil"/>
            </w:tcBorders>
            <w:shd w:val="clear" w:color="000000" w:fill="FFFFFF"/>
            <w:noWrap/>
            <w:vAlign w:val="bottom"/>
            <w:hideMark/>
          </w:tcPr>
          <w:p w14:paraId="0747ADF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31016694" w14:textId="77777777" w:rsidTr="007B26E9">
        <w:trPr>
          <w:trHeight w:val="283"/>
        </w:trPr>
        <w:tc>
          <w:tcPr>
            <w:tcW w:w="315" w:type="dxa"/>
            <w:tcBorders>
              <w:top w:val="nil"/>
              <w:left w:val="nil"/>
              <w:bottom w:val="nil"/>
              <w:right w:val="nil"/>
            </w:tcBorders>
            <w:shd w:val="clear" w:color="000000" w:fill="FFFFFF"/>
            <w:noWrap/>
            <w:vAlign w:val="bottom"/>
            <w:hideMark/>
          </w:tcPr>
          <w:p w14:paraId="1A9C27D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single" w:sz="4" w:space="0" w:color="auto"/>
              <w:left w:val="single" w:sz="4" w:space="0" w:color="auto"/>
              <w:bottom w:val="single" w:sz="4" w:space="0" w:color="auto"/>
              <w:right w:val="nil"/>
            </w:tcBorders>
            <w:shd w:val="clear" w:color="000000" w:fill="C00000"/>
            <w:noWrap/>
            <w:hideMark/>
          </w:tcPr>
          <w:p w14:paraId="73B0F78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3,300</w:t>
            </w:r>
          </w:p>
        </w:tc>
        <w:tc>
          <w:tcPr>
            <w:tcW w:w="5130" w:type="dxa"/>
            <w:tcBorders>
              <w:top w:val="single" w:sz="4" w:space="0" w:color="auto"/>
              <w:left w:val="nil"/>
              <w:bottom w:val="single" w:sz="4" w:space="0" w:color="auto"/>
              <w:right w:val="nil"/>
            </w:tcBorders>
            <w:shd w:val="clear" w:color="000000" w:fill="C00000"/>
            <w:noWrap/>
            <w:hideMark/>
          </w:tcPr>
          <w:p w14:paraId="67161957"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Closing Capital Financing Requirement</w:t>
            </w:r>
          </w:p>
        </w:tc>
        <w:tc>
          <w:tcPr>
            <w:tcW w:w="1635" w:type="dxa"/>
            <w:tcBorders>
              <w:top w:val="single" w:sz="4" w:space="0" w:color="auto"/>
              <w:left w:val="nil"/>
              <w:bottom w:val="single" w:sz="4" w:space="0" w:color="auto"/>
              <w:right w:val="single" w:sz="4" w:space="0" w:color="auto"/>
            </w:tcBorders>
            <w:shd w:val="clear" w:color="000000" w:fill="C00000"/>
            <w:noWrap/>
            <w:hideMark/>
          </w:tcPr>
          <w:p w14:paraId="55D70A2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5,753</w:t>
            </w:r>
          </w:p>
        </w:tc>
        <w:tc>
          <w:tcPr>
            <w:tcW w:w="276" w:type="dxa"/>
            <w:tcBorders>
              <w:top w:val="nil"/>
              <w:left w:val="nil"/>
              <w:bottom w:val="nil"/>
              <w:right w:val="nil"/>
            </w:tcBorders>
            <w:shd w:val="clear" w:color="000000" w:fill="FFFFFF"/>
            <w:noWrap/>
            <w:vAlign w:val="bottom"/>
            <w:hideMark/>
          </w:tcPr>
          <w:p w14:paraId="35AC609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0E3E81" w:rsidRPr="001B221B" w14:paraId="6F230C68" w14:textId="77777777" w:rsidTr="007B26E9">
        <w:trPr>
          <w:trHeight w:val="109"/>
        </w:trPr>
        <w:tc>
          <w:tcPr>
            <w:tcW w:w="315" w:type="dxa"/>
            <w:tcBorders>
              <w:top w:val="nil"/>
              <w:left w:val="nil"/>
              <w:bottom w:val="nil"/>
              <w:right w:val="nil"/>
            </w:tcBorders>
            <w:shd w:val="clear" w:color="000000" w:fill="FFFFFF"/>
            <w:noWrap/>
            <w:vAlign w:val="bottom"/>
            <w:hideMark/>
          </w:tcPr>
          <w:p w14:paraId="1DC915AF"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003" w:type="dxa"/>
            <w:tcBorders>
              <w:top w:val="nil"/>
              <w:left w:val="nil"/>
              <w:bottom w:val="nil"/>
              <w:right w:val="nil"/>
            </w:tcBorders>
            <w:shd w:val="clear" w:color="000000" w:fill="FFFFFF"/>
            <w:noWrap/>
            <w:hideMark/>
          </w:tcPr>
          <w:p w14:paraId="46518CD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5130" w:type="dxa"/>
            <w:tcBorders>
              <w:top w:val="nil"/>
              <w:left w:val="nil"/>
              <w:bottom w:val="nil"/>
              <w:right w:val="nil"/>
            </w:tcBorders>
            <w:shd w:val="clear" w:color="000000" w:fill="FFFFFF"/>
            <w:noWrap/>
            <w:hideMark/>
          </w:tcPr>
          <w:p w14:paraId="41955C7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35" w:type="dxa"/>
            <w:tcBorders>
              <w:top w:val="nil"/>
              <w:left w:val="nil"/>
              <w:bottom w:val="nil"/>
              <w:right w:val="nil"/>
            </w:tcBorders>
            <w:shd w:val="clear" w:color="000000" w:fill="FFFFFF"/>
            <w:noWrap/>
            <w:vAlign w:val="bottom"/>
            <w:hideMark/>
          </w:tcPr>
          <w:p w14:paraId="1A090FD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6" w:type="dxa"/>
            <w:tcBorders>
              <w:top w:val="nil"/>
              <w:left w:val="nil"/>
              <w:bottom w:val="nil"/>
              <w:right w:val="nil"/>
            </w:tcBorders>
            <w:shd w:val="clear" w:color="000000" w:fill="FFFFFF"/>
            <w:noWrap/>
            <w:vAlign w:val="bottom"/>
            <w:hideMark/>
          </w:tcPr>
          <w:p w14:paraId="68B1269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ED2A06" w14:paraId="4373899E" w14:textId="77777777" w:rsidTr="000E3E81">
        <w:trPr>
          <w:trHeight w:val="753"/>
        </w:trPr>
        <w:tc>
          <w:tcPr>
            <w:tcW w:w="315" w:type="dxa"/>
            <w:tcBorders>
              <w:top w:val="nil"/>
              <w:left w:val="nil"/>
              <w:bottom w:val="nil"/>
              <w:right w:val="nil"/>
            </w:tcBorders>
            <w:shd w:val="clear" w:color="000000" w:fill="FFFFFF"/>
            <w:noWrap/>
            <w:vAlign w:val="bottom"/>
            <w:hideMark/>
          </w:tcPr>
          <w:p w14:paraId="2E9FD48A"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Calibri"/>
                <w:color w:val="000000"/>
                <w:lang w:eastAsia="en-GB"/>
              </w:rPr>
              <w:t> </w:t>
            </w:r>
          </w:p>
        </w:tc>
        <w:tc>
          <w:tcPr>
            <w:tcW w:w="8768" w:type="dxa"/>
            <w:gridSpan w:val="3"/>
            <w:tcBorders>
              <w:top w:val="nil"/>
              <w:left w:val="nil"/>
              <w:bottom w:val="nil"/>
              <w:right w:val="nil"/>
            </w:tcBorders>
            <w:shd w:val="clear" w:color="000000" w:fill="FFFFFF"/>
            <w:vAlign w:val="center"/>
            <w:hideMark/>
          </w:tcPr>
          <w:p w14:paraId="44A97532"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Arial"/>
                <w:color w:val="000000"/>
                <w:lang w:eastAsia="en-GB"/>
              </w:rPr>
              <w:t>The year end position on the Capital Financing Requirement consists of the following:</w:t>
            </w:r>
          </w:p>
        </w:tc>
        <w:tc>
          <w:tcPr>
            <w:tcW w:w="276" w:type="dxa"/>
            <w:tcBorders>
              <w:top w:val="nil"/>
              <w:left w:val="nil"/>
              <w:bottom w:val="nil"/>
              <w:right w:val="nil"/>
            </w:tcBorders>
            <w:shd w:val="clear" w:color="000000" w:fill="FFFFFF"/>
            <w:noWrap/>
            <w:vAlign w:val="bottom"/>
            <w:hideMark/>
          </w:tcPr>
          <w:p w14:paraId="3401C872" w14:textId="77777777" w:rsidR="001B221B" w:rsidRPr="00ED2A06" w:rsidRDefault="001B221B" w:rsidP="001B221B">
            <w:pPr>
              <w:spacing w:after="0" w:line="240" w:lineRule="auto"/>
              <w:rPr>
                <w:rFonts w:ascii="Calibri" w:eastAsia="Times New Roman" w:hAnsi="Calibri" w:cs="Calibri"/>
                <w:color w:val="000000"/>
                <w:lang w:eastAsia="en-GB"/>
              </w:rPr>
            </w:pPr>
            <w:r w:rsidRPr="00ED2A06">
              <w:rPr>
                <w:rFonts w:ascii="Calibri" w:eastAsia="Times New Roman" w:hAnsi="Calibri" w:cs="Calibri"/>
                <w:color w:val="000000"/>
                <w:lang w:eastAsia="en-GB"/>
              </w:rPr>
              <w:t> </w:t>
            </w:r>
          </w:p>
        </w:tc>
      </w:tr>
    </w:tbl>
    <w:p w14:paraId="7D67BC15" w14:textId="02862D64" w:rsidR="00EC5F91" w:rsidRDefault="00EC5F91" w:rsidP="007B26E9">
      <w:pPr>
        <w:autoSpaceDE w:val="0"/>
        <w:autoSpaceDN w:val="0"/>
        <w:adjustRightInd w:val="0"/>
        <w:spacing w:after="0" w:line="240" w:lineRule="auto"/>
        <w:jc w:val="center"/>
      </w:pPr>
    </w:p>
    <w:tbl>
      <w:tblPr>
        <w:tblW w:w="8788" w:type="dxa"/>
        <w:tblInd w:w="279" w:type="dxa"/>
        <w:tblLook w:val="04A0" w:firstRow="1" w:lastRow="0" w:firstColumn="1" w:lastColumn="0" w:noHBand="0" w:noVBand="1"/>
      </w:tblPr>
      <w:tblGrid>
        <w:gridCol w:w="2156"/>
        <w:gridCol w:w="4931"/>
        <w:gridCol w:w="1701"/>
      </w:tblGrid>
      <w:tr w:rsidR="00872F6C" w:rsidRPr="00872F6C" w14:paraId="7085B25C" w14:textId="77777777" w:rsidTr="00872F6C">
        <w:trPr>
          <w:trHeight w:val="312"/>
        </w:trPr>
        <w:tc>
          <w:tcPr>
            <w:tcW w:w="2156" w:type="dxa"/>
            <w:tcBorders>
              <w:top w:val="single" w:sz="4" w:space="0" w:color="auto"/>
              <w:left w:val="single" w:sz="4" w:space="0" w:color="auto"/>
              <w:bottom w:val="nil"/>
              <w:right w:val="nil"/>
            </w:tcBorders>
            <w:shd w:val="clear" w:color="000000" w:fill="C00000"/>
            <w:noWrap/>
            <w:vAlign w:val="bottom"/>
            <w:hideMark/>
          </w:tcPr>
          <w:p w14:paraId="7FB488BB"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31 March 2021</w:t>
            </w:r>
          </w:p>
        </w:tc>
        <w:tc>
          <w:tcPr>
            <w:tcW w:w="4931" w:type="dxa"/>
            <w:tcBorders>
              <w:top w:val="single" w:sz="4" w:space="0" w:color="auto"/>
              <w:left w:val="nil"/>
              <w:bottom w:val="nil"/>
              <w:right w:val="nil"/>
            </w:tcBorders>
            <w:shd w:val="clear" w:color="000000" w:fill="C00000"/>
            <w:noWrap/>
            <w:vAlign w:val="bottom"/>
            <w:hideMark/>
          </w:tcPr>
          <w:p w14:paraId="4BEE5BA1"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123E0655"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31 March 2022</w:t>
            </w:r>
          </w:p>
        </w:tc>
      </w:tr>
      <w:tr w:rsidR="00872F6C" w:rsidRPr="00872F6C" w14:paraId="19083D68" w14:textId="77777777" w:rsidTr="00872F6C">
        <w:trPr>
          <w:trHeight w:val="312"/>
        </w:trPr>
        <w:tc>
          <w:tcPr>
            <w:tcW w:w="2156" w:type="dxa"/>
            <w:tcBorders>
              <w:top w:val="nil"/>
              <w:left w:val="single" w:sz="4" w:space="0" w:color="auto"/>
              <w:bottom w:val="single" w:sz="4" w:space="0" w:color="auto"/>
              <w:right w:val="nil"/>
            </w:tcBorders>
            <w:shd w:val="clear" w:color="000000" w:fill="C00000"/>
            <w:noWrap/>
            <w:vAlign w:val="bottom"/>
            <w:hideMark/>
          </w:tcPr>
          <w:p w14:paraId="54185833"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£000</w:t>
            </w:r>
          </w:p>
        </w:tc>
        <w:tc>
          <w:tcPr>
            <w:tcW w:w="4931" w:type="dxa"/>
            <w:tcBorders>
              <w:top w:val="nil"/>
              <w:left w:val="nil"/>
              <w:bottom w:val="single" w:sz="4" w:space="0" w:color="auto"/>
              <w:right w:val="nil"/>
            </w:tcBorders>
            <w:shd w:val="clear" w:color="000000" w:fill="C00000"/>
            <w:noWrap/>
            <w:vAlign w:val="bottom"/>
            <w:hideMark/>
          </w:tcPr>
          <w:p w14:paraId="44FC8234"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vAlign w:val="bottom"/>
            <w:hideMark/>
          </w:tcPr>
          <w:p w14:paraId="261BF164"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£000</w:t>
            </w:r>
          </w:p>
        </w:tc>
      </w:tr>
      <w:tr w:rsidR="00872F6C" w:rsidRPr="00872F6C" w14:paraId="664E6FB3"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C287B79"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6815AFBD"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Capital Investment:</w:t>
            </w:r>
          </w:p>
        </w:tc>
        <w:tc>
          <w:tcPr>
            <w:tcW w:w="1701" w:type="dxa"/>
            <w:tcBorders>
              <w:top w:val="nil"/>
              <w:left w:val="nil"/>
              <w:bottom w:val="nil"/>
              <w:right w:val="single" w:sz="4" w:space="0" w:color="auto"/>
            </w:tcBorders>
            <w:shd w:val="clear" w:color="000000" w:fill="FFE1E1"/>
            <w:noWrap/>
            <w:hideMark/>
          </w:tcPr>
          <w:p w14:paraId="2303DD5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40724345"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6A2008DB"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40,988</w:t>
            </w:r>
          </w:p>
        </w:tc>
        <w:tc>
          <w:tcPr>
            <w:tcW w:w="4931" w:type="dxa"/>
            <w:tcBorders>
              <w:top w:val="nil"/>
              <w:left w:val="nil"/>
              <w:bottom w:val="nil"/>
              <w:right w:val="nil"/>
            </w:tcBorders>
            <w:shd w:val="clear" w:color="000000" w:fill="FFFFFF"/>
            <w:noWrap/>
            <w:hideMark/>
          </w:tcPr>
          <w:p w14:paraId="6A00A9CD"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Property, Plant and Equipment</w:t>
            </w:r>
          </w:p>
        </w:tc>
        <w:tc>
          <w:tcPr>
            <w:tcW w:w="1701" w:type="dxa"/>
            <w:tcBorders>
              <w:top w:val="nil"/>
              <w:left w:val="nil"/>
              <w:bottom w:val="single" w:sz="4" w:space="0" w:color="auto"/>
              <w:right w:val="single" w:sz="4" w:space="0" w:color="auto"/>
            </w:tcBorders>
            <w:shd w:val="clear" w:color="000000" w:fill="FFE1E1"/>
            <w:noWrap/>
            <w:hideMark/>
          </w:tcPr>
          <w:p w14:paraId="367EFB0F"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46,125 </w:t>
            </w:r>
          </w:p>
        </w:tc>
      </w:tr>
      <w:tr w:rsidR="00872F6C" w:rsidRPr="00872F6C" w14:paraId="1AE47B22" w14:textId="77777777" w:rsidTr="00872F6C">
        <w:trPr>
          <w:trHeight w:val="312"/>
        </w:trPr>
        <w:tc>
          <w:tcPr>
            <w:tcW w:w="2156" w:type="dxa"/>
            <w:tcBorders>
              <w:top w:val="nil"/>
              <w:left w:val="single" w:sz="4" w:space="0" w:color="auto"/>
              <w:bottom w:val="nil"/>
              <w:right w:val="nil"/>
            </w:tcBorders>
            <w:shd w:val="clear" w:color="000000" w:fill="FFFFFF"/>
            <w:noWrap/>
            <w:hideMark/>
          </w:tcPr>
          <w:p w14:paraId="7A8B793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40,988</w:t>
            </w:r>
          </w:p>
        </w:tc>
        <w:tc>
          <w:tcPr>
            <w:tcW w:w="4931" w:type="dxa"/>
            <w:tcBorders>
              <w:top w:val="nil"/>
              <w:left w:val="nil"/>
              <w:bottom w:val="nil"/>
              <w:right w:val="nil"/>
            </w:tcBorders>
            <w:shd w:val="clear" w:color="000000" w:fill="FFFFFF"/>
            <w:noWrap/>
            <w:hideMark/>
          </w:tcPr>
          <w:p w14:paraId="53B63A4D"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Total Capital Spending</w:t>
            </w:r>
          </w:p>
        </w:tc>
        <w:tc>
          <w:tcPr>
            <w:tcW w:w="1701" w:type="dxa"/>
            <w:tcBorders>
              <w:top w:val="nil"/>
              <w:left w:val="nil"/>
              <w:bottom w:val="nil"/>
              <w:right w:val="single" w:sz="4" w:space="0" w:color="auto"/>
            </w:tcBorders>
            <w:shd w:val="clear" w:color="000000" w:fill="FFE1E1"/>
            <w:noWrap/>
            <w:hideMark/>
          </w:tcPr>
          <w:p w14:paraId="10E7779D"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46,125 </w:t>
            </w:r>
          </w:p>
        </w:tc>
      </w:tr>
      <w:tr w:rsidR="00872F6C" w:rsidRPr="00872F6C" w14:paraId="2B1F0C53" w14:textId="77777777" w:rsidTr="00872F6C">
        <w:trPr>
          <w:trHeight w:val="312"/>
        </w:trPr>
        <w:tc>
          <w:tcPr>
            <w:tcW w:w="2156" w:type="dxa"/>
            <w:tcBorders>
              <w:top w:val="nil"/>
              <w:left w:val="single" w:sz="4" w:space="0" w:color="auto"/>
              <w:bottom w:val="nil"/>
              <w:right w:val="nil"/>
            </w:tcBorders>
            <w:shd w:val="clear" w:color="000000" w:fill="FFFFFF"/>
            <w:noWrap/>
            <w:hideMark/>
          </w:tcPr>
          <w:p w14:paraId="4A548A90"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28548D88"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4EC65E5E"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75A186B8"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1288D4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6BC03D9F"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Unusable Capital Reserves:</w:t>
            </w:r>
          </w:p>
        </w:tc>
        <w:tc>
          <w:tcPr>
            <w:tcW w:w="1701" w:type="dxa"/>
            <w:tcBorders>
              <w:top w:val="nil"/>
              <w:left w:val="nil"/>
              <w:bottom w:val="nil"/>
              <w:right w:val="single" w:sz="4" w:space="0" w:color="auto"/>
            </w:tcBorders>
            <w:shd w:val="clear" w:color="000000" w:fill="FFE1E1"/>
            <w:noWrap/>
            <w:hideMark/>
          </w:tcPr>
          <w:p w14:paraId="4908E762"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2B77EFC5" w14:textId="77777777" w:rsidTr="00872F6C">
        <w:trPr>
          <w:trHeight w:val="312"/>
        </w:trPr>
        <w:tc>
          <w:tcPr>
            <w:tcW w:w="2156" w:type="dxa"/>
            <w:tcBorders>
              <w:top w:val="nil"/>
              <w:left w:val="single" w:sz="4" w:space="0" w:color="auto"/>
              <w:bottom w:val="nil"/>
              <w:right w:val="nil"/>
            </w:tcBorders>
            <w:shd w:val="clear" w:color="000000" w:fill="FFFFFF"/>
            <w:noWrap/>
            <w:hideMark/>
          </w:tcPr>
          <w:p w14:paraId="50BA452B"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(1,656)</w:t>
            </w:r>
          </w:p>
        </w:tc>
        <w:tc>
          <w:tcPr>
            <w:tcW w:w="4931" w:type="dxa"/>
            <w:tcBorders>
              <w:top w:val="nil"/>
              <w:left w:val="nil"/>
              <w:bottom w:val="nil"/>
              <w:right w:val="nil"/>
            </w:tcBorders>
            <w:shd w:val="clear" w:color="000000" w:fill="FFFFFF"/>
            <w:noWrap/>
            <w:hideMark/>
          </w:tcPr>
          <w:p w14:paraId="14FC5412"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Revaluation Reserve</w:t>
            </w:r>
          </w:p>
        </w:tc>
        <w:tc>
          <w:tcPr>
            <w:tcW w:w="1701" w:type="dxa"/>
            <w:tcBorders>
              <w:top w:val="nil"/>
              <w:left w:val="nil"/>
              <w:bottom w:val="nil"/>
              <w:right w:val="single" w:sz="4" w:space="0" w:color="auto"/>
            </w:tcBorders>
            <w:shd w:val="clear" w:color="000000" w:fill="FFE1E1"/>
            <w:noWrap/>
            <w:hideMark/>
          </w:tcPr>
          <w:p w14:paraId="2F31FB06"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(5,320)</w:t>
            </w:r>
          </w:p>
        </w:tc>
      </w:tr>
      <w:tr w:rsidR="00872F6C" w:rsidRPr="00872F6C" w14:paraId="7BD1DE77"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33362332"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(36,256)</w:t>
            </w:r>
          </w:p>
        </w:tc>
        <w:tc>
          <w:tcPr>
            <w:tcW w:w="4931" w:type="dxa"/>
            <w:tcBorders>
              <w:top w:val="nil"/>
              <w:left w:val="nil"/>
              <w:bottom w:val="nil"/>
              <w:right w:val="nil"/>
            </w:tcBorders>
            <w:shd w:val="clear" w:color="000000" w:fill="FFFFFF"/>
            <w:noWrap/>
            <w:hideMark/>
          </w:tcPr>
          <w:p w14:paraId="3EF10BB5"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Capital Adjustment Account</w:t>
            </w:r>
          </w:p>
        </w:tc>
        <w:tc>
          <w:tcPr>
            <w:tcW w:w="1701" w:type="dxa"/>
            <w:tcBorders>
              <w:top w:val="nil"/>
              <w:left w:val="nil"/>
              <w:bottom w:val="nil"/>
              <w:right w:val="single" w:sz="4" w:space="0" w:color="auto"/>
            </w:tcBorders>
            <w:shd w:val="clear" w:color="000000" w:fill="FFE1E1"/>
            <w:noWrap/>
            <w:hideMark/>
          </w:tcPr>
          <w:p w14:paraId="405AF0BA"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(35,276)</w:t>
            </w:r>
          </w:p>
        </w:tc>
      </w:tr>
      <w:tr w:rsidR="00872F6C" w:rsidRPr="00872F6C" w14:paraId="1D82488D" w14:textId="77777777" w:rsidTr="00872F6C">
        <w:trPr>
          <w:trHeight w:val="312"/>
        </w:trPr>
        <w:tc>
          <w:tcPr>
            <w:tcW w:w="2156" w:type="dxa"/>
            <w:tcBorders>
              <w:top w:val="nil"/>
              <w:left w:val="single" w:sz="4" w:space="0" w:color="auto"/>
              <w:bottom w:val="nil"/>
              <w:right w:val="nil"/>
            </w:tcBorders>
            <w:shd w:val="clear" w:color="000000" w:fill="FFFFFF"/>
            <w:noWrap/>
            <w:hideMark/>
          </w:tcPr>
          <w:p w14:paraId="3D5085B3"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(37,912)</w:t>
            </w:r>
          </w:p>
        </w:tc>
        <w:tc>
          <w:tcPr>
            <w:tcW w:w="4931" w:type="dxa"/>
            <w:tcBorders>
              <w:top w:val="nil"/>
              <w:left w:val="nil"/>
              <w:bottom w:val="nil"/>
              <w:right w:val="nil"/>
            </w:tcBorders>
            <w:shd w:val="clear" w:color="000000" w:fill="FFFFFF"/>
            <w:noWrap/>
            <w:hideMark/>
          </w:tcPr>
          <w:p w14:paraId="5525F147"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Total Unusable Capital Reserves</w:t>
            </w:r>
          </w:p>
        </w:tc>
        <w:tc>
          <w:tcPr>
            <w:tcW w:w="1701" w:type="dxa"/>
            <w:tcBorders>
              <w:top w:val="single" w:sz="4" w:space="0" w:color="auto"/>
              <w:left w:val="nil"/>
              <w:bottom w:val="nil"/>
              <w:right w:val="single" w:sz="4" w:space="0" w:color="auto"/>
            </w:tcBorders>
            <w:shd w:val="clear" w:color="000000" w:fill="FFE1E1"/>
            <w:noWrap/>
            <w:hideMark/>
          </w:tcPr>
          <w:p w14:paraId="2BA6150C"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(40,596)</w:t>
            </w:r>
          </w:p>
        </w:tc>
      </w:tr>
      <w:tr w:rsidR="00872F6C" w:rsidRPr="00872F6C" w14:paraId="618518FA" w14:textId="77777777" w:rsidTr="00872F6C">
        <w:trPr>
          <w:trHeight w:val="309"/>
        </w:trPr>
        <w:tc>
          <w:tcPr>
            <w:tcW w:w="2156" w:type="dxa"/>
            <w:tcBorders>
              <w:top w:val="nil"/>
              <w:left w:val="single" w:sz="4" w:space="0" w:color="auto"/>
              <w:bottom w:val="nil"/>
              <w:right w:val="nil"/>
            </w:tcBorders>
            <w:shd w:val="clear" w:color="000000" w:fill="FFFFFF"/>
            <w:noWrap/>
            <w:hideMark/>
          </w:tcPr>
          <w:p w14:paraId="2A25FEDF"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noWrap/>
            <w:hideMark/>
          </w:tcPr>
          <w:p w14:paraId="0EAF8CF4"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7FBF1B3E"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109C0C11" w14:textId="77777777" w:rsidTr="00872F6C">
        <w:trPr>
          <w:trHeight w:val="576"/>
        </w:trPr>
        <w:tc>
          <w:tcPr>
            <w:tcW w:w="2156" w:type="dxa"/>
            <w:tcBorders>
              <w:top w:val="nil"/>
              <w:left w:val="single" w:sz="4" w:space="0" w:color="auto"/>
              <w:bottom w:val="nil"/>
              <w:right w:val="nil"/>
            </w:tcBorders>
            <w:shd w:val="clear" w:color="000000" w:fill="FFFFFF"/>
            <w:noWrap/>
            <w:hideMark/>
          </w:tcPr>
          <w:p w14:paraId="4A1C079C"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c>
          <w:tcPr>
            <w:tcW w:w="4931" w:type="dxa"/>
            <w:tcBorders>
              <w:top w:val="nil"/>
              <w:left w:val="nil"/>
              <w:bottom w:val="nil"/>
              <w:right w:val="nil"/>
            </w:tcBorders>
            <w:shd w:val="clear" w:color="000000" w:fill="FFFFFF"/>
            <w:hideMark/>
          </w:tcPr>
          <w:p w14:paraId="305CCEE1" w14:textId="77777777" w:rsidR="00872F6C" w:rsidRPr="00872F6C" w:rsidRDefault="00872F6C" w:rsidP="00872F6C">
            <w:pPr>
              <w:spacing w:after="0" w:line="240" w:lineRule="auto"/>
              <w:rPr>
                <w:rFonts w:ascii="Calibri" w:eastAsia="Times New Roman" w:hAnsi="Calibri" w:cs="Calibri"/>
                <w:b/>
                <w:bCs/>
                <w:lang w:eastAsia="en-GB"/>
              </w:rPr>
            </w:pPr>
            <w:r w:rsidRPr="00872F6C">
              <w:rPr>
                <w:rFonts w:ascii="Calibri" w:eastAsia="Times New Roman" w:hAnsi="Calibri" w:cs="Calibri"/>
                <w:b/>
                <w:bCs/>
                <w:lang w:eastAsia="en-GB"/>
              </w:rPr>
              <w:t>1st January 2019 Stock on Governance Transfer</w:t>
            </w:r>
          </w:p>
        </w:tc>
        <w:tc>
          <w:tcPr>
            <w:tcW w:w="1701" w:type="dxa"/>
            <w:tcBorders>
              <w:top w:val="nil"/>
              <w:left w:val="nil"/>
              <w:bottom w:val="nil"/>
              <w:right w:val="single" w:sz="4" w:space="0" w:color="auto"/>
            </w:tcBorders>
            <w:shd w:val="clear" w:color="000000" w:fill="FFE1E1"/>
            <w:noWrap/>
            <w:hideMark/>
          </w:tcPr>
          <w:p w14:paraId="73795418"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w:t>
            </w:r>
          </w:p>
        </w:tc>
      </w:tr>
      <w:tr w:rsidR="00872F6C" w:rsidRPr="00872F6C" w14:paraId="662635C0" w14:textId="77777777" w:rsidTr="00872F6C">
        <w:trPr>
          <w:trHeight w:val="312"/>
        </w:trPr>
        <w:tc>
          <w:tcPr>
            <w:tcW w:w="2156" w:type="dxa"/>
            <w:tcBorders>
              <w:top w:val="nil"/>
              <w:left w:val="single" w:sz="4" w:space="0" w:color="auto"/>
              <w:bottom w:val="single" w:sz="4" w:space="0" w:color="auto"/>
              <w:right w:val="nil"/>
            </w:tcBorders>
            <w:shd w:val="clear" w:color="000000" w:fill="FFFFFF"/>
            <w:noWrap/>
            <w:hideMark/>
          </w:tcPr>
          <w:p w14:paraId="4D8798A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224</w:t>
            </w:r>
          </w:p>
        </w:tc>
        <w:tc>
          <w:tcPr>
            <w:tcW w:w="4931" w:type="dxa"/>
            <w:tcBorders>
              <w:top w:val="nil"/>
              <w:left w:val="nil"/>
              <w:bottom w:val="nil"/>
              <w:right w:val="nil"/>
            </w:tcBorders>
            <w:shd w:val="clear" w:color="000000" w:fill="FFFFFF"/>
            <w:noWrap/>
            <w:hideMark/>
          </w:tcPr>
          <w:p w14:paraId="65F82C83"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Inventories</w:t>
            </w:r>
          </w:p>
        </w:tc>
        <w:tc>
          <w:tcPr>
            <w:tcW w:w="1701" w:type="dxa"/>
            <w:tcBorders>
              <w:top w:val="nil"/>
              <w:left w:val="nil"/>
              <w:bottom w:val="single" w:sz="4" w:space="0" w:color="auto"/>
              <w:right w:val="single" w:sz="4" w:space="0" w:color="auto"/>
            </w:tcBorders>
            <w:shd w:val="clear" w:color="000000" w:fill="FFE1E1"/>
            <w:noWrap/>
            <w:hideMark/>
          </w:tcPr>
          <w:p w14:paraId="7CD0825D"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224 </w:t>
            </w:r>
          </w:p>
        </w:tc>
      </w:tr>
      <w:tr w:rsidR="00872F6C" w:rsidRPr="00872F6C" w14:paraId="6725762E" w14:textId="77777777" w:rsidTr="00872F6C">
        <w:trPr>
          <w:trHeight w:val="312"/>
        </w:trPr>
        <w:tc>
          <w:tcPr>
            <w:tcW w:w="2156" w:type="dxa"/>
            <w:tcBorders>
              <w:top w:val="nil"/>
              <w:left w:val="single" w:sz="4" w:space="0" w:color="auto"/>
              <w:bottom w:val="nil"/>
              <w:right w:val="nil"/>
            </w:tcBorders>
            <w:shd w:val="clear" w:color="000000" w:fill="FFFFFF"/>
            <w:noWrap/>
            <w:hideMark/>
          </w:tcPr>
          <w:p w14:paraId="62E8EC47" w14:textId="77777777"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224</w:t>
            </w:r>
          </w:p>
        </w:tc>
        <w:tc>
          <w:tcPr>
            <w:tcW w:w="4931" w:type="dxa"/>
            <w:tcBorders>
              <w:top w:val="nil"/>
              <w:left w:val="nil"/>
              <w:bottom w:val="nil"/>
              <w:right w:val="nil"/>
            </w:tcBorders>
            <w:shd w:val="clear" w:color="000000" w:fill="FFFFFF"/>
            <w:noWrap/>
            <w:hideMark/>
          </w:tcPr>
          <w:p w14:paraId="1CBD3E5B" w14:textId="77777777" w:rsidR="00872F6C" w:rsidRPr="00872F6C" w:rsidRDefault="00872F6C" w:rsidP="00872F6C">
            <w:pPr>
              <w:spacing w:after="0" w:line="240" w:lineRule="auto"/>
              <w:ind w:firstLineChars="200" w:firstLine="440"/>
              <w:rPr>
                <w:rFonts w:ascii="Calibri" w:eastAsia="Times New Roman" w:hAnsi="Calibri" w:cs="Calibri"/>
                <w:lang w:eastAsia="en-GB"/>
              </w:rPr>
            </w:pPr>
            <w:r w:rsidRPr="00872F6C">
              <w:rPr>
                <w:rFonts w:ascii="Calibri" w:eastAsia="Times New Roman" w:hAnsi="Calibri" w:cs="Calibri"/>
                <w:lang w:eastAsia="en-GB"/>
              </w:rPr>
              <w:t> </w:t>
            </w:r>
          </w:p>
        </w:tc>
        <w:tc>
          <w:tcPr>
            <w:tcW w:w="1701" w:type="dxa"/>
            <w:tcBorders>
              <w:top w:val="nil"/>
              <w:left w:val="nil"/>
              <w:bottom w:val="nil"/>
              <w:right w:val="single" w:sz="4" w:space="0" w:color="auto"/>
            </w:tcBorders>
            <w:shd w:val="clear" w:color="000000" w:fill="FFE1E1"/>
            <w:noWrap/>
            <w:hideMark/>
          </w:tcPr>
          <w:p w14:paraId="230DE561" w14:textId="0318705B" w:rsidR="00872F6C" w:rsidRPr="00872F6C" w:rsidRDefault="00872F6C" w:rsidP="00872F6C">
            <w:pPr>
              <w:spacing w:after="0" w:line="240" w:lineRule="auto"/>
              <w:jc w:val="right"/>
              <w:rPr>
                <w:rFonts w:ascii="Calibri" w:eastAsia="Times New Roman" w:hAnsi="Calibri" w:cs="Calibri"/>
                <w:lang w:eastAsia="en-GB"/>
              </w:rPr>
            </w:pPr>
            <w:r w:rsidRPr="00872F6C">
              <w:rPr>
                <w:rFonts w:ascii="Calibri" w:eastAsia="Times New Roman" w:hAnsi="Calibri" w:cs="Calibri"/>
                <w:lang w:eastAsia="en-GB"/>
              </w:rPr>
              <w:t xml:space="preserve">                    224</w:t>
            </w:r>
          </w:p>
        </w:tc>
      </w:tr>
      <w:tr w:rsidR="00872F6C" w:rsidRPr="00872F6C" w14:paraId="6FC79BAB" w14:textId="77777777" w:rsidTr="00872F6C">
        <w:trPr>
          <w:trHeight w:val="312"/>
        </w:trPr>
        <w:tc>
          <w:tcPr>
            <w:tcW w:w="2156" w:type="dxa"/>
            <w:tcBorders>
              <w:top w:val="single" w:sz="4" w:space="0" w:color="auto"/>
              <w:left w:val="single" w:sz="4" w:space="0" w:color="auto"/>
              <w:bottom w:val="single" w:sz="4" w:space="0" w:color="auto"/>
              <w:right w:val="nil"/>
            </w:tcBorders>
            <w:shd w:val="clear" w:color="000000" w:fill="C00000"/>
            <w:noWrap/>
            <w:hideMark/>
          </w:tcPr>
          <w:p w14:paraId="561A73D9"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3,300</w:t>
            </w:r>
          </w:p>
        </w:tc>
        <w:tc>
          <w:tcPr>
            <w:tcW w:w="4931" w:type="dxa"/>
            <w:tcBorders>
              <w:top w:val="single" w:sz="4" w:space="0" w:color="auto"/>
              <w:left w:val="nil"/>
              <w:bottom w:val="single" w:sz="4" w:space="0" w:color="auto"/>
              <w:right w:val="nil"/>
            </w:tcBorders>
            <w:shd w:val="clear" w:color="000000" w:fill="C00000"/>
            <w:noWrap/>
            <w:hideMark/>
          </w:tcPr>
          <w:p w14:paraId="4FDB4092" w14:textId="77777777" w:rsidR="00872F6C" w:rsidRPr="00872F6C" w:rsidRDefault="00872F6C" w:rsidP="00872F6C">
            <w:pPr>
              <w:spacing w:after="0" w:line="240" w:lineRule="auto"/>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Closing Capital Financing Requirement</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2948FABB" w14:textId="77777777" w:rsidR="00872F6C" w:rsidRPr="00872F6C" w:rsidRDefault="00872F6C" w:rsidP="00872F6C">
            <w:pPr>
              <w:spacing w:after="0" w:line="240" w:lineRule="auto"/>
              <w:jc w:val="right"/>
              <w:rPr>
                <w:rFonts w:ascii="Calibri" w:eastAsia="Times New Roman" w:hAnsi="Calibri" w:cs="Calibri"/>
                <w:b/>
                <w:bCs/>
                <w:color w:val="FFFFFF"/>
                <w:lang w:eastAsia="en-GB"/>
              </w:rPr>
            </w:pPr>
            <w:r w:rsidRPr="00872F6C">
              <w:rPr>
                <w:rFonts w:ascii="Calibri" w:eastAsia="Times New Roman" w:hAnsi="Calibri" w:cs="Calibri"/>
                <w:b/>
                <w:bCs/>
                <w:color w:val="FFFFFF"/>
                <w:lang w:eastAsia="en-GB"/>
              </w:rPr>
              <w:t>5,753</w:t>
            </w:r>
          </w:p>
        </w:tc>
      </w:tr>
    </w:tbl>
    <w:p w14:paraId="745E71F7" w14:textId="66470012" w:rsidR="000E3E81" w:rsidRDefault="000E3E81" w:rsidP="0079406E">
      <w:pPr>
        <w:autoSpaceDE w:val="0"/>
        <w:autoSpaceDN w:val="0"/>
        <w:adjustRightInd w:val="0"/>
        <w:spacing w:after="0" w:line="240" w:lineRule="auto"/>
      </w:pPr>
    </w:p>
    <w:p w14:paraId="4CDAAFBE" w14:textId="7C94F9DD" w:rsidR="000E3E81" w:rsidRDefault="000E3E81" w:rsidP="0079406E">
      <w:pPr>
        <w:autoSpaceDE w:val="0"/>
        <w:autoSpaceDN w:val="0"/>
        <w:adjustRightInd w:val="0"/>
        <w:spacing w:after="0" w:line="240" w:lineRule="auto"/>
      </w:pPr>
    </w:p>
    <w:p w14:paraId="7A429E6C" w14:textId="68C4A146" w:rsidR="000E3E81" w:rsidRDefault="000E3E81" w:rsidP="0079406E">
      <w:pPr>
        <w:autoSpaceDE w:val="0"/>
        <w:autoSpaceDN w:val="0"/>
        <w:adjustRightInd w:val="0"/>
        <w:spacing w:after="0" w:line="240" w:lineRule="auto"/>
      </w:pPr>
    </w:p>
    <w:p w14:paraId="5A6BE700" w14:textId="7889CC67" w:rsidR="000E3E81" w:rsidRDefault="000E3E81" w:rsidP="0079406E">
      <w:pPr>
        <w:autoSpaceDE w:val="0"/>
        <w:autoSpaceDN w:val="0"/>
        <w:adjustRightInd w:val="0"/>
        <w:spacing w:after="0" w:line="240" w:lineRule="auto"/>
      </w:pPr>
    </w:p>
    <w:p w14:paraId="597390B7" w14:textId="41839BB7" w:rsidR="000E3E81" w:rsidRDefault="000E3E81" w:rsidP="0079406E">
      <w:pPr>
        <w:autoSpaceDE w:val="0"/>
        <w:autoSpaceDN w:val="0"/>
        <w:adjustRightInd w:val="0"/>
        <w:spacing w:after="0" w:line="240" w:lineRule="auto"/>
      </w:pPr>
    </w:p>
    <w:p w14:paraId="70F99026" w14:textId="311BE563" w:rsidR="000E3E81" w:rsidRDefault="000E3E81" w:rsidP="0079406E">
      <w:pPr>
        <w:autoSpaceDE w:val="0"/>
        <w:autoSpaceDN w:val="0"/>
        <w:adjustRightInd w:val="0"/>
        <w:spacing w:after="0" w:line="240" w:lineRule="auto"/>
      </w:pPr>
    </w:p>
    <w:p w14:paraId="163BC9E1" w14:textId="0EBC7816" w:rsidR="000E3E81" w:rsidRDefault="000E3E81" w:rsidP="0079406E">
      <w:pPr>
        <w:autoSpaceDE w:val="0"/>
        <w:autoSpaceDN w:val="0"/>
        <w:adjustRightInd w:val="0"/>
        <w:spacing w:after="0" w:line="240" w:lineRule="auto"/>
      </w:pPr>
    </w:p>
    <w:p w14:paraId="6F579212" w14:textId="0D8BB195" w:rsidR="000E3E81" w:rsidRDefault="000E3E81" w:rsidP="0079406E">
      <w:pPr>
        <w:autoSpaceDE w:val="0"/>
        <w:autoSpaceDN w:val="0"/>
        <w:adjustRightInd w:val="0"/>
        <w:spacing w:after="0" w:line="240" w:lineRule="auto"/>
      </w:pPr>
    </w:p>
    <w:p w14:paraId="43A1A7A2" w14:textId="053DE396" w:rsidR="00914701" w:rsidRDefault="00914701" w:rsidP="0079406E">
      <w:pPr>
        <w:autoSpaceDE w:val="0"/>
        <w:autoSpaceDN w:val="0"/>
        <w:adjustRightInd w:val="0"/>
        <w:spacing w:after="0" w:line="240" w:lineRule="auto"/>
      </w:pPr>
    </w:p>
    <w:p w14:paraId="741FCB3E" w14:textId="06108A98"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23</w:t>
      </w:r>
      <w:r w:rsidR="0079406E" w:rsidRPr="007F07C2">
        <w:rPr>
          <w:rFonts w:cs="Arial"/>
          <w:b/>
          <w:bCs/>
          <w:sz w:val="28"/>
          <w:szCs w:val="28"/>
        </w:rPr>
        <w:t xml:space="preserve"> Operating Leases </w:t>
      </w:r>
    </w:p>
    <w:p w14:paraId="5C01B717" w14:textId="77777777" w:rsidR="0079406E" w:rsidRPr="00ED2A06" w:rsidRDefault="0079406E" w:rsidP="0079406E">
      <w:pPr>
        <w:autoSpaceDE w:val="0"/>
        <w:autoSpaceDN w:val="0"/>
        <w:adjustRightInd w:val="0"/>
        <w:spacing w:after="0" w:line="240" w:lineRule="auto"/>
        <w:rPr>
          <w:rFonts w:cs="Arial"/>
        </w:rPr>
      </w:pPr>
      <w:r w:rsidRPr="00ED2A06">
        <w:rPr>
          <w:rFonts w:cs="Arial"/>
        </w:rPr>
        <w:t xml:space="preserve">The Authority has some property and vehicle leases which have been </w:t>
      </w:r>
      <w:r w:rsidR="00533C64" w:rsidRPr="00ED2A06">
        <w:rPr>
          <w:rFonts w:cs="Arial"/>
        </w:rPr>
        <w:t>accounted for as operating leases.</w:t>
      </w:r>
      <w:r w:rsidRPr="00ED2A06">
        <w:rPr>
          <w:rFonts w:cs="Arial"/>
        </w:rPr>
        <w:t xml:space="preserve"> </w:t>
      </w:r>
    </w:p>
    <w:p w14:paraId="48D9E671" w14:textId="77777777" w:rsidR="00434B4A" w:rsidRPr="00ED2A06" w:rsidRDefault="00434B4A" w:rsidP="0079406E">
      <w:pPr>
        <w:autoSpaceDE w:val="0"/>
        <w:autoSpaceDN w:val="0"/>
        <w:adjustRightInd w:val="0"/>
        <w:spacing w:after="0" w:line="240" w:lineRule="auto"/>
        <w:rPr>
          <w:rFonts w:cs="Arial"/>
        </w:rPr>
      </w:pPr>
    </w:p>
    <w:p w14:paraId="6A6A5BE8" w14:textId="77777777" w:rsidR="00B76383" w:rsidRPr="00ED2A06" w:rsidRDefault="00B76383" w:rsidP="00B76383">
      <w:pPr>
        <w:spacing w:after="0" w:line="240" w:lineRule="auto"/>
        <w:rPr>
          <w:rFonts w:ascii="Calibri" w:eastAsia="Times New Roman" w:hAnsi="Calibri" w:cs="Arial"/>
          <w:color w:val="000000"/>
          <w:u w:val="single"/>
          <w:lang w:eastAsia="en-GB"/>
        </w:rPr>
      </w:pPr>
      <w:r w:rsidRPr="00ED2A06">
        <w:rPr>
          <w:rFonts w:ascii="Calibri" w:eastAsia="Times New Roman" w:hAnsi="Calibri" w:cs="Arial"/>
          <w:color w:val="000000"/>
          <w:u w:val="single"/>
          <w:lang w:eastAsia="en-GB"/>
        </w:rPr>
        <w:t>Operating Leases</w:t>
      </w:r>
    </w:p>
    <w:p w14:paraId="0D54D1D7" w14:textId="77777777" w:rsidR="00A35569" w:rsidRPr="00ED2A06" w:rsidRDefault="00A35569" w:rsidP="00B76383">
      <w:pPr>
        <w:spacing w:after="0" w:line="240" w:lineRule="auto"/>
        <w:rPr>
          <w:rFonts w:ascii="Calibri" w:eastAsia="Times New Roman" w:hAnsi="Calibri" w:cs="Arial"/>
          <w:color w:val="000000"/>
          <w:u w:val="single"/>
          <w:lang w:eastAsia="en-GB"/>
        </w:rPr>
      </w:pPr>
    </w:p>
    <w:p w14:paraId="0A02D091" w14:textId="77777777" w:rsidR="00B76383" w:rsidRPr="00ED2A06" w:rsidRDefault="00B76383" w:rsidP="00B76383">
      <w:pPr>
        <w:spacing w:after="0" w:line="240" w:lineRule="auto"/>
        <w:rPr>
          <w:rFonts w:ascii="Calibri" w:eastAsia="Times New Roman" w:hAnsi="Calibri" w:cs="Arial"/>
          <w:color w:val="000000"/>
          <w:lang w:eastAsia="en-GB"/>
        </w:rPr>
      </w:pPr>
      <w:r w:rsidRPr="00ED2A06">
        <w:rPr>
          <w:rFonts w:ascii="Calibri" w:eastAsia="Times New Roman" w:hAnsi="Calibri" w:cs="Arial"/>
          <w:color w:val="000000"/>
          <w:lang w:eastAsia="en-GB"/>
        </w:rPr>
        <w:t>The future minimum payments due under operating lease in future years are:</w:t>
      </w:r>
    </w:p>
    <w:tbl>
      <w:tblPr>
        <w:tblW w:w="7540" w:type="dxa"/>
        <w:tblLook w:val="04A0" w:firstRow="1" w:lastRow="0" w:firstColumn="1" w:lastColumn="0" w:noHBand="0" w:noVBand="1"/>
      </w:tblPr>
      <w:tblGrid>
        <w:gridCol w:w="271"/>
        <w:gridCol w:w="1756"/>
        <w:gridCol w:w="266"/>
        <w:gridCol w:w="3312"/>
        <w:gridCol w:w="266"/>
        <w:gridCol w:w="1756"/>
        <w:gridCol w:w="271"/>
      </w:tblGrid>
      <w:tr w:rsidR="001B221B" w:rsidRPr="001B221B" w14:paraId="2F8D7B1E" w14:textId="77777777" w:rsidTr="001B221B">
        <w:trPr>
          <w:trHeight w:val="120"/>
        </w:trPr>
        <w:tc>
          <w:tcPr>
            <w:tcW w:w="196" w:type="dxa"/>
            <w:tcBorders>
              <w:top w:val="nil"/>
              <w:left w:val="nil"/>
              <w:bottom w:val="nil"/>
              <w:right w:val="nil"/>
            </w:tcBorders>
            <w:shd w:val="clear" w:color="000000" w:fill="FFFFFF"/>
            <w:noWrap/>
            <w:vAlign w:val="bottom"/>
            <w:hideMark/>
          </w:tcPr>
          <w:p w14:paraId="618888C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nil"/>
              <w:bottom w:val="nil"/>
              <w:right w:val="nil"/>
            </w:tcBorders>
            <w:shd w:val="clear" w:color="000000" w:fill="FFFFFF"/>
            <w:noWrap/>
            <w:hideMark/>
          </w:tcPr>
          <w:p w14:paraId="4DF4027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6" w:type="dxa"/>
            <w:tcBorders>
              <w:top w:val="nil"/>
              <w:left w:val="nil"/>
              <w:bottom w:val="nil"/>
              <w:right w:val="nil"/>
            </w:tcBorders>
            <w:shd w:val="clear" w:color="000000" w:fill="FFFFFF"/>
            <w:noWrap/>
            <w:vAlign w:val="bottom"/>
            <w:hideMark/>
          </w:tcPr>
          <w:p w14:paraId="250ECC8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vAlign w:val="bottom"/>
            <w:hideMark/>
          </w:tcPr>
          <w:p w14:paraId="43C9D7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8" w:type="dxa"/>
            <w:tcBorders>
              <w:top w:val="nil"/>
              <w:left w:val="nil"/>
              <w:bottom w:val="nil"/>
              <w:right w:val="nil"/>
            </w:tcBorders>
            <w:shd w:val="clear" w:color="000000" w:fill="FFFFFF"/>
            <w:vAlign w:val="bottom"/>
            <w:hideMark/>
          </w:tcPr>
          <w:p w14:paraId="315840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56" w:type="dxa"/>
            <w:tcBorders>
              <w:top w:val="nil"/>
              <w:left w:val="nil"/>
              <w:bottom w:val="nil"/>
              <w:right w:val="nil"/>
            </w:tcBorders>
            <w:shd w:val="clear" w:color="000000" w:fill="FFFFFF"/>
            <w:noWrap/>
            <w:hideMark/>
          </w:tcPr>
          <w:p w14:paraId="21ABE16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96" w:type="dxa"/>
            <w:tcBorders>
              <w:top w:val="nil"/>
              <w:left w:val="nil"/>
              <w:bottom w:val="nil"/>
              <w:right w:val="nil"/>
            </w:tcBorders>
            <w:shd w:val="clear" w:color="000000" w:fill="FFFFFF"/>
            <w:noWrap/>
            <w:hideMark/>
          </w:tcPr>
          <w:p w14:paraId="59F1E28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r>
      <w:tr w:rsidR="001B221B" w:rsidRPr="001B221B" w14:paraId="40591C48" w14:textId="77777777" w:rsidTr="001B221B">
        <w:trPr>
          <w:trHeight w:val="310"/>
        </w:trPr>
        <w:tc>
          <w:tcPr>
            <w:tcW w:w="196" w:type="dxa"/>
            <w:tcBorders>
              <w:top w:val="nil"/>
              <w:left w:val="nil"/>
              <w:bottom w:val="nil"/>
              <w:right w:val="nil"/>
            </w:tcBorders>
            <w:shd w:val="clear" w:color="000000" w:fill="FFFFFF"/>
            <w:noWrap/>
            <w:vAlign w:val="bottom"/>
            <w:hideMark/>
          </w:tcPr>
          <w:p w14:paraId="61B8E85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single" w:sz="4" w:space="0" w:color="auto"/>
              <w:left w:val="single" w:sz="4" w:space="0" w:color="auto"/>
              <w:bottom w:val="nil"/>
              <w:right w:val="nil"/>
            </w:tcBorders>
            <w:shd w:val="clear" w:color="000000" w:fill="C00000"/>
            <w:hideMark/>
          </w:tcPr>
          <w:p w14:paraId="0DB6458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76" w:type="dxa"/>
            <w:tcBorders>
              <w:top w:val="single" w:sz="4" w:space="0" w:color="auto"/>
              <w:left w:val="nil"/>
              <w:bottom w:val="nil"/>
              <w:right w:val="nil"/>
            </w:tcBorders>
            <w:shd w:val="clear" w:color="000000" w:fill="C00000"/>
            <w:hideMark/>
          </w:tcPr>
          <w:p w14:paraId="2495D91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single" w:sz="4" w:space="0" w:color="auto"/>
              <w:left w:val="nil"/>
              <w:bottom w:val="nil"/>
              <w:right w:val="nil"/>
            </w:tcBorders>
            <w:shd w:val="clear" w:color="000000" w:fill="C00000"/>
            <w:hideMark/>
          </w:tcPr>
          <w:p w14:paraId="23B5C5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48" w:type="dxa"/>
            <w:tcBorders>
              <w:top w:val="single" w:sz="4" w:space="0" w:color="auto"/>
              <w:left w:val="nil"/>
              <w:bottom w:val="nil"/>
              <w:right w:val="nil"/>
            </w:tcBorders>
            <w:shd w:val="clear" w:color="000000" w:fill="C00000"/>
            <w:hideMark/>
          </w:tcPr>
          <w:p w14:paraId="0F602B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single" w:sz="4" w:space="0" w:color="auto"/>
              <w:left w:val="nil"/>
              <w:bottom w:val="nil"/>
              <w:right w:val="single" w:sz="4" w:space="0" w:color="auto"/>
            </w:tcBorders>
            <w:shd w:val="clear" w:color="000000" w:fill="C00000"/>
            <w:hideMark/>
          </w:tcPr>
          <w:p w14:paraId="776D692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96" w:type="dxa"/>
            <w:tcBorders>
              <w:top w:val="nil"/>
              <w:left w:val="nil"/>
              <w:bottom w:val="nil"/>
              <w:right w:val="nil"/>
            </w:tcBorders>
            <w:shd w:val="clear" w:color="000000" w:fill="FFFFFF"/>
            <w:noWrap/>
            <w:vAlign w:val="bottom"/>
            <w:hideMark/>
          </w:tcPr>
          <w:p w14:paraId="3B68D8F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3DEA5516" w14:textId="77777777" w:rsidTr="001B221B">
        <w:trPr>
          <w:trHeight w:val="310"/>
        </w:trPr>
        <w:tc>
          <w:tcPr>
            <w:tcW w:w="196" w:type="dxa"/>
            <w:tcBorders>
              <w:top w:val="nil"/>
              <w:left w:val="nil"/>
              <w:bottom w:val="nil"/>
              <w:right w:val="nil"/>
            </w:tcBorders>
            <w:shd w:val="clear" w:color="000000" w:fill="FFFFFF"/>
            <w:noWrap/>
            <w:vAlign w:val="bottom"/>
            <w:hideMark/>
          </w:tcPr>
          <w:p w14:paraId="359EBCBD"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single" w:sz="4" w:space="0" w:color="auto"/>
              <w:right w:val="nil"/>
            </w:tcBorders>
            <w:shd w:val="clear" w:color="000000" w:fill="C00000"/>
            <w:noWrap/>
            <w:hideMark/>
          </w:tcPr>
          <w:p w14:paraId="25BB7C8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76" w:type="dxa"/>
            <w:tcBorders>
              <w:top w:val="nil"/>
              <w:left w:val="nil"/>
              <w:bottom w:val="single" w:sz="4" w:space="0" w:color="auto"/>
              <w:right w:val="nil"/>
            </w:tcBorders>
            <w:shd w:val="clear" w:color="000000" w:fill="C00000"/>
            <w:noWrap/>
            <w:hideMark/>
          </w:tcPr>
          <w:p w14:paraId="24A5D13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nil"/>
              <w:left w:val="nil"/>
              <w:bottom w:val="single" w:sz="4" w:space="0" w:color="auto"/>
              <w:right w:val="nil"/>
            </w:tcBorders>
            <w:shd w:val="clear" w:color="000000" w:fill="C00000"/>
            <w:noWrap/>
            <w:hideMark/>
          </w:tcPr>
          <w:p w14:paraId="0856FF7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48" w:type="dxa"/>
            <w:tcBorders>
              <w:top w:val="nil"/>
              <w:left w:val="nil"/>
              <w:bottom w:val="single" w:sz="4" w:space="0" w:color="auto"/>
              <w:right w:val="nil"/>
            </w:tcBorders>
            <w:shd w:val="clear" w:color="000000" w:fill="C00000"/>
            <w:noWrap/>
            <w:hideMark/>
          </w:tcPr>
          <w:p w14:paraId="0C93810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hideMark/>
          </w:tcPr>
          <w:p w14:paraId="11CA9D2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96" w:type="dxa"/>
            <w:tcBorders>
              <w:top w:val="nil"/>
              <w:left w:val="nil"/>
              <w:bottom w:val="nil"/>
              <w:right w:val="nil"/>
            </w:tcBorders>
            <w:shd w:val="clear" w:color="000000" w:fill="FFFFFF"/>
            <w:noWrap/>
            <w:vAlign w:val="bottom"/>
            <w:hideMark/>
          </w:tcPr>
          <w:p w14:paraId="24FAA074"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39EACFE1" w14:textId="77777777" w:rsidTr="001B221B">
        <w:trPr>
          <w:trHeight w:val="315"/>
        </w:trPr>
        <w:tc>
          <w:tcPr>
            <w:tcW w:w="196" w:type="dxa"/>
            <w:tcBorders>
              <w:top w:val="nil"/>
              <w:left w:val="nil"/>
              <w:bottom w:val="nil"/>
              <w:right w:val="nil"/>
            </w:tcBorders>
            <w:shd w:val="clear" w:color="000000" w:fill="FFFFFF"/>
            <w:noWrap/>
            <w:vAlign w:val="center"/>
            <w:hideMark/>
          </w:tcPr>
          <w:p w14:paraId="61CF09C0"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nil"/>
              <w:right w:val="nil"/>
            </w:tcBorders>
            <w:shd w:val="clear" w:color="000000" w:fill="FFFFFF"/>
            <w:noWrap/>
            <w:vAlign w:val="center"/>
            <w:hideMark/>
          </w:tcPr>
          <w:p w14:paraId="5EB6060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18</w:t>
            </w:r>
          </w:p>
        </w:tc>
        <w:tc>
          <w:tcPr>
            <w:tcW w:w="176" w:type="dxa"/>
            <w:tcBorders>
              <w:top w:val="nil"/>
              <w:left w:val="nil"/>
              <w:bottom w:val="nil"/>
              <w:right w:val="nil"/>
            </w:tcBorders>
            <w:shd w:val="clear" w:color="000000" w:fill="FFFFFF"/>
            <w:vAlign w:val="center"/>
            <w:hideMark/>
          </w:tcPr>
          <w:p w14:paraId="08114C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noWrap/>
            <w:vAlign w:val="center"/>
            <w:hideMark/>
          </w:tcPr>
          <w:p w14:paraId="1ABDFDAC" w14:textId="77777777" w:rsidR="001B221B" w:rsidRPr="001B221B" w:rsidRDefault="001B221B" w:rsidP="001B221B">
            <w:pPr>
              <w:spacing w:after="0" w:line="240" w:lineRule="auto"/>
              <w:rPr>
                <w:rFonts w:ascii="Calibri" w:eastAsia="Times New Roman" w:hAnsi="Calibri" w:cs="Calibri"/>
                <w:lang w:eastAsia="en-GB"/>
              </w:rPr>
            </w:pPr>
            <w:r w:rsidRPr="001B221B">
              <w:rPr>
                <w:rFonts w:ascii="Calibri" w:eastAsia="Times New Roman" w:hAnsi="Calibri" w:cs="Calibri"/>
                <w:lang w:eastAsia="en-GB"/>
              </w:rPr>
              <w:t>Less than one year (payments)</w:t>
            </w:r>
          </w:p>
        </w:tc>
        <w:tc>
          <w:tcPr>
            <w:tcW w:w="148" w:type="dxa"/>
            <w:tcBorders>
              <w:top w:val="nil"/>
              <w:left w:val="nil"/>
              <w:bottom w:val="nil"/>
              <w:right w:val="nil"/>
            </w:tcBorders>
            <w:shd w:val="clear" w:color="000000" w:fill="FFFFFF"/>
            <w:noWrap/>
            <w:vAlign w:val="center"/>
            <w:hideMark/>
          </w:tcPr>
          <w:p w14:paraId="05B964FD"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 </w:t>
            </w:r>
          </w:p>
        </w:tc>
        <w:tc>
          <w:tcPr>
            <w:tcW w:w="1756" w:type="dxa"/>
            <w:tcBorders>
              <w:top w:val="nil"/>
              <w:left w:val="nil"/>
              <w:bottom w:val="nil"/>
              <w:right w:val="single" w:sz="4" w:space="0" w:color="auto"/>
            </w:tcBorders>
            <w:shd w:val="clear" w:color="000000" w:fill="FFE1E1"/>
            <w:noWrap/>
            <w:vAlign w:val="center"/>
            <w:hideMark/>
          </w:tcPr>
          <w:p w14:paraId="3463E58C" w14:textId="46EEED69" w:rsidR="001B221B"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196" w:type="dxa"/>
            <w:tcBorders>
              <w:top w:val="nil"/>
              <w:left w:val="nil"/>
              <w:bottom w:val="nil"/>
              <w:right w:val="nil"/>
            </w:tcBorders>
            <w:shd w:val="clear" w:color="000000" w:fill="FFFFFF"/>
            <w:noWrap/>
            <w:vAlign w:val="center"/>
            <w:hideMark/>
          </w:tcPr>
          <w:p w14:paraId="776A0911"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618A8A3D" w14:textId="77777777" w:rsidTr="001B221B">
        <w:trPr>
          <w:trHeight w:val="315"/>
        </w:trPr>
        <w:tc>
          <w:tcPr>
            <w:tcW w:w="196" w:type="dxa"/>
            <w:tcBorders>
              <w:top w:val="nil"/>
              <w:left w:val="nil"/>
              <w:bottom w:val="nil"/>
              <w:right w:val="nil"/>
            </w:tcBorders>
            <w:shd w:val="clear" w:color="000000" w:fill="FFFFFF"/>
            <w:noWrap/>
            <w:vAlign w:val="center"/>
            <w:hideMark/>
          </w:tcPr>
          <w:p w14:paraId="0035CA93"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nil"/>
              <w:right w:val="nil"/>
            </w:tcBorders>
            <w:shd w:val="clear" w:color="000000" w:fill="FFFFFF"/>
            <w:noWrap/>
            <w:vAlign w:val="center"/>
            <w:hideMark/>
          </w:tcPr>
          <w:p w14:paraId="2AA9291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48</w:t>
            </w:r>
          </w:p>
        </w:tc>
        <w:tc>
          <w:tcPr>
            <w:tcW w:w="176" w:type="dxa"/>
            <w:tcBorders>
              <w:top w:val="nil"/>
              <w:left w:val="nil"/>
              <w:bottom w:val="nil"/>
              <w:right w:val="nil"/>
            </w:tcBorders>
            <w:shd w:val="clear" w:color="000000" w:fill="FFFFFF"/>
            <w:vAlign w:val="center"/>
            <w:hideMark/>
          </w:tcPr>
          <w:p w14:paraId="369A40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12" w:type="dxa"/>
            <w:tcBorders>
              <w:top w:val="nil"/>
              <w:left w:val="nil"/>
              <w:bottom w:val="nil"/>
              <w:right w:val="nil"/>
            </w:tcBorders>
            <w:shd w:val="clear" w:color="000000" w:fill="FFFFFF"/>
            <w:vAlign w:val="center"/>
            <w:hideMark/>
          </w:tcPr>
          <w:p w14:paraId="56A2D11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One to five years</w:t>
            </w:r>
          </w:p>
        </w:tc>
        <w:tc>
          <w:tcPr>
            <w:tcW w:w="148" w:type="dxa"/>
            <w:tcBorders>
              <w:top w:val="nil"/>
              <w:left w:val="nil"/>
              <w:bottom w:val="nil"/>
              <w:right w:val="nil"/>
            </w:tcBorders>
            <w:shd w:val="clear" w:color="000000" w:fill="FFFFFF"/>
            <w:noWrap/>
            <w:vAlign w:val="center"/>
            <w:hideMark/>
          </w:tcPr>
          <w:p w14:paraId="3F3C8C37"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nil"/>
              <w:right w:val="single" w:sz="4" w:space="0" w:color="auto"/>
            </w:tcBorders>
            <w:shd w:val="clear" w:color="000000" w:fill="FFE1E1"/>
            <w:noWrap/>
            <w:vAlign w:val="center"/>
            <w:hideMark/>
          </w:tcPr>
          <w:p w14:paraId="10DBF58C" w14:textId="19EE9B93" w:rsidR="001B221B"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197</w:t>
            </w:r>
          </w:p>
        </w:tc>
        <w:tc>
          <w:tcPr>
            <w:tcW w:w="196" w:type="dxa"/>
            <w:tcBorders>
              <w:top w:val="nil"/>
              <w:left w:val="nil"/>
              <w:bottom w:val="nil"/>
              <w:right w:val="nil"/>
            </w:tcBorders>
            <w:shd w:val="clear" w:color="000000" w:fill="FFFFFF"/>
            <w:noWrap/>
            <w:vAlign w:val="center"/>
            <w:hideMark/>
          </w:tcPr>
          <w:p w14:paraId="6167ADFC"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7797A11C" w14:textId="77777777" w:rsidTr="001B221B">
        <w:trPr>
          <w:trHeight w:val="310"/>
        </w:trPr>
        <w:tc>
          <w:tcPr>
            <w:tcW w:w="196" w:type="dxa"/>
            <w:tcBorders>
              <w:top w:val="nil"/>
              <w:left w:val="nil"/>
              <w:bottom w:val="nil"/>
              <w:right w:val="nil"/>
            </w:tcBorders>
            <w:shd w:val="clear" w:color="000000" w:fill="FFFFFF"/>
            <w:noWrap/>
            <w:vAlign w:val="bottom"/>
            <w:hideMark/>
          </w:tcPr>
          <w:p w14:paraId="1AE6435E"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56" w:type="dxa"/>
            <w:tcBorders>
              <w:top w:val="nil"/>
              <w:left w:val="single" w:sz="4" w:space="0" w:color="auto"/>
              <w:bottom w:val="single" w:sz="4" w:space="0" w:color="auto"/>
              <w:right w:val="nil"/>
            </w:tcBorders>
            <w:shd w:val="clear" w:color="000000" w:fill="C00000"/>
            <w:noWrap/>
            <w:hideMark/>
          </w:tcPr>
          <w:p w14:paraId="0EB334A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66</w:t>
            </w:r>
          </w:p>
        </w:tc>
        <w:tc>
          <w:tcPr>
            <w:tcW w:w="176" w:type="dxa"/>
            <w:tcBorders>
              <w:top w:val="nil"/>
              <w:left w:val="nil"/>
              <w:bottom w:val="single" w:sz="4" w:space="0" w:color="auto"/>
              <w:right w:val="nil"/>
            </w:tcBorders>
            <w:shd w:val="clear" w:color="000000" w:fill="C00000"/>
            <w:noWrap/>
            <w:hideMark/>
          </w:tcPr>
          <w:p w14:paraId="0BF6E94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12" w:type="dxa"/>
            <w:tcBorders>
              <w:top w:val="nil"/>
              <w:left w:val="nil"/>
              <w:bottom w:val="single" w:sz="4" w:space="0" w:color="auto"/>
              <w:right w:val="nil"/>
            </w:tcBorders>
            <w:shd w:val="clear" w:color="000000" w:fill="C00000"/>
            <w:noWrap/>
            <w:hideMark/>
          </w:tcPr>
          <w:p w14:paraId="1A5FBB4F"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48" w:type="dxa"/>
            <w:tcBorders>
              <w:top w:val="nil"/>
              <w:left w:val="nil"/>
              <w:bottom w:val="single" w:sz="4" w:space="0" w:color="auto"/>
              <w:right w:val="nil"/>
            </w:tcBorders>
            <w:shd w:val="clear" w:color="000000" w:fill="C00000"/>
            <w:noWrap/>
            <w:hideMark/>
          </w:tcPr>
          <w:p w14:paraId="65A184D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noWrap/>
            <w:hideMark/>
          </w:tcPr>
          <w:p w14:paraId="0072F0D9" w14:textId="037DD23C" w:rsidR="001B221B" w:rsidRPr="001B221B" w:rsidRDefault="00014AAD" w:rsidP="001B221B">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260</w:t>
            </w:r>
          </w:p>
        </w:tc>
        <w:tc>
          <w:tcPr>
            <w:tcW w:w="196" w:type="dxa"/>
            <w:tcBorders>
              <w:top w:val="nil"/>
              <w:left w:val="nil"/>
              <w:bottom w:val="nil"/>
              <w:right w:val="nil"/>
            </w:tcBorders>
            <w:shd w:val="clear" w:color="000000" w:fill="FFFFFF"/>
            <w:noWrap/>
            <w:vAlign w:val="bottom"/>
            <w:hideMark/>
          </w:tcPr>
          <w:p w14:paraId="548E7126"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1B221B" w:rsidRPr="001B221B" w14:paraId="793D7162" w14:textId="77777777" w:rsidTr="001B221B">
        <w:trPr>
          <w:trHeight w:val="120"/>
        </w:trPr>
        <w:tc>
          <w:tcPr>
            <w:tcW w:w="196" w:type="dxa"/>
            <w:tcBorders>
              <w:top w:val="nil"/>
              <w:left w:val="nil"/>
              <w:bottom w:val="nil"/>
              <w:right w:val="nil"/>
            </w:tcBorders>
            <w:shd w:val="clear" w:color="000000" w:fill="FFFFFF"/>
            <w:noWrap/>
            <w:vAlign w:val="bottom"/>
            <w:hideMark/>
          </w:tcPr>
          <w:p w14:paraId="0F0CA077" w14:textId="77777777" w:rsidR="001B221B" w:rsidRPr="001B221B" w:rsidRDefault="001B221B"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5392" w:type="dxa"/>
            <w:gridSpan w:val="4"/>
            <w:tcBorders>
              <w:top w:val="nil"/>
              <w:left w:val="nil"/>
              <w:bottom w:val="nil"/>
              <w:right w:val="nil"/>
            </w:tcBorders>
            <w:shd w:val="clear" w:color="000000" w:fill="FFFFFF"/>
            <w:vAlign w:val="bottom"/>
            <w:hideMark/>
          </w:tcPr>
          <w:p w14:paraId="7274C148" w14:textId="77777777" w:rsidR="001B221B" w:rsidRPr="001B221B" w:rsidRDefault="001B221B" w:rsidP="001B221B">
            <w:pPr>
              <w:spacing w:after="0" w:line="240" w:lineRule="auto"/>
              <w:jc w:val="center"/>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756" w:type="dxa"/>
            <w:tcBorders>
              <w:top w:val="nil"/>
              <w:left w:val="nil"/>
              <w:bottom w:val="nil"/>
              <w:right w:val="nil"/>
            </w:tcBorders>
            <w:shd w:val="clear" w:color="000000" w:fill="FFFFFF"/>
            <w:noWrap/>
            <w:hideMark/>
          </w:tcPr>
          <w:p w14:paraId="0427CF03"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196" w:type="dxa"/>
            <w:tcBorders>
              <w:top w:val="nil"/>
              <w:left w:val="nil"/>
              <w:bottom w:val="nil"/>
              <w:right w:val="nil"/>
            </w:tcBorders>
            <w:shd w:val="clear" w:color="000000" w:fill="FFFFFF"/>
            <w:noWrap/>
            <w:hideMark/>
          </w:tcPr>
          <w:p w14:paraId="063D5047" w14:textId="77777777" w:rsidR="001B221B" w:rsidRPr="001B221B" w:rsidRDefault="001B221B"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bl>
    <w:p w14:paraId="3B34601F" w14:textId="77777777" w:rsidR="00A35569" w:rsidRPr="007F07C2" w:rsidRDefault="00A35569" w:rsidP="00A35569">
      <w:pPr>
        <w:spacing w:after="0" w:line="240" w:lineRule="auto"/>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The expenditure charged to service lines in the Comprehensive Income and Expenditure during the period in relation to these leases were:</w:t>
      </w:r>
    </w:p>
    <w:p w14:paraId="63586ADD" w14:textId="77777777" w:rsidR="00D252D1" w:rsidRPr="007F07C2" w:rsidRDefault="00D252D1" w:rsidP="00A35569">
      <w:pPr>
        <w:spacing w:after="0" w:line="240" w:lineRule="auto"/>
        <w:rPr>
          <w:rFonts w:ascii="Calibri" w:eastAsia="Times New Roman" w:hAnsi="Calibri" w:cs="Times New Roman"/>
          <w:color w:val="000000"/>
          <w:lang w:eastAsia="en-GB"/>
        </w:rPr>
      </w:pPr>
    </w:p>
    <w:tbl>
      <w:tblPr>
        <w:tblW w:w="7911" w:type="dxa"/>
        <w:tblLook w:val="04A0" w:firstRow="1" w:lastRow="0" w:firstColumn="1" w:lastColumn="0" w:noHBand="0" w:noVBand="1"/>
      </w:tblPr>
      <w:tblGrid>
        <w:gridCol w:w="271"/>
        <w:gridCol w:w="1715"/>
        <w:gridCol w:w="271"/>
        <w:gridCol w:w="3361"/>
        <w:gridCol w:w="266"/>
        <w:gridCol w:w="1756"/>
        <w:gridCol w:w="271"/>
      </w:tblGrid>
      <w:tr w:rsidR="00EE43C2" w:rsidRPr="001B221B" w14:paraId="74E668E6" w14:textId="77777777" w:rsidTr="00EE43C2">
        <w:trPr>
          <w:trHeight w:val="120"/>
        </w:trPr>
        <w:tc>
          <w:tcPr>
            <w:tcW w:w="271" w:type="dxa"/>
            <w:tcBorders>
              <w:top w:val="nil"/>
              <w:left w:val="nil"/>
              <w:bottom w:val="nil"/>
              <w:right w:val="nil"/>
            </w:tcBorders>
            <w:shd w:val="clear" w:color="000000" w:fill="FFFFFF"/>
            <w:noWrap/>
            <w:vAlign w:val="bottom"/>
            <w:hideMark/>
          </w:tcPr>
          <w:p w14:paraId="2545E073"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nil"/>
              <w:bottom w:val="nil"/>
              <w:right w:val="nil"/>
            </w:tcBorders>
            <w:shd w:val="clear" w:color="000000" w:fill="FFFFFF"/>
            <w:hideMark/>
          </w:tcPr>
          <w:p w14:paraId="04C058A0" w14:textId="162E95CF"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71" w:type="dxa"/>
            <w:tcBorders>
              <w:top w:val="nil"/>
              <w:left w:val="nil"/>
              <w:bottom w:val="nil"/>
              <w:right w:val="nil"/>
            </w:tcBorders>
            <w:shd w:val="clear" w:color="000000" w:fill="FFFFFF"/>
            <w:vAlign w:val="bottom"/>
            <w:hideMark/>
          </w:tcPr>
          <w:p w14:paraId="6214921E"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61" w:type="dxa"/>
            <w:tcBorders>
              <w:top w:val="nil"/>
              <w:left w:val="nil"/>
              <w:bottom w:val="nil"/>
              <w:right w:val="nil"/>
            </w:tcBorders>
            <w:shd w:val="clear" w:color="000000" w:fill="FFFFFF"/>
            <w:vAlign w:val="bottom"/>
            <w:hideMark/>
          </w:tcPr>
          <w:p w14:paraId="4A36783E"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266" w:type="dxa"/>
            <w:tcBorders>
              <w:top w:val="nil"/>
              <w:left w:val="nil"/>
              <w:bottom w:val="nil"/>
              <w:right w:val="nil"/>
            </w:tcBorders>
            <w:shd w:val="clear" w:color="000000" w:fill="FFFFFF"/>
            <w:vAlign w:val="bottom"/>
            <w:hideMark/>
          </w:tcPr>
          <w:p w14:paraId="26AFB938" w14:textId="77777777" w:rsidR="00EE43C2" w:rsidRPr="001B221B" w:rsidRDefault="00EE43C2" w:rsidP="001B221B">
            <w:pPr>
              <w:spacing w:after="0" w:line="240" w:lineRule="auto"/>
              <w:jc w:val="center"/>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756" w:type="dxa"/>
            <w:tcBorders>
              <w:top w:val="nil"/>
              <w:left w:val="nil"/>
              <w:bottom w:val="nil"/>
              <w:right w:val="nil"/>
            </w:tcBorders>
            <w:shd w:val="clear" w:color="000000" w:fill="FFFFFF"/>
            <w:noWrap/>
            <w:hideMark/>
          </w:tcPr>
          <w:p w14:paraId="3E6152E4" w14:textId="77777777" w:rsidR="00EE43C2" w:rsidRPr="001B221B" w:rsidRDefault="00EE43C2"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c>
          <w:tcPr>
            <w:tcW w:w="271" w:type="dxa"/>
            <w:tcBorders>
              <w:top w:val="nil"/>
              <w:left w:val="nil"/>
              <w:bottom w:val="nil"/>
              <w:right w:val="nil"/>
            </w:tcBorders>
            <w:shd w:val="clear" w:color="000000" w:fill="FFFFFF"/>
            <w:noWrap/>
            <w:hideMark/>
          </w:tcPr>
          <w:p w14:paraId="36B5BB7D" w14:textId="77777777" w:rsidR="00EE43C2" w:rsidRPr="001B221B" w:rsidRDefault="00EE43C2" w:rsidP="001B221B">
            <w:pPr>
              <w:spacing w:after="0" w:line="240" w:lineRule="auto"/>
              <w:jc w:val="right"/>
              <w:rPr>
                <w:rFonts w:ascii="Calibri" w:eastAsia="Times New Roman" w:hAnsi="Calibri" w:cs="Calibri"/>
                <w:b/>
                <w:bCs/>
                <w:color w:val="000000"/>
                <w:sz w:val="24"/>
                <w:szCs w:val="24"/>
                <w:lang w:eastAsia="en-GB"/>
              </w:rPr>
            </w:pPr>
            <w:r w:rsidRPr="001B221B">
              <w:rPr>
                <w:rFonts w:ascii="Calibri" w:eastAsia="Times New Roman" w:hAnsi="Calibri" w:cs="Calibri"/>
                <w:b/>
                <w:bCs/>
                <w:color w:val="000000"/>
                <w:sz w:val="24"/>
                <w:szCs w:val="24"/>
                <w:lang w:eastAsia="en-GB"/>
              </w:rPr>
              <w:t> </w:t>
            </w:r>
          </w:p>
        </w:tc>
      </w:tr>
      <w:tr w:rsidR="00EE43C2" w:rsidRPr="001B221B" w14:paraId="183272F3" w14:textId="77777777" w:rsidTr="00EE43C2">
        <w:trPr>
          <w:trHeight w:val="310"/>
        </w:trPr>
        <w:tc>
          <w:tcPr>
            <w:tcW w:w="271" w:type="dxa"/>
            <w:tcBorders>
              <w:top w:val="nil"/>
              <w:left w:val="nil"/>
              <w:bottom w:val="nil"/>
              <w:right w:val="nil"/>
            </w:tcBorders>
            <w:shd w:val="clear" w:color="000000" w:fill="FFFFFF"/>
            <w:noWrap/>
            <w:vAlign w:val="bottom"/>
            <w:hideMark/>
          </w:tcPr>
          <w:p w14:paraId="46532C20"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single" w:sz="4" w:space="0" w:color="auto"/>
              <w:left w:val="single" w:sz="4" w:space="0" w:color="auto"/>
              <w:bottom w:val="nil"/>
              <w:right w:val="nil"/>
            </w:tcBorders>
            <w:shd w:val="clear" w:color="000000" w:fill="C00000"/>
            <w:hideMark/>
          </w:tcPr>
          <w:p w14:paraId="7FD0A91A" w14:textId="74258E66"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271" w:type="dxa"/>
            <w:tcBorders>
              <w:top w:val="single" w:sz="4" w:space="0" w:color="auto"/>
              <w:left w:val="nil"/>
              <w:bottom w:val="nil"/>
              <w:right w:val="nil"/>
            </w:tcBorders>
            <w:shd w:val="clear" w:color="000000" w:fill="C00000"/>
            <w:hideMark/>
          </w:tcPr>
          <w:p w14:paraId="02F456B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61" w:type="dxa"/>
            <w:tcBorders>
              <w:top w:val="single" w:sz="4" w:space="0" w:color="auto"/>
              <w:left w:val="nil"/>
              <w:bottom w:val="nil"/>
              <w:right w:val="nil"/>
            </w:tcBorders>
            <w:shd w:val="clear" w:color="000000" w:fill="C00000"/>
            <w:hideMark/>
          </w:tcPr>
          <w:p w14:paraId="72AF5F2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266" w:type="dxa"/>
            <w:tcBorders>
              <w:top w:val="single" w:sz="4" w:space="0" w:color="auto"/>
              <w:left w:val="nil"/>
              <w:bottom w:val="nil"/>
              <w:right w:val="nil"/>
            </w:tcBorders>
            <w:shd w:val="clear" w:color="000000" w:fill="C00000"/>
            <w:hideMark/>
          </w:tcPr>
          <w:p w14:paraId="4CE24F9C"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single" w:sz="4" w:space="0" w:color="auto"/>
              <w:left w:val="nil"/>
              <w:bottom w:val="nil"/>
              <w:right w:val="single" w:sz="4" w:space="0" w:color="auto"/>
            </w:tcBorders>
            <w:shd w:val="clear" w:color="000000" w:fill="C00000"/>
            <w:hideMark/>
          </w:tcPr>
          <w:p w14:paraId="2114E891"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271" w:type="dxa"/>
            <w:tcBorders>
              <w:top w:val="nil"/>
              <w:left w:val="nil"/>
              <w:bottom w:val="nil"/>
              <w:right w:val="nil"/>
            </w:tcBorders>
            <w:shd w:val="clear" w:color="000000" w:fill="FFFFFF"/>
            <w:noWrap/>
            <w:vAlign w:val="bottom"/>
            <w:hideMark/>
          </w:tcPr>
          <w:p w14:paraId="3A2AD4CC"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37C3EFF2" w14:textId="77777777" w:rsidTr="00EE43C2">
        <w:trPr>
          <w:trHeight w:val="310"/>
        </w:trPr>
        <w:tc>
          <w:tcPr>
            <w:tcW w:w="271" w:type="dxa"/>
            <w:tcBorders>
              <w:top w:val="nil"/>
              <w:left w:val="nil"/>
              <w:bottom w:val="nil"/>
              <w:right w:val="nil"/>
            </w:tcBorders>
            <w:shd w:val="clear" w:color="000000" w:fill="FFFFFF"/>
            <w:noWrap/>
            <w:vAlign w:val="bottom"/>
            <w:hideMark/>
          </w:tcPr>
          <w:p w14:paraId="627089C6"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single" w:sz="4" w:space="0" w:color="auto"/>
              <w:bottom w:val="nil"/>
              <w:right w:val="nil"/>
            </w:tcBorders>
            <w:shd w:val="clear" w:color="000000" w:fill="C00000"/>
            <w:noWrap/>
            <w:hideMark/>
          </w:tcPr>
          <w:p w14:paraId="1262654C" w14:textId="056E8E2D"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1" w:type="dxa"/>
            <w:tcBorders>
              <w:top w:val="nil"/>
              <w:left w:val="nil"/>
              <w:bottom w:val="single" w:sz="4" w:space="0" w:color="auto"/>
              <w:right w:val="nil"/>
            </w:tcBorders>
            <w:shd w:val="clear" w:color="000000" w:fill="C00000"/>
            <w:noWrap/>
            <w:hideMark/>
          </w:tcPr>
          <w:p w14:paraId="63D4CB74"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361" w:type="dxa"/>
            <w:tcBorders>
              <w:top w:val="nil"/>
              <w:left w:val="nil"/>
              <w:bottom w:val="single" w:sz="4" w:space="0" w:color="auto"/>
              <w:right w:val="nil"/>
            </w:tcBorders>
            <w:shd w:val="clear" w:color="000000" w:fill="C00000"/>
            <w:noWrap/>
            <w:hideMark/>
          </w:tcPr>
          <w:p w14:paraId="758E1FD7"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266" w:type="dxa"/>
            <w:tcBorders>
              <w:top w:val="nil"/>
              <w:left w:val="nil"/>
              <w:bottom w:val="single" w:sz="4" w:space="0" w:color="auto"/>
              <w:right w:val="nil"/>
            </w:tcBorders>
            <w:shd w:val="clear" w:color="000000" w:fill="C00000"/>
            <w:noWrap/>
            <w:hideMark/>
          </w:tcPr>
          <w:p w14:paraId="6868813A"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756" w:type="dxa"/>
            <w:tcBorders>
              <w:top w:val="nil"/>
              <w:left w:val="nil"/>
              <w:bottom w:val="single" w:sz="4" w:space="0" w:color="auto"/>
              <w:right w:val="single" w:sz="4" w:space="0" w:color="auto"/>
            </w:tcBorders>
            <w:shd w:val="clear" w:color="000000" w:fill="C00000"/>
            <w:hideMark/>
          </w:tcPr>
          <w:p w14:paraId="0C326D4F" w14:textId="77777777" w:rsidR="00EE43C2" w:rsidRPr="001B221B" w:rsidRDefault="00EE43C2"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271" w:type="dxa"/>
            <w:tcBorders>
              <w:top w:val="nil"/>
              <w:left w:val="nil"/>
              <w:bottom w:val="nil"/>
              <w:right w:val="nil"/>
            </w:tcBorders>
            <w:shd w:val="clear" w:color="000000" w:fill="FFFFFF"/>
            <w:noWrap/>
            <w:vAlign w:val="bottom"/>
            <w:hideMark/>
          </w:tcPr>
          <w:p w14:paraId="05981E02"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46215FC0" w14:textId="77777777" w:rsidTr="00EE43C2">
        <w:trPr>
          <w:trHeight w:val="310"/>
        </w:trPr>
        <w:tc>
          <w:tcPr>
            <w:tcW w:w="271" w:type="dxa"/>
            <w:tcBorders>
              <w:top w:val="nil"/>
              <w:left w:val="nil"/>
              <w:bottom w:val="nil"/>
              <w:right w:val="nil"/>
            </w:tcBorders>
            <w:shd w:val="clear" w:color="000000" w:fill="FFFFFF"/>
            <w:noWrap/>
            <w:vAlign w:val="bottom"/>
            <w:hideMark/>
          </w:tcPr>
          <w:p w14:paraId="72D8D9BF"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single" w:sz="4" w:space="0" w:color="auto"/>
              <w:left w:val="single" w:sz="4" w:space="0" w:color="auto"/>
              <w:bottom w:val="single" w:sz="4" w:space="0" w:color="auto"/>
              <w:right w:val="nil"/>
            </w:tcBorders>
            <w:shd w:val="clear" w:color="000000" w:fill="FFFFFF"/>
            <w:noWrap/>
            <w:hideMark/>
          </w:tcPr>
          <w:p w14:paraId="0426757E" w14:textId="2A4C8851" w:rsidR="00EE43C2" w:rsidRPr="001B221B" w:rsidRDefault="00EE43C2"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w:t>
            </w:r>
          </w:p>
        </w:tc>
        <w:tc>
          <w:tcPr>
            <w:tcW w:w="271" w:type="dxa"/>
            <w:tcBorders>
              <w:top w:val="nil"/>
              <w:left w:val="nil"/>
              <w:bottom w:val="single" w:sz="4" w:space="0" w:color="auto"/>
              <w:right w:val="nil"/>
            </w:tcBorders>
            <w:shd w:val="clear" w:color="000000" w:fill="FFFFFF"/>
            <w:hideMark/>
          </w:tcPr>
          <w:p w14:paraId="5276150D" w14:textId="77777777" w:rsidR="00EE43C2" w:rsidRPr="001B221B" w:rsidRDefault="00EE43C2"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361" w:type="dxa"/>
            <w:tcBorders>
              <w:top w:val="nil"/>
              <w:left w:val="nil"/>
              <w:bottom w:val="single" w:sz="4" w:space="0" w:color="auto"/>
              <w:right w:val="nil"/>
            </w:tcBorders>
            <w:shd w:val="clear" w:color="000000" w:fill="FFFFFF"/>
            <w:noWrap/>
            <w:hideMark/>
          </w:tcPr>
          <w:p w14:paraId="171268FE"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xml:space="preserve">Minimum lease payments </w:t>
            </w:r>
          </w:p>
        </w:tc>
        <w:tc>
          <w:tcPr>
            <w:tcW w:w="266" w:type="dxa"/>
            <w:tcBorders>
              <w:top w:val="nil"/>
              <w:left w:val="nil"/>
              <w:bottom w:val="single" w:sz="4" w:space="0" w:color="auto"/>
              <w:right w:val="nil"/>
            </w:tcBorders>
            <w:shd w:val="clear" w:color="000000" w:fill="FFFFFF"/>
            <w:noWrap/>
            <w:hideMark/>
          </w:tcPr>
          <w:p w14:paraId="3852A6E0"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single" w:sz="4" w:space="0" w:color="auto"/>
              <w:right w:val="single" w:sz="4" w:space="0" w:color="auto"/>
            </w:tcBorders>
            <w:shd w:val="clear" w:color="000000" w:fill="FFE1E1"/>
            <w:noWrap/>
            <w:hideMark/>
          </w:tcPr>
          <w:p w14:paraId="55D8A79B" w14:textId="0B721545" w:rsidR="00EE43C2" w:rsidRPr="001B221B" w:rsidRDefault="00014AAD"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271" w:type="dxa"/>
            <w:tcBorders>
              <w:top w:val="nil"/>
              <w:left w:val="nil"/>
              <w:bottom w:val="nil"/>
              <w:right w:val="nil"/>
            </w:tcBorders>
            <w:shd w:val="clear" w:color="000000" w:fill="FFFFFF"/>
            <w:noWrap/>
            <w:vAlign w:val="bottom"/>
            <w:hideMark/>
          </w:tcPr>
          <w:p w14:paraId="73A2C30B"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r>
      <w:tr w:rsidR="00EE43C2" w:rsidRPr="001B221B" w14:paraId="2DFB1CCD" w14:textId="77777777" w:rsidTr="00EE43C2">
        <w:trPr>
          <w:trHeight w:val="120"/>
        </w:trPr>
        <w:tc>
          <w:tcPr>
            <w:tcW w:w="271" w:type="dxa"/>
            <w:tcBorders>
              <w:top w:val="nil"/>
              <w:left w:val="nil"/>
              <w:bottom w:val="nil"/>
              <w:right w:val="nil"/>
            </w:tcBorders>
            <w:shd w:val="clear" w:color="000000" w:fill="FFFFFF"/>
            <w:noWrap/>
            <w:vAlign w:val="bottom"/>
            <w:hideMark/>
          </w:tcPr>
          <w:p w14:paraId="0963322E"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1715" w:type="dxa"/>
            <w:tcBorders>
              <w:top w:val="nil"/>
              <w:left w:val="nil"/>
              <w:bottom w:val="nil"/>
              <w:right w:val="nil"/>
            </w:tcBorders>
            <w:shd w:val="clear" w:color="000000" w:fill="FFFFFF"/>
            <w:noWrap/>
            <w:hideMark/>
          </w:tcPr>
          <w:p w14:paraId="3D88B1A1" w14:textId="529D2866"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71" w:type="dxa"/>
            <w:tcBorders>
              <w:top w:val="nil"/>
              <w:left w:val="nil"/>
              <w:bottom w:val="nil"/>
              <w:right w:val="nil"/>
            </w:tcBorders>
            <w:shd w:val="clear" w:color="000000" w:fill="FFFFFF"/>
            <w:noWrap/>
            <w:vAlign w:val="bottom"/>
            <w:hideMark/>
          </w:tcPr>
          <w:p w14:paraId="401339B1"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3361" w:type="dxa"/>
            <w:tcBorders>
              <w:top w:val="nil"/>
              <w:left w:val="nil"/>
              <w:bottom w:val="nil"/>
              <w:right w:val="nil"/>
            </w:tcBorders>
            <w:shd w:val="clear" w:color="000000" w:fill="FFFFFF"/>
            <w:noWrap/>
            <w:vAlign w:val="bottom"/>
            <w:hideMark/>
          </w:tcPr>
          <w:p w14:paraId="3C990ABA" w14:textId="77777777" w:rsidR="00EE43C2" w:rsidRPr="001B221B" w:rsidRDefault="00EE43C2" w:rsidP="001B221B">
            <w:pPr>
              <w:spacing w:after="0" w:line="240" w:lineRule="auto"/>
              <w:rPr>
                <w:rFonts w:ascii="Calibri" w:eastAsia="Times New Roman" w:hAnsi="Calibri" w:cs="Calibri"/>
                <w:color w:val="000000"/>
                <w:sz w:val="24"/>
                <w:szCs w:val="24"/>
                <w:lang w:eastAsia="en-GB"/>
              </w:rPr>
            </w:pPr>
            <w:r w:rsidRPr="001B221B">
              <w:rPr>
                <w:rFonts w:ascii="Calibri" w:eastAsia="Times New Roman" w:hAnsi="Calibri" w:cs="Calibri"/>
                <w:color w:val="000000"/>
                <w:sz w:val="24"/>
                <w:szCs w:val="24"/>
                <w:lang w:eastAsia="en-GB"/>
              </w:rPr>
              <w:t> </w:t>
            </w:r>
          </w:p>
        </w:tc>
        <w:tc>
          <w:tcPr>
            <w:tcW w:w="266" w:type="dxa"/>
            <w:tcBorders>
              <w:top w:val="nil"/>
              <w:left w:val="nil"/>
              <w:bottom w:val="nil"/>
              <w:right w:val="nil"/>
            </w:tcBorders>
            <w:shd w:val="clear" w:color="000000" w:fill="FFFFFF"/>
            <w:vAlign w:val="bottom"/>
            <w:hideMark/>
          </w:tcPr>
          <w:p w14:paraId="563D49BA"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1756" w:type="dxa"/>
            <w:tcBorders>
              <w:top w:val="nil"/>
              <w:left w:val="nil"/>
              <w:bottom w:val="nil"/>
              <w:right w:val="nil"/>
            </w:tcBorders>
            <w:shd w:val="clear" w:color="000000" w:fill="FFFFFF"/>
            <w:noWrap/>
            <w:hideMark/>
          </w:tcPr>
          <w:p w14:paraId="08423B57"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c>
          <w:tcPr>
            <w:tcW w:w="271" w:type="dxa"/>
            <w:tcBorders>
              <w:top w:val="nil"/>
              <w:left w:val="nil"/>
              <w:bottom w:val="nil"/>
              <w:right w:val="nil"/>
            </w:tcBorders>
            <w:shd w:val="clear" w:color="000000" w:fill="FFFFFF"/>
            <w:noWrap/>
            <w:hideMark/>
          </w:tcPr>
          <w:p w14:paraId="6FEB391E" w14:textId="77777777" w:rsidR="00EE43C2" w:rsidRPr="001B221B" w:rsidRDefault="00EE43C2"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w:t>
            </w:r>
          </w:p>
        </w:tc>
      </w:tr>
    </w:tbl>
    <w:p w14:paraId="36A184B8" w14:textId="115926EC" w:rsidR="00E54138" w:rsidRPr="00ED2A06" w:rsidRDefault="0045726A" w:rsidP="00ED2A06">
      <w:pPr>
        <w:autoSpaceDE w:val="0"/>
        <w:autoSpaceDN w:val="0"/>
        <w:adjustRightInd w:val="0"/>
        <w:spacing w:after="0" w:line="240" w:lineRule="auto"/>
        <w:rPr>
          <w:rFonts w:cs="Arial"/>
        </w:rPr>
      </w:pPr>
      <w:r w:rsidRPr="007F07C2">
        <w:rPr>
          <w:rFonts w:cs="Arial"/>
          <w:b/>
          <w:bCs/>
          <w:sz w:val="28"/>
          <w:szCs w:val="28"/>
        </w:rPr>
        <w:t>2</w:t>
      </w:r>
      <w:r w:rsidR="00E55282" w:rsidRPr="007F07C2">
        <w:rPr>
          <w:rFonts w:cs="Arial"/>
          <w:b/>
          <w:bCs/>
          <w:sz w:val="28"/>
          <w:szCs w:val="28"/>
        </w:rPr>
        <w:t>4</w:t>
      </w:r>
      <w:r w:rsidRPr="007F07C2">
        <w:rPr>
          <w:rFonts w:cs="Arial"/>
          <w:b/>
          <w:bCs/>
          <w:sz w:val="28"/>
          <w:szCs w:val="28"/>
        </w:rPr>
        <w:t xml:space="preserve"> </w:t>
      </w:r>
      <w:r w:rsidR="00380A48" w:rsidRPr="007F07C2">
        <w:rPr>
          <w:rFonts w:cs="Arial"/>
          <w:b/>
          <w:bCs/>
          <w:sz w:val="28"/>
          <w:szCs w:val="28"/>
        </w:rPr>
        <w:t xml:space="preserve">Commitments </w:t>
      </w:r>
      <w:r w:rsidR="0079406E" w:rsidRPr="007F07C2">
        <w:rPr>
          <w:rFonts w:cs="Arial"/>
        </w:rPr>
        <w:t xml:space="preserve"> </w:t>
      </w:r>
    </w:p>
    <w:p w14:paraId="6CC0B7CC" w14:textId="542511A0" w:rsidR="002A5C90" w:rsidRPr="007F07C2" w:rsidRDefault="002A5C90" w:rsidP="002A5C90">
      <w:pPr>
        <w:autoSpaceDE w:val="0"/>
        <w:autoSpaceDN w:val="0"/>
      </w:pPr>
      <w:r w:rsidRPr="007F07C2">
        <w:t xml:space="preserve">NCFRA discloses all </w:t>
      </w:r>
      <w:r w:rsidR="00E3532C">
        <w:t xml:space="preserve">material </w:t>
      </w:r>
      <w:r w:rsidRPr="007F07C2">
        <w:t xml:space="preserve">Capital Commitments and </w:t>
      </w:r>
      <w:r w:rsidR="00743416" w:rsidRPr="007F07C2">
        <w:t xml:space="preserve">after a </w:t>
      </w:r>
      <w:r w:rsidRPr="007F07C2">
        <w:t>review</w:t>
      </w:r>
      <w:r w:rsidR="00743416" w:rsidRPr="007F07C2">
        <w:t xml:space="preserve"> of all approved contracts</w:t>
      </w:r>
      <w:r w:rsidRPr="007F07C2">
        <w:t>, the</w:t>
      </w:r>
      <w:r w:rsidR="005C5BAB" w:rsidRPr="007F07C2">
        <w:t xml:space="preserve"> following </w:t>
      </w:r>
      <w:r w:rsidRPr="007F07C2">
        <w:t xml:space="preserve">capital commitment </w:t>
      </w:r>
      <w:r w:rsidR="00743416" w:rsidRPr="007F07C2">
        <w:t>are in existence prior to 31</w:t>
      </w:r>
      <w:r w:rsidR="00743416" w:rsidRPr="007F07C2">
        <w:rPr>
          <w:vertAlign w:val="superscript"/>
        </w:rPr>
        <w:t>st</w:t>
      </w:r>
      <w:r w:rsidR="00743416" w:rsidRPr="007F07C2">
        <w:t xml:space="preserve"> March 202</w:t>
      </w:r>
      <w:r w:rsidR="00066441">
        <w:t>2</w:t>
      </w:r>
      <w:r w:rsidR="005C5BAB" w:rsidRPr="007F07C2">
        <w:t>;</w:t>
      </w:r>
    </w:p>
    <w:p w14:paraId="4FE15604" w14:textId="474E1F30" w:rsidR="001134A3" w:rsidRPr="007F07C2" w:rsidRDefault="001134A3" w:rsidP="005C5BAB">
      <w:pPr>
        <w:pStyle w:val="ListParagraph"/>
        <w:numPr>
          <w:ilvl w:val="0"/>
          <w:numId w:val="28"/>
        </w:numPr>
        <w:autoSpaceDE w:val="0"/>
        <w:autoSpaceDN w:val="0"/>
      </w:pPr>
      <w:r>
        <w:t>£7</w:t>
      </w:r>
      <w:r w:rsidR="00B4212F">
        <w:t>6</w:t>
      </w:r>
      <w:r>
        <w:t>8k for the delivery of a</w:t>
      </w:r>
      <w:r w:rsidR="00A14BF2">
        <w:t>n</w:t>
      </w:r>
      <w:r>
        <w:t xml:space="preserve"> Aerial Appliance</w:t>
      </w:r>
      <w:r w:rsidR="00F845D0">
        <w:t xml:space="preserve"> ordered in 2021/22 and to be received in 2022/23</w:t>
      </w:r>
    </w:p>
    <w:p w14:paraId="5B02BA66" w14:textId="6A6FB0A1"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25</w:t>
      </w:r>
      <w:r w:rsidR="0079406E" w:rsidRPr="007F07C2">
        <w:rPr>
          <w:rFonts w:cs="Arial"/>
          <w:b/>
          <w:bCs/>
          <w:sz w:val="28"/>
          <w:szCs w:val="28"/>
        </w:rPr>
        <w:t xml:space="preserve"> Redundancy and early retirement costs – Exit packages </w:t>
      </w:r>
    </w:p>
    <w:p w14:paraId="61763504"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Redundancy and early retirement costs are payable when employment is terminated before the normal retirement date or when an employee accepts voluntary redundancy in exchange for these payments. </w:t>
      </w:r>
    </w:p>
    <w:p w14:paraId="0EDCBA97" w14:textId="77777777" w:rsidR="0079406E" w:rsidRPr="007F07C2" w:rsidRDefault="0079406E" w:rsidP="0079406E">
      <w:pPr>
        <w:autoSpaceDE w:val="0"/>
        <w:autoSpaceDN w:val="0"/>
        <w:adjustRightInd w:val="0"/>
        <w:spacing w:after="0" w:line="240" w:lineRule="auto"/>
        <w:rPr>
          <w:rFonts w:cs="Arial"/>
          <w:sz w:val="18"/>
          <w:szCs w:val="18"/>
        </w:rPr>
      </w:pPr>
      <w:r w:rsidRPr="007F07C2">
        <w:rPr>
          <w:rFonts w:cs="Arial"/>
        </w:rPr>
        <w:t xml:space="preserve">These costs are recognised only when the Authority is demonstrably committed to terminate the employment on </w:t>
      </w:r>
      <w:r w:rsidR="005223BF" w:rsidRPr="007F07C2">
        <w:rPr>
          <w:rFonts w:cs="Arial"/>
        </w:rPr>
        <w:t xml:space="preserve">the </w:t>
      </w:r>
      <w:r w:rsidRPr="007F07C2">
        <w:rPr>
          <w:rFonts w:cs="Arial"/>
        </w:rPr>
        <w:t xml:space="preserve">affected employees. </w:t>
      </w:r>
    </w:p>
    <w:p w14:paraId="44EEE80E" w14:textId="77777777" w:rsidR="0079406E" w:rsidRPr="007F07C2" w:rsidRDefault="0079406E" w:rsidP="0079406E">
      <w:pPr>
        <w:autoSpaceDE w:val="0"/>
        <w:autoSpaceDN w:val="0"/>
        <w:adjustRightInd w:val="0"/>
        <w:spacing w:after="0" w:line="240" w:lineRule="auto"/>
        <w:rPr>
          <w:rFonts w:cs="Arial"/>
          <w:sz w:val="18"/>
          <w:szCs w:val="24"/>
        </w:rPr>
      </w:pPr>
    </w:p>
    <w:p w14:paraId="6892AE0B" w14:textId="008AF46E" w:rsidR="001B221B" w:rsidRPr="00ED2A06" w:rsidRDefault="00532B59" w:rsidP="0079406E">
      <w:pPr>
        <w:autoSpaceDE w:val="0"/>
        <w:autoSpaceDN w:val="0"/>
        <w:adjustRightInd w:val="0"/>
        <w:spacing w:after="0" w:line="240" w:lineRule="auto"/>
        <w:rPr>
          <w:rFonts w:cs="Arial"/>
        </w:rPr>
      </w:pPr>
      <w:r w:rsidRPr="007F07C2">
        <w:rPr>
          <w:rFonts w:cs="Arial"/>
        </w:rPr>
        <w:t xml:space="preserve">In the </w:t>
      </w:r>
      <w:r w:rsidR="0008747E" w:rsidRPr="007F07C2">
        <w:rPr>
          <w:rFonts w:cs="Arial"/>
        </w:rPr>
        <w:t>12 months between April 202</w:t>
      </w:r>
      <w:r w:rsidR="00E54138">
        <w:rPr>
          <w:rFonts w:cs="Arial"/>
        </w:rPr>
        <w:t>1</w:t>
      </w:r>
      <w:r w:rsidR="00756CDF" w:rsidRPr="007F07C2">
        <w:rPr>
          <w:rFonts w:cs="Arial"/>
        </w:rPr>
        <w:t xml:space="preserve"> and Mar</w:t>
      </w:r>
      <w:r w:rsidR="0008747E" w:rsidRPr="007F07C2">
        <w:rPr>
          <w:rFonts w:cs="Arial"/>
        </w:rPr>
        <w:t>ch 202</w:t>
      </w:r>
      <w:r w:rsidR="00E54138">
        <w:rPr>
          <w:rFonts w:cs="Arial"/>
        </w:rPr>
        <w:t>2</w:t>
      </w:r>
      <w:r w:rsidR="00756CDF" w:rsidRPr="007F07C2">
        <w:rPr>
          <w:rFonts w:cs="Arial"/>
        </w:rPr>
        <w:t xml:space="preserve"> </w:t>
      </w:r>
      <w:r w:rsidRPr="007F07C2">
        <w:rPr>
          <w:rFonts w:cs="Arial"/>
        </w:rPr>
        <w:t>the total cost for these exit packages was zero; reflecting that no early retirement or redundancy payments were made</w:t>
      </w:r>
      <w:r w:rsidR="00756CDF" w:rsidRPr="007F07C2">
        <w:rPr>
          <w:rFonts w:cs="Arial"/>
        </w:rPr>
        <w:t xml:space="preserve"> (The </w:t>
      </w:r>
      <w:r w:rsidR="0008747E" w:rsidRPr="007F07C2">
        <w:rPr>
          <w:rFonts w:cs="Arial"/>
        </w:rPr>
        <w:t>12 months between April 20</w:t>
      </w:r>
      <w:r w:rsidR="00E54138">
        <w:rPr>
          <w:rFonts w:cs="Arial"/>
        </w:rPr>
        <w:t>20</w:t>
      </w:r>
      <w:r w:rsidR="0008747E" w:rsidRPr="007F07C2">
        <w:rPr>
          <w:rFonts w:cs="Arial"/>
        </w:rPr>
        <w:t xml:space="preserve"> and March 202</w:t>
      </w:r>
      <w:r w:rsidR="00E54138">
        <w:rPr>
          <w:rFonts w:cs="Arial"/>
        </w:rPr>
        <w:t>1</w:t>
      </w:r>
      <w:r w:rsidR="0008747E" w:rsidRPr="007F07C2">
        <w:rPr>
          <w:rFonts w:cs="Arial"/>
        </w:rPr>
        <w:t xml:space="preserve"> </w:t>
      </w:r>
      <w:r w:rsidR="00756CDF" w:rsidRPr="007F07C2">
        <w:rPr>
          <w:rFonts w:cs="Arial"/>
        </w:rPr>
        <w:t xml:space="preserve"> was also zero)</w:t>
      </w:r>
    </w:p>
    <w:p w14:paraId="5366654D" w14:textId="77777777" w:rsidR="001B221B" w:rsidRPr="00ED2A06" w:rsidRDefault="001B221B" w:rsidP="0079406E">
      <w:pPr>
        <w:autoSpaceDE w:val="0"/>
        <w:autoSpaceDN w:val="0"/>
        <w:adjustRightInd w:val="0"/>
        <w:spacing w:after="0" w:line="240" w:lineRule="auto"/>
        <w:rPr>
          <w:rFonts w:cs="Arial"/>
          <w:b/>
          <w:bCs/>
        </w:rPr>
      </w:pPr>
    </w:p>
    <w:p w14:paraId="775899D6" w14:textId="5E2BDA66"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 Pensions </w:t>
      </w:r>
    </w:p>
    <w:p w14:paraId="1D12AA65" w14:textId="77777777" w:rsidR="00434B4A" w:rsidRPr="007F07C2" w:rsidRDefault="00434B4A" w:rsidP="0079406E">
      <w:pPr>
        <w:autoSpaceDE w:val="0"/>
        <w:autoSpaceDN w:val="0"/>
        <w:adjustRightInd w:val="0"/>
        <w:spacing w:after="0" w:line="240" w:lineRule="auto"/>
        <w:rPr>
          <w:rFonts w:cs="Arial"/>
          <w:sz w:val="14"/>
          <w:szCs w:val="28"/>
        </w:rPr>
      </w:pPr>
    </w:p>
    <w:p w14:paraId="701F9DB6"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.1 Participation in pension schemes </w:t>
      </w:r>
    </w:p>
    <w:p w14:paraId="716A618B" w14:textId="77777777" w:rsidR="0079406E" w:rsidRPr="007F07C2" w:rsidRDefault="0079406E" w:rsidP="0079406E">
      <w:pPr>
        <w:autoSpaceDE w:val="0"/>
        <w:autoSpaceDN w:val="0"/>
        <w:adjustRightInd w:val="0"/>
        <w:spacing w:after="0" w:line="240" w:lineRule="auto"/>
        <w:rPr>
          <w:rFonts w:cs="Arial"/>
        </w:rPr>
      </w:pPr>
      <w:r w:rsidRPr="007F07C2">
        <w:rPr>
          <w:rFonts w:cs="Arial"/>
        </w:rPr>
        <w:t>On 1 April 2015 a new Firefighters’ Pension Scheme was introduced, and the following notes include the data for the three schemes combined, 2015, 2006 and 1992. Employees' and employers' contributions into the Firefighters’ Pension Fund are determined by the Secretary of State on the advice of the Government Actuary. Payments of pensions and other retirement benefits are made from</w:t>
      </w:r>
      <w:r w:rsidR="00532B59" w:rsidRPr="007F07C2">
        <w:rPr>
          <w:rFonts w:cs="Arial"/>
        </w:rPr>
        <w:t xml:space="preserve"> the Pension Fund</w:t>
      </w:r>
      <w:r w:rsidRPr="007F07C2">
        <w:rPr>
          <w:rFonts w:cs="Arial"/>
        </w:rPr>
        <w:t xml:space="preserve">. Government grant is payable to cover any shortfall on the Pension Fund account. </w:t>
      </w:r>
    </w:p>
    <w:p w14:paraId="192CFB73" w14:textId="77777777" w:rsidR="00434B4A" w:rsidRPr="007F07C2" w:rsidRDefault="00434B4A" w:rsidP="0079406E">
      <w:pPr>
        <w:autoSpaceDE w:val="0"/>
        <w:autoSpaceDN w:val="0"/>
        <w:adjustRightInd w:val="0"/>
        <w:spacing w:after="0" w:line="240" w:lineRule="auto"/>
        <w:rPr>
          <w:rFonts w:cs="Arial"/>
        </w:rPr>
      </w:pPr>
    </w:p>
    <w:p w14:paraId="15BFFE78" w14:textId="18385709" w:rsidR="001B221B" w:rsidRDefault="0079406E" w:rsidP="0079406E">
      <w:pPr>
        <w:autoSpaceDE w:val="0"/>
        <w:autoSpaceDN w:val="0"/>
        <w:adjustRightInd w:val="0"/>
        <w:spacing w:after="0" w:line="240" w:lineRule="auto"/>
        <w:rPr>
          <w:rFonts w:cs="Arial"/>
        </w:rPr>
      </w:pPr>
      <w:r w:rsidRPr="007F07C2">
        <w:rPr>
          <w:rFonts w:cs="Arial"/>
        </w:rPr>
        <w:t xml:space="preserve">Other employees, subject to certain qualifying criteria, are eligible to join the Local Government Pension Scheme, which is a funded defined benefits scheme administered by </w:t>
      </w:r>
      <w:r w:rsidR="004266A6" w:rsidRPr="007F07C2">
        <w:rPr>
          <w:rFonts w:cs="Arial"/>
        </w:rPr>
        <w:t>Northamptonshire</w:t>
      </w:r>
      <w:r w:rsidRPr="007F07C2">
        <w:rPr>
          <w:rFonts w:cs="Arial"/>
        </w:rPr>
        <w:t xml:space="preserve"> County Council. The Authority and employees pay contributions to the LGPS Pension Fund, calculated at a level intended to balance the pension liability with investment assets. The rate of contributions payable by employees range from 5.5% to 12.5% depending on the salary band of the employee. The Authority contributes at the rate prescribed by the Fund’s actuary. </w:t>
      </w:r>
    </w:p>
    <w:p w14:paraId="35BF0584" w14:textId="77777777" w:rsidR="00A14BF2" w:rsidRDefault="00A14BF2">
      <w:pPr>
        <w:rPr>
          <w:rFonts w:cs="Arial"/>
          <w:b/>
          <w:bCs/>
          <w:sz w:val="28"/>
          <w:szCs w:val="28"/>
        </w:rPr>
      </w:pPr>
      <w:r>
        <w:rPr>
          <w:rFonts w:cs="Arial"/>
          <w:b/>
          <w:bCs/>
          <w:sz w:val="28"/>
          <w:szCs w:val="28"/>
        </w:rPr>
        <w:br w:type="page"/>
      </w:r>
    </w:p>
    <w:p w14:paraId="3DFB0950" w14:textId="1B0F51BA"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26</w:t>
      </w:r>
      <w:r w:rsidR="0079406E" w:rsidRPr="007F07C2">
        <w:rPr>
          <w:rFonts w:cs="Arial"/>
          <w:b/>
          <w:bCs/>
          <w:sz w:val="28"/>
          <w:szCs w:val="28"/>
        </w:rPr>
        <w:t xml:space="preserve">.2 Transactions relating to retirement benefits </w:t>
      </w:r>
    </w:p>
    <w:p w14:paraId="5AF7503C" w14:textId="77777777" w:rsidR="00AA3EC6" w:rsidRPr="007F07C2" w:rsidRDefault="0079406E" w:rsidP="0079406E">
      <w:pPr>
        <w:autoSpaceDE w:val="0"/>
        <w:autoSpaceDN w:val="0"/>
        <w:adjustRightInd w:val="0"/>
        <w:spacing w:after="0" w:line="240" w:lineRule="auto"/>
        <w:rPr>
          <w:rFonts w:cs="Arial"/>
        </w:rPr>
      </w:pPr>
      <w:r w:rsidRPr="007F07C2">
        <w:rPr>
          <w:rFonts w:cs="Arial"/>
        </w:rPr>
        <w:t>The Authority recognises the cost of retirement benefits in the Net Cost of Services when employees earn them, rather than when the benefits are eventually paid as pensions. However, the funding needs of the Authority are based upon the cash payable in the year, so the real cost of retirement benefits is reversed out after Net Operating Expenditure. The following transactions h</w:t>
      </w:r>
      <w:r w:rsidR="00982F61" w:rsidRPr="007F07C2">
        <w:rPr>
          <w:rFonts w:cs="Arial"/>
        </w:rPr>
        <w:t xml:space="preserve">ave been made during the year: </w:t>
      </w:r>
    </w:p>
    <w:p w14:paraId="5CCDEA1B" w14:textId="77777777" w:rsidR="00D325B8" w:rsidRPr="007F07C2" w:rsidRDefault="00D325B8" w:rsidP="0079406E">
      <w:pPr>
        <w:autoSpaceDE w:val="0"/>
        <w:autoSpaceDN w:val="0"/>
        <w:adjustRightInd w:val="0"/>
        <w:spacing w:after="0" w:line="240" w:lineRule="auto"/>
        <w:rPr>
          <w:rFonts w:cs="Arial"/>
        </w:rPr>
      </w:pPr>
    </w:p>
    <w:tbl>
      <w:tblPr>
        <w:tblW w:w="10768" w:type="dxa"/>
        <w:tblLook w:val="04A0" w:firstRow="1" w:lastRow="0" w:firstColumn="1" w:lastColumn="0" w:noHBand="0" w:noVBand="1"/>
      </w:tblPr>
      <w:tblGrid>
        <w:gridCol w:w="3039"/>
        <w:gridCol w:w="1370"/>
        <w:gridCol w:w="1100"/>
        <w:gridCol w:w="1270"/>
        <w:gridCol w:w="1370"/>
        <w:gridCol w:w="1202"/>
        <w:gridCol w:w="1417"/>
      </w:tblGrid>
      <w:tr w:rsidR="001B221B" w:rsidRPr="001B221B" w14:paraId="6842A36D" w14:textId="77777777" w:rsidTr="001B221B">
        <w:trPr>
          <w:trHeight w:val="1128"/>
        </w:trPr>
        <w:tc>
          <w:tcPr>
            <w:tcW w:w="3039" w:type="dxa"/>
            <w:tcBorders>
              <w:top w:val="single" w:sz="4" w:space="0" w:color="auto"/>
              <w:left w:val="single" w:sz="4" w:space="0" w:color="auto"/>
              <w:bottom w:val="nil"/>
              <w:right w:val="nil"/>
            </w:tcBorders>
            <w:shd w:val="clear" w:color="000000" w:fill="C00000"/>
            <w:vAlign w:val="center"/>
            <w:hideMark/>
          </w:tcPr>
          <w:p w14:paraId="2BE68E3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single" w:sz="4" w:space="0" w:color="auto"/>
              <w:left w:val="single" w:sz="4" w:space="0" w:color="auto"/>
              <w:bottom w:val="nil"/>
              <w:right w:val="nil"/>
            </w:tcBorders>
            <w:shd w:val="clear" w:color="000000" w:fill="C00000"/>
            <w:vAlign w:val="center"/>
            <w:hideMark/>
          </w:tcPr>
          <w:p w14:paraId="46E9B64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Local Government Pension Scheme  </w:t>
            </w:r>
          </w:p>
        </w:tc>
        <w:tc>
          <w:tcPr>
            <w:tcW w:w="1100" w:type="dxa"/>
            <w:tcBorders>
              <w:top w:val="single" w:sz="4" w:space="0" w:color="auto"/>
              <w:left w:val="single" w:sz="4" w:space="0" w:color="auto"/>
              <w:bottom w:val="nil"/>
              <w:right w:val="single" w:sz="4" w:space="0" w:color="auto"/>
            </w:tcBorders>
            <w:shd w:val="clear" w:color="000000" w:fill="C00000"/>
            <w:vAlign w:val="center"/>
            <w:hideMark/>
          </w:tcPr>
          <w:p w14:paraId="0F01CE4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Fire Fighters Pension Scheme  </w:t>
            </w:r>
          </w:p>
        </w:tc>
        <w:tc>
          <w:tcPr>
            <w:tcW w:w="1270" w:type="dxa"/>
            <w:tcBorders>
              <w:top w:val="single" w:sz="4" w:space="0" w:color="auto"/>
              <w:left w:val="nil"/>
              <w:bottom w:val="nil"/>
              <w:right w:val="single" w:sz="4" w:space="0" w:color="auto"/>
            </w:tcBorders>
            <w:shd w:val="clear" w:color="000000" w:fill="C00000"/>
            <w:noWrap/>
            <w:vAlign w:val="center"/>
            <w:hideMark/>
          </w:tcPr>
          <w:p w14:paraId="53526A0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370" w:type="dxa"/>
            <w:tcBorders>
              <w:top w:val="single" w:sz="4" w:space="0" w:color="auto"/>
              <w:left w:val="nil"/>
              <w:bottom w:val="nil"/>
              <w:right w:val="nil"/>
            </w:tcBorders>
            <w:shd w:val="clear" w:color="000000" w:fill="C00000"/>
            <w:vAlign w:val="center"/>
            <w:hideMark/>
          </w:tcPr>
          <w:p w14:paraId="1BB992C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Local Government Pension Scheme  </w:t>
            </w:r>
          </w:p>
        </w:tc>
        <w:tc>
          <w:tcPr>
            <w:tcW w:w="1202" w:type="dxa"/>
            <w:tcBorders>
              <w:top w:val="single" w:sz="4" w:space="0" w:color="auto"/>
              <w:left w:val="single" w:sz="4" w:space="0" w:color="auto"/>
              <w:bottom w:val="nil"/>
              <w:right w:val="single" w:sz="4" w:space="0" w:color="auto"/>
            </w:tcBorders>
            <w:shd w:val="clear" w:color="000000" w:fill="C00000"/>
            <w:vAlign w:val="center"/>
            <w:hideMark/>
          </w:tcPr>
          <w:p w14:paraId="394019F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Fire Fighters Pension Scheme  </w:t>
            </w:r>
          </w:p>
        </w:tc>
        <w:tc>
          <w:tcPr>
            <w:tcW w:w="1417" w:type="dxa"/>
            <w:tcBorders>
              <w:top w:val="single" w:sz="4" w:space="0" w:color="auto"/>
              <w:left w:val="nil"/>
              <w:bottom w:val="nil"/>
              <w:right w:val="single" w:sz="4" w:space="0" w:color="auto"/>
            </w:tcBorders>
            <w:shd w:val="clear" w:color="000000" w:fill="C00000"/>
            <w:noWrap/>
            <w:vAlign w:val="center"/>
            <w:hideMark/>
          </w:tcPr>
          <w:p w14:paraId="6B31958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6AF04F47" w14:textId="77777777" w:rsidTr="001B221B">
        <w:trPr>
          <w:trHeight w:val="282"/>
        </w:trPr>
        <w:tc>
          <w:tcPr>
            <w:tcW w:w="3039" w:type="dxa"/>
            <w:tcBorders>
              <w:top w:val="nil"/>
              <w:left w:val="single" w:sz="4" w:space="0" w:color="auto"/>
              <w:bottom w:val="nil"/>
              <w:right w:val="nil"/>
            </w:tcBorders>
            <w:shd w:val="clear" w:color="000000" w:fill="C00000"/>
            <w:vAlign w:val="center"/>
            <w:hideMark/>
          </w:tcPr>
          <w:p w14:paraId="5F8473C6" w14:textId="77777777" w:rsidR="001B221B" w:rsidRPr="001B221B" w:rsidRDefault="001B221B" w:rsidP="001B221B">
            <w:pPr>
              <w:spacing w:after="0" w:line="240" w:lineRule="auto"/>
              <w:rPr>
                <w:rFonts w:ascii="Calibri" w:eastAsia="Times New Roman" w:hAnsi="Calibri" w:cs="Calibri"/>
                <w:color w:val="FFFFFF"/>
                <w:sz w:val="18"/>
                <w:szCs w:val="18"/>
                <w:lang w:eastAsia="en-GB"/>
              </w:rPr>
            </w:pPr>
            <w:r w:rsidRPr="001B221B">
              <w:rPr>
                <w:rFonts w:ascii="Calibri" w:eastAsia="Times New Roman" w:hAnsi="Calibri" w:cs="Calibri"/>
                <w:color w:val="FFFFFF"/>
                <w:sz w:val="18"/>
                <w:szCs w:val="18"/>
                <w:lang w:eastAsia="en-GB"/>
              </w:rPr>
              <w:t> </w:t>
            </w:r>
          </w:p>
        </w:tc>
        <w:tc>
          <w:tcPr>
            <w:tcW w:w="1370" w:type="dxa"/>
            <w:tcBorders>
              <w:top w:val="nil"/>
              <w:left w:val="single" w:sz="4" w:space="0" w:color="auto"/>
              <w:bottom w:val="nil"/>
              <w:right w:val="nil"/>
            </w:tcBorders>
            <w:shd w:val="clear" w:color="000000" w:fill="C00000"/>
            <w:vAlign w:val="center"/>
            <w:hideMark/>
          </w:tcPr>
          <w:p w14:paraId="775A51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100" w:type="dxa"/>
            <w:tcBorders>
              <w:top w:val="nil"/>
              <w:left w:val="single" w:sz="4" w:space="0" w:color="auto"/>
              <w:bottom w:val="nil"/>
              <w:right w:val="single" w:sz="4" w:space="0" w:color="auto"/>
            </w:tcBorders>
            <w:shd w:val="clear" w:color="000000" w:fill="C00000"/>
            <w:vAlign w:val="center"/>
            <w:hideMark/>
          </w:tcPr>
          <w:p w14:paraId="5EEF4B5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270" w:type="dxa"/>
            <w:tcBorders>
              <w:top w:val="nil"/>
              <w:left w:val="nil"/>
              <w:bottom w:val="nil"/>
              <w:right w:val="single" w:sz="4" w:space="0" w:color="auto"/>
            </w:tcBorders>
            <w:shd w:val="clear" w:color="000000" w:fill="C00000"/>
            <w:vAlign w:val="center"/>
            <w:hideMark/>
          </w:tcPr>
          <w:p w14:paraId="1D2A7FF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370" w:type="dxa"/>
            <w:tcBorders>
              <w:top w:val="nil"/>
              <w:left w:val="nil"/>
              <w:bottom w:val="nil"/>
              <w:right w:val="nil"/>
            </w:tcBorders>
            <w:shd w:val="clear" w:color="000000" w:fill="C00000"/>
            <w:vAlign w:val="center"/>
            <w:hideMark/>
          </w:tcPr>
          <w:p w14:paraId="027B9FB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202" w:type="dxa"/>
            <w:tcBorders>
              <w:top w:val="nil"/>
              <w:left w:val="single" w:sz="4" w:space="0" w:color="auto"/>
              <w:bottom w:val="nil"/>
              <w:right w:val="single" w:sz="4" w:space="0" w:color="auto"/>
            </w:tcBorders>
            <w:shd w:val="clear" w:color="000000" w:fill="C00000"/>
            <w:vAlign w:val="center"/>
            <w:hideMark/>
          </w:tcPr>
          <w:p w14:paraId="5BA9F9E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417" w:type="dxa"/>
            <w:tcBorders>
              <w:top w:val="nil"/>
              <w:left w:val="nil"/>
              <w:bottom w:val="nil"/>
              <w:right w:val="single" w:sz="4" w:space="0" w:color="auto"/>
            </w:tcBorders>
            <w:shd w:val="clear" w:color="000000" w:fill="C00000"/>
            <w:vAlign w:val="center"/>
            <w:hideMark/>
          </w:tcPr>
          <w:p w14:paraId="22E5F4E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0851FB51" w14:textId="77777777" w:rsidTr="001B221B">
        <w:trPr>
          <w:trHeight w:val="282"/>
        </w:trPr>
        <w:tc>
          <w:tcPr>
            <w:tcW w:w="3039" w:type="dxa"/>
            <w:tcBorders>
              <w:top w:val="nil"/>
              <w:left w:val="single" w:sz="4" w:space="0" w:color="auto"/>
              <w:bottom w:val="single" w:sz="4" w:space="0" w:color="auto"/>
              <w:right w:val="nil"/>
            </w:tcBorders>
            <w:shd w:val="clear" w:color="000000" w:fill="C00000"/>
            <w:vAlign w:val="center"/>
            <w:hideMark/>
          </w:tcPr>
          <w:p w14:paraId="201E3415" w14:textId="77777777" w:rsidR="001B221B" w:rsidRPr="001B221B" w:rsidRDefault="001B221B" w:rsidP="001B221B">
            <w:pPr>
              <w:spacing w:after="0" w:line="240" w:lineRule="auto"/>
              <w:rPr>
                <w:rFonts w:ascii="Calibri" w:eastAsia="Times New Roman" w:hAnsi="Calibri" w:cs="Calibri"/>
                <w:color w:val="FFFFFF"/>
                <w:sz w:val="18"/>
                <w:szCs w:val="18"/>
                <w:lang w:eastAsia="en-GB"/>
              </w:rPr>
            </w:pPr>
            <w:r w:rsidRPr="001B221B">
              <w:rPr>
                <w:rFonts w:ascii="Calibri" w:eastAsia="Times New Roman" w:hAnsi="Calibri" w:cs="Calibri"/>
                <w:color w:val="FFFFFF"/>
                <w:sz w:val="18"/>
                <w:szCs w:val="18"/>
                <w:lang w:eastAsia="en-GB"/>
              </w:rPr>
              <w:t> </w:t>
            </w:r>
          </w:p>
        </w:tc>
        <w:tc>
          <w:tcPr>
            <w:tcW w:w="1370" w:type="dxa"/>
            <w:tcBorders>
              <w:top w:val="nil"/>
              <w:left w:val="single" w:sz="4" w:space="0" w:color="auto"/>
              <w:bottom w:val="single" w:sz="4" w:space="0" w:color="auto"/>
              <w:right w:val="nil"/>
            </w:tcBorders>
            <w:shd w:val="clear" w:color="000000" w:fill="C00000"/>
            <w:vAlign w:val="center"/>
            <w:hideMark/>
          </w:tcPr>
          <w:p w14:paraId="41C0C2A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100" w:type="dxa"/>
            <w:tcBorders>
              <w:top w:val="nil"/>
              <w:left w:val="single" w:sz="4" w:space="0" w:color="auto"/>
              <w:bottom w:val="single" w:sz="4" w:space="0" w:color="auto"/>
              <w:right w:val="single" w:sz="4" w:space="0" w:color="auto"/>
            </w:tcBorders>
            <w:shd w:val="clear" w:color="000000" w:fill="C00000"/>
            <w:vAlign w:val="center"/>
            <w:hideMark/>
          </w:tcPr>
          <w:p w14:paraId="1AF83C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70" w:type="dxa"/>
            <w:tcBorders>
              <w:top w:val="nil"/>
              <w:left w:val="nil"/>
              <w:bottom w:val="single" w:sz="4" w:space="0" w:color="auto"/>
              <w:right w:val="single" w:sz="4" w:space="0" w:color="auto"/>
            </w:tcBorders>
            <w:shd w:val="clear" w:color="000000" w:fill="C00000"/>
            <w:vAlign w:val="center"/>
            <w:hideMark/>
          </w:tcPr>
          <w:p w14:paraId="404591F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70" w:type="dxa"/>
            <w:tcBorders>
              <w:top w:val="nil"/>
              <w:left w:val="nil"/>
              <w:bottom w:val="single" w:sz="4" w:space="0" w:color="auto"/>
              <w:right w:val="nil"/>
            </w:tcBorders>
            <w:shd w:val="clear" w:color="000000" w:fill="C00000"/>
            <w:vAlign w:val="center"/>
            <w:hideMark/>
          </w:tcPr>
          <w:p w14:paraId="47FE342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02" w:type="dxa"/>
            <w:tcBorders>
              <w:top w:val="nil"/>
              <w:left w:val="single" w:sz="4" w:space="0" w:color="auto"/>
              <w:bottom w:val="single" w:sz="4" w:space="0" w:color="auto"/>
              <w:right w:val="single" w:sz="4" w:space="0" w:color="auto"/>
            </w:tcBorders>
            <w:shd w:val="clear" w:color="000000" w:fill="C00000"/>
            <w:vAlign w:val="center"/>
            <w:hideMark/>
          </w:tcPr>
          <w:p w14:paraId="7E22D00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417" w:type="dxa"/>
            <w:tcBorders>
              <w:top w:val="nil"/>
              <w:left w:val="nil"/>
              <w:bottom w:val="single" w:sz="4" w:space="0" w:color="auto"/>
              <w:right w:val="single" w:sz="4" w:space="0" w:color="auto"/>
            </w:tcBorders>
            <w:shd w:val="clear" w:color="000000" w:fill="C00000"/>
            <w:vAlign w:val="center"/>
            <w:hideMark/>
          </w:tcPr>
          <w:p w14:paraId="1894321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4FE3256E" w14:textId="77777777" w:rsidTr="001B221B">
        <w:trPr>
          <w:trHeight w:val="705"/>
        </w:trPr>
        <w:tc>
          <w:tcPr>
            <w:tcW w:w="3039" w:type="dxa"/>
            <w:tcBorders>
              <w:top w:val="nil"/>
              <w:left w:val="single" w:sz="4" w:space="0" w:color="auto"/>
              <w:bottom w:val="nil"/>
              <w:right w:val="nil"/>
            </w:tcBorders>
            <w:shd w:val="clear" w:color="000000" w:fill="FFFFFF"/>
            <w:vAlign w:val="center"/>
            <w:hideMark/>
          </w:tcPr>
          <w:p w14:paraId="4C2301E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Income and Expenditure Account</w:t>
            </w:r>
          </w:p>
        </w:tc>
        <w:tc>
          <w:tcPr>
            <w:tcW w:w="1370" w:type="dxa"/>
            <w:tcBorders>
              <w:top w:val="nil"/>
              <w:left w:val="single" w:sz="4" w:space="0" w:color="auto"/>
              <w:bottom w:val="nil"/>
              <w:right w:val="nil"/>
            </w:tcBorders>
            <w:shd w:val="clear" w:color="000000" w:fill="FFFFFF"/>
            <w:vAlign w:val="center"/>
            <w:hideMark/>
          </w:tcPr>
          <w:p w14:paraId="760DE7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0E74CE0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3211365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595F7AB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3EF435D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39C1839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566F6D61"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581FCF6A"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Cost of Services</w:t>
            </w:r>
          </w:p>
        </w:tc>
        <w:tc>
          <w:tcPr>
            <w:tcW w:w="1370" w:type="dxa"/>
            <w:tcBorders>
              <w:top w:val="nil"/>
              <w:left w:val="single" w:sz="4" w:space="0" w:color="auto"/>
              <w:bottom w:val="nil"/>
              <w:right w:val="nil"/>
            </w:tcBorders>
            <w:shd w:val="clear" w:color="000000" w:fill="FFFFFF"/>
            <w:vAlign w:val="center"/>
            <w:hideMark/>
          </w:tcPr>
          <w:p w14:paraId="576509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5A218E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545B4C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4DA2D67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7B0B9B0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0747540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747543F8"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0BC3FE1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370" w:type="dxa"/>
            <w:tcBorders>
              <w:top w:val="nil"/>
              <w:left w:val="single" w:sz="4" w:space="0" w:color="auto"/>
              <w:bottom w:val="nil"/>
              <w:right w:val="nil"/>
            </w:tcBorders>
            <w:shd w:val="clear" w:color="000000" w:fill="FFFFFF"/>
            <w:vAlign w:val="center"/>
            <w:hideMark/>
          </w:tcPr>
          <w:p w14:paraId="78F7F9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100" w:type="dxa"/>
            <w:tcBorders>
              <w:top w:val="nil"/>
              <w:left w:val="single" w:sz="4" w:space="0" w:color="auto"/>
              <w:bottom w:val="nil"/>
              <w:right w:val="single" w:sz="4" w:space="0" w:color="auto"/>
            </w:tcBorders>
            <w:shd w:val="clear" w:color="000000" w:fill="FFFFFF"/>
            <w:vAlign w:val="center"/>
            <w:hideMark/>
          </w:tcPr>
          <w:p w14:paraId="5C2967A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270" w:type="dxa"/>
            <w:tcBorders>
              <w:top w:val="nil"/>
              <w:left w:val="nil"/>
              <w:bottom w:val="nil"/>
              <w:right w:val="single" w:sz="4" w:space="0" w:color="auto"/>
            </w:tcBorders>
            <w:shd w:val="clear" w:color="000000" w:fill="FFCDCD"/>
            <w:noWrap/>
            <w:vAlign w:val="center"/>
            <w:hideMark/>
          </w:tcPr>
          <w:p w14:paraId="3B793D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370" w:type="dxa"/>
            <w:tcBorders>
              <w:top w:val="nil"/>
              <w:left w:val="nil"/>
              <w:bottom w:val="nil"/>
              <w:right w:val="nil"/>
            </w:tcBorders>
            <w:shd w:val="clear" w:color="000000" w:fill="FFFFFF"/>
            <w:vAlign w:val="center"/>
            <w:hideMark/>
          </w:tcPr>
          <w:p w14:paraId="3537DDF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202" w:type="dxa"/>
            <w:tcBorders>
              <w:top w:val="nil"/>
              <w:left w:val="single" w:sz="4" w:space="0" w:color="auto"/>
              <w:bottom w:val="nil"/>
              <w:right w:val="single" w:sz="4" w:space="0" w:color="auto"/>
            </w:tcBorders>
            <w:shd w:val="clear" w:color="000000" w:fill="FFFFFF"/>
            <w:vAlign w:val="center"/>
            <w:hideMark/>
          </w:tcPr>
          <w:p w14:paraId="3B4C11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417" w:type="dxa"/>
            <w:tcBorders>
              <w:top w:val="nil"/>
              <w:left w:val="nil"/>
              <w:bottom w:val="nil"/>
              <w:right w:val="single" w:sz="4" w:space="0" w:color="auto"/>
            </w:tcBorders>
            <w:shd w:val="clear" w:color="000000" w:fill="FFCDCD"/>
            <w:noWrap/>
            <w:vAlign w:val="center"/>
            <w:hideMark/>
          </w:tcPr>
          <w:p w14:paraId="705B2A5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2F1D8918"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51BD699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 (including Settlements and Curtailments)</w:t>
            </w:r>
          </w:p>
        </w:tc>
        <w:tc>
          <w:tcPr>
            <w:tcW w:w="1370" w:type="dxa"/>
            <w:tcBorders>
              <w:top w:val="nil"/>
              <w:left w:val="single" w:sz="4" w:space="0" w:color="auto"/>
              <w:bottom w:val="nil"/>
              <w:right w:val="nil"/>
            </w:tcBorders>
            <w:shd w:val="clear" w:color="000000" w:fill="FFFFFF"/>
            <w:vAlign w:val="center"/>
            <w:hideMark/>
          </w:tcPr>
          <w:p w14:paraId="6A89BB3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40E057F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70" w:type="dxa"/>
            <w:tcBorders>
              <w:top w:val="nil"/>
              <w:left w:val="nil"/>
              <w:bottom w:val="nil"/>
              <w:right w:val="single" w:sz="4" w:space="0" w:color="auto"/>
            </w:tcBorders>
            <w:shd w:val="clear" w:color="000000" w:fill="FFCDCD"/>
            <w:noWrap/>
            <w:vAlign w:val="center"/>
            <w:hideMark/>
          </w:tcPr>
          <w:p w14:paraId="799B8BE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70" w:type="dxa"/>
            <w:tcBorders>
              <w:top w:val="nil"/>
              <w:left w:val="nil"/>
              <w:bottom w:val="nil"/>
              <w:right w:val="nil"/>
            </w:tcBorders>
            <w:shd w:val="clear" w:color="000000" w:fill="FFFFFF"/>
            <w:vAlign w:val="center"/>
            <w:hideMark/>
          </w:tcPr>
          <w:p w14:paraId="5F52E95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0ACEB9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37A77AC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2F54279A"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1B213A08"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Financing and Investment Income and Expenditure</w:t>
            </w:r>
          </w:p>
        </w:tc>
        <w:tc>
          <w:tcPr>
            <w:tcW w:w="1370" w:type="dxa"/>
            <w:tcBorders>
              <w:top w:val="nil"/>
              <w:left w:val="single" w:sz="4" w:space="0" w:color="auto"/>
              <w:bottom w:val="nil"/>
              <w:right w:val="nil"/>
            </w:tcBorders>
            <w:shd w:val="clear" w:color="000000" w:fill="FFFFFF"/>
            <w:vAlign w:val="center"/>
            <w:hideMark/>
          </w:tcPr>
          <w:p w14:paraId="64BC165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1EB2658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3CEE601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1FE8F6A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474A08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7E2D6A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AB19BA7"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4A7FFCC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Net Interest Expense</w:t>
            </w:r>
          </w:p>
        </w:tc>
        <w:tc>
          <w:tcPr>
            <w:tcW w:w="1370" w:type="dxa"/>
            <w:tcBorders>
              <w:top w:val="nil"/>
              <w:left w:val="single" w:sz="4" w:space="0" w:color="auto"/>
              <w:bottom w:val="nil"/>
              <w:right w:val="nil"/>
            </w:tcBorders>
            <w:shd w:val="clear" w:color="000000" w:fill="FFFFFF"/>
            <w:vAlign w:val="center"/>
            <w:hideMark/>
          </w:tcPr>
          <w:p w14:paraId="2B10991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100" w:type="dxa"/>
            <w:tcBorders>
              <w:top w:val="nil"/>
              <w:left w:val="single" w:sz="4" w:space="0" w:color="auto"/>
              <w:bottom w:val="nil"/>
              <w:right w:val="single" w:sz="4" w:space="0" w:color="auto"/>
            </w:tcBorders>
            <w:shd w:val="clear" w:color="000000" w:fill="FFFFFF"/>
            <w:vAlign w:val="center"/>
            <w:hideMark/>
          </w:tcPr>
          <w:p w14:paraId="36CCB4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270" w:type="dxa"/>
            <w:tcBorders>
              <w:top w:val="nil"/>
              <w:left w:val="nil"/>
              <w:bottom w:val="nil"/>
              <w:right w:val="single" w:sz="4" w:space="0" w:color="auto"/>
            </w:tcBorders>
            <w:shd w:val="clear" w:color="000000" w:fill="FFCDCD"/>
            <w:noWrap/>
            <w:vAlign w:val="center"/>
            <w:hideMark/>
          </w:tcPr>
          <w:p w14:paraId="663893B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6,525</w:t>
            </w:r>
          </w:p>
        </w:tc>
        <w:tc>
          <w:tcPr>
            <w:tcW w:w="1370" w:type="dxa"/>
            <w:tcBorders>
              <w:top w:val="nil"/>
              <w:left w:val="nil"/>
              <w:bottom w:val="nil"/>
              <w:right w:val="nil"/>
            </w:tcBorders>
            <w:shd w:val="clear" w:color="000000" w:fill="FFFFFF"/>
            <w:vAlign w:val="center"/>
            <w:hideMark/>
          </w:tcPr>
          <w:p w14:paraId="2386C5C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202" w:type="dxa"/>
            <w:tcBorders>
              <w:top w:val="nil"/>
              <w:left w:val="single" w:sz="4" w:space="0" w:color="auto"/>
              <w:bottom w:val="nil"/>
              <w:right w:val="single" w:sz="4" w:space="0" w:color="auto"/>
            </w:tcBorders>
            <w:shd w:val="clear" w:color="000000" w:fill="FFFFFF"/>
            <w:vAlign w:val="center"/>
            <w:hideMark/>
          </w:tcPr>
          <w:p w14:paraId="045EC41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417" w:type="dxa"/>
            <w:tcBorders>
              <w:top w:val="nil"/>
              <w:left w:val="nil"/>
              <w:bottom w:val="nil"/>
              <w:right w:val="single" w:sz="4" w:space="0" w:color="auto"/>
            </w:tcBorders>
            <w:shd w:val="clear" w:color="000000" w:fill="FFCDCD"/>
            <w:noWrap/>
            <w:vAlign w:val="center"/>
            <w:hideMark/>
          </w:tcPr>
          <w:p w14:paraId="42950A1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6,590</w:t>
            </w:r>
          </w:p>
        </w:tc>
      </w:tr>
      <w:tr w:rsidR="001B221B" w:rsidRPr="001B221B" w14:paraId="7DBECFEA"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3AAD3A7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defined benefit cost recognised in Income and Expenditure Account</w:t>
            </w:r>
          </w:p>
        </w:tc>
        <w:tc>
          <w:tcPr>
            <w:tcW w:w="1370" w:type="dxa"/>
            <w:tcBorders>
              <w:top w:val="single" w:sz="4" w:space="0" w:color="auto"/>
              <w:left w:val="single" w:sz="4" w:space="0" w:color="auto"/>
              <w:bottom w:val="single" w:sz="4" w:space="0" w:color="auto"/>
              <w:right w:val="nil"/>
            </w:tcBorders>
            <w:shd w:val="clear" w:color="000000" w:fill="FFFFFF"/>
            <w:vAlign w:val="center"/>
            <w:hideMark/>
          </w:tcPr>
          <w:p w14:paraId="22A80D0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881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837FC"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13,490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6A5876B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14,371</w:t>
            </w:r>
          </w:p>
        </w:tc>
        <w:tc>
          <w:tcPr>
            <w:tcW w:w="1370" w:type="dxa"/>
            <w:tcBorders>
              <w:top w:val="single" w:sz="4" w:space="0" w:color="auto"/>
              <w:left w:val="nil"/>
              <w:bottom w:val="single" w:sz="4" w:space="0" w:color="auto"/>
              <w:right w:val="nil"/>
            </w:tcBorders>
            <w:shd w:val="clear" w:color="000000" w:fill="FFFFFF"/>
            <w:vAlign w:val="center"/>
            <w:hideMark/>
          </w:tcPr>
          <w:p w14:paraId="5ED039B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1,253</w:t>
            </w:r>
          </w:p>
        </w:tc>
        <w:tc>
          <w:tcPr>
            <w:tcW w:w="12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290B2"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13,450</w:t>
            </w:r>
          </w:p>
        </w:tc>
        <w:tc>
          <w:tcPr>
            <w:tcW w:w="1417" w:type="dxa"/>
            <w:tcBorders>
              <w:top w:val="single" w:sz="4" w:space="0" w:color="auto"/>
              <w:left w:val="nil"/>
              <w:bottom w:val="single" w:sz="4" w:space="0" w:color="auto"/>
              <w:right w:val="single" w:sz="4" w:space="0" w:color="auto"/>
            </w:tcBorders>
            <w:shd w:val="clear" w:color="000000" w:fill="FFCDCD"/>
            <w:noWrap/>
            <w:vAlign w:val="center"/>
            <w:hideMark/>
          </w:tcPr>
          <w:p w14:paraId="15B5E27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14,703</w:t>
            </w:r>
          </w:p>
        </w:tc>
      </w:tr>
      <w:tr w:rsidR="001B221B" w:rsidRPr="001B221B" w14:paraId="0875F2D8" w14:textId="77777777" w:rsidTr="001B221B">
        <w:trPr>
          <w:trHeight w:val="375"/>
        </w:trPr>
        <w:tc>
          <w:tcPr>
            <w:tcW w:w="3039" w:type="dxa"/>
            <w:tcBorders>
              <w:top w:val="nil"/>
              <w:left w:val="single" w:sz="4" w:space="0" w:color="auto"/>
              <w:bottom w:val="nil"/>
              <w:right w:val="nil"/>
            </w:tcBorders>
            <w:shd w:val="clear" w:color="000000" w:fill="FFFFFF"/>
            <w:vAlign w:val="center"/>
            <w:hideMark/>
          </w:tcPr>
          <w:p w14:paraId="1C3B438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single" w:sz="4" w:space="0" w:color="auto"/>
              <w:bottom w:val="nil"/>
              <w:right w:val="nil"/>
            </w:tcBorders>
            <w:shd w:val="clear" w:color="000000" w:fill="FFFFFF"/>
            <w:vAlign w:val="center"/>
            <w:hideMark/>
          </w:tcPr>
          <w:p w14:paraId="289ABE9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538EFF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2FFFC29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nil"/>
            </w:tcBorders>
            <w:shd w:val="clear" w:color="000000" w:fill="FFFFFF"/>
            <w:vAlign w:val="center"/>
            <w:hideMark/>
          </w:tcPr>
          <w:p w14:paraId="01D9C6D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single" w:sz="4" w:space="0" w:color="auto"/>
              <w:bottom w:val="nil"/>
              <w:right w:val="single" w:sz="4" w:space="0" w:color="auto"/>
            </w:tcBorders>
            <w:shd w:val="clear" w:color="000000" w:fill="FFFFFF"/>
            <w:vAlign w:val="center"/>
            <w:hideMark/>
          </w:tcPr>
          <w:p w14:paraId="1AAF179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4A2855F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439F152" w14:textId="77777777" w:rsidTr="001B221B">
        <w:trPr>
          <w:trHeight w:val="846"/>
        </w:trPr>
        <w:tc>
          <w:tcPr>
            <w:tcW w:w="3039" w:type="dxa"/>
            <w:tcBorders>
              <w:top w:val="nil"/>
              <w:left w:val="single" w:sz="4" w:space="0" w:color="auto"/>
              <w:bottom w:val="nil"/>
              <w:right w:val="nil"/>
            </w:tcBorders>
            <w:shd w:val="clear" w:color="000000" w:fill="FFFFFF"/>
            <w:vAlign w:val="center"/>
            <w:hideMark/>
          </w:tcPr>
          <w:p w14:paraId="2FF1F85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plan assets (excluding the amount included in the net interest expense)</w:t>
            </w:r>
          </w:p>
        </w:tc>
        <w:tc>
          <w:tcPr>
            <w:tcW w:w="1370" w:type="dxa"/>
            <w:tcBorders>
              <w:top w:val="nil"/>
              <w:left w:val="single" w:sz="4" w:space="0" w:color="auto"/>
              <w:bottom w:val="nil"/>
              <w:right w:val="nil"/>
            </w:tcBorders>
            <w:shd w:val="clear" w:color="000000" w:fill="FFFFFF"/>
            <w:vAlign w:val="center"/>
            <w:hideMark/>
          </w:tcPr>
          <w:p w14:paraId="70D14AC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100" w:type="dxa"/>
            <w:tcBorders>
              <w:top w:val="nil"/>
              <w:left w:val="single" w:sz="4" w:space="0" w:color="auto"/>
              <w:bottom w:val="nil"/>
              <w:right w:val="single" w:sz="4" w:space="0" w:color="auto"/>
            </w:tcBorders>
            <w:shd w:val="clear" w:color="000000" w:fill="FFFFFF"/>
            <w:vAlign w:val="center"/>
            <w:hideMark/>
          </w:tcPr>
          <w:p w14:paraId="282F2D2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34E32DA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370" w:type="dxa"/>
            <w:tcBorders>
              <w:top w:val="nil"/>
              <w:left w:val="nil"/>
              <w:bottom w:val="nil"/>
              <w:right w:val="nil"/>
            </w:tcBorders>
            <w:shd w:val="clear" w:color="000000" w:fill="FFFFFF"/>
            <w:vAlign w:val="center"/>
            <w:hideMark/>
          </w:tcPr>
          <w:p w14:paraId="0A5BDB6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c>
          <w:tcPr>
            <w:tcW w:w="1202" w:type="dxa"/>
            <w:tcBorders>
              <w:top w:val="nil"/>
              <w:left w:val="single" w:sz="4" w:space="0" w:color="auto"/>
              <w:bottom w:val="nil"/>
              <w:right w:val="single" w:sz="4" w:space="0" w:color="auto"/>
            </w:tcBorders>
            <w:shd w:val="clear" w:color="000000" w:fill="FFFFFF"/>
            <w:vAlign w:val="center"/>
            <w:hideMark/>
          </w:tcPr>
          <w:p w14:paraId="00FDCA6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417" w:type="dxa"/>
            <w:tcBorders>
              <w:top w:val="nil"/>
              <w:left w:val="nil"/>
              <w:bottom w:val="nil"/>
              <w:right w:val="single" w:sz="4" w:space="0" w:color="auto"/>
            </w:tcBorders>
            <w:shd w:val="clear" w:color="000000" w:fill="FFCDCD"/>
            <w:noWrap/>
            <w:vAlign w:val="center"/>
            <w:hideMark/>
          </w:tcPr>
          <w:p w14:paraId="234B8BA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r>
      <w:tr w:rsidR="001B221B" w:rsidRPr="001B221B" w14:paraId="292E88C7"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5DEB9FB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Actuarial gains and losses arising on changes in demographic assumptions</w:t>
            </w:r>
          </w:p>
        </w:tc>
        <w:tc>
          <w:tcPr>
            <w:tcW w:w="1370" w:type="dxa"/>
            <w:tcBorders>
              <w:top w:val="nil"/>
              <w:left w:val="single" w:sz="4" w:space="0" w:color="auto"/>
              <w:bottom w:val="nil"/>
              <w:right w:val="nil"/>
            </w:tcBorders>
            <w:shd w:val="clear" w:color="000000" w:fill="FFFFFF"/>
            <w:vAlign w:val="center"/>
            <w:hideMark/>
          </w:tcPr>
          <w:p w14:paraId="335BAF5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100" w:type="dxa"/>
            <w:tcBorders>
              <w:top w:val="nil"/>
              <w:left w:val="single" w:sz="4" w:space="0" w:color="auto"/>
              <w:bottom w:val="nil"/>
              <w:right w:val="single" w:sz="4" w:space="0" w:color="auto"/>
            </w:tcBorders>
            <w:shd w:val="clear" w:color="000000" w:fill="FFFFFF"/>
            <w:vAlign w:val="center"/>
            <w:hideMark/>
          </w:tcPr>
          <w:p w14:paraId="5F61D1F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46C140F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370" w:type="dxa"/>
            <w:tcBorders>
              <w:top w:val="nil"/>
              <w:left w:val="nil"/>
              <w:bottom w:val="nil"/>
              <w:right w:val="nil"/>
            </w:tcBorders>
            <w:shd w:val="clear" w:color="000000" w:fill="FFFFFF"/>
            <w:vAlign w:val="center"/>
            <w:hideMark/>
          </w:tcPr>
          <w:p w14:paraId="7EE5C85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c>
          <w:tcPr>
            <w:tcW w:w="1202" w:type="dxa"/>
            <w:tcBorders>
              <w:top w:val="nil"/>
              <w:left w:val="single" w:sz="4" w:space="0" w:color="auto"/>
              <w:bottom w:val="nil"/>
              <w:right w:val="single" w:sz="4" w:space="0" w:color="auto"/>
            </w:tcBorders>
            <w:shd w:val="clear" w:color="000000" w:fill="FFFFFF"/>
            <w:vAlign w:val="center"/>
            <w:hideMark/>
          </w:tcPr>
          <w:p w14:paraId="5044EEC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417" w:type="dxa"/>
            <w:tcBorders>
              <w:top w:val="nil"/>
              <w:left w:val="nil"/>
              <w:bottom w:val="nil"/>
              <w:right w:val="single" w:sz="4" w:space="0" w:color="auto"/>
            </w:tcBorders>
            <w:shd w:val="clear" w:color="000000" w:fill="FFCDCD"/>
            <w:noWrap/>
            <w:vAlign w:val="center"/>
            <w:hideMark/>
          </w:tcPr>
          <w:p w14:paraId="7F8840E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r>
      <w:tr w:rsidR="001B221B" w:rsidRPr="001B221B" w14:paraId="0BD36F40"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7942103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Actuarial gains and losses arising on changes in financial assumptions</w:t>
            </w:r>
          </w:p>
        </w:tc>
        <w:tc>
          <w:tcPr>
            <w:tcW w:w="1370" w:type="dxa"/>
            <w:tcBorders>
              <w:top w:val="nil"/>
              <w:left w:val="single" w:sz="4" w:space="0" w:color="auto"/>
              <w:bottom w:val="nil"/>
              <w:right w:val="nil"/>
            </w:tcBorders>
            <w:shd w:val="clear" w:color="000000" w:fill="FFFFFF"/>
            <w:vAlign w:val="center"/>
            <w:hideMark/>
          </w:tcPr>
          <w:p w14:paraId="7675B4B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3,331</w:t>
            </w:r>
          </w:p>
        </w:tc>
        <w:tc>
          <w:tcPr>
            <w:tcW w:w="1100" w:type="dxa"/>
            <w:tcBorders>
              <w:top w:val="nil"/>
              <w:left w:val="single" w:sz="4" w:space="0" w:color="auto"/>
              <w:bottom w:val="nil"/>
              <w:right w:val="single" w:sz="4" w:space="0" w:color="auto"/>
            </w:tcBorders>
            <w:shd w:val="clear" w:color="000000" w:fill="FFFFFF"/>
            <w:vAlign w:val="center"/>
            <w:hideMark/>
          </w:tcPr>
          <w:p w14:paraId="1CA3F36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270" w:type="dxa"/>
            <w:tcBorders>
              <w:top w:val="nil"/>
              <w:left w:val="nil"/>
              <w:bottom w:val="nil"/>
              <w:right w:val="single" w:sz="4" w:space="0" w:color="auto"/>
            </w:tcBorders>
            <w:shd w:val="clear" w:color="000000" w:fill="FFCDCD"/>
            <w:noWrap/>
            <w:vAlign w:val="center"/>
            <w:hideMark/>
          </w:tcPr>
          <w:p w14:paraId="58BDA5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33,441</w:t>
            </w:r>
          </w:p>
        </w:tc>
        <w:tc>
          <w:tcPr>
            <w:tcW w:w="1370" w:type="dxa"/>
            <w:tcBorders>
              <w:top w:val="nil"/>
              <w:left w:val="nil"/>
              <w:bottom w:val="nil"/>
              <w:right w:val="nil"/>
            </w:tcBorders>
            <w:shd w:val="clear" w:color="000000" w:fill="FFFFFF"/>
            <w:vAlign w:val="center"/>
            <w:hideMark/>
          </w:tcPr>
          <w:p w14:paraId="7E8460E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(1,182)</w:t>
            </w:r>
          </w:p>
        </w:tc>
        <w:tc>
          <w:tcPr>
            <w:tcW w:w="1202" w:type="dxa"/>
            <w:tcBorders>
              <w:top w:val="nil"/>
              <w:left w:val="single" w:sz="4" w:space="0" w:color="auto"/>
              <w:bottom w:val="nil"/>
              <w:right w:val="single" w:sz="4" w:space="0" w:color="auto"/>
            </w:tcBorders>
            <w:shd w:val="clear" w:color="000000" w:fill="FFFFFF"/>
            <w:vAlign w:val="center"/>
            <w:hideMark/>
          </w:tcPr>
          <w:p w14:paraId="378703A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417" w:type="dxa"/>
            <w:tcBorders>
              <w:top w:val="nil"/>
              <w:left w:val="nil"/>
              <w:bottom w:val="nil"/>
              <w:right w:val="single" w:sz="4" w:space="0" w:color="auto"/>
            </w:tcBorders>
            <w:shd w:val="clear" w:color="000000" w:fill="FFCDCD"/>
            <w:noWrap/>
            <w:vAlign w:val="center"/>
            <w:hideMark/>
          </w:tcPr>
          <w:p w14:paraId="51A3968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(2,302)</w:t>
            </w:r>
          </w:p>
        </w:tc>
      </w:tr>
      <w:tr w:rsidR="001B221B" w:rsidRPr="001B221B" w14:paraId="61D6A757" w14:textId="77777777" w:rsidTr="001B221B">
        <w:trPr>
          <w:trHeight w:val="282"/>
        </w:trPr>
        <w:tc>
          <w:tcPr>
            <w:tcW w:w="3039" w:type="dxa"/>
            <w:tcBorders>
              <w:top w:val="nil"/>
              <w:left w:val="single" w:sz="4" w:space="0" w:color="auto"/>
              <w:bottom w:val="nil"/>
              <w:right w:val="nil"/>
            </w:tcBorders>
            <w:shd w:val="clear" w:color="000000" w:fill="FFFFFF"/>
            <w:vAlign w:val="center"/>
            <w:hideMark/>
          </w:tcPr>
          <w:p w14:paraId="495F9D6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Other</w:t>
            </w:r>
          </w:p>
        </w:tc>
        <w:tc>
          <w:tcPr>
            <w:tcW w:w="1370" w:type="dxa"/>
            <w:tcBorders>
              <w:top w:val="nil"/>
              <w:left w:val="single" w:sz="4" w:space="0" w:color="auto"/>
              <w:bottom w:val="nil"/>
              <w:right w:val="nil"/>
            </w:tcBorders>
            <w:shd w:val="clear" w:color="000000" w:fill="FFFFFF"/>
            <w:vAlign w:val="center"/>
            <w:hideMark/>
          </w:tcPr>
          <w:p w14:paraId="74273AC2"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(63)</w:t>
            </w:r>
          </w:p>
        </w:tc>
        <w:tc>
          <w:tcPr>
            <w:tcW w:w="1100" w:type="dxa"/>
            <w:tcBorders>
              <w:top w:val="nil"/>
              <w:left w:val="single" w:sz="4" w:space="0" w:color="auto"/>
              <w:bottom w:val="nil"/>
              <w:right w:val="single" w:sz="4" w:space="0" w:color="auto"/>
            </w:tcBorders>
            <w:shd w:val="clear" w:color="000000" w:fill="FFFFFF"/>
            <w:vAlign w:val="center"/>
            <w:hideMark/>
          </w:tcPr>
          <w:p w14:paraId="20060E5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23615F80"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(63)</w:t>
            </w:r>
          </w:p>
        </w:tc>
        <w:tc>
          <w:tcPr>
            <w:tcW w:w="1370" w:type="dxa"/>
            <w:tcBorders>
              <w:top w:val="nil"/>
              <w:left w:val="nil"/>
              <w:bottom w:val="nil"/>
              <w:right w:val="nil"/>
            </w:tcBorders>
            <w:shd w:val="clear" w:color="000000" w:fill="FFFFFF"/>
            <w:vAlign w:val="center"/>
            <w:hideMark/>
          </w:tcPr>
          <w:p w14:paraId="69996BF1"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24</w:t>
            </w:r>
          </w:p>
        </w:tc>
        <w:tc>
          <w:tcPr>
            <w:tcW w:w="1202" w:type="dxa"/>
            <w:tcBorders>
              <w:top w:val="nil"/>
              <w:left w:val="single" w:sz="4" w:space="0" w:color="auto"/>
              <w:bottom w:val="nil"/>
              <w:right w:val="single" w:sz="4" w:space="0" w:color="auto"/>
            </w:tcBorders>
            <w:shd w:val="clear" w:color="000000" w:fill="FFFFFF"/>
            <w:vAlign w:val="center"/>
            <w:hideMark/>
          </w:tcPr>
          <w:p w14:paraId="3DCEF077"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w:t>
            </w:r>
          </w:p>
        </w:tc>
        <w:tc>
          <w:tcPr>
            <w:tcW w:w="1417" w:type="dxa"/>
            <w:tcBorders>
              <w:top w:val="nil"/>
              <w:left w:val="nil"/>
              <w:bottom w:val="nil"/>
              <w:right w:val="single" w:sz="4" w:space="0" w:color="auto"/>
            </w:tcBorders>
            <w:shd w:val="clear" w:color="000000" w:fill="FFCDCD"/>
            <w:noWrap/>
            <w:vAlign w:val="center"/>
            <w:hideMark/>
          </w:tcPr>
          <w:p w14:paraId="46EBDEFF" w14:textId="77777777" w:rsidR="001B221B" w:rsidRPr="001B221B" w:rsidRDefault="001B221B" w:rsidP="001B221B">
            <w:pPr>
              <w:spacing w:after="0" w:line="240" w:lineRule="auto"/>
              <w:jc w:val="right"/>
              <w:rPr>
                <w:rFonts w:ascii="Calibri" w:eastAsia="Times New Roman" w:hAnsi="Calibri" w:cs="Calibri"/>
                <w:lang w:eastAsia="en-GB"/>
              </w:rPr>
            </w:pPr>
            <w:r w:rsidRPr="001B221B">
              <w:rPr>
                <w:rFonts w:ascii="Calibri" w:eastAsia="Times New Roman" w:hAnsi="Calibri" w:cs="Calibri"/>
                <w:lang w:eastAsia="en-GB"/>
              </w:rPr>
              <w:t>24</w:t>
            </w:r>
          </w:p>
        </w:tc>
      </w:tr>
      <w:tr w:rsidR="001B221B" w:rsidRPr="001B221B" w14:paraId="4E7A7DB5" w14:textId="77777777" w:rsidTr="001B221B">
        <w:trPr>
          <w:trHeight w:val="564"/>
        </w:trPr>
        <w:tc>
          <w:tcPr>
            <w:tcW w:w="3039" w:type="dxa"/>
            <w:tcBorders>
              <w:top w:val="nil"/>
              <w:left w:val="single" w:sz="4" w:space="0" w:color="auto"/>
              <w:bottom w:val="nil"/>
              <w:right w:val="nil"/>
            </w:tcBorders>
            <w:shd w:val="clear" w:color="000000" w:fill="FFFFFF"/>
            <w:vAlign w:val="center"/>
            <w:hideMark/>
          </w:tcPr>
          <w:p w14:paraId="02DE921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Total remeasurements recognised in Other Comprehensive Income (OCI)</w:t>
            </w:r>
          </w:p>
        </w:tc>
        <w:tc>
          <w:tcPr>
            <w:tcW w:w="1370" w:type="dxa"/>
            <w:tcBorders>
              <w:top w:val="single" w:sz="4" w:space="0" w:color="auto"/>
              <w:left w:val="single" w:sz="4" w:space="0" w:color="auto"/>
              <w:bottom w:val="single" w:sz="4" w:space="0" w:color="auto"/>
              <w:right w:val="nil"/>
            </w:tcBorders>
            <w:shd w:val="clear" w:color="000000" w:fill="FFFFFF"/>
            <w:vAlign w:val="center"/>
            <w:hideMark/>
          </w:tcPr>
          <w:p w14:paraId="2F9856C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1,921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4D30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30,110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256084C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32,031</w:t>
            </w:r>
          </w:p>
        </w:tc>
        <w:tc>
          <w:tcPr>
            <w:tcW w:w="1370" w:type="dxa"/>
            <w:tcBorders>
              <w:top w:val="single" w:sz="4" w:space="0" w:color="auto"/>
              <w:left w:val="nil"/>
              <w:bottom w:val="single" w:sz="4" w:space="0" w:color="auto"/>
              <w:right w:val="nil"/>
            </w:tcBorders>
            <w:shd w:val="clear" w:color="000000" w:fill="FFFFFF"/>
            <w:vAlign w:val="center"/>
            <w:hideMark/>
          </w:tcPr>
          <w:p w14:paraId="02D22927"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(1,642)</w:t>
            </w:r>
          </w:p>
        </w:tc>
        <w:tc>
          <w:tcPr>
            <w:tcW w:w="12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16E6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(1,120)</w:t>
            </w:r>
          </w:p>
        </w:tc>
        <w:tc>
          <w:tcPr>
            <w:tcW w:w="1417" w:type="dxa"/>
            <w:tcBorders>
              <w:top w:val="single" w:sz="4" w:space="0" w:color="auto"/>
              <w:left w:val="nil"/>
              <w:bottom w:val="single" w:sz="4" w:space="0" w:color="auto"/>
              <w:right w:val="single" w:sz="4" w:space="0" w:color="auto"/>
            </w:tcBorders>
            <w:shd w:val="clear" w:color="000000" w:fill="FFCDCD"/>
            <w:noWrap/>
            <w:vAlign w:val="center"/>
            <w:hideMark/>
          </w:tcPr>
          <w:p w14:paraId="2774FF7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(2,762)</w:t>
            </w:r>
          </w:p>
        </w:tc>
      </w:tr>
      <w:tr w:rsidR="001B221B" w:rsidRPr="001B221B" w14:paraId="6F024342" w14:textId="77777777" w:rsidTr="001B221B">
        <w:trPr>
          <w:trHeight w:val="618"/>
        </w:trPr>
        <w:tc>
          <w:tcPr>
            <w:tcW w:w="3039" w:type="dxa"/>
            <w:tcBorders>
              <w:top w:val="nil"/>
              <w:left w:val="single" w:sz="4" w:space="0" w:color="auto"/>
              <w:bottom w:val="nil"/>
              <w:right w:val="nil"/>
            </w:tcBorders>
            <w:shd w:val="clear" w:color="000000" w:fill="FFFFFF"/>
            <w:vAlign w:val="center"/>
            <w:hideMark/>
          </w:tcPr>
          <w:p w14:paraId="4C356909"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Movement in Reserves Statement</w:t>
            </w:r>
          </w:p>
        </w:tc>
        <w:tc>
          <w:tcPr>
            <w:tcW w:w="1370" w:type="dxa"/>
            <w:tcBorders>
              <w:top w:val="nil"/>
              <w:left w:val="single" w:sz="4" w:space="0" w:color="auto"/>
              <w:bottom w:val="nil"/>
              <w:right w:val="nil"/>
            </w:tcBorders>
            <w:shd w:val="clear" w:color="000000" w:fill="FFFFFF"/>
            <w:vAlign w:val="center"/>
            <w:hideMark/>
          </w:tcPr>
          <w:p w14:paraId="380B67C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2898C0D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0729DA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single" w:sz="4" w:space="0" w:color="auto"/>
            </w:tcBorders>
            <w:shd w:val="clear" w:color="000000" w:fill="FFFFFF"/>
            <w:vAlign w:val="center"/>
            <w:hideMark/>
          </w:tcPr>
          <w:p w14:paraId="6B9D4E8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nil"/>
              <w:bottom w:val="nil"/>
              <w:right w:val="single" w:sz="4" w:space="0" w:color="auto"/>
            </w:tcBorders>
            <w:shd w:val="clear" w:color="000000" w:fill="FFFFFF"/>
            <w:vAlign w:val="center"/>
            <w:hideMark/>
          </w:tcPr>
          <w:p w14:paraId="0CDA55A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2F15B66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F31E2E5" w14:textId="77777777" w:rsidTr="001B221B">
        <w:trPr>
          <w:trHeight w:val="525"/>
        </w:trPr>
        <w:tc>
          <w:tcPr>
            <w:tcW w:w="3039" w:type="dxa"/>
            <w:tcBorders>
              <w:top w:val="nil"/>
              <w:left w:val="single" w:sz="4" w:space="0" w:color="auto"/>
              <w:bottom w:val="nil"/>
              <w:right w:val="nil"/>
            </w:tcBorders>
            <w:shd w:val="clear" w:color="000000" w:fill="FFFFFF"/>
            <w:vAlign w:val="center"/>
            <w:hideMark/>
          </w:tcPr>
          <w:p w14:paraId="44DB38A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Reversal of net charges made for retirement benefits in accordance with IAS19</w:t>
            </w:r>
          </w:p>
        </w:tc>
        <w:tc>
          <w:tcPr>
            <w:tcW w:w="1370" w:type="dxa"/>
            <w:tcBorders>
              <w:top w:val="nil"/>
              <w:left w:val="single" w:sz="4" w:space="0" w:color="auto"/>
              <w:bottom w:val="nil"/>
              <w:right w:val="single" w:sz="4" w:space="0" w:color="auto"/>
            </w:tcBorders>
            <w:shd w:val="clear" w:color="000000" w:fill="FFFFFF"/>
            <w:vAlign w:val="center"/>
            <w:hideMark/>
          </w:tcPr>
          <w:p w14:paraId="291869D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(2,379)</w:t>
            </w:r>
          </w:p>
        </w:tc>
        <w:tc>
          <w:tcPr>
            <w:tcW w:w="1100" w:type="dxa"/>
            <w:tcBorders>
              <w:top w:val="nil"/>
              <w:left w:val="nil"/>
              <w:bottom w:val="nil"/>
              <w:right w:val="single" w:sz="4" w:space="0" w:color="auto"/>
            </w:tcBorders>
            <w:shd w:val="clear" w:color="000000" w:fill="FFFFFF"/>
            <w:vAlign w:val="center"/>
            <w:hideMark/>
          </w:tcPr>
          <w:p w14:paraId="28A1C99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(36,030)</w:t>
            </w:r>
          </w:p>
        </w:tc>
        <w:tc>
          <w:tcPr>
            <w:tcW w:w="1270" w:type="dxa"/>
            <w:tcBorders>
              <w:top w:val="nil"/>
              <w:left w:val="nil"/>
              <w:bottom w:val="nil"/>
              <w:right w:val="single" w:sz="4" w:space="0" w:color="auto"/>
            </w:tcBorders>
            <w:shd w:val="clear" w:color="000000" w:fill="FFCDCD"/>
            <w:noWrap/>
            <w:vAlign w:val="center"/>
            <w:hideMark/>
          </w:tcPr>
          <w:p w14:paraId="61BF167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(38,409)</w:t>
            </w:r>
          </w:p>
        </w:tc>
        <w:tc>
          <w:tcPr>
            <w:tcW w:w="1370" w:type="dxa"/>
            <w:tcBorders>
              <w:top w:val="nil"/>
              <w:left w:val="nil"/>
              <w:bottom w:val="nil"/>
              <w:right w:val="single" w:sz="4" w:space="0" w:color="auto"/>
            </w:tcBorders>
            <w:shd w:val="clear" w:color="000000" w:fill="FFFFFF"/>
            <w:vAlign w:val="center"/>
            <w:hideMark/>
          </w:tcPr>
          <w:p w14:paraId="7ACED6E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791</w:t>
            </w:r>
          </w:p>
        </w:tc>
        <w:tc>
          <w:tcPr>
            <w:tcW w:w="1202" w:type="dxa"/>
            <w:tcBorders>
              <w:top w:val="nil"/>
              <w:left w:val="nil"/>
              <w:bottom w:val="nil"/>
              <w:right w:val="single" w:sz="4" w:space="0" w:color="auto"/>
            </w:tcBorders>
            <w:shd w:val="clear" w:color="000000" w:fill="FFFFFF"/>
            <w:vAlign w:val="center"/>
            <w:hideMark/>
          </w:tcPr>
          <w:p w14:paraId="6C177B2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(6,370)</w:t>
            </w:r>
          </w:p>
        </w:tc>
        <w:tc>
          <w:tcPr>
            <w:tcW w:w="1417" w:type="dxa"/>
            <w:tcBorders>
              <w:top w:val="nil"/>
              <w:left w:val="nil"/>
              <w:bottom w:val="nil"/>
              <w:right w:val="single" w:sz="4" w:space="0" w:color="auto"/>
            </w:tcBorders>
            <w:shd w:val="clear" w:color="000000" w:fill="FFCDCD"/>
            <w:noWrap/>
            <w:vAlign w:val="center"/>
            <w:hideMark/>
          </w:tcPr>
          <w:p w14:paraId="5BDBED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(5,579)</w:t>
            </w:r>
          </w:p>
        </w:tc>
      </w:tr>
      <w:tr w:rsidR="001B221B" w:rsidRPr="001B221B" w14:paraId="5B54235E" w14:textId="77777777" w:rsidTr="001B221B">
        <w:trPr>
          <w:trHeight w:val="510"/>
        </w:trPr>
        <w:tc>
          <w:tcPr>
            <w:tcW w:w="3039" w:type="dxa"/>
            <w:tcBorders>
              <w:top w:val="nil"/>
              <w:left w:val="single" w:sz="4" w:space="0" w:color="auto"/>
              <w:bottom w:val="nil"/>
              <w:right w:val="nil"/>
            </w:tcBorders>
            <w:shd w:val="clear" w:color="000000" w:fill="FFFFFF"/>
            <w:vAlign w:val="center"/>
            <w:hideMark/>
          </w:tcPr>
          <w:p w14:paraId="57DA3DE9"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Actual amount charged against the General Fund Balance for pensions in the year:</w:t>
            </w:r>
          </w:p>
        </w:tc>
        <w:tc>
          <w:tcPr>
            <w:tcW w:w="1370" w:type="dxa"/>
            <w:tcBorders>
              <w:top w:val="nil"/>
              <w:left w:val="single" w:sz="4" w:space="0" w:color="auto"/>
              <w:bottom w:val="nil"/>
              <w:right w:val="nil"/>
            </w:tcBorders>
            <w:shd w:val="clear" w:color="000000" w:fill="FFFFFF"/>
            <w:vAlign w:val="center"/>
            <w:hideMark/>
          </w:tcPr>
          <w:p w14:paraId="6A8601D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100" w:type="dxa"/>
            <w:tcBorders>
              <w:top w:val="nil"/>
              <w:left w:val="single" w:sz="4" w:space="0" w:color="auto"/>
              <w:bottom w:val="nil"/>
              <w:right w:val="single" w:sz="4" w:space="0" w:color="auto"/>
            </w:tcBorders>
            <w:shd w:val="clear" w:color="000000" w:fill="FFFFFF"/>
            <w:vAlign w:val="center"/>
            <w:hideMark/>
          </w:tcPr>
          <w:p w14:paraId="32025C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70" w:type="dxa"/>
            <w:tcBorders>
              <w:top w:val="nil"/>
              <w:left w:val="nil"/>
              <w:bottom w:val="nil"/>
              <w:right w:val="single" w:sz="4" w:space="0" w:color="auto"/>
            </w:tcBorders>
            <w:shd w:val="clear" w:color="000000" w:fill="FFCDCD"/>
            <w:noWrap/>
            <w:vAlign w:val="center"/>
            <w:hideMark/>
          </w:tcPr>
          <w:p w14:paraId="1FA5117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370" w:type="dxa"/>
            <w:tcBorders>
              <w:top w:val="nil"/>
              <w:left w:val="nil"/>
              <w:bottom w:val="nil"/>
              <w:right w:val="single" w:sz="4" w:space="0" w:color="auto"/>
            </w:tcBorders>
            <w:shd w:val="clear" w:color="000000" w:fill="FFFFFF"/>
            <w:vAlign w:val="center"/>
            <w:hideMark/>
          </w:tcPr>
          <w:p w14:paraId="1A9CF6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02" w:type="dxa"/>
            <w:tcBorders>
              <w:top w:val="nil"/>
              <w:left w:val="nil"/>
              <w:bottom w:val="nil"/>
              <w:right w:val="single" w:sz="4" w:space="0" w:color="auto"/>
            </w:tcBorders>
            <w:shd w:val="clear" w:color="000000" w:fill="FFFFFF"/>
            <w:vAlign w:val="center"/>
            <w:hideMark/>
          </w:tcPr>
          <w:p w14:paraId="129CE9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417" w:type="dxa"/>
            <w:tcBorders>
              <w:top w:val="nil"/>
              <w:left w:val="nil"/>
              <w:bottom w:val="nil"/>
              <w:right w:val="single" w:sz="4" w:space="0" w:color="auto"/>
            </w:tcBorders>
            <w:shd w:val="clear" w:color="000000" w:fill="FFCDCD"/>
            <w:noWrap/>
            <w:vAlign w:val="center"/>
            <w:hideMark/>
          </w:tcPr>
          <w:p w14:paraId="28AEF75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2B40778" w14:textId="77777777" w:rsidTr="001B221B">
        <w:trPr>
          <w:trHeight w:val="817"/>
        </w:trPr>
        <w:tc>
          <w:tcPr>
            <w:tcW w:w="3039" w:type="dxa"/>
            <w:tcBorders>
              <w:top w:val="nil"/>
              <w:left w:val="single" w:sz="4" w:space="0" w:color="auto"/>
              <w:bottom w:val="single" w:sz="4" w:space="0" w:color="auto"/>
              <w:right w:val="nil"/>
            </w:tcBorders>
            <w:shd w:val="clear" w:color="000000" w:fill="FFFFFF"/>
            <w:vAlign w:val="center"/>
            <w:hideMark/>
          </w:tcPr>
          <w:p w14:paraId="45DDA7A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Employers' contribution payable to scheme (LGPS)/Retirement Benefits payable to pensioners (FPS)</w:t>
            </w:r>
          </w:p>
        </w:tc>
        <w:tc>
          <w:tcPr>
            <w:tcW w:w="1370" w:type="dxa"/>
            <w:tcBorders>
              <w:top w:val="nil"/>
              <w:left w:val="single" w:sz="4" w:space="0" w:color="auto"/>
              <w:bottom w:val="single" w:sz="4" w:space="0" w:color="auto"/>
              <w:right w:val="single" w:sz="4" w:space="0" w:color="auto"/>
            </w:tcBorders>
            <w:shd w:val="clear" w:color="000000" w:fill="FFFFFF"/>
            <w:vAlign w:val="center"/>
            <w:hideMark/>
          </w:tcPr>
          <w:p w14:paraId="6375E86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100" w:type="dxa"/>
            <w:tcBorders>
              <w:top w:val="nil"/>
              <w:left w:val="nil"/>
              <w:bottom w:val="single" w:sz="4" w:space="0" w:color="auto"/>
              <w:right w:val="single" w:sz="4" w:space="0" w:color="auto"/>
            </w:tcBorders>
            <w:shd w:val="clear" w:color="000000" w:fill="FFFFFF"/>
            <w:vAlign w:val="center"/>
            <w:hideMark/>
          </w:tcPr>
          <w:p w14:paraId="3D622B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(7,570)</w:t>
            </w:r>
          </w:p>
        </w:tc>
        <w:tc>
          <w:tcPr>
            <w:tcW w:w="1270" w:type="dxa"/>
            <w:tcBorders>
              <w:top w:val="nil"/>
              <w:left w:val="nil"/>
              <w:bottom w:val="single" w:sz="4" w:space="0" w:color="auto"/>
              <w:right w:val="single" w:sz="4" w:space="0" w:color="auto"/>
            </w:tcBorders>
            <w:shd w:val="clear" w:color="000000" w:fill="FFCDCD"/>
            <w:noWrap/>
            <w:vAlign w:val="center"/>
            <w:hideMark/>
          </w:tcPr>
          <w:p w14:paraId="7A2CF85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(7,993)</w:t>
            </w:r>
          </w:p>
        </w:tc>
        <w:tc>
          <w:tcPr>
            <w:tcW w:w="1370" w:type="dxa"/>
            <w:tcBorders>
              <w:top w:val="nil"/>
              <w:left w:val="nil"/>
              <w:bottom w:val="single" w:sz="4" w:space="0" w:color="auto"/>
              <w:right w:val="single" w:sz="4" w:space="0" w:color="auto"/>
            </w:tcBorders>
            <w:shd w:val="clear" w:color="000000" w:fill="FFFFFF"/>
            <w:vAlign w:val="center"/>
            <w:hideMark/>
          </w:tcPr>
          <w:p w14:paraId="2A41009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c>
          <w:tcPr>
            <w:tcW w:w="1202" w:type="dxa"/>
            <w:tcBorders>
              <w:top w:val="nil"/>
              <w:left w:val="nil"/>
              <w:bottom w:val="single" w:sz="4" w:space="0" w:color="auto"/>
              <w:right w:val="single" w:sz="4" w:space="0" w:color="auto"/>
            </w:tcBorders>
            <w:shd w:val="clear" w:color="000000" w:fill="FFFFFF"/>
            <w:vAlign w:val="center"/>
            <w:hideMark/>
          </w:tcPr>
          <w:p w14:paraId="1ABFB36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(5,960)</w:t>
            </w:r>
          </w:p>
        </w:tc>
        <w:tc>
          <w:tcPr>
            <w:tcW w:w="1417" w:type="dxa"/>
            <w:tcBorders>
              <w:top w:val="nil"/>
              <w:left w:val="nil"/>
              <w:bottom w:val="single" w:sz="4" w:space="0" w:color="auto"/>
              <w:right w:val="single" w:sz="4" w:space="0" w:color="auto"/>
            </w:tcBorders>
            <w:shd w:val="clear" w:color="000000" w:fill="FFCDCD"/>
            <w:noWrap/>
            <w:vAlign w:val="center"/>
            <w:hideMark/>
          </w:tcPr>
          <w:p w14:paraId="4751A85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(6,362)</w:t>
            </w:r>
          </w:p>
        </w:tc>
      </w:tr>
    </w:tbl>
    <w:p w14:paraId="02DD8A25" w14:textId="77FD9121"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lastRenderedPageBreak/>
        <w:t>26</w:t>
      </w:r>
      <w:r w:rsidR="0079406E" w:rsidRPr="007F07C2">
        <w:rPr>
          <w:rFonts w:cs="Arial"/>
          <w:b/>
          <w:bCs/>
          <w:sz w:val="28"/>
          <w:szCs w:val="28"/>
        </w:rPr>
        <w:t xml:space="preserve">.3 Assets and liabilities in relation to retirement benefits </w:t>
      </w:r>
    </w:p>
    <w:p w14:paraId="080957EE"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As part of the terms and conditions of employment of its officers and other employees, the Authority offers retirement benefits. Although these will not actually be payable until employees retire, the Authority has a commitment to make payments that need to be disclosed at the time that employees earn their future entitlement. The Authority participates in two defined benefit pension schemes: </w:t>
      </w:r>
    </w:p>
    <w:p w14:paraId="697EF890" w14:textId="77777777" w:rsidR="00434B4A" w:rsidRPr="007F07C2" w:rsidRDefault="00434B4A" w:rsidP="0079406E">
      <w:pPr>
        <w:autoSpaceDE w:val="0"/>
        <w:autoSpaceDN w:val="0"/>
        <w:adjustRightInd w:val="0"/>
        <w:spacing w:after="0" w:line="240" w:lineRule="auto"/>
        <w:rPr>
          <w:rFonts w:cs="Arial"/>
        </w:rPr>
      </w:pPr>
    </w:p>
    <w:p w14:paraId="47129880" w14:textId="3CDE64A9" w:rsidR="0079406E" w:rsidRPr="007F07C2" w:rsidRDefault="0079406E" w:rsidP="005D747F">
      <w:pPr>
        <w:pStyle w:val="ListParagraph"/>
        <w:numPr>
          <w:ilvl w:val="0"/>
          <w:numId w:val="3"/>
        </w:numPr>
        <w:autoSpaceDE w:val="0"/>
        <w:autoSpaceDN w:val="0"/>
        <w:adjustRightInd w:val="0"/>
        <w:spacing w:after="0" w:line="240" w:lineRule="auto"/>
        <w:rPr>
          <w:rFonts w:cs="Arial"/>
        </w:rPr>
      </w:pPr>
      <w:r w:rsidRPr="007F07C2">
        <w:rPr>
          <w:rFonts w:cs="Arial"/>
        </w:rPr>
        <w:t xml:space="preserve">the Local Government Pension Scheme for civilian employees, administered by </w:t>
      </w:r>
      <w:r w:rsidR="004636B4">
        <w:rPr>
          <w:rFonts w:cs="Arial"/>
        </w:rPr>
        <w:t xml:space="preserve">West </w:t>
      </w:r>
      <w:r w:rsidR="004266A6" w:rsidRPr="007F07C2">
        <w:rPr>
          <w:rFonts w:cs="Arial"/>
        </w:rPr>
        <w:t>Northamptonshire</w:t>
      </w:r>
      <w:r w:rsidRPr="007F07C2">
        <w:rPr>
          <w:rFonts w:cs="Arial"/>
        </w:rPr>
        <w:t xml:space="preserve"> Council – this is a funded scheme, meaning that the Authority and employees pay contributions into a fund, calculated at a level estimated to balance the pensions liabilities with investment assets. </w:t>
      </w:r>
    </w:p>
    <w:p w14:paraId="2F713C25" w14:textId="77777777" w:rsidR="0079406E" w:rsidRPr="007F07C2" w:rsidRDefault="0079406E" w:rsidP="005D747F">
      <w:pPr>
        <w:pStyle w:val="ListParagraph"/>
        <w:numPr>
          <w:ilvl w:val="0"/>
          <w:numId w:val="3"/>
        </w:numPr>
        <w:autoSpaceDE w:val="0"/>
        <w:autoSpaceDN w:val="0"/>
        <w:adjustRightInd w:val="0"/>
        <w:spacing w:after="0" w:line="240" w:lineRule="auto"/>
        <w:rPr>
          <w:rFonts w:cs="Arial"/>
        </w:rPr>
      </w:pPr>
      <w:r w:rsidRPr="007F07C2">
        <w:rPr>
          <w:rFonts w:cs="Arial"/>
        </w:rPr>
        <w:t xml:space="preserve">the Firefighters’ Pension Scheme – this is an unfunded scheme, meaning that there are no investment assets built up to meet the pensions liabilities, and cash has to be generated to meet actual pensions payments as they eventually fall due. </w:t>
      </w:r>
    </w:p>
    <w:p w14:paraId="261D2285" w14:textId="77777777" w:rsidR="0079406E" w:rsidRPr="007F07C2" w:rsidRDefault="0079406E" w:rsidP="0079406E">
      <w:pPr>
        <w:autoSpaceDE w:val="0"/>
        <w:autoSpaceDN w:val="0"/>
        <w:adjustRightInd w:val="0"/>
        <w:spacing w:after="0" w:line="240" w:lineRule="auto"/>
        <w:rPr>
          <w:rFonts w:cs="Arial"/>
        </w:rPr>
      </w:pPr>
    </w:p>
    <w:p w14:paraId="46C2224E" w14:textId="41640EE9" w:rsidR="00F57909" w:rsidRPr="007F07C2" w:rsidRDefault="0079406E" w:rsidP="0079406E">
      <w:pPr>
        <w:autoSpaceDE w:val="0"/>
        <w:autoSpaceDN w:val="0"/>
        <w:adjustRightInd w:val="0"/>
        <w:spacing w:after="0" w:line="240" w:lineRule="auto"/>
        <w:rPr>
          <w:rFonts w:cs="Arial"/>
          <w:sz w:val="18"/>
          <w:szCs w:val="18"/>
        </w:rPr>
      </w:pPr>
      <w:r w:rsidRPr="007F07C2">
        <w:rPr>
          <w:rFonts w:cs="Arial"/>
        </w:rPr>
        <w:t>The Local Government Pension Scheme contributions payable by employers are determined by the actuary to the Pension Fund based on triennial valuations, the most recent of which was at 31 March 201</w:t>
      </w:r>
      <w:r w:rsidR="00F845D0">
        <w:rPr>
          <w:rFonts w:cs="Arial"/>
        </w:rPr>
        <w:t>9</w:t>
      </w:r>
      <w:r w:rsidRPr="007F07C2">
        <w:rPr>
          <w:rFonts w:cs="Arial"/>
        </w:rPr>
        <w:t>. This determined the level of contrib</w:t>
      </w:r>
      <w:r w:rsidR="0069660D" w:rsidRPr="007F07C2">
        <w:rPr>
          <w:rFonts w:cs="Arial"/>
        </w:rPr>
        <w:t>utions payable during the year.</w:t>
      </w:r>
    </w:p>
    <w:p w14:paraId="20AAE9F2" w14:textId="77777777" w:rsidR="00102C11" w:rsidRPr="007F07C2" w:rsidRDefault="00102C11" w:rsidP="0079406E">
      <w:pPr>
        <w:autoSpaceDE w:val="0"/>
        <w:autoSpaceDN w:val="0"/>
        <w:adjustRightInd w:val="0"/>
        <w:spacing w:after="0" w:line="240" w:lineRule="auto"/>
        <w:rPr>
          <w:rFonts w:cs="Arial"/>
        </w:rPr>
      </w:pPr>
    </w:p>
    <w:p w14:paraId="57DDBA0F" w14:textId="77777777" w:rsidR="005064C1" w:rsidRPr="007F07C2" w:rsidRDefault="0079406E" w:rsidP="0079406E">
      <w:pPr>
        <w:autoSpaceDE w:val="0"/>
        <w:autoSpaceDN w:val="0"/>
        <w:adjustRightInd w:val="0"/>
        <w:spacing w:after="0" w:line="240" w:lineRule="auto"/>
        <w:rPr>
          <w:rFonts w:cs="Arial"/>
        </w:rPr>
      </w:pPr>
      <w:r w:rsidRPr="007F07C2">
        <w:rPr>
          <w:rFonts w:cs="Arial"/>
        </w:rPr>
        <w:t xml:space="preserve">Reconciliation of asset and benefit obligation: </w:t>
      </w:r>
    </w:p>
    <w:p w14:paraId="26D1F818" w14:textId="59ACA8DB" w:rsidR="009C13AA" w:rsidRDefault="009C13AA" w:rsidP="0079406E">
      <w:pPr>
        <w:autoSpaceDE w:val="0"/>
        <w:autoSpaceDN w:val="0"/>
        <w:adjustRightInd w:val="0"/>
        <w:spacing w:after="0" w:line="240" w:lineRule="auto"/>
      </w:pPr>
    </w:p>
    <w:tbl>
      <w:tblPr>
        <w:tblW w:w="10625" w:type="dxa"/>
        <w:tblLook w:val="04A0" w:firstRow="1" w:lastRow="0" w:firstColumn="1" w:lastColumn="0" w:noHBand="0" w:noVBand="1"/>
      </w:tblPr>
      <w:tblGrid>
        <w:gridCol w:w="2770"/>
        <w:gridCol w:w="1370"/>
        <w:gridCol w:w="1266"/>
        <w:gridCol w:w="1283"/>
        <w:gridCol w:w="1370"/>
        <w:gridCol w:w="1283"/>
        <w:gridCol w:w="1283"/>
      </w:tblGrid>
      <w:tr w:rsidR="001B221B" w:rsidRPr="001B221B" w14:paraId="24902D3A" w14:textId="77777777" w:rsidTr="001B221B">
        <w:trPr>
          <w:trHeight w:val="451"/>
        </w:trPr>
        <w:tc>
          <w:tcPr>
            <w:tcW w:w="3010" w:type="dxa"/>
            <w:tcBorders>
              <w:top w:val="single" w:sz="4" w:space="0" w:color="auto"/>
              <w:left w:val="single" w:sz="4" w:space="0" w:color="auto"/>
              <w:bottom w:val="nil"/>
              <w:right w:val="nil"/>
            </w:tcBorders>
            <w:shd w:val="clear" w:color="000000" w:fill="C00000"/>
            <w:vAlign w:val="center"/>
            <w:hideMark/>
          </w:tcPr>
          <w:p w14:paraId="503DA10B"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single" w:sz="4" w:space="0" w:color="auto"/>
              <w:left w:val="single" w:sz="4" w:space="0" w:color="auto"/>
              <w:bottom w:val="nil"/>
              <w:right w:val="single" w:sz="4" w:space="0" w:color="auto"/>
            </w:tcBorders>
            <w:shd w:val="clear" w:color="000000" w:fill="C00000"/>
            <w:vAlign w:val="center"/>
            <w:hideMark/>
          </w:tcPr>
          <w:p w14:paraId="6758069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266" w:type="dxa"/>
            <w:tcBorders>
              <w:top w:val="single" w:sz="4" w:space="0" w:color="auto"/>
              <w:left w:val="nil"/>
              <w:bottom w:val="nil"/>
              <w:right w:val="single" w:sz="4" w:space="0" w:color="auto"/>
            </w:tcBorders>
            <w:shd w:val="clear" w:color="000000" w:fill="C00000"/>
            <w:vAlign w:val="center"/>
            <w:hideMark/>
          </w:tcPr>
          <w:p w14:paraId="37011E9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83" w:type="dxa"/>
            <w:tcBorders>
              <w:top w:val="single" w:sz="4" w:space="0" w:color="auto"/>
              <w:left w:val="nil"/>
              <w:bottom w:val="nil"/>
              <w:right w:val="single" w:sz="4" w:space="0" w:color="auto"/>
            </w:tcBorders>
            <w:shd w:val="clear" w:color="000000" w:fill="C00000"/>
            <w:noWrap/>
            <w:vAlign w:val="center"/>
            <w:hideMark/>
          </w:tcPr>
          <w:p w14:paraId="40FFD4A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250" w:type="dxa"/>
            <w:tcBorders>
              <w:top w:val="single" w:sz="4" w:space="0" w:color="auto"/>
              <w:left w:val="nil"/>
              <w:bottom w:val="nil"/>
              <w:right w:val="nil"/>
            </w:tcBorders>
            <w:shd w:val="clear" w:color="000000" w:fill="C00000"/>
            <w:vAlign w:val="center"/>
            <w:hideMark/>
          </w:tcPr>
          <w:p w14:paraId="318F162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283" w:type="dxa"/>
            <w:tcBorders>
              <w:top w:val="single" w:sz="4" w:space="0" w:color="auto"/>
              <w:left w:val="single" w:sz="4" w:space="0" w:color="auto"/>
              <w:bottom w:val="nil"/>
              <w:right w:val="single" w:sz="4" w:space="0" w:color="auto"/>
            </w:tcBorders>
            <w:shd w:val="clear" w:color="000000" w:fill="C00000"/>
            <w:vAlign w:val="center"/>
            <w:hideMark/>
          </w:tcPr>
          <w:p w14:paraId="5951316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83" w:type="dxa"/>
            <w:tcBorders>
              <w:top w:val="single" w:sz="4" w:space="0" w:color="auto"/>
              <w:left w:val="nil"/>
              <w:bottom w:val="nil"/>
              <w:right w:val="single" w:sz="4" w:space="0" w:color="auto"/>
            </w:tcBorders>
            <w:shd w:val="clear" w:color="000000" w:fill="C00000"/>
            <w:noWrap/>
            <w:vAlign w:val="center"/>
            <w:hideMark/>
          </w:tcPr>
          <w:p w14:paraId="1AE028F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2F6CCD47" w14:textId="77777777" w:rsidTr="001B221B">
        <w:trPr>
          <w:trHeight w:val="451"/>
        </w:trPr>
        <w:tc>
          <w:tcPr>
            <w:tcW w:w="3010" w:type="dxa"/>
            <w:tcBorders>
              <w:top w:val="nil"/>
              <w:left w:val="single" w:sz="4" w:space="0" w:color="auto"/>
              <w:bottom w:val="nil"/>
              <w:right w:val="nil"/>
            </w:tcBorders>
            <w:shd w:val="clear" w:color="000000" w:fill="C00000"/>
            <w:vAlign w:val="center"/>
            <w:hideMark/>
          </w:tcPr>
          <w:p w14:paraId="4A23C4F7"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nil"/>
              <w:right w:val="single" w:sz="4" w:space="0" w:color="auto"/>
            </w:tcBorders>
            <w:shd w:val="clear" w:color="000000" w:fill="C00000"/>
            <w:vAlign w:val="center"/>
            <w:hideMark/>
          </w:tcPr>
          <w:p w14:paraId="594808B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66" w:type="dxa"/>
            <w:tcBorders>
              <w:top w:val="nil"/>
              <w:left w:val="nil"/>
              <w:bottom w:val="nil"/>
              <w:right w:val="single" w:sz="4" w:space="0" w:color="auto"/>
            </w:tcBorders>
            <w:shd w:val="clear" w:color="000000" w:fill="C00000"/>
            <w:vAlign w:val="center"/>
            <w:hideMark/>
          </w:tcPr>
          <w:p w14:paraId="3B83AEF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nil"/>
              <w:bottom w:val="nil"/>
              <w:right w:val="single" w:sz="4" w:space="0" w:color="auto"/>
            </w:tcBorders>
            <w:shd w:val="clear" w:color="000000" w:fill="C00000"/>
            <w:noWrap/>
            <w:vAlign w:val="center"/>
            <w:hideMark/>
          </w:tcPr>
          <w:p w14:paraId="45DC536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250" w:type="dxa"/>
            <w:tcBorders>
              <w:top w:val="nil"/>
              <w:left w:val="nil"/>
              <w:bottom w:val="nil"/>
              <w:right w:val="nil"/>
            </w:tcBorders>
            <w:shd w:val="clear" w:color="000000" w:fill="C00000"/>
            <w:vAlign w:val="center"/>
            <w:hideMark/>
          </w:tcPr>
          <w:p w14:paraId="3078AB8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single" w:sz="4" w:space="0" w:color="auto"/>
              <w:bottom w:val="nil"/>
              <w:right w:val="single" w:sz="4" w:space="0" w:color="auto"/>
            </w:tcBorders>
            <w:shd w:val="clear" w:color="000000" w:fill="C00000"/>
            <w:vAlign w:val="center"/>
            <w:hideMark/>
          </w:tcPr>
          <w:p w14:paraId="20591F5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83" w:type="dxa"/>
            <w:tcBorders>
              <w:top w:val="nil"/>
              <w:left w:val="nil"/>
              <w:bottom w:val="nil"/>
              <w:right w:val="single" w:sz="4" w:space="0" w:color="auto"/>
            </w:tcBorders>
            <w:shd w:val="clear" w:color="000000" w:fill="C00000"/>
            <w:noWrap/>
            <w:vAlign w:val="center"/>
            <w:hideMark/>
          </w:tcPr>
          <w:p w14:paraId="16149A3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07073F55" w14:textId="77777777" w:rsidTr="001B221B">
        <w:trPr>
          <w:trHeight w:val="225"/>
        </w:trPr>
        <w:tc>
          <w:tcPr>
            <w:tcW w:w="3010" w:type="dxa"/>
            <w:tcBorders>
              <w:top w:val="nil"/>
              <w:left w:val="single" w:sz="4" w:space="0" w:color="auto"/>
              <w:bottom w:val="nil"/>
              <w:right w:val="nil"/>
            </w:tcBorders>
            <w:shd w:val="clear" w:color="000000" w:fill="C00000"/>
            <w:vAlign w:val="center"/>
            <w:hideMark/>
          </w:tcPr>
          <w:p w14:paraId="7C0BF774"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nil"/>
              <w:right w:val="single" w:sz="4" w:space="0" w:color="auto"/>
            </w:tcBorders>
            <w:shd w:val="clear" w:color="000000" w:fill="C00000"/>
            <w:noWrap/>
            <w:vAlign w:val="center"/>
            <w:hideMark/>
          </w:tcPr>
          <w:p w14:paraId="7221151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66" w:type="dxa"/>
            <w:tcBorders>
              <w:top w:val="nil"/>
              <w:left w:val="nil"/>
              <w:bottom w:val="nil"/>
              <w:right w:val="single" w:sz="4" w:space="0" w:color="auto"/>
            </w:tcBorders>
            <w:shd w:val="clear" w:color="000000" w:fill="C00000"/>
            <w:noWrap/>
            <w:vAlign w:val="center"/>
            <w:hideMark/>
          </w:tcPr>
          <w:p w14:paraId="7A3358F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83" w:type="dxa"/>
            <w:tcBorders>
              <w:top w:val="nil"/>
              <w:left w:val="nil"/>
              <w:bottom w:val="nil"/>
              <w:right w:val="single" w:sz="4" w:space="0" w:color="auto"/>
            </w:tcBorders>
            <w:shd w:val="clear" w:color="000000" w:fill="C00000"/>
            <w:noWrap/>
            <w:vAlign w:val="center"/>
            <w:hideMark/>
          </w:tcPr>
          <w:p w14:paraId="1EE7EEF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250" w:type="dxa"/>
            <w:tcBorders>
              <w:top w:val="nil"/>
              <w:left w:val="nil"/>
              <w:bottom w:val="nil"/>
              <w:right w:val="single" w:sz="4" w:space="0" w:color="auto"/>
            </w:tcBorders>
            <w:shd w:val="clear" w:color="000000" w:fill="C00000"/>
            <w:noWrap/>
            <w:vAlign w:val="center"/>
            <w:hideMark/>
          </w:tcPr>
          <w:p w14:paraId="42C661D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283" w:type="dxa"/>
            <w:tcBorders>
              <w:top w:val="nil"/>
              <w:left w:val="nil"/>
              <w:bottom w:val="nil"/>
              <w:right w:val="single" w:sz="4" w:space="0" w:color="auto"/>
            </w:tcBorders>
            <w:shd w:val="clear" w:color="000000" w:fill="C00000"/>
            <w:noWrap/>
            <w:vAlign w:val="center"/>
            <w:hideMark/>
          </w:tcPr>
          <w:p w14:paraId="4FA4BA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c>
          <w:tcPr>
            <w:tcW w:w="1283" w:type="dxa"/>
            <w:tcBorders>
              <w:top w:val="nil"/>
              <w:left w:val="nil"/>
              <w:bottom w:val="nil"/>
              <w:right w:val="single" w:sz="4" w:space="0" w:color="auto"/>
            </w:tcBorders>
            <w:shd w:val="clear" w:color="000000" w:fill="C00000"/>
            <w:noWrap/>
            <w:vAlign w:val="center"/>
            <w:hideMark/>
          </w:tcPr>
          <w:p w14:paraId="7DA3913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2022</w:t>
            </w:r>
          </w:p>
        </w:tc>
      </w:tr>
      <w:tr w:rsidR="001B221B" w:rsidRPr="001B221B" w14:paraId="19CEBDCB" w14:textId="77777777" w:rsidTr="001B221B">
        <w:trPr>
          <w:trHeight w:val="225"/>
        </w:trPr>
        <w:tc>
          <w:tcPr>
            <w:tcW w:w="3010" w:type="dxa"/>
            <w:tcBorders>
              <w:top w:val="nil"/>
              <w:left w:val="single" w:sz="4" w:space="0" w:color="auto"/>
              <w:bottom w:val="single" w:sz="4" w:space="0" w:color="auto"/>
              <w:right w:val="nil"/>
            </w:tcBorders>
            <w:shd w:val="clear" w:color="000000" w:fill="C00000"/>
            <w:vAlign w:val="center"/>
            <w:hideMark/>
          </w:tcPr>
          <w:p w14:paraId="3C154AAA"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250" w:type="dxa"/>
            <w:tcBorders>
              <w:top w:val="nil"/>
              <w:left w:val="single" w:sz="4" w:space="0" w:color="auto"/>
              <w:bottom w:val="single" w:sz="4" w:space="0" w:color="auto"/>
              <w:right w:val="single" w:sz="4" w:space="0" w:color="auto"/>
            </w:tcBorders>
            <w:shd w:val="clear" w:color="000000" w:fill="C00000"/>
            <w:vAlign w:val="center"/>
            <w:hideMark/>
          </w:tcPr>
          <w:p w14:paraId="17DE2AB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66" w:type="dxa"/>
            <w:tcBorders>
              <w:top w:val="nil"/>
              <w:left w:val="nil"/>
              <w:bottom w:val="single" w:sz="4" w:space="0" w:color="auto"/>
              <w:right w:val="single" w:sz="4" w:space="0" w:color="auto"/>
            </w:tcBorders>
            <w:shd w:val="clear" w:color="000000" w:fill="C00000"/>
            <w:vAlign w:val="center"/>
            <w:hideMark/>
          </w:tcPr>
          <w:p w14:paraId="411A3302"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nil"/>
              <w:bottom w:val="single" w:sz="4" w:space="0" w:color="auto"/>
              <w:right w:val="single" w:sz="4" w:space="0" w:color="auto"/>
            </w:tcBorders>
            <w:shd w:val="clear" w:color="000000" w:fill="C00000"/>
            <w:vAlign w:val="center"/>
            <w:hideMark/>
          </w:tcPr>
          <w:p w14:paraId="25239CD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50" w:type="dxa"/>
            <w:tcBorders>
              <w:top w:val="nil"/>
              <w:left w:val="nil"/>
              <w:bottom w:val="single" w:sz="4" w:space="0" w:color="auto"/>
              <w:right w:val="nil"/>
            </w:tcBorders>
            <w:shd w:val="clear" w:color="000000" w:fill="C00000"/>
            <w:vAlign w:val="center"/>
            <w:hideMark/>
          </w:tcPr>
          <w:p w14:paraId="624562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single" w:sz="4" w:space="0" w:color="auto"/>
              <w:bottom w:val="single" w:sz="4" w:space="0" w:color="auto"/>
              <w:right w:val="single" w:sz="4" w:space="0" w:color="auto"/>
            </w:tcBorders>
            <w:shd w:val="clear" w:color="000000" w:fill="C00000"/>
            <w:vAlign w:val="center"/>
            <w:hideMark/>
          </w:tcPr>
          <w:p w14:paraId="1AD4A31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83" w:type="dxa"/>
            <w:tcBorders>
              <w:top w:val="nil"/>
              <w:left w:val="nil"/>
              <w:bottom w:val="single" w:sz="4" w:space="0" w:color="auto"/>
              <w:right w:val="single" w:sz="4" w:space="0" w:color="auto"/>
            </w:tcBorders>
            <w:shd w:val="clear" w:color="000000" w:fill="C00000"/>
            <w:vAlign w:val="center"/>
            <w:hideMark/>
          </w:tcPr>
          <w:p w14:paraId="6A820A3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291464C8"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B53D81C"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Defined Benefit Obligation</w:t>
            </w:r>
          </w:p>
        </w:tc>
        <w:tc>
          <w:tcPr>
            <w:tcW w:w="1250" w:type="dxa"/>
            <w:tcBorders>
              <w:top w:val="nil"/>
              <w:left w:val="single" w:sz="4" w:space="0" w:color="auto"/>
              <w:bottom w:val="nil"/>
              <w:right w:val="single" w:sz="4" w:space="0" w:color="auto"/>
            </w:tcBorders>
            <w:shd w:val="clear" w:color="000000" w:fill="FFFFFF"/>
            <w:vAlign w:val="center"/>
            <w:hideMark/>
          </w:tcPr>
          <w:p w14:paraId="4A9668F6"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9,010</w:t>
            </w:r>
          </w:p>
        </w:tc>
        <w:tc>
          <w:tcPr>
            <w:tcW w:w="1266" w:type="dxa"/>
            <w:tcBorders>
              <w:top w:val="nil"/>
              <w:left w:val="nil"/>
              <w:bottom w:val="nil"/>
              <w:right w:val="single" w:sz="4" w:space="0" w:color="auto"/>
            </w:tcBorders>
            <w:shd w:val="clear" w:color="000000" w:fill="FFFFFF"/>
            <w:vAlign w:val="center"/>
            <w:hideMark/>
          </w:tcPr>
          <w:p w14:paraId="0745877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287,340</w:t>
            </w:r>
          </w:p>
        </w:tc>
        <w:tc>
          <w:tcPr>
            <w:tcW w:w="1283" w:type="dxa"/>
            <w:tcBorders>
              <w:top w:val="nil"/>
              <w:left w:val="nil"/>
              <w:bottom w:val="nil"/>
              <w:right w:val="single" w:sz="4" w:space="0" w:color="auto"/>
            </w:tcBorders>
            <w:shd w:val="clear" w:color="000000" w:fill="FFCDCD"/>
            <w:noWrap/>
            <w:vAlign w:val="center"/>
            <w:hideMark/>
          </w:tcPr>
          <w:p w14:paraId="116A17B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296,350</w:t>
            </w:r>
          </w:p>
        </w:tc>
        <w:tc>
          <w:tcPr>
            <w:tcW w:w="1250" w:type="dxa"/>
            <w:tcBorders>
              <w:top w:val="nil"/>
              <w:left w:val="nil"/>
              <w:bottom w:val="nil"/>
              <w:right w:val="nil"/>
            </w:tcBorders>
            <w:shd w:val="clear" w:color="000000" w:fill="FFFFFF"/>
            <w:vAlign w:val="center"/>
            <w:hideMark/>
          </w:tcPr>
          <w:p w14:paraId="2E1C0E76"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13,547</w:t>
            </w:r>
          </w:p>
        </w:tc>
        <w:tc>
          <w:tcPr>
            <w:tcW w:w="1283" w:type="dxa"/>
            <w:tcBorders>
              <w:top w:val="nil"/>
              <w:left w:val="single" w:sz="4" w:space="0" w:color="auto"/>
              <w:bottom w:val="nil"/>
              <w:right w:val="single" w:sz="4" w:space="0" w:color="auto"/>
            </w:tcBorders>
            <w:shd w:val="clear" w:color="000000" w:fill="FFFFFF"/>
            <w:vAlign w:val="center"/>
            <w:hideMark/>
          </w:tcPr>
          <w:p w14:paraId="056395F2"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83" w:type="dxa"/>
            <w:tcBorders>
              <w:top w:val="nil"/>
              <w:left w:val="nil"/>
              <w:bottom w:val="nil"/>
              <w:right w:val="single" w:sz="4" w:space="0" w:color="auto"/>
            </w:tcBorders>
            <w:shd w:val="clear" w:color="000000" w:fill="FFCDCD"/>
            <w:noWrap/>
            <w:vAlign w:val="center"/>
            <w:hideMark/>
          </w:tcPr>
          <w:p w14:paraId="587C068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336,917</w:t>
            </w:r>
          </w:p>
        </w:tc>
      </w:tr>
      <w:tr w:rsidR="001B221B" w:rsidRPr="001B221B" w14:paraId="5625845B"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0E6B156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250" w:type="dxa"/>
            <w:tcBorders>
              <w:top w:val="nil"/>
              <w:left w:val="single" w:sz="4" w:space="0" w:color="auto"/>
              <w:bottom w:val="nil"/>
              <w:right w:val="single" w:sz="4" w:space="0" w:color="auto"/>
            </w:tcBorders>
            <w:shd w:val="clear" w:color="000000" w:fill="FFFFFF"/>
            <w:vAlign w:val="center"/>
            <w:hideMark/>
          </w:tcPr>
          <w:p w14:paraId="3D2145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266" w:type="dxa"/>
            <w:tcBorders>
              <w:top w:val="nil"/>
              <w:left w:val="nil"/>
              <w:bottom w:val="nil"/>
              <w:right w:val="single" w:sz="4" w:space="0" w:color="auto"/>
            </w:tcBorders>
            <w:shd w:val="clear" w:color="000000" w:fill="FFFFFF"/>
            <w:vAlign w:val="center"/>
            <w:hideMark/>
          </w:tcPr>
          <w:p w14:paraId="406C3A8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283" w:type="dxa"/>
            <w:tcBorders>
              <w:top w:val="nil"/>
              <w:left w:val="nil"/>
              <w:bottom w:val="nil"/>
              <w:right w:val="single" w:sz="4" w:space="0" w:color="auto"/>
            </w:tcBorders>
            <w:shd w:val="clear" w:color="000000" w:fill="FFCDCD"/>
            <w:noWrap/>
            <w:vAlign w:val="center"/>
            <w:hideMark/>
          </w:tcPr>
          <w:p w14:paraId="130DC5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250" w:type="dxa"/>
            <w:tcBorders>
              <w:top w:val="nil"/>
              <w:left w:val="nil"/>
              <w:bottom w:val="nil"/>
              <w:right w:val="nil"/>
            </w:tcBorders>
            <w:shd w:val="clear" w:color="000000" w:fill="FFFFFF"/>
            <w:vAlign w:val="center"/>
            <w:hideMark/>
          </w:tcPr>
          <w:p w14:paraId="126C05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283" w:type="dxa"/>
            <w:tcBorders>
              <w:top w:val="nil"/>
              <w:left w:val="single" w:sz="4" w:space="0" w:color="auto"/>
              <w:bottom w:val="nil"/>
              <w:right w:val="single" w:sz="4" w:space="0" w:color="auto"/>
            </w:tcBorders>
            <w:shd w:val="clear" w:color="000000" w:fill="FFFFFF"/>
            <w:vAlign w:val="center"/>
            <w:hideMark/>
          </w:tcPr>
          <w:p w14:paraId="551245E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283" w:type="dxa"/>
            <w:tcBorders>
              <w:top w:val="nil"/>
              <w:left w:val="nil"/>
              <w:bottom w:val="nil"/>
              <w:right w:val="single" w:sz="4" w:space="0" w:color="auto"/>
            </w:tcBorders>
            <w:shd w:val="clear" w:color="000000" w:fill="FFCDCD"/>
            <w:noWrap/>
            <w:vAlign w:val="center"/>
            <w:hideMark/>
          </w:tcPr>
          <w:p w14:paraId="3910D76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12D1FD5E"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7853786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w:t>
            </w:r>
          </w:p>
        </w:tc>
        <w:tc>
          <w:tcPr>
            <w:tcW w:w="1250" w:type="dxa"/>
            <w:tcBorders>
              <w:top w:val="nil"/>
              <w:left w:val="single" w:sz="4" w:space="0" w:color="auto"/>
              <w:bottom w:val="nil"/>
              <w:right w:val="single" w:sz="4" w:space="0" w:color="auto"/>
            </w:tcBorders>
            <w:shd w:val="clear" w:color="000000" w:fill="FFFFFF"/>
            <w:vAlign w:val="center"/>
            <w:hideMark/>
          </w:tcPr>
          <w:p w14:paraId="353E6C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66" w:type="dxa"/>
            <w:tcBorders>
              <w:top w:val="nil"/>
              <w:left w:val="nil"/>
              <w:bottom w:val="nil"/>
              <w:right w:val="single" w:sz="4" w:space="0" w:color="auto"/>
            </w:tcBorders>
            <w:shd w:val="clear" w:color="000000" w:fill="FFFFFF"/>
            <w:vAlign w:val="center"/>
            <w:hideMark/>
          </w:tcPr>
          <w:p w14:paraId="36CD5CA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7F69341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50" w:type="dxa"/>
            <w:tcBorders>
              <w:top w:val="nil"/>
              <w:left w:val="nil"/>
              <w:bottom w:val="nil"/>
              <w:right w:val="nil"/>
            </w:tcBorders>
            <w:shd w:val="clear" w:color="000000" w:fill="FFFFFF"/>
            <w:vAlign w:val="center"/>
            <w:hideMark/>
          </w:tcPr>
          <w:p w14:paraId="0200F92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single" w:sz="4" w:space="0" w:color="auto"/>
              <w:bottom w:val="nil"/>
              <w:right w:val="single" w:sz="4" w:space="0" w:color="auto"/>
            </w:tcBorders>
            <w:shd w:val="clear" w:color="000000" w:fill="FFFFFF"/>
            <w:vAlign w:val="center"/>
            <w:hideMark/>
          </w:tcPr>
          <w:p w14:paraId="7A63250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48918C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53562770"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1CF1C18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Cost</w:t>
            </w:r>
          </w:p>
        </w:tc>
        <w:tc>
          <w:tcPr>
            <w:tcW w:w="1250" w:type="dxa"/>
            <w:tcBorders>
              <w:top w:val="nil"/>
              <w:left w:val="single" w:sz="4" w:space="0" w:color="auto"/>
              <w:bottom w:val="nil"/>
              <w:right w:val="single" w:sz="4" w:space="0" w:color="auto"/>
            </w:tcBorders>
            <w:shd w:val="clear" w:color="000000" w:fill="FFFFFF"/>
            <w:vAlign w:val="center"/>
            <w:hideMark/>
          </w:tcPr>
          <w:p w14:paraId="019A7C1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266" w:type="dxa"/>
            <w:tcBorders>
              <w:top w:val="nil"/>
              <w:left w:val="nil"/>
              <w:bottom w:val="nil"/>
              <w:right w:val="single" w:sz="4" w:space="0" w:color="auto"/>
            </w:tcBorders>
            <w:shd w:val="clear" w:color="000000" w:fill="FFFFFF"/>
            <w:vAlign w:val="center"/>
            <w:hideMark/>
          </w:tcPr>
          <w:p w14:paraId="1E963CB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283" w:type="dxa"/>
            <w:tcBorders>
              <w:top w:val="nil"/>
              <w:left w:val="nil"/>
              <w:bottom w:val="nil"/>
              <w:right w:val="single" w:sz="4" w:space="0" w:color="auto"/>
            </w:tcBorders>
            <w:shd w:val="clear" w:color="000000" w:fill="FFCDCD"/>
            <w:noWrap/>
            <w:vAlign w:val="center"/>
            <w:hideMark/>
          </w:tcPr>
          <w:p w14:paraId="04A5111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6,667</w:t>
            </w:r>
          </w:p>
        </w:tc>
        <w:tc>
          <w:tcPr>
            <w:tcW w:w="1250" w:type="dxa"/>
            <w:tcBorders>
              <w:top w:val="nil"/>
              <w:left w:val="nil"/>
              <w:bottom w:val="nil"/>
              <w:right w:val="nil"/>
            </w:tcBorders>
            <w:shd w:val="clear" w:color="000000" w:fill="FFFFFF"/>
            <w:vAlign w:val="center"/>
            <w:hideMark/>
          </w:tcPr>
          <w:p w14:paraId="4B8CF9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290</w:t>
            </w:r>
          </w:p>
        </w:tc>
        <w:tc>
          <w:tcPr>
            <w:tcW w:w="1283" w:type="dxa"/>
            <w:tcBorders>
              <w:top w:val="nil"/>
              <w:left w:val="single" w:sz="4" w:space="0" w:color="auto"/>
              <w:bottom w:val="nil"/>
              <w:right w:val="single" w:sz="4" w:space="0" w:color="auto"/>
            </w:tcBorders>
            <w:shd w:val="clear" w:color="000000" w:fill="FFFFFF"/>
            <w:vAlign w:val="center"/>
            <w:hideMark/>
          </w:tcPr>
          <w:p w14:paraId="7A4311A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283" w:type="dxa"/>
            <w:tcBorders>
              <w:top w:val="nil"/>
              <w:left w:val="nil"/>
              <w:bottom w:val="nil"/>
              <w:right w:val="single" w:sz="4" w:space="0" w:color="auto"/>
            </w:tcBorders>
            <w:shd w:val="clear" w:color="000000" w:fill="FFCDCD"/>
            <w:noWrap/>
            <w:vAlign w:val="center"/>
            <w:hideMark/>
          </w:tcPr>
          <w:p w14:paraId="7A0956D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6,760</w:t>
            </w:r>
          </w:p>
        </w:tc>
      </w:tr>
      <w:tr w:rsidR="001B221B" w:rsidRPr="001B221B" w14:paraId="709E629D"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B33D4B9"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 by Scheme Participants</w:t>
            </w:r>
          </w:p>
        </w:tc>
        <w:tc>
          <w:tcPr>
            <w:tcW w:w="1250" w:type="dxa"/>
            <w:tcBorders>
              <w:top w:val="nil"/>
              <w:left w:val="single" w:sz="4" w:space="0" w:color="auto"/>
              <w:bottom w:val="nil"/>
              <w:right w:val="single" w:sz="4" w:space="0" w:color="auto"/>
            </w:tcBorders>
            <w:shd w:val="clear" w:color="000000" w:fill="FFFFFF"/>
            <w:vAlign w:val="center"/>
            <w:hideMark/>
          </w:tcPr>
          <w:p w14:paraId="7E74794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156</w:t>
            </w:r>
          </w:p>
        </w:tc>
        <w:tc>
          <w:tcPr>
            <w:tcW w:w="1266" w:type="dxa"/>
            <w:tcBorders>
              <w:top w:val="nil"/>
              <w:left w:val="nil"/>
              <w:bottom w:val="nil"/>
              <w:right w:val="single" w:sz="4" w:space="0" w:color="auto"/>
            </w:tcBorders>
            <w:shd w:val="clear" w:color="000000" w:fill="FFFFFF"/>
            <w:vAlign w:val="center"/>
            <w:hideMark/>
          </w:tcPr>
          <w:p w14:paraId="555E4C5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1,250</w:t>
            </w:r>
          </w:p>
        </w:tc>
        <w:tc>
          <w:tcPr>
            <w:tcW w:w="1283" w:type="dxa"/>
            <w:tcBorders>
              <w:top w:val="nil"/>
              <w:left w:val="nil"/>
              <w:bottom w:val="nil"/>
              <w:right w:val="single" w:sz="4" w:space="0" w:color="auto"/>
            </w:tcBorders>
            <w:shd w:val="clear" w:color="000000" w:fill="FFCDCD"/>
            <w:noWrap/>
            <w:vAlign w:val="center"/>
            <w:hideMark/>
          </w:tcPr>
          <w:p w14:paraId="1DA4CA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1,406</w:t>
            </w:r>
          </w:p>
        </w:tc>
        <w:tc>
          <w:tcPr>
            <w:tcW w:w="1250" w:type="dxa"/>
            <w:tcBorders>
              <w:top w:val="nil"/>
              <w:left w:val="nil"/>
              <w:bottom w:val="nil"/>
              <w:right w:val="nil"/>
            </w:tcBorders>
            <w:shd w:val="clear" w:color="000000" w:fill="FFFFFF"/>
            <w:vAlign w:val="center"/>
            <w:hideMark/>
          </w:tcPr>
          <w:p w14:paraId="56040E3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w:t>
            </w:r>
          </w:p>
        </w:tc>
        <w:tc>
          <w:tcPr>
            <w:tcW w:w="1283" w:type="dxa"/>
            <w:tcBorders>
              <w:top w:val="nil"/>
              <w:left w:val="single" w:sz="4" w:space="0" w:color="auto"/>
              <w:bottom w:val="nil"/>
              <w:right w:val="single" w:sz="4" w:space="0" w:color="auto"/>
            </w:tcBorders>
            <w:shd w:val="clear" w:color="000000" w:fill="FFFFFF"/>
            <w:vAlign w:val="center"/>
            <w:hideMark/>
          </w:tcPr>
          <w:p w14:paraId="74A1DF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1,270</w:t>
            </w:r>
          </w:p>
        </w:tc>
        <w:tc>
          <w:tcPr>
            <w:tcW w:w="1283" w:type="dxa"/>
            <w:tcBorders>
              <w:top w:val="nil"/>
              <w:left w:val="nil"/>
              <w:bottom w:val="nil"/>
              <w:right w:val="single" w:sz="4" w:space="0" w:color="auto"/>
            </w:tcBorders>
            <w:shd w:val="clear" w:color="000000" w:fill="FFCDCD"/>
            <w:noWrap/>
            <w:vAlign w:val="center"/>
            <w:hideMark/>
          </w:tcPr>
          <w:p w14:paraId="0117297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1,420</w:t>
            </w:r>
          </w:p>
        </w:tc>
      </w:tr>
      <w:tr w:rsidR="001B221B" w:rsidRPr="001B221B" w14:paraId="71F2391C"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073A1D92"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Actuarial Gains and Losses:</w:t>
            </w:r>
          </w:p>
        </w:tc>
        <w:tc>
          <w:tcPr>
            <w:tcW w:w="1250" w:type="dxa"/>
            <w:tcBorders>
              <w:top w:val="nil"/>
              <w:left w:val="single" w:sz="4" w:space="0" w:color="auto"/>
              <w:bottom w:val="nil"/>
              <w:right w:val="single" w:sz="4" w:space="0" w:color="auto"/>
            </w:tcBorders>
            <w:shd w:val="clear" w:color="000000" w:fill="FFFFFF"/>
            <w:vAlign w:val="center"/>
            <w:hideMark/>
          </w:tcPr>
          <w:p w14:paraId="5B8D24B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66" w:type="dxa"/>
            <w:tcBorders>
              <w:top w:val="nil"/>
              <w:left w:val="nil"/>
              <w:bottom w:val="nil"/>
              <w:right w:val="single" w:sz="4" w:space="0" w:color="auto"/>
            </w:tcBorders>
            <w:shd w:val="clear" w:color="000000" w:fill="FFFFFF"/>
            <w:vAlign w:val="center"/>
            <w:hideMark/>
          </w:tcPr>
          <w:p w14:paraId="50C6163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5A4EE30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50" w:type="dxa"/>
            <w:tcBorders>
              <w:top w:val="nil"/>
              <w:left w:val="nil"/>
              <w:bottom w:val="nil"/>
              <w:right w:val="nil"/>
            </w:tcBorders>
            <w:shd w:val="clear" w:color="000000" w:fill="FFFFFF"/>
            <w:vAlign w:val="center"/>
            <w:hideMark/>
          </w:tcPr>
          <w:p w14:paraId="1F6802A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single" w:sz="4" w:space="0" w:color="auto"/>
              <w:bottom w:val="nil"/>
              <w:right w:val="single" w:sz="4" w:space="0" w:color="auto"/>
            </w:tcBorders>
            <w:shd w:val="clear" w:color="000000" w:fill="FFFFFF"/>
            <w:vAlign w:val="center"/>
            <w:hideMark/>
          </w:tcPr>
          <w:p w14:paraId="743A46E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283" w:type="dxa"/>
            <w:tcBorders>
              <w:top w:val="nil"/>
              <w:left w:val="nil"/>
              <w:bottom w:val="nil"/>
              <w:right w:val="single" w:sz="4" w:space="0" w:color="auto"/>
            </w:tcBorders>
            <w:shd w:val="clear" w:color="000000" w:fill="FFCDCD"/>
            <w:noWrap/>
            <w:vAlign w:val="center"/>
            <w:hideMark/>
          </w:tcPr>
          <w:p w14:paraId="7ABE4F3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E38F2C7"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7485EDA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Arising from changes in demographic assumptions</w:t>
            </w:r>
          </w:p>
        </w:tc>
        <w:tc>
          <w:tcPr>
            <w:tcW w:w="1250" w:type="dxa"/>
            <w:tcBorders>
              <w:top w:val="nil"/>
              <w:left w:val="single" w:sz="4" w:space="0" w:color="auto"/>
              <w:bottom w:val="nil"/>
              <w:right w:val="single" w:sz="4" w:space="0" w:color="auto"/>
            </w:tcBorders>
            <w:shd w:val="clear" w:color="000000" w:fill="FFFFFF"/>
            <w:vAlign w:val="center"/>
            <w:hideMark/>
          </w:tcPr>
          <w:p w14:paraId="50FB94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266" w:type="dxa"/>
            <w:tcBorders>
              <w:top w:val="nil"/>
              <w:left w:val="nil"/>
              <w:bottom w:val="nil"/>
              <w:right w:val="single" w:sz="4" w:space="0" w:color="auto"/>
            </w:tcBorders>
            <w:shd w:val="clear" w:color="000000" w:fill="FFFFFF"/>
            <w:vAlign w:val="center"/>
            <w:hideMark/>
          </w:tcPr>
          <w:p w14:paraId="5E86B60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71015B4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161</w:t>
            </w:r>
          </w:p>
        </w:tc>
        <w:tc>
          <w:tcPr>
            <w:tcW w:w="1250" w:type="dxa"/>
            <w:tcBorders>
              <w:top w:val="nil"/>
              <w:left w:val="nil"/>
              <w:bottom w:val="nil"/>
              <w:right w:val="nil"/>
            </w:tcBorders>
            <w:shd w:val="clear" w:color="000000" w:fill="FFFFFF"/>
            <w:vAlign w:val="center"/>
            <w:hideMark/>
          </w:tcPr>
          <w:p w14:paraId="5C17392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c>
          <w:tcPr>
            <w:tcW w:w="1283" w:type="dxa"/>
            <w:tcBorders>
              <w:top w:val="nil"/>
              <w:left w:val="single" w:sz="4" w:space="0" w:color="auto"/>
              <w:bottom w:val="nil"/>
              <w:right w:val="single" w:sz="4" w:space="0" w:color="auto"/>
            </w:tcBorders>
            <w:shd w:val="clear" w:color="000000" w:fill="FFFFFF"/>
            <w:vAlign w:val="center"/>
            <w:hideMark/>
          </w:tcPr>
          <w:p w14:paraId="01F8C4A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3F9DA7B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w:t>
            </w:r>
          </w:p>
        </w:tc>
      </w:tr>
      <w:tr w:rsidR="001B221B" w:rsidRPr="001B221B" w14:paraId="790169B9"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09C6831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Arising from changes in financial assumptions</w:t>
            </w:r>
          </w:p>
        </w:tc>
        <w:tc>
          <w:tcPr>
            <w:tcW w:w="1250" w:type="dxa"/>
            <w:tcBorders>
              <w:top w:val="nil"/>
              <w:left w:val="single" w:sz="4" w:space="0" w:color="auto"/>
              <w:bottom w:val="nil"/>
              <w:right w:val="single" w:sz="4" w:space="0" w:color="auto"/>
            </w:tcBorders>
            <w:shd w:val="clear" w:color="000000" w:fill="FFFFFF"/>
            <w:vAlign w:val="center"/>
            <w:hideMark/>
          </w:tcPr>
          <w:p w14:paraId="1FA048E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3,331</w:t>
            </w:r>
          </w:p>
        </w:tc>
        <w:tc>
          <w:tcPr>
            <w:tcW w:w="1266" w:type="dxa"/>
            <w:tcBorders>
              <w:top w:val="nil"/>
              <w:left w:val="nil"/>
              <w:bottom w:val="nil"/>
              <w:right w:val="single" w:sz="4" w:space="0" w:color="auto"/>
            </w:tcBorders>
            <w:shd w:val="clear" w:color="000000" w:fill="FFFFFF"/>
            <w:vAlign w:val="center"/>
            <w:hideMark/>
          </w:tcPr>
          <w:p w14:paraId="6318775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283" w:type="dxa"/>
            <w:tcBorders>
              <w:top w:val="nil"/>
              <w:left w:val="nil"/>
              <w:bottom w:val="nil"/>
              <w:right w:val="single" w:sz="4" w:space="0" w:color="auto"/>
            </w:tcBorders>
            <w:shd w:val="clear" w:color="000000" w:fill="FFCDCD"/>
            <w:noWrap/>
            <w:vAlign w:val="center"/>
            <w:hideMark/>
          </w:tcPr>
          <w:p w14:paraId="3CA726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33,441</w:t>
            </w:r>
          </w:p>
        </w:tc>
        <w:tc>
          <w:tcPr>
            <w:tcW w:w="1250" w:type="dxa"/>
            <w:tcBorders>
              <w:top w:val="nil"/>
              <w:left w:val="nil"/>
              <w:bottom w:val="nil"/>
              <w:right w:val="nil"/>
            </w:tcBorders>
            <w:shd w:val="clear" w:color="000000" w:fill="FFFFFF"/>
            <w:vAlign w:val="center"/>
            <w:hideMark/>
          </w:tcPr>
          <w:p w14:paraId="7386DE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(1,182)</w:t>
            </w:r>
          </w:p>
        </w:tc>
        <w:tc>
          <w:tcPr>
            <w:tcW w:w="1283" w:type="dxa"/>
            <w:tcBorders>
              <w:top w:val="nil"/>
              <w:left w:val="single" w:sz="4" w:space="0" w:color="auto"/>
              <w:bottom w:val="nil"/>
              <w:right w:val="single" w:sz="4" w:space="0" w:color="auto"/>
            </w:tcBorders>
            <w:shd w:val="clear" w:color="000000" w:fill="FFFFFF"/>
            <w:vAlign w:val="center"/>
            <w:hideMark/>
          </w:tcPr>
          <w:p w14:paraId="181B883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283" w:type="dxa"/>
            <w:tcBorders>
              <w:top w:val="nil"/>
              <w:left w:val="nil"/>
              <w:bottom w:val="nil"/>
              <w:right w:val="single" w:sz="4" w:space="0" w:color="auto"/>
            </w:tcBorders>
            <w:shd w:val="clear" w:color="000000" w:fill="FFCDCD"/>
            <w:noWrap/>
            <w:vAlign w:val="center"/>
            <w:hideMark/>
          </w:tcPr>
          <w:p w14:paraId="7346AA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(2,302)</w:t>
            </w:r>
          </w:p>
        </w:tc>
      </w:tr>
      <w:tr w:rsidR="001B221B" w:rsidRPr="001B221B" w14:paraId="764AAE3F"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4641DF4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assets</w:t>
            </w:r>
          </w:p>
        </w:tc>
        <w:tc>
          <w:tcPr>
            <w:tcW w:w="1250" w:type="dxa"/>
            <w:tcBorders>
              <w:top w:val="nil"/>
              <w:left w:val="single" w:sz="4" w:space="0" w:color="auto"/>
              <w:bottom w:val="nil"/>
              <w:right w:val="single" w:sz="4" w:space="0" w:color="auto"/>
            </w:tcBorders>
            <w:shd w:val="clear" w:color="000000" w:fill="FFFFFF"/>
            <w:vAlign w:val="center"/>
            <w:hideMark/>
          </w:tcPr>
          <w:p w14:paraId="6820B2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66" w:type="dxa"/>
            <w:tcBorders>
              <w:top w:val="nil"/>
              <w:left w:val="nil"/>
              <w:bottom w:val="nil"/>
              <w:right w:val="single" w:sz="4" w:space="0" w:color="auto"/>
            </w:tcBorders>
            <w:shd w:val="clear" w:color="000000" w:fill="FFFFFF"/>
            <w:vAlign w:val="center"/>
            <w:hideMark/>
          </w:tcPr>
          <w:p w14:paraId="496688E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7D9DC7F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50" w:type="dxa"/>
            <w:tcBorders>
              <w:top w:val="nil"/>
              <w:left w:val="nil"/>
              <w:bottom w:val="nil"/>
              <w:right w:val="nil"/>
            </w:tcBorders>
            <w:shd w:val="clear" w:color="000000" w:fill="FFFFFF"/>
            <w:vAlign w:val="center"/>
            <w:hideMark/>
          </w:tcPr>
          <w:p w14:paraId="290D8A0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single" w:sz="4" w:space="0" w:color="auto"/>
              <w:bottom w:val="nil"/>
              <w:right w:val="single" w:sz="4" w:space="0" w:color="auto"/>
            </w:tcBorders>
            <w:shd w:val="clear" w:color="000000" w:fill="FFFFFF"/>
            <w:vAlign w:val="center"/>
            <w:hideMark/>
          </w:tcPr>
          <w:p w14:paraId="0775F27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52E3554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6965C829"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2A0BAEF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Other</w:t>
            </w:r>
          </w:p>
        </w:tc>
        <w:tc>
          <w:tcPr>
            <w:tcW w:w="1250" w:type="dxa"/>
            <w:tcBorders>
              <w:top w:val="nil"/>
              <w:left w:val="single" w:sz="4" w:space="0" w:color="auto"/>
              <w:bottom w:val="nil"/>
              <w:right w:val="single" w:sz="4" w:space="0" w:color="auto"/>
            </w:tcBorders>
            <w:shd w:val="clear" w:color="000000" w:fill="FFFFFF"/>
            <w:vAlign w:val="center"/>
            <w:hideMark/>
          </w:tcPr>
          <w:p w14:paraId="1D43C17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w:t>
            </w:r>
          </w:p>
        </w:tc>
        <w:tc>
          <w:tcPr>
            <w:tcW w:w="1266" w:type="dxa"/>
            <w:tcBorders>
              <w:top w:val="nil"/>
              <w:left w:val="nil"/>
              <w:bottom w:val="nil"/>
              <w:right w:val="single" w:sz="4" w:space="0" w:color="auto"/>
            </w:tcBorders>
            <w:shd w:val="clear" w:color="000000" w:fill="FFFFFF"/>
            <w:vAlign w:val="center"/>
            <w:hideMark/>
          </w:tcPr>
          <w:p w14:paraId="4B6127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69335C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(63)</w:t>
            </w:r>
          </w:p>
        </w:tc>
        <w:tc>
          <w:tcPr>
            <w:tcW w:w="1250" w:type="dxa"/>
            <w:tcBorders>
              <w:top w:val="nil"/>
              <w:left w:val="nil"/>
              <w:bottom w:val="nil"/>
              <w:right w:val="nil"/>
            </w:tcBorders>
            <w:shd w:val="clear" w:color="000000" w:fill="FFFFFF"/>
            <w:vAlign w:val="center"/>
            <w:hideMark/>
          </w:tcPr>
          <w:p w14:paraId="726A4F3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c>
          <w:tcPr>
            <w:tcW w:w="1283" w:type="dxa"/>
            <w:tcBorders>
              <w:top w:val="nil"/>
              <w:left w:val="single" w:sz="4" w:space="0" w:color="auto"/>
              <w:bottom w:val="nil"/>
              <w:right w:val="single" w:sz="4" w:space="0" w:color="auto"/>
            </w:tcBorders>
            <w:shd w:val="clear" w:color="000000" w:fill="FFFFFF"/>
            <w:vAlign w:val="center"/>
            <w:hideMark/>
          </w:tcPr>
          <w:p w14:paraId="736DFA7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5D2ED9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r>
      <w:tr w:rsidR="001B221B" w:rsidRPr="001B221B" w14:paraId="7B14A45D" w14:textId="77777777" w:rsidTr="001B221B">
        <w:trPr>
          <w:trHeight w:val="451"/>
        </w:trPr>
        <w:tc>
          <w:tcPr>
            <w:tcW w:w="3010" w:type="dxa"/>
            <w:tcBorders>
              <w:top w:val="nil"/>
              <w:left w:val="single" w:sz="4" w:space="0" w:color="auto"/>
              <w:bottom w:val="nil"/>
              <w:right w:val="nil"/>
            </w:tcBorders>
            <w:shd w:val="clear" w:color="000000" w:fill="FFFFFF"/>
            <w:vAlign w:val="center"/>
            <w:hideMark/>
          </w:tcPr>
          <w:p w14:paraId="00BCCC6D"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Curtailments, Settlements and past Service Costs</w:t>
            </w:r>
          </w:p>
        </w:tc>
        <w:tc>
          <w:tcPr>
            <w:tcW w:w="1250" w:type="dxa"/>
            <w:tcBorders>
              <w:top w:val="nil"/>
              <w:left w:val="single" w:sz="4" w:space="0" w:color="auto"/>
              <w:bottom w:val="nil"/>
              <w:right w:val="single" w:sz="4" w:space="0" w:color="auto"/>
            </w:tcBorders>
            <w:shd w:val="clear" w:color="000000" w:fill="FFFFFF"/>
            <w:vAlign w:val="center"/>
            <w:hideMark/>
          </w:tcPr>
          <w:p w14:paraId="65FB2AE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66" w:type="dxa"/>
            <w:tcBorders>
              <w:top w:val="nil"/>
              <w:left w:val="nil"/>
              <w:bottom w:val="nil"/>
              <w:right w:val="single" w:sz="4" w:space="0" w:color="auto"/>
            </w:tcBorders>
            <w:shd w:val="clear" w:color="000000" w:fill="FFFFFF"/>
            <w:vAlign w:val="center"/>
            <w:hideMark/>
          </w:tcPr>
          <w:p w14:paraId="6FAA517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83" w:type="dxa"/>
            <w:tcBorders>
              <w:top w:val="nil"/>
              <w:left w:val="nil"/>
              <w:bottom w:val="nil"/>
              <w:right w:val="single" w:sz="4" w:space="0" w:color="auto"/>
            </w:tcBorders>
            <w:shd w:val="clear" w:color="000000" w:fill="FFCDCD"/>
            <w:noWrap/>
            <w:vAlign w:val="center"/>
            <w:hideMark/>
          </w:tcPr>
          <w:p w14:paraId="7404FE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250" w:type="dxa"/>
            <w:tcBorders>
              <w:top w:val="nil"/>
              <w:left w:val="nil"/>
              <w:bottom w:val="nil"/>
              <w:right w:val="nil"/>
            </w:tcBorders>
            <w:shd w:val="clear" w:color="000000" w:fill="FFFFFF"/>
            <w:vAlign w:val="center"/>
            <w:hideMark/>
          </w:tcPr>
          <w:p w14:paraId="7EAD08F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single" w:sz="4" w:space="0" w:color="auto"/>
              <w:bottom w:val="nil"/>
              <w:right w:val="single" w:sz="4" w:space="0" w:color="auto"/>
            </w:tcBorders>
            <w:shd w:val="clear" w:color="000000" w:fill="FFFFFF"/>
            <w:vAlign w:val="center"/>
            <w:hideMark/>
          </w:tcPr>
          <w:p w14:paraId="4F3F20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83" w:type="dxa"/>
            <w:tcBorders>
              <w:top w:val="nil"/>
              <w:left w:val="nil"/>
              <w:bottom w:val="nil"/>
              <w:right w:val="single" w:sz="4" w:space="0" w:color="auto"/>
            </w:tcBorders>
            <w:shd w:val="clear" w:color="000000" w:fill="FFCDCD"/>
            <w:noWrap/>
            <w:vAlign w:val="center"/>
            <w:hideMark/>
          </w:tcPr>
          <w:p w14:paraId="43C86D4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776886C5" w14:textId="77777777" w:rsidTr="001B221B">
        <w:trPr>
          <w:trHeight w:val="225"/>
        </w:trPr>
        <w:tc>
          <w:tcPr>
            <w:tcW w:w="3010" w:type="dxa"/>
            <w:tcBorders>
              <w:top w:val="nil"/>
              <w:left w:val="single" w:sz="4" w:space="0" w:color="auto"/>
              <w:bottom w:val="nil"/>
              <w:right w:val="nil"/>
            </w:tcBorders>
            <w:shd w:val="clear" w:color="000000" w:fill="FFFFFF"/>
            <w:vAlign w:val="center"/>
            <w:hideMark/>
          </w:tcPr>
          <w:p w14:paraId="61F27BB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250" w:type="dxa"/>
            <w:tcBorders>
              <w:top w:val="nil"/>
              <w:left w:val="single" w:sz="4" w:space="0" w:color="auto"/>
              <w:bottom w:val="nil"/>
              <w:right w:val="single" w:sz="4" w:space="0" w:color="auto"/>
            </w:tcBorders>
            <w:shd w:val="clear" w:color="000000" w:fill="FFFFFF"/>
            <w:vAlign w:val="center"/>
            <w:hideMark/>
          </w:tcPr>
          <w:p w14:paraId="2E8220E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(71)</w:t>
            </w:r>
          </w:p>
        </w:tc>
        <w:tc>
          <w:tcPr>
            <w:tcW w:w="1266" w:type="dxa"/>
            <w:tcBorders>
              <w:top w:val="nil"/>
              <w:left w:val="nil"/>
              <w:bottom w:val="nil"/>
              <w:right w:val="single" w:sz="4" w:space="0" w:color="auto"/>
            </w:tcBorders>
            <w:shd w:val="clear" w:color="000000" w:fill="FFFFFF"/>
            <w:vAlign w:val="center"/>
            <w:hideMark/>
          </w:tcPr>
          <w:p w14:paraId="513457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283" w:type="dxa"/>
            <w:tcBorders>
              <w:top w:val="nil"/>
              <w:left w:val="nil"/>
              <w:bottom w:val="nil"/>
              <w:right w:val="single" w:sz="4" w:space="0" w:color="auto"/>
            </w:tcBorders>
            <w:shd w:val="clear" w:color="000000" w:fill="FFCDCD"/>
            <w:noWrap/>
            <w:vAlign w:val="center"/>
            <w:hideMark/>
          </w:tcPr>
          <w:p w14:paraId="600A6B2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(8,891)</w:t>
            </w:r>
          </w:p>
        </w:tc>
        <w:tc>
          <w:tcPr>
            <w:tcW w:w="1250" w:type="dxa"/>
            <w:tcBorders>
              <w:top w:val="nil"/>
              <w:left w:val="nil"/>
              <w:bottom w:val="nil"/>
              <w:right w:val="nil"/>
            </w:tcBorders>
            <w:shd w:val="clear" w:color="000000" w:fill="FFFFFF"/>
            <w:vAlign w:val="center"/>
            <w:hideMark/>
          </w:tcPr>
          <w:p w14:paraId="0ABCA0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w:t>
            </w:r>
          </w:p>
        </w:tc>
        <w:tc>
          <w:tcPr>
            <w:tcW w:w="1283" w:type="dxa"/>
            <w:tcBorders>
              <w:top w:val="nil"/>
              <w:left w:val="single" w:sz="4" w:space="0" w:color="auto"/>
              <w:bottom w:val="nil"/>
              <w:right w:val="single" w:sz="4" w:space="0" w:color="auto"/>
            </w:tcBorders>
            <w:shd w:val="clear" w:color="000000" w:fill="FFFFFF"/>
            <w:vAlign w:val="center"/>
            <w:hideMark/>
          </w:tcPr>
          <w:p w14:paraId="017409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c>
          <w:tcPr>
            <w:tcW w:w="1283" w:type="dxa"/>
            <w:tcBorders>
              <w:top w:val="nil"/>
              <w:left w:val="nil"/>
              <w:bottom w:val="nil"/>
              <w:right w:val="single" w:sz="4" w:space="0" w:color="auto"/>
            </w:tcBorders>
            <w:shd w:val="clear" w:color="000000" w:fill="FFCDCD"/>
            <w:noWrap/>
            <w:vAlign w:val="center"/>
            <w:hideMark/>
          </w:tcPr>
          <w:p w14:paraId="5BAC2D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(7,312)</w:t>
            </w:r>
          </w:p>
        </w:tc>
      </w:tr>
      <w:tr w:rsidR="001B221B" w:rsidRPr="001B221B" w14:paraId="50D7B757" w14:textId="77777777" w:rsidTr="001B221B">
        <w:trPr>
          <w:trHeight w:val="225"/>
        </w:trPr>
        <w:tc>
          <w:tcPr>
            <w:tcW w:w="3010" w:type="dxa"/>
            <w:tcBorders>
              <w:top w:val="single" w:sz="4" w:space="0" w:color="auto"/>
              <w:left w:val="single" w:sz="4" w:space="0" w:color="auto"/>
              <w:bottom w:val="single" w:sz="4" w:space="0" w:color="auto"/>
              <w:right w:val="nil"/>
            </w:tcBorders>
            <w:shd w:val="clear" w:color="000000" w:fill="FFFFFF"/>
            <w:vAlign w:val="center"/>
            <w:hideMark/>
          </w:tcPr>
          <w:p w14:paraId="0007392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Closing Defined Benefit Obligation</w:t>
            </w:r>
          </w:p>
        </w:tc>
        <w:tc>
          <w:tcPr>
            <w:tcW w:w="12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8D501"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13,547</w:t>
            </w:r>
          </w:p>
        </w:tc>
        <w:tc>
          <w:tcPr>
            <w:tcW w:w="1266" w:type="dxa"/>
            <w:tcBorders>
              <w:top w:val="single" w:sz="4" w:space="0" w:color="auto"/>
              <w:left w:val="nil"/>
              <w:bottom w:val="single" w:sz="4" w:space="0" w:color="auto"/>
              <w:right w:val="single" w:sz="4" w:space="0" w:color="auto"/>
            </w:tcBorders>
            <w:shd w:val="clear" w:color="000000" w:fill="FFFFFF"/>
            <w:vAlign w:val="center"/>
            <w:hideMark/>
          </w:tcPr>
          <w:p w14:paraId="29804B8D"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83" w:type="dxa"/>
            <w:tcBorders>
              <w:top w:val="single" w:sz="4" w:space="0" w:color="auto"/>
              <w:left w:val="nil"/>
              <w:bottom w:val="single" w:sz="4" w:space="0" w:color="auto"/>
              <w:right w:val="single" w:sz="4" w:space="0" w:color="auto"/>
            </w:tcBorders>
            <w:shd w:val="clear" w:color="000000" w:fill="FFCDCD"/>
            <w:noWrap/>
            <w:vAlign w:val="center"/>
            <w:hideMark/>
          </w:tcPr>
          <w:p w14:paraId="39DF2C93"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336,917</w:t>
            </w:r>
          </w:p>
        </w:tc>
        <w:tc>
          <w:tcPr>
            <w:tcW w:w="1250" w:type="dxa"/>
            <w:tcBorders>
              <w:top w:val="single" w:sz="4" w:space="0" w:color="auto"/>
              <w:left w:val="nil"/>
              <w:bottom w:val="single" w:sz="4" w:space="0" w:color="auto"/>
              <w:right w:val="nil"/>
            </w:tcBorders>
            <w:shd w:val="clear" w:color="000000" w:fill="FFFFFF"/>
            <w:vAlign w:val="center"/>
            <w:hideMark/>
          </w:tcPr>
          <w:p w14:paraId="41BDE0C3"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13,811</w:t>
            </w:r>
          </w:p>
        </w:tc>
        <w:tc>
          <w:tcPr>
            <w:tcW w:w="1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47F1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329,740</w:t>
            </w:r>
          </w:p>
        </w:tc>
        <w:tc>
          <w:tcPr>
            <w:tcW w:w="1283" w:type="dxa"/>
            <w:tcBorders>
              <w:top w:val="single" w:sz="4" w:space="0" w:color="auto"/>
              <w:left w:val="nil"/>
              <w:bottom w:val="single" w:sz="4" w:space="0" w:color="auto"/>
              <w:right w:val="single" w:sz="4" w:space="0" w:color="auto"/>
            </w:tcBorders>
            <w:shd w:val="clear" w:color="000000" w:fill="FFCDCD"/>
            <w:noWrap/>
            <w:vAlign w:val="center"/>
            <w:hideMark/>
          </w:tcPr>
          <w:p w14:paraId="266D796B"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343,551</w:t>
            </w:r>
          </w:p>
        </w:tc>
      </w:tr>
    </w:tbl>
    <w:p w14:paraId="26DDC03E" w14:textId="0E3C2344" w:rsidR="004636B4" w:rsidRDefault="004636B4" w:rsidP="0079406E">
      <w:pPr>
        <w:autoSpaceDE w:val="0"/>
        <w:autoSpaceDN w:val="0"/>
        <w:adjustRightInd w:val="0"/>
        <w:spacing w:after="0" w:line="240" w:lineRule="auto"/>
        <w:rPr>
          <w:rFonts w:cs="Arial"/>
        </w:rPr>
      </w:pPr>
    </w:p>
    <w:p w14:paraId="40295F5C" w14:textId="0B4A82DB" w:rsidR="001B221B" w:rsidRDefault="004636B4" w:rsidP="004636B4">
      <w:pPr>
        <w:rPr>
          <w:rFonts w:cs="Arial"/>
        </w:rPr>
      </w:pPr>
      <w:r>
        <w:rPr>
          <w:rFonts w:cs="Arial"/>
        </w:rPr>
        <w:br w:type="page"/>
      </w:r>
    </w:p>
    <w:p w14:paraId="2F644C49" w14:textId="6DCFDFF2" w:rsidR="0079406E" w:rsidRDefault="0079406E" w:rsidP="0079406E">
      <w:pPr>
        <w:autoSpaceDE w:val="0"/>
        <w:autoSpaceDN w:val="0"/>
        <w:adjustRightInd w:val="0"/>
        <w:spacing w:after="0" w:line="240" w:lineRule="auto"/>
        <w:rPr>
          <w:rFonts w:cs="Arial"/>
        </w:rPr>
      </w:pPr>
      <w:r w:rsidRPr="00ED2A06">
        <w:rPr>
          <w:rFonts w:cs="Arial"/>
        </w:rPr>
        <w:lastRenderedPageBreak/>
        <w:t xml:space="preserve">Reconciliation of opening and closing balances of the fair value of scheme assets: </w:t>
      </w:r>
    </w:p>
    <w:p w14:paraId="5ACF4BC3" w14:textId="77777777" w:rsidR="00ED2A06" w:rsidRPr="00ED2A06" w:rsidRDefault="00ED2A06" w:rsidP="0079406E">
      <w:pPr>
        <w:autoSpaceDE w:val="0"/>
        <w:autoSpaceDN w:val="0"/>
        <w:adjustRightInd w:val="0"/>
        <w:spacing w:after="0" w:line="240" w:lineRule="auto"/>
        <w:rPr>
          <w:rFonts w:cs="Arial"/>
        </w:rPr>
      </w:pPr>
    </w:p>
    <w:tbl>
      <w:tblPr>
        <w:tblW w:w="6720" w:type="dxa"/>
        <w:tblLook w:val="04A0" w:firstRow="1" w:lastRow="0" w:firstColumn="1" w:lastColumn="0" w:noHBand="0" w:noVBand="1"/>
      </w:tblPr>
      <w:tblGrid>
        <w:gridCol w:w="3660"/>
        <w:gridCol w:w="1520"/>
        <w:gridCol w:w="1540"/>
      </w:tblGrid>
      <w:tr w:rsidR="001B221B" w:rsidRPr="001B221B" w14:paraId="6AFC32F6" w14:textId="77777777" w:rsidTr="001B221B">
        <w:trPr>
          <w:trHeight w:val="690"/>
        </w:trPr>
        <w:tc>
          <w:tcPr>
            <w:tcW w:w="3660" w:type="dxa"/>
            <w:tcBorders>
              <w:top w:val="single" w:sz="4" w:space="0" w:color="auto"/>
              <w:left w:val="single" w:sz="4" w:space="0" w:color="auto"/>
              <w:bottom w:val="nil"/>
              <w:right w:val="nil"/>
            </w:tcBorders>
            <w:shd w:val="clear" w:color="000000" w:fill="C00000"/>
            <w:vAlign w:val="center"/>
            <w:hideMark/>
          </w:tcPr>
          <w:p w14:paraId="57025805"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0FF78B5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LGPS Pension Scheme  </w:t>
            </w:r>
          </w:p>
        </w:tc>
        <w:tc>
          <w:tcPr>
            <w:tcW w:w="1540" w:type="dxa"/>
            <w:tcBorders>
              <w:top w:val="single" w:sz="4" w:space="0" w:color="auto"/>
              <w:left w:val="nil"/>
              <w:bottom w:val="nil"/>
              <w:right w:val="single" w:sz="4" w:space="0" w:color="auto"/>
            </w:tcBorders>
            <w:shd w:val="clear" w:color="000000" w:fill="C00000"/>
            <w:vAlign w:val="center"/>
            <w:hideMark/>
          </w:tcPr>
          <w:p w14:paraId="26AA369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LGPS Pension Scheme  </w:t>
            </w:r>
          </w:p>
        </w:tc>
      </w:tr>
      <w:tr w:rsidR="001B221B" w:rsidRPr="001B221B" w14:paraId="0AD1B4AE" w14:textId="77777777" w:rsidTr="001B221B">
        <w:trPr>
          <w:trHeight w:val="290"/>
        </w:trPr>
        <w:tc>
          <w:tcPr>
            <w:tcW w:w="3660" w:type="dxa"/>
            <w:tcBorders>
              <w:top w:val="nil"/>
              <w:left w:val="single" w:sz="4" w:space="0" w:color="auto"/>
              <w:bottom w:val="nil"/>
              <w:right w:val="nil"/>
            </w:tcBorders>
            <w:shd w:val="clear" w:color="000000" w:fill="C00000"/>
            <w:vAlign w:val="center"/>
            <w:hideMark/>
          </w:tcPr>
          <w:p w14:paraId="683C02D9"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nil"/>
              <w:left w:val="single" w:sz="4" w:space="0" w:color="auto"/>
              <w:bottom w:val="nil"/>
              <w:right w:val="single" w:sz="4" w:space="0" w:color="auto"/>
            </w:tcBorders>
            <w:shd w:val="clear" w:color="000000" w:fill="C00000"/>
            <w:noWrap/>
            <w:vAlign w:val="center"/>
            <w:hideMark/>
          </w:tcPr>
          <w:p w14:paraId="614625D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1540" w:type="dxa"/>
            <w:tcBorders>
              <w:top w:val="nil"/>
              <w:left w:val="nil"/>
              <w:bottom w:val="nil"/>
              <w:right w:val="single" w:sz="4" w:space="0" w:color="auto"/>
            </w:tcBorders>
            <w:shd w:val="clear" w:color="000000" w:fill="C00000"/>
            <w:noWrap/>
            <w:vAlign w:val="center"/>
            <w:hideMark/>
          </w:tcPr>
          <w:p w14:paraId="5B2739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1F574C3B" w14:textId="77777777" w:rsidTr="001B221B">
        <w:trPr>
          <w:trHeight w:val="290"/>
        </w:trPr>
        <w:tc>
          <w:tcPr>
            <w:tcW w:w="3660" w:type="dxa"/>
            <w:tcBorders>
              <w:top w:val="nil"/>
              <w:left w:val="single" w:sz="4" w:space="0" w:color="auto"/>
              <w:bottom w:val="nil"/>
              <w:right w:val="nil"/>
            </w:tcBorders>
            <w:shd w:val="clear" w:color="000000" w:fill="C00000"/>
            <w:vAlign w:val="center"/>
            <w:hideMark/>
          </w:tcPr>
          <w:p w14:paraId="2A0D3AA6"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520" w:type="dxa"/>
            <w:tcBorders>
              <w:top w:val="nil"/>
              <w:left w:val="single" w:sz="4" w:space="0" w:color="auto"/>
              <w:bottom w:val="nil"/>
              <w:right w:val="single" w:sz="4" w:space="0" w:color="auto"/>
            </w:tcBorders>
            <w:shd w:val="clear" w:color="000000" w:fill="C00000"/>
            <w:vAlign w:val="center"/>
            <w:hideMark/>
          </w:tcPr>
          <w:p w14:paraId="588FB81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40" w:type="dxa"/>
            <w:tcBorders>
              <w:top w:val="nil"/>
              <w:left w:val="nil"/>
              <w:bottom w:val="nil"/>
              <w:right w:val="single" w:sz="4" w:space="0" w:color="auto"/>
            </w:tcBorders>
            <w:shd w:val="clear" w:color="000000" w:fill="C00000"/>
            <w:vAlign w:val="center"/>
            <w:hideMark/>
          </w:tcPr>
          <w:p w14:paraId="1C951BC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593EBE55" w14:textId="77777777" w:rsidTr="001B221B">
        <w:trPr>
          <w:trHeight w:val="580"/>
        </w:trPr>
        <w:tc>
          <w:tcPr>
            <w:tcW w:w="3660" w:type="dxa"/>
            <w:tcBorders>
              <w:top w:val="nil"/>
              <w:left w:val="single" w:sz="4" w:space="0" w:color="auto"/>
              <w:bottom w:val="nil"/>
              <w:right w:val="nil"/>
            </w:tcBorders>
            <w:shd w:val="clear" w:color="000000" w:fill="FFFFFF"/>
            <w:vAlign w:val="center"/>
            <w:hideMark/>
          </w:tcPr>
          <w:p w14:paraId="731429F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Opening Fair Value of Employer Assets</w:t>
            </w:r>
          </w:p>
        </w:tc>
        <w:tc>
          <w:tcPr>
            <w:tcW w:w="1520" w:type="dxa"/>
            <w:tcBorders>
              <w:top w:val="nil"/>
              <w:left w:val="single" w:sz="4" w:space="0" w:color="auto"/>
              <w:bottom w:val="nil"/>
              <w:right w:val="single" w:sz="4" w:space="0" w:color="auto"/>
            </w:tcBorders>
            <w:shd w:val="clear" w:color="000000" w:fill="FFCDCD"/>
            <w:noWrap/>
            <w:vAlign w:val="center"/>
            <w:hideMark/>
          </w:tcPr>
          <w:p w14:paraId="679B65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5,904</w:t>
            </w:r>
          </w:p>
        </w:tc>
        <w:tc>
          <w:tcPr>
            <w:tcW w:w="1540" w:type="dxa"/>
            <w:tcBorders>
              <w:top w:val="nil"/>
              <w:left w:val="nil"/>
              <w:bottom w:val="nil"/>
              <w:right w:val="single" w:sz="4" w:space="0" w:color="auto"/>
            </w:tcBorders>
            <w:shd w:val="clear" w:color="000000" w:fill="FFCDCD"/>
            <w:noWrap/>
            <w:vAlign w:val="center"/>
            <w:hideMark/>
          </w:tcPr>
          <w:p w14:paraId="4F7F146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8,062</w:t>
            </w:r>
          </w:p>
        </w:tc>
      </w:tr>
      <w:tr w:rsidR="001B221B" w:rsidRPr="001B221B" w14:paraId="16023A47" w14:textId="77777777" w:rsidTr="001B221B">
        <w:trPr>
          <w:trHeight w:val="870"/>
        </w:trPr>
        <w:tc>
          <w:tcPr>
            <w:tcW w:w="3660" w:type="dxa"/>
            <w:tcBorders>
              <w:top w:val="nil"/>
              <w:left w:val="single" w:sz="4" w:space="0" w:color="auto"/>
              <w:bottom w:val="nil"/>
              <w:right w:val="nil"/>
            </w:tcBorders>
            <w:shd w:val="clear" w:color="000000" w:fill="FFFFFF"/>
            <w:vAlign w:val="center"/>
            <w:hideMark/>
          </w:tcPr>
          <w:p w14:paraId="5718B9F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Plan Assets, excluding the amount included in the net interest costs</w:t>
            </w:r>
          </w:p>
        </w:tc>
        <w:tc>
          <w:tcPr>
            <w:tcW w:w="1520" w:type="dxa"/>
            <w:tcBorders>
              <w:top w:val="nil"/>
              <w:left w:val="single" w:sz="4" w:space="0" w:color="auto"/>
              <w:bottom w:val="nil"/>
              <w:right w:val="single" w:sz="4" w:space="0" w:color="auto"/>
            </w:tcBorders>
            <w:shd w:val="clear" w:color="000000" w:fill="FFCDCD"/>
            <w:noWrap/>
            <w:vAlign w:val="center"/>
            <w:hideMark/>
          </w:tcPr>
          <w:p w14:paraId="6AA21E1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1,508</w:t>
            </w:r>
          </w:p>
        </w:tc>
        <w:tc>
          <w:tcPr>
            <w:tcW w:w="1540" w:type="dxa"/>
            <w:tcBorders>
              <w:top w:val="nil"/>
              <w:left w:val="nil"/>
              <w:bottom w:val="nil"/>
              <w:right w:val="single" w:sz="4" w:space="0" w:color="auto"/>
            </w:tcBorders>
            <w:shd w:val="clear" w:color="000000" w:fill="FFCDCD"/>
            <w:noWrap/>
            <w:vAlign w:val="center"/>
            <w:hideMark/>
          </w:tcPr>
          <w:p w14:paraId="6868C2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414</w:t>
            </w:r>
          </w:p>
        </w:tc>
      </w:tr>
      <w:tr w:rsidR="001B221B" w:rsidRPr="001B221B" w14:paraId="45334083" w14:textId="77777777" w:rsidTr="001B221B">
        <w:trPr>
          <w:trHeight w:val="368"/>
        </w:trPr>
        <w:tc>
          <w:tcPr>
            <w:tcW w:w="3660" w:type="dxa"/>
            <w:tcBorders>
              <w:top w:val="nil"/>
              <w:left w:val="single" w:sz="4" w:space="0" w:color="auto"/>
              <w:bottom w:val="nil"/>
              <w:right w:val="nil"/>
            </w:tcBorders>
            <w:shd w:val="clear" w:color="000000" w:fill="FFFFFF"/>
            <w:vAlign w:val="center"/>
            <w:hideMark/>
          </w:tcPr>
          <w:p w14:paraId="6E8262D3"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income on Plan assets</w:t>
            </w:r>
          </w:p>
        </w:tc>
        <w:tc>
          <w:tcPr>
            <w:tcW w:w="1520" w:type="dxa"/>
            <w:tcBorders>
              <w:top w:val="nil"/>
              <w:left w:val="single" w:sz="4" w:space="0" w:color="auto"/>
              <w:bottom w:val="nil"/>
              <w:right w:val="single" w:sz="4" w:space="0" w:color="auto"/>
            </w:tcBorders>
            <w:shd w:val="clear" w:color="000000" w:fill="FFCDCD"/>
            <w:noWrap/>
            <w:vAlign w:val="center"/>
            <w:hideMark/>
          </w:tcPr>
          <w:p w14:paraId="1B1618D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142</w:t>
            </w:r>
          </w:p>
        </w:tc>
        <w:tc>
          <w:tcPr>
            <w:tcW w:w="1540" w:type="dxa"/>
            <w:tcBorders>
              <w:top w:val="nil"/>
              <w:left w:val="nil"/>
              <w:bottom w:val="nil"/>
              <w:right w:val="single" w:sz="4" w:space="0" w:color="auto"/>
            </w:tcBorders>
            <w:shd w:val="clear" w:color="000000" w:fill="FFCDCD"/>
            <w:noWrap/>
            <w:vAlign w:val="center"/>
            <w:hideMark/>
          </w:tcPr>
          <w:p w14:paraId="39C492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170</w:t>
            </w:r>
          </w:p>
        </w:tc>
      </w:tr>
      <w:tr w:rsidR="001B221B" w:rsidRPr="001B221B" w14:paraId="215B03AE" w14:textId="77777777" w:rsidTr="001B221B">
        <w:trPr>
          <w:trHeight w:val="290"/>
        </w:trPr>
        <w:tc>
          <w:tcPr>
            <w:tcW w:w="3660" w:type="dxa"/>
            <w:tcBorders>
              <w:top w:val="nil"/>
              <w:left w:val="single" w:sz="4" w:space="0" w:color="auto"/>
              <w:bottom w:val="nil"/>
              <w:right w:val="nil"/>
            </w:tcBorders>
            <w:shd w:val="clear" w:color="000000" w:fill="FFFFFF"/>
            <w:vAlign w:val="center"/>
            <w:hideMark/>
          </w:tcPr>
          <w:p w14:paraId="5A3EA94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520" w:type="dxa"/>
            <w:tcBorders>
              <w:top w:val="nil"/>
              <w:left w:val="single" w:sz="4" w:space="0" w:color="auto"/>
              <w:bottom w:val="nil"/>
              <w:right w:val="single" w:sz="4" w:space="0" w:color="auto"/>
            </w:tcBorders>
            <w:shd w:val="clear" w:color="000000" w:fill="FFCDCD"/>
            <w:noWrap/>
            <w:vAlign w:val="center"/>
            <w:hideMark/>
          </w:tcPr>
          <w:p w14:paraId="30F19BE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(71)</w:t>
            </w:r>
          </w:p>
        </w:tc>
        <w:tc>
          <w:tcPr>
            <w:tcW w:w="1540" w:type="dxa"/>
            <w:tcBorders>
              <w:top w:val="nil"/>
              <w:left w:val="nil"/>
              <w:bottom w:val="nil"/>
              <w:right w:val="single" w:sz="4" w:space="0" w:color="auto"/>
            </w:tcBorders>
            <w:shd w:val="clear" w:color="000000" w:fill="FFCDCD"/>
            <w:noWrap/>
            <w:vAlign w:val="center"/>
            <w:hideMark/>
          </w:tcPr>
          <w:p w14:paraId="3FF7D2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w:t>
            </w:r>
          </w:p>
        </w:tc>
      </w:tr>
      <w:tr w:rsidR="001B221B" w:rsidRPr="001B221B" w14:paraId="7D1B0809" w14:textId="77777777" w:rsidTr="001B221B">
        <w:trPr>
          <w:trHeight w:val="406"/>
        </w:trPr>
        <w:tc>
          <w:tcPr>
            <w:tcW w:w="3660" w:type="dxa"/>
            <w:tcBorders>
              <w:top w:val="nil"/>
              <w:left w:val="single" w:sz="4" w:space="0" w:color="auto"/>
              <w:bottom w:val="nil"/>
              <w:right w:val="nil"/>
            </w:tcBorders>
            <w:shd w:val="clear" w:color="000000" w:fill="FFFFFF"/>
            <w:vAlign w:val="center"/>
            <w:hideMark/>
          </w:tcPr>
          <w:p w14:paraId="3BA8FE3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from Employer</w:t>
            </w:r>
          </w:p>
        </w:tc>
        <w:tc>
          <w:tcPr>
            <w:tcW w:w="1520" w:type="dxa"/>
            <w:tcBorders>
              <w:top w:val="nil"/>
              <w:left w:val="single" w:sz="4" w:space="0" w:color="auto"/>
              <w:bottom w:val="nil"/>
              <w:right w:val="single" w:sz="4" w:space="0" w:color="auto"/>
            </w:tcBorders>
            <w:shd w:val="clear" w:color="000000" w:fill="FFCDCD"/>
            <w:noWrap/>
            <w:vAlign w:val="center"/>
            <w:hideMark/>
          </w:tcPr>
          <w:p w14:paraId="5D2D027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540" w:type="dxa"/>
            <w:tcBorders>
              <w:top w:val="nil"/>
              <w:left w:val="nil"/>
              <w:bottom w:val="nil"/>
              <w:right w:val="single" w:sz="4" w:space="0" w:color="auto"/>
            </w:tcBorders>
            <w:shd w:val="clear" w:color="000000" w:fill="FFCDCD"/>
            <w:noWrap/>
            <w:vAlign w:val="center"/>
            <w:hideMark/>
          </w:tcPr>
          <w:p w14:paraId="22C5109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r>
      <w:tr w:rsidR="001B221B" w:rsidRPr="001B221B" w14:paraId="120D3F5D" w14:textId="77777777" w:rsidTr="001B221B">
        <w:trPr>
          <w:trHeight w:val="290"/>
        </w:trPr>
        <w:tc>
          <w:tcPr>
            <w:tcW w:w="3660" w:type="dxa"/>
            <w:tcBorders>
              <w:top w:val="nil"/>
              <w:left w:val="single" w:sz="4" w:space="0" w:color="auto"/>
              <w:bottom w:val="nil"/>
              <w:right w:val="nil"/>
            </w:tcBorders>
            <w:shd w:val="clear" w:color="000000" w:fill="FFFFFF"/>
            <w:vAlign w:val="center"/>
            <w:hideMark/>
          </w:tcPr>
          <w:p w14:paraId="1110398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by scheme participants</w:t>
            </w:r>
          </w:p>
        </w:tc>
        <w:tc>
          <w:tcPr>
            <w:tcW w:w="1520" w:type="dxa"/>
            <w:tcBorders>
              <w:top w:val="nil"/>
              <w:left w:val="single" w:sz="4" w:space="0" w:color="auto"/>
              <w:bottom w:val="nil"/>
              <w:right w:val="single" w:sz="4" w:space="0" w:color="auto"/>
            </w:tcBorders>
            <w:shd w:val="clear" w:color="000000" w:fill="FFCDCD"/>
            <w:noWrap/>
            <w:vAlign w:val="center"/>
            <w:hideMark/>
          </w:tcPr>
          <w:p w14:paraId="367BDE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156</w:t>
            </w:r>
          </w:p>
        </w:tc>
        <w:tc>
          <w:tcPr>
            <w:tcW w:w="1540" w:type="dxa"/>
            <w:tcBorders>
              <w:top w:val="nil"/>
              <w:left w:val="nil"/>
              <w:bottom w:val="nil"/>
              <w:right w:val="single" w:sz="4" w:space="0" w:color="auto"/>
            </w:tcBorders>
            <w:shd w:val="clear" w:color="000000" w:fill="FFCDCD"/>
            <w:noWrap/>
            <w:vAlign w:val="center"/>
            <w:hideMark/>
          </w:tcPr>
          <w:p w14:paraId="491051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150</w:t>
            </w:r>
          </w:p>
        </w:tc>
      </w:tr>
      <w:tr w:rsidR="001B221B" w:rsidRPr="001B221B" w14:paraId="489109A3" w14:textId="77777777" w:rsidTr="001B221B">
        <w:trPr>
          <w:trHeight w:val="290"/>
        </w:trPr>
        <w:tc>
          <w:tcPr>
            <w:tcW w:w="3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49493"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Closing Fair Value of Employer Assets</w:t>
            </w:r>
          </w:p>
        </w:tc>
        <w:tc>
          <w:tcPr>
            <w:tcW w:w="1520" w:type="dxa"/>
            <w:tcBorders>
              <w:top w:val="single" w:sz="4" w:space="0" w:color="auto"/>
              <w:left w:val="nil"/>
              <w:bottom w:val="single" w:sz="4" w:space="0" w:color="auto"/>
              <w:right w:val="single" w:sz="4" w:space="0" w:color="auto"/>
            </w:tcBorders>
            <w:shd w:val="clear" w:color="000000" w:fill="FFCDCD"/>
            <w:vAlign w:val="center"/>
            <w:hideMark/>
          </w:tcPr>
          <w:p w14:paraId="5F04914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8,062</w:t>
            </w:r>
          </w:p>
        </w:tc>
        <w:tc>
          <w:tcPr>
            <w:tcW w:w="1540" w:type="dxa"/>
            <w:tcBorders>
              <w:top w:val="single" w:sz="4" w:space="0" w:color="auto"/>
              <w:left w:val="nil"/>
              <w:bottom w:val="single" w:sz="4" w:space="0" w:color="auto"/>
              <w:right w:val="single" w:sz="4" w:space="0" w:color="auto"/>
            </w:tcBorders>
            <w:shd w:val="clear" w:color="000000" w:fill="FFCDCD"/>
            <w:vAlign w:val="center"/>
            <w:hideMark/>
          </w:tcPr>
          <w:p w14:paraId="4D476F9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9,116</w:t>
            </w:r>
          </w:p>
        </w:tc>
      </w:tr>
    </w:tbl>
    <w:p w14:paraId="0BC15275" w14:textId="77777777" w:rsidR="00FA7D0C" w:rsidRPr="007F07C2" w:rsidRDefault="00FA7D0C" w:rsidP="0079406E">
      <w:pPr>
        <w:autoSpaceDE w:val="0"/>
        <w:autoSpaceDN w:val="0"/>
        <w:adjustRightInd w:val="0"/>
        <w:spacing w:after="0" w:line="240" w:lineRule="auto"/>
        <w:rPr>
          <w:rFonts w:cs="Arial"/>
        </w:rPr>
      </w:pPr>
    </w:p>
    <w:p w14:paraId="12851C29"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The expected return on scheme assets is determined by considering the expected returns available on the assets underlying the current investment policy. Expected yields on fixed interest investments are based on gross redemption yields as at the Balance Sheet date. Expected returns on equity investments reflect long-term real rates of return experienced in the respective markets. </w:t>
      </w:r>
    </w:p>
    <w:p w14:paraId="17961994" w14:textId="77777777" w:rsidR="00FA7D0C" w:rsidRPr="007F07C2" w:rsidRDefault="00FA7D0C" w:rsidP="0079406E">
      <w:pPr>
        <w:autoSpaceDE w:val="0"/>
        <w:autoSpaceDN w:val="0"/>
        <w:adjustRightInd w:val="0"/>
        <w:spacing w:after="0" w:line="240" w:lineRule="auto"/>
        <w:rPr>
          <w:rFonts w:cs="Arial"/>
        </w:rPr>
      </w:pPr>
    </w:p>
    <w:p w14:paraId="745FFD95"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.4 Scheme history </w:t>
      </w:r>
    </w:p>
    <w:p w14:paraId="332F32D7" w14:textId="77777777" w:rsidR="009C13AA" w:rsidRPr="007F07C2" w:rsidRDefault="009C13AA" w:rsidP="0079406E">
      <w:pPr>
        <w:autoSpaceDE w:val="0"/>
        <w:autoSpaceDN w:val="0"/>
        <w:adjustRightInd w:val="0"/>
        <w:spacing w:after="0" w:line="240" w:lineRule="auto"/>
      </w:pPr>
    </w:p>
    <w:tbl>
      <w:tblPr>
        <w:tblW w:w="10742" w:type="dxa"/>
        <w:tblLook w:val="04A0" w:firstRow="1" w:lastRow="0" w:firstColumn="1" w:lastColumn="0" w:noHBand="0" w:noVBand="1"/>
      </w:tblPr>
      <w:tblGrid>
        <w:gridCol w:w="3041"/>
        <w:gridCol w:w="1265"/>
        <w:gridCol w:w="1280"/>
        <w:gridCol w:w="1297"/>
        <w:gridCol w:w="1265"/>
        <w:gridCol w:w="1297"/>
        <w:gridCol w:w="1297"/>
      </w:tblGrid>
      <w:tr w:rsidR="001B221B" w:rsidRPr="001B221B" w14:paraId="21CF1FC8" w14:textId="77777777" w:rsidTr="001B221B">
        <w:trPr>
          <w:trHeight w:val="548"/>
        </w:trPr>
        <w:tc>
          <w:tcPr>
            <w:tcW w:w="3043" w:type="dxa"/>
            <w:tcBorders>
              <w:top w:val="single" w:sz="8" w:space="0" w:color="auto"/>
              <w:left w:val="single" w:sz="8" w:space="0" w:color="auto"/>
              <w:bottom w:val="nil"/>
              <w:right w:val="nil"/>
            </w:tcBorders>
            <w:shd w:val="clear" w:color="000000" w:fill="C00000"/>
            <w:vAlign w:val="center"/>
            <w:hideMark/>
          </w:tcPr>
          <w:p w14:paraId="3041FBF3"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single" w:sz="8" w:space="0" w:color="auto"/>
              <w:left w:val="single" w:sz="8" w:space="0" w:color="auto"/>
              <w:bottom w:val="nil"/>
              <w:right w:val="single" w:sz="8" w:space="0" w:color="auto"/>
            </w:tcBorders>
            <w:shd w:val="clear" w:color="000000" w:fill="C00000"/>
            <w:vAlign w:val="center"/>
            <w:hideMark/>
          </w:tcPr>
          <w:p w14:paraId="6E6B5957"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Local Government Pension Scheme</w:t>
            </w:r>
          </w:p>
        </w:tc>
        <w:tc>
          <w:tcPr>
            <w:tcW w:w="1280" w:type="dxa"/>
            <w:tcBorders>
              <w:top w:val="single" w:sz="8" w:space="0" w:color="auto"/>
              <w:left w:val="nil"/>
              <w:bottom w:val="nil"/>
              <w:right w:val="single" w:sz="8" w:space="0" w:color="auto"/>
            </w:tcBorders>
            <w:shd w:val="clear" w:color="000000" w:fill="C00000"/>
            <w:vAlign w:val="center"/>
            <w:hideMark/>
          </w:tcPr>
          <w:p w14:paraId="274F440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Fire Fighters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26F2CB31"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Total</w:t>
            </w:r>
          </w:p>
        </w:tc>
        <w:tc>
          <w:tcPr>
            <w:tcW w:w="1264" w:type="dxa"/>
            <w:tcBorders>
              <w:top w:val="single" w:sz="8" w:space="0" w:color="auto"/>
              <w:left w:val="nil"/>
              <w:bottom w:val="nil"/>
              <w:right w:val="single" w:sz="8" w:space="0" w:color="auto"/>
            </w:tcBorders>
            <w:shd w:val="clear" w:color="000000" w:fill="C00000"/>
            <w:vAlign w:val="center"/>
            <w:hideMark/>
          </w:tcPr>
          <w:p w14:paraId="4B69E52D"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Local Government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3889C90A"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Fire Fighters Pension Scheme</w:t>
            </w:r>
          </w:p>
        </w:tc>
        <w:tc>
          <w:tcPr>
            <w:tcW w:w="1297" w:type="dxa"/>
            <w:tcBorders>
              <w:top w:val="single" w:sz="8" w:space="0" w:color="auto"/>
              <w:left w:val="nil"/>
              <w:bottom w:val="nil"/>
              <w:right w:val="single" w:sz="8" w:space="0" w:color="auto"/>
            </w:tcBorders>
            <w:shd w:val="clear" w:color="000000" w:fill="C00000"/>
            <w:vAlign w:val="center"/>
            <w:hideMark/>
          </w:tcPr>
          <w:p w14:paraId="18F2485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Total</w:t>
            </w:r>
          </w:p>
        </w:tc>
      </w:tr>
      <w:tr w:rsidR="001B221B" w:rsidRPr="001B221B" w14:paraId="29C5814B" w14:textId="77777777" w:rsidTr="001B221B">
        <w:trPr>
          <w:trHeight w:val="218"/>
        </w:trPr>
        <w:tc>
          <w:tcPr>
            <w:tcW w:w="3043" w:type="dxa"/>
            <w:tcBorders>
              <w:top w:val="nil"/>
              <w:left w:val="single" w:sz="8" w:space="0" w:color="auto"/>
              <w:bottom w:val="nil"/>
              <w:right w:val="nil"/>
            </w:tcBorders>
            <w:shd w:val="clear" w:color="000000" w:fill="C00000"/>
            <w:vAlign w:val="center"/>
            <w:hideMark/>
          </w:tcPr>
          <w:p w14:paraId="22030922"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nil"/>
              <w:left w:val="single" w:sz="8" w:space="0" w:color="auto"/>
              <w:bottom w:val="nil"/>
              <w:right w:val="single" w:sz="8" w:space="0" w:color="auto"/>
            </w:tcBorders>
            <w:shd w:val="clear" w:color="000000" w:fill="C00000"/>
            <w:vAlign w:val="center"/>
            <w:hideMark/>
          </w:tcPr>
          <w:p w14:paraId="69823025"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80" w:type="dxa"/>
            <w:tcBorders>
              <w:top w:val="nil"/>
              <w:left w:val="nil"/>
              <w:bottom w:val="nil"/>
              <w:right w:val="single" w:sz="8" w:space="0" w:color="auto"/>
            </w:tcBorders>
            <w:shd w:val="clear" w:color="000000" w:fill="C00000"/>
            <w:vAlign w:val="center"/>
            <w:hideMark/>
          </w:tcPr>
          <w:p w14:paraId="427DF0A1"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97" w:type="dxa"/>
            <w:tcBorders>
              <w:top w:val="nil"/>
              <w:left w:val="nil"/>
              <w:bottom w:val="nil"/>
              <w:right w:val="single" w:sz="8" w:space="0" w:color="auto"/>
            </w:tcBorders>
            <w:shd w:val="clear" w:color="000000" w:fill="C00000"/>
            <w:vAlign w:val="center"/>
            <w:hideMark/>
          </w:tcPr>
          <w:p w14:paraId="74852D9F"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2021</w:t>
            </w:r>
          </w:p>
        </w:tc>
        <w:tc>
          <w:tcPr>
            <w:tcW w:w="1264" w:type="dxa"/>
            <w:tcBorders>
              <w:top w:val="nil"/>
              <w:left w:val="nil"/>
              <w:bottom w:val="nil"/>
              <w:right w:val="single" w:sz="8" w:space="0" w:color="auto"/>
            </w:tcBorders>
            <w:shd w:val="clear" w:color="000000" w:fill="C00000"/>
            <w:vAlign w:val="center"/>
            <w:hideMark/>
          </w:tcPr>
          <w:p w14:paraId="34342480"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c>
          <w:tcPr>
            <w:tcW w:w="1297" w:type="dxa"/>
            <w:tcBorders>
              <w:top w:val="nil"/>
              <w:left w:val="nil"/>
              <w:bottom w:val="nil"/>
              <w:right w:val="single" w:sz="8" w:space="0" w:color="auto"/>
            </w:tcBorders>
            <w:shd w:val="clear" w:color="000000" w:fill="C00000"/>
            <w:vAlign w:val="center"/>
            <w:hideMark/>
          </w:tcPr>
          <w:p w14:paraId="4F69002A"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c>
          <w:tcPr>
            <w:tcW w:w="1297" w:type="dxa"/>
            <w:tcBorders>
              <w:top w:val="nil"/>
              <w:left w:val="nil"/>
              <w:bottom w:val="nil"/>
              <w:right w:val="single" w:sz="8" w:space="0" w:color="auto"/>
            </w:tcBorders>
            <w:shd w:val="clear" w:color="000000" w:fill="C00000"/>
            <w:vAlign w:val="center"/>
            <w:hideMark/>
          </w:tcPr>
          <w:p w14:paraId="0A3837E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 xml:space="preserve"> March 2022</w:t>
            </w:r>
          </w:p>
        </w:tc>
      </w:tr>
      <w:tr w:rsidR="001B221B" w:rsidRPr="001B221B" w14:paraId="25E3C536" w14:textId="77777777" w:rsidTr="001B221B">
        <w:trPr>
          <w:trHeight w:val="218"/>
        </w:trPr>
        <w:tc>
          <w:tcPr>
            <w:tcW w:w="3043" w:type="dxa"/>
            <w:tcBorders>
              <w:top w:val="nil"/>
              <w:left w:val="single" w:sz="8" w:space="0" w:color="auto"/>
              <w:bottom w:val="nil"/>
              <w:right w:val="nil"/>
            </w:tcBorders>
            <w:shd w:val="clear" w:color="000000" w:fill="C00000"/>
            <w:vAlign w:val="center"/>
            <w:hideMark/>
          </w:tcPr>
          <w:p w14:paraId="18FDF510" w14:textId="77777777" w:rsidR="001B221B" w:rsidRPr="001B221B" w:rsidRDefault="001B221B" w:rsidP="001B221B">
            <w:pPr>
              <w:spacing w:after="0" w:line="240" w:lineRule="auto"/>
              <w:rPr>
                <w:rFonts w:ascii="Calibri" w:eastAsia="Times New Roman" w:hAnsi="Calibri" w:cs="Calibri"/>
                <w:color w:val="FFFFFF"/>
                <w:sz w:val="24"/>
                <w:szCs w:val="24"/>
                <w:lang w:eastAsia="en-GB"/>
              </w:rPr>
            </w:pPr>
            <w:r w:rsidRPr="001B221B">
              <w:rPr>
                <w:rFonts w:ascii="Calibri" w:eastAsia="Times New Roman" w:hAnsi="Calibri" w:cs="Calibri"/>
                <w:color w:val="FFFFFF"/>
                <w:sz w:val="24"/>
                <w:szCs w:val="24"/>
                <w:lang w:eastAsia="en-GB"/>
              </w:rPr>
              <w:t> </w:t>
            </w:r>
          </w:p>
        </w:tc>
        <w:tc>
          <w:tcPr>
            <w:tcW w:w="1264" w:type="dxa"/>
            <w:tcBorders>
              <w:top w:val="nil"/>
              <w:left w:val="single" w:sz="8" w:space="0" w:color="auto"/>
              <w:bottom w:val="nil"/>
              <w:right w:val="single" w:sz="8" w:space="0" w:color="auto"/>
            </w:tcBorders>
            <w:shd w:val="clear" w:color="000000" w:fill="C00000"/>
            <w:vAlign w:val="center"/>
            <w:hideMark/>
          </w:tcPr>
          <w:p w14:paraId="61AF1FF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80" w:type="dxa"/>
            <w:tcBorders>
              <w:top w:val="nil"/>
              <w:left w:val="nil"/>
              <w:bottom w:val="nil"/>
              <w:right w:val="single" w:sz="8" w:space="0" w:color="auto"/>
            </w:tcBorders>
            <w:shd w:val="clear" w:color="000000" w:fill="C00000"/>
            <w:vAlign w:val="center"/>
            <w:hideMark/>
          </w:tcPr>
          <w:p w14:paraId="166AD0B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1AD642AB"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64" w:type="dxa"/>
            <w:tcBorders>
              <w:top w:val="nil"/>
              <w:left w:val="nil"/>
              <w:bottom w:val="nil"/>
              <w:right w:val="single" w:sz="8" w:space="0" w:color="auto"/>
            </w:tcBorders>
            <w:shd w:val="clear" w:color="000000" w:fill="C00000"/>
            <w:vAlign w:val="center"/>
            <w:hideMark/>
          </w:tcPr>
          <w:p w14:paraId="28C85E75"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29DC7B2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c>
          <w:tcPr>
            <w:tcW w:w="1297" w:type="dxa"/>
            <w:tcBorders>
              <w:top w:val="nil"/>
              <w:left w:val="nil"/>
              <w:bottom w:val="nil"/>
              <w:right w:val="single" w:sz="8" w:space="0" w:color="auto"/>
            </w:tcBorders>
            <w:shd w:val="clear" w:color="000000" w:fill="C00000"/>
            <w:vAlign w:val="center"/>
            <w:hideMark/>
          </w:tcPr>
          <w:p w14:paraId="0A6D8068" w14:textId="77777777" w:rsidR="001B221B" w:rsidRPr="001B221B" w:rsidRDefault="001B221B" w:rsidP="001B221B">
            <w:pPr>
              <w:spacing w:after="0" w:line="240" w:lineRule="auto"/>
              <w:jc w:val="right"/>
              <w:rPr>
                <w:rFonts w:ascii="Calibri" w:eastAsia="Times New Roman" w:hAnsi="Calibri" w:cs="Calibri"/>
                <w:b/>
                <w:bCs/>
                <w:color w:val="FFFFFF"/>
                <w:sz w:val="20"/>
                <w:szCs w:val="20"/>
                <w:lang w:eastAsia="en-GB"/>
              </w:rPr>
            </w:pPr>
            <w:r w:rsidRPr="001B221B">
              <w:rPr>
                <w:rFonts w:ascii="Calibri" w:eastAsia="Times New Roman" w:hAnsi="Calibri" w:cs="Calibri"/>
                <w:b/>
                <w:bCs/>
                <w:color w:val="FFFFFF"/>
                <w:sz w:val="20"/>
                <w:szCs w:val="20"/>
                <w:lang w:eastAsia="en-GB"/>
              </w:rPr>
              <w:t>£000</w:t>
            </w:r>
          </w:p>
        </w:tc>
      </w:tr>
      <w:tr w:rsidR="001B221B" w:rsidRPr="001B221B" w14:paraId="53B74AF6" w14:textId="77777777" w:rsidTr="001B221B">
        <w:trPr>
          <w:trHeight w:val="358"/>
        </w:trPr>
        <w:tc>
          <w:tcPr>
            <w:tcW w:w="3043" w:type="dxa"/>
            <w:tcBorders>
              <w:top w:val="nil"/>
              <w:left w:val="single" w:sz="8" w:space="0" w:color="auto"/>
              <w:bottom w:val="nil"/>
              <w:right w:val="nil"/>
            </w:tcBorders>
            <w:shd w:val="clear" w:color="000000" w:fill="FFFFFF"/>
            <w:vAlign w:val="center"/>
            <w:hideMark/>
          </w:tcPr>
          <w:p w14:paraId="2E1181A2" w14:textId="77777777" w:rsidR="001B221B" w:rsidRPr="001B221B" w:rsidRDefault="001B221B" w:rsidP="001B221B">
            <w:pPr>
              <w:spacing w:after="0" w:line="240" w:lineRule="auto"/>
              <w:rPr>
                <w:rFonts w:ascii="Calibri" w:eastAsia="Times New Roman" w:hAnsi="Calibri" w:cs="Calibri"/>
                <w:color w:val="000000"/>
                <w:sz w:val="20"/>
                <w:szCs w:val="20"/>
                <w:lang w:eastAsia="en-GB"/>
              </w:rPr>
            </w:pPr>
            <w:r w:rsidRPr="001B221B">
              <w:rPr>
                <w:rFonts w:ascii="Calibri" w:eastAsia="Times New Roman" w:hAnsi="Calibri" w:cs="Calibri"/>
                <w:color w:val="000000"/>
                <w:sz w:val="20"/>
                <w:szCs w:val="20"/>
                <w:lang w:eastAsia="en-GB"/>
              </w:rPr>
              <w:t>Present value of the defined benefit obligation</w:t>
            </w:r>
          </w:p>
        </w:tc>
        <w:tc>
          <w:tcPr>
            <w:tcW w:w="1264" w:type="dxa"/>
            <w:tcBorders>
              <w:top w:val="nil"/>
              <w:left w:val="single" w:sz="8" w:space="0" w:color="auto"/>
              <w:bottom w:val="nil"/>
              <w:right w:val="single" w:sz="8" w:space="0" w:color="auto"/>
            </w:tcBorders>
            <w:shd w:val="clear" w:color="000000" w:fill="FFFFFF"/>
            <w:vAlign w:val="center"/>
            <w:hideMark/>
          </w:tcPr>
          <w:p w14:paraId="70A6F59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(13,547)</w:t>
            </w:r>
          </w:p>
        </w:tc>
        <w:tc>
          <w:tcPr>
            <w:tcW w:w="1280" w:type="dxa"/>
            <w:tcBorders>
              <w:top w:val="nil"/>
              <w:left w:val="nil"/>
              <w:bottom w:val="nil"/>
              <w:right w:val="single" w:sz="8" w:space="0" w:color="auto"/>
            </w:tcBorders>
            <w:shd w:val="clear" w:color="000000" w:fill="FFFFFF"/>
            <w:vAlign w:val="center"/>
            <w:hideMark/>
          </w:tcPr>
          <w:p w14:paraId="5028CEF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(323,370)</w:t>
            </w:r>
          </w:p>
        </w:tc>
        <w:tc>
          <w:tcPr>
            <w:tcW w:w="1297" w:type="dxa"/>
            <w:tcBorders>
              <w:top w:val="nil"/>
              <w:left w:val="nil"/>
              <w:bottom w:val="nil"/>
              <w:right w:val="single" w:sz="8" w:space="0" w:color="auto"/>
            </w:tcBorders>
            <w:shd w:val="clear" w:color="000000" w:fill="FFCDCD"/>
            <w:noWrap/>
            <w:vAlign w:val="center"/>
            <w:hideMark/>
          </w:tcPr>
          <w:p w14:paraId="4897BDC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(336,917)</w:t>
            </w:r>
          </w:p>
        </w:tc>
        <w:tc>
          <w:tcPr>
            <w:tcW w:w="1264" w:type="dxa"/>
            <w:tcBorders>
              <w:top w:val="nil"/>
              <w:left w:val="nil"/>
              <w:bottom w:val="nil"/>
              <w:right w:val="single" w:sz="8" w:space="0" w:color="auto"/>
            </w:tcBorders>
            <w:shd w:val="clear" w:color="000000" w:fill="FFFFFF"/>
            <w:vAlign w:val="center"/>
            <w:hideMark/>
          </w:tcPr>
          <w:p w14:paraId="005961E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(13,811)</w:t>
            </w:r>
          </w:p>
        </w:tc>
        <w:tc>
          <w:tcPr>
            <w:tcW w:w="1297" w:type="dxa"/>
            <w:tcBorders>
              <w:top w:val="nil"/>
              <w:left w:val="nil"/>
              <w:bottom w:val="nil"/>
              <w:right w:val="single" w:sz="8" w:space="0" w:color="auto"/>
            </w:tcBorders>
            <w:shd w:val="clear" w:color="000000" w:fill="FFFFFF"/>
            <w:vAlign w:val="center"/>
            <w:hideMark/>
          </w:tcPr>
          <w:p w14:paraId="000D9B2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(329,740)</w:t>
            </w:r>
          </w:p>
        </w:tc>
        <w:tc>
          <w:tcPr>
            <w:tcW w:w="1297" w:type="dxa"/>
            <w:tcBorders>
              <w:top w:val="nil"/>
              <w:left w:val="nil"/>
              <w:bottom w:val="nil"/>
              <w:right w:val="single" w:sz="8" w:space="0" w:color="auto"/>
            </w:tcBorders>
            <w:shd w:val="clear" w:color="000000" w:fill="FFCDCD"/>
            <w:noWrap/>
            <w:vAlign w:val="center"/>
            <w:hideMark/>
          </w:tcPr>
          <w:p w14:paraId="2505346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(343,551)</w:t>
            </w:r>
          </w:p>
        </w:tc>
      </w:tr>
      <w:tr w:rsidR="001B221B" w:rsidRPr="001B221B" w14:paraId="711E7B07" w14:textId="77777777" w:rsidTr="001B221B">
        <w:trPr>
          <w:trHeight w:val="211"/>
        </w:trPr>
        <w:tc>
          <w:tcPr>
            <w:tcW w:w="3043" w:type="dxa"/>
            <w:tcBorders>
              <w:top w:val="nil"/>
              <w:left w:val="single" w:sz="8" w:space="0" w:color="auto"/>
              <w:bottom w:val="nil"/>
              <w:right w:val="nil"/>
            </w:tcBorders>
            <w:shd w:val="clear" w:color="000000" w:fill="FFFFFF"/>
            <w:vAlign w:val="center"/>
            <w:hideMark/>
          </w:tcPr>
          <w:p w14:paraId="39C39BC1" w14:textId="77777777" w:rsidR="001B221B" w:rsidRPr="001B221B" w:rsidRDefault="001B221B" w:rsidP="001B221B">
            <w:pPr>
              <w:spacing w:after="0" w:line="240" w:lineRule="auto"/>
              <w:rPr>
                <w:rFonts w:ascii="Calibri" w:eastAsia="Times New Roman" w:hAnsi="Calibri" w:cs="Calibri"/>
                <w:color w:val="000000"/>
                <w:sz w:val="20"/>
                <w:szCs w:val="20"/>
                <w:lang w:eastAsia="en-GB"/>
              </w:rPr>
            </w:pPr>
            <w:r w:rsidRPr="001B221B">
              <w:rPr>
                <w:rFonts w:ascii="Calibri" w:eastAsia="Times New Roman" w:hAnsi="Calibri" w:cs="Calibri"/>
                <w:color w:val="000000"/>
                <w:sz w:val="20"/>
                <w:szCs w:val="20"/>
                <w:lang w:eastAsia="en-GB"/>
              </w:rPr>
              <w:t>Fair value of plan assets</w:t>
            </w:r>
          </w:p>
        </w:tc>
        <w:tc>
          <w:tcPr>
            <w:tcW w:w="1264" w:type="dxa"/>
            <w:tcBorders>
              <w:top w:val="nil"/>
              <w:left w:val="single" w:sz="8" w:space="0" w:color="auto"/>
              <w:bottom w:val="nil"/>
              <w:right w:val="single" w:sz="8" w:space="0" w:color="auto"/>
            </w:tcBorders>
            <w:shd w:val="clear" w:color="000000" w:fill="FFFFFF"/>
            <w:vAlign w:val="center"/>
            <w:hideMark/>
          </w:tcPr>
          <w:p w14:paraId="203B1388" w14:textId="072D3A3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r w:rsidR="00EE43C2">
              <w:rPr>
                <w:rFonts w:ascii="Calibri" w:eastAsia="Times New Roman" w:hAnsi="Calibri" w:cs="Calibri"/>
                <w:color w:val="000000"/>
                <w:lang w:eastAsia="en-GB"/>
              </w:rPr>
              <w:t>2</w:t>
            </w:r>
          </w:p>
        </w:tc>
        <w:tc>
          <w:tcPr>
            <w:tcW w:w="1280" w:type="dxa"/>
            <w:tcBorders>
              <w:top w:val="nil"/>
              <w:left w:val="nil"/>
              <w:bottom w:val="nil"/>
              <w:right w:val="single" w:sz="8" w:space="0" w:color="auto"/>
            </w:tcBorders>
            <w:shd w:val="clear" w:color="000000" w:fill="FFFFFF"/>
            <w:vAlign w:val="center"/>
            <w:hideMark/>
          </w:tcPr>
          <w:p w14:paraId="156908C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97" w:type="dxa"/>
            <w:tcBorders>
              <w:top w:val="nil"/>
              <w:left w:val="nil"/>
              <w:bottom w:val="nil"/>
              <w:right w:val="single" w:sz="8" w:space="0" w:color="auto"/>
            </w:tcBorders>
            <w:shd w:val="clear" w:color="000000" w:fill="FFCDCD"/>
            <w:noWrap/>
            <w:vAlign w:val="center"/>
            <w:hideMark/>
          </w:tcPr>
          <w:p w14:paraId="79824887" w14:textId="7163FE94"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r w:rsidR="00EE43C2">
              <w:rPr>
                <w:rFonts w:ascii="Calibri" w:eastAsia="Times New Roman" w:hAnsi="Calibri" w:cs="Calibri"/>
                <w:color w:val="000000"/>
                <w:lang w:eastAsia="en-GB"/>
              </w:rPr>
              <w:t>2</w:t>
            </w:r>
          </w:p>
        </w:tc>
        <w:tc>
          <w:tcPr>
            <w:tcW w:w="1264" w:type="dxa"/>
            <w:tcBorders>
              <w:top w:val="nil"/>
              <w:left w:val="nil"/>
              <w:bottom w:val="nil"/>
              <w:right w:val="single" w:sz="8" w:space="0" w:color="auto"/>
            </w:tcBorders>
            <w:shd w:val="clear" w:color="000000" w:fill="FFFFFF"/>
            <w:vAlign w:val="center"/>
            <w:hideMark/>
          </w:tcPr>
          <w:p w14:paraId="1625508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9,116</w:t>
            </w:r>
          </w:p>
        </w:tc>
        <w:tc>
          <w:tcPr>
            <w:tcW w:w="1297" w:type="dxa"/>
            <w:tcBorders>
              <w:top w:val="nil"/>
              <w:left w:val="nil"/>
              <w:bottom w:val="nil"/>
              <w:right w:val="single" w:sz="8" w:space="0" w:color="auto"/>
            </w:tcBorders>
            <w:shd w:val="clear" w:color="000000" w:fill="FFFFFF"/>
            <w:vAlign w:val="center"/>
            <w:hideMark/>
          </w:tcPr>
          <w:p w14:paraId="308E99F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97" w:type="dxa"/>
            <w:tcBorders>
              <w:top w:val="nil"/>
              <w:left w:val="nil"/>
              <w:bottom w:val="nil"/>
              <w:right w:val="single" w:sz="8" w:space="0" w:color="auto"/>
            </w:tcBorders>
            <w:shd w:val="clear" w:color="000000" w:fill="FFCDCD"/>
            <w:noWrap/>
            <w:vAlign w:val="center"/>
            <w:hideMark/>
          </w:tcPr>
          <w:p w14:paraId="69B573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9,116</w:t>
            </w:r>
          </w:p>
        </w:tc>
      </w:tr>
      <w:tr w:rsidR="001B221B" w:rsidRPr="001B221B" w14:paraId="2BD6D875" w14:textId="77777777" w:rsidTr="001B221B">
        <w:trPr>
          <w:trHeight w:val="372"/>
        </w:trPr>
        <w:tc>
          <w:tcPr>
            <w:tcW w:w="3043" w:type="dxa"/>
            <w:tcBorders>
              <w:top w:val="nil"/>
              <w:left w:val="single" w:sz="8" w:space="0" w:color="auto"/>
              <w:bottom w:val="single" w:sz="8" w:space="0" w:color="auto"/>
              <w:right w:val="nil"/>
            </w:tcBorders>
            <w:shd w:val="clear" w:color="000000" w:fill="FFFFFF"/>
            <w:vAlign w:val="center"/>
            <w:hideMark/>
          </w:tcPr>
          <w:p w14:paraId="3962AC16" w14:textId="77777777" w:rsidR="001B221B" w:rsidRPr="001B221B" w:rsidRDefault="001B221B" w:rsidP="001B221B">
            <w:pPr>
              <w:spacing w:after="0" w:line="240" w:lineRule="auto"/>
              <w:rPr>
                <w:rFonts w:ascii="Calibri" w:eastAsia="Times New Roman" w:hAnsi="Calibri" w:cs="Calibri"/>
                <w:b/>
                <w:bCs/>
                <w:color w:val="000000"/>
                <w:sz w:val="20"/>
                <w:szCs w:val="20"/>
                <w:lang w:eastAsia="en-GB"/>
              </w:rPr>
            </w:pPr>
            <w:r w:rsidRPr="001B221B">
              <w:rPr>
                <w:rFonts w:ascii="Calibri" w:eastAsia="Times New Roman" w:hAnsi="Calibri" w:cs="Calibri"/>
                <w:b/>
                <w:bCs/>
                <w:color w:val="000000"/>
                <w:sz w:val="20"/>
                <w:szCs w:val="20"/>
                <w:lang w:eastAsia="en-GB"/>
              </w:rPr>
              <w:t>Net Liability arising from defined benefit obligation</w:t>
            </w:r>
          </w:p>
        </w:tc>
        <w:tc>
          <w:tcPr>
            <w:tcW w:w="126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709B3D" w14:textId="5AAC077A"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(5,48</w:t>
            </w:r>
            <w:r w:rsidR="00EE43C2">
              <w:rPr>
                <w:rFonts w:ascii="Calibri" w:eastAsia="Times New Roman" w:hAnsi="Calibri" w:cs="Calibri"/>
                <w:b/>
                <w:bCs/>
                <w:color w:val="000000"/>
                <w:lang w:eastAsia="en-GB"/>
              </w:rPr>
              <w:t>5</w:t>
            </w:r>
            <w:r w:rsidRPr="001B221B">
              <w:rPr>
                <w:rFonts w:ascii="Calibri" w:eastAsia="Times New Roman" w:hAnsi="Calibri" w:cs="Calibri"/>
                <w:b/>
                <w:bCs/>
                <w:color w:val="000000"/>
                <w:lang w:eastAsia="en-GB"/>
              </w:rPr>
              <w:t>)</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1000456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97" w:type="dxa"/>
            <w:tcBorders>
              <w:top w:val="single" w:sz="8" w:space="0" w:color="auto"/>
              <w:left w:val="nil"/>
              <w:bottom w:val="single" w:sz="8" w:space="0" w:color="auto"/>
              <w:right w:val="single" w:sz="8" w:space="0" w:color="auto"/>
            </w:tcBorders>
            <w:shd w:val="clear" w:color="000000" w:fill="FFCDCD"/>
            <w:noWrap/>
            <w:vAlign w:val="center"/>
            <w:hideMark/>
          </w:tcPr>
          <w:p w14:paraId="757477BB" w14:textId="0B50E730"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(328,85</w:t>
            </w:r>
            <w:r w:rsidR="00EE43C2">
              <w:rPr>
                <w:rFonts w:ascii="Calibri" w:eastAsia="Times New Roman" w:hAnsi="Calibri" w:cs="Calibri"/>
                <w:b/>
                <w:bCs/>
                <w:color w:val="000000"/>
                <w:lang w:eastAsia="en-GB"/>
              </w:rPr>
              <w:t>5</w:t>
            </w:r>
            <w:r w:rsidRPr="001B221B">
              <w:rPr>
                <w:rFonts w:ascii="Calibri" w:eastAsia="Times New Roman" w:hAnsi="Calibri" w:cs="Calibri"/>
                <w:b/>
                <w:bCs/>
                <w:color w:val="000000"/>
                <w:lang w:eastAsia="en-GB"/>
              </w:rPr>
              <w:t>)</w:t>
            </w:r>
          </w:p>
        </w:tc>
        <w:tc>
          <w:tcPr>
            <w:tcW w:w="1264" w:type="dxa"/>
            <w:tcBorders>
              <w:top w:val="single" w:sz="8" w:space="0" w:color="auto"/>
              <w:left w:val="nil"/>
              <w:bottom w:val="single" w:sz="8" w:space="0" w:color="auto"/>
              <w:right w:val="single" w:sz="8" w:space="0" w:color="auto"/>
            </w:tcBorders>
            <w:shd w:val="clear" w:color="000000" w:fill="FFFFFF"/>
            <w:vAlign w:val="center"/>
            <w:hideMark/>
          </w:tcPr>
          <w:p w14:paraId="10223AEC"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(4,695)</w:t>
            </w:r>
          </w:p>
        </w:tc>
        <w:tc>
          <w:tcPr>
            <w:tcW w:w="1297" w:type="dxa"/>
            <w:tcBorders>
              <w:top w:val="single" w:sz="8" w:space="0" w:color="auto"/>
              <w:left w:val="nil"/>
              <w:bottom w:val="single" w:sz="8" w:space="0" w:color="auto"/>
              <w:right w:val="single" w:sz="8" w:space="0" w:color="auto"/>
            </w:tcBorders>
            <w:shd w:val="clear" w:color="000000" w:fill="FFFFFF"/>
            <w:vAlign w:val="center"/>
            <w:hideMark/>
          </w:tcPr>
          <w:p w14:paraId="0C3B1820"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(329,740)</w:t>
            </w:r>
          </w:p>
        </w:tc>
        <w:tc>
          <w:tcPr>
            <w:tcW w:w="1297" w:type="dxa"/>
            <w:tcBorders>
              <w:top w:val="single" w:sz="8" w:space="0" w:color="auto"/>
              <w:left w:val="nil"/>
              <w:bottom w:val="single" w:sz="8" w:space="0" w:color="auto"/>
              <w:right w:val="single" w:sz="8" w:space="0" w:color="auto"/>
            </w:tcBorders>
            <w:shd w:val="clear" w:color="000000" w:fill="FFCDCD"/>
            <w:noWrap/>
            <w:vAlign w:val="center"/>
            <w:hideMark/>
          </w:tcPr>
          <w:p w14:paraId="5219336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(334,435)</w:t>
            </w:r>
          </w:p>
        </w:tc>
      </w:tr>
    </w:tbl>
    <w:p w14:paraId="4B2B7CC7" w14:textId="77777777" w:rsidR="00AA3EC6" w:rsidRPr="007F07C2" w:rsidRDefault="00AA3EC6" w:rsidP="0079406E">
      <w:pPr>
        <w:autoSpaceDE w:val="0"/>
        <w:autoSpaceDN w:val="0"/>
        <w:adjustRightInd w:val="0"/>
        <w:spacing w:after="0" w:line="240" w:lineRule="auto"/>
      </w:pPr>
    </w:p>
    <w:p w14:paraId="5E5EA972" w14:textId="064FE663" w:rsidR="0079406E" w:rsidRPr="007F07C2" w:rsidRDefault="0079406E" w:rsidP="0079406E">
      <w:pPr>
        <w:autoSpaceDE w:val="0"/>
        <w:autoSpaceDN w:val="0"/>
        <w:adjustRightInd w:val="0"/>
        <w:spacing w:after="0" w:line="240" w:lineRule="auto"/>
        <w:rPr>
          <w:rFonts w:cs="Arial"/>
          <w:b/>
          <w:bCs/>
        </w:rPr>
      </w:pPr>
      <w:r w:rsidRPr="007F07C2">
        <w:rPr>
          <w:rFonts w:cs="Arial"/>
        </w:rPr>
        <w:t xml:space="preserve">The liabilities show the underlying commitments that the Authority has in the long run to pay retirement benefits. The total liability of </w:t>
      </w:r>
      <w:r w:rsidRPr="007F07C2">
        <w:rPr>
          <w:rFonts w:cs="Arial"/>
          <w:bCs/>
        </w:rPr>
        <w:t>£</w:t>
      </w:r>
      <w:r w:rsidR="00665F18" w:rsidRPr="007F07C2">
        <w:rPr>
          <w:rFonts w:cs="Arial"/>
          <w:bCs/>
        </w:rPr>
        <w:t>3</w:t>
      </w:r>
      <w:r w:rsidR="0045077C">
        <w:rPr>
          <w:rFonts w:cs="Arial"/>
          <w:bCs/>
        </w:rPr>
        <w:t>34.4</w:t>
      </w:r>
      <w:r w:rsidRPr="007F07C2">
        <w:rPr>
          <w:rFonts w:cs="Arial"/>
          <w:bCs/>
        </w:rPr>
        <w:t>m</w:t>
      </w:r>
      <w:r w:rsidRPr="007F07C2">
        <w:rPr>
          <w:rFonts w:cs="Arial"/>
        </w:rPr>
        <w:t xml:space="preserve"> has a substantial impact on the net worth of the Authority as recorded i</w:t>
      </w:r>
      <w:r w:rsidR="00B61844" w:rsidRPr="007F07C2">
        <w:rPr>
          <w:rFonts w:cs="Arial"/>
        </w:rPr>
        <w:t>n the Balance Sheet</w:t>
      </w:r>
    </w:p>
    <w:p w14:paraId="70975B5E" w14:textId="77777777" w:rsidR="0079406E" w:rsidRPr="004636B4" w:rsidRDefault="0079406E" w:rsidP="0079406E">
      <w:pPr>
        <w:autoSpaceDE w:val="0"/>
        <w:autoSpaceDN w:val="0"/>
        <w:adjustRightInd w:val="0"/>
        <w:spacing w:after="0" w:line="240" w:lineRule="auto"/>
        <w:rPr>
          <w:rFonts w:cs="Arial"/>
        </w:rPr>
      </w:pPr>
    </w:p>
    <w:p w14:paraId="799926FF"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However, statutory arrangements for funding the deficit mean that the financial position of the Authority remains healthy: </w:t>
      </w:r>
    </w:p>
    <w:p w14:paraId="0379FC9A" w14:textId="77777777" w:rsidR="0079406E" w:rsidRPr="001B221B" w:rsidRDefault="0079406E" w:rsidP="005D747F">
      <w:pPr>
        <w:pStyle w:val="ListParagraph"/>
        <w:numPr>
          <w:ilvl w:val="0"/>
          <w:numId w:val="3"/>
        </w:numPr>
        <w:autoSpaceDE w:val="0"/>
        <w:autoSpaceDN w:val="0"/>
        <w:adjustRightInd w:val="0"/>
        <w:spacing w:after="0" w:line="240" w:lineRule="auto"/>
        <w:rPr>
          <w:rFonts w:cs="Arial"/>
        </w:rPr>
      </w:pPr>
      <w:r w:rsidRPr="001B221B">
        <w:rPr>
          <w:rFonts w:cs="Arial"/>
        </w:rPr>
        <w:t xml:space="preserve">the deficit on the local government scheme will be made good by increased contributions over the remaining working life of employees, as assessed by the scheme actuary; and </w:t>
      </w:r>
    </w:p>
    <w:p w14:paraId="79DC4C13" w14:textId="77777777" w:rsidR="0079406E" w:rsidRPr="001B221B" w:rsidRDefault="0079406E" w:rsidP="005D747F">
      <w:pPr>
        <w:pStyle w:val="ListParagraph"/>
        <w:numPr>
          <w:ilvl w:val="0"/>
          <w:numId w:val="3"/>
        </w:numPr>
        <w:autoSpaceDE w:val="0"/>
        <w:autoSpaceDN w:val="0"/>
        <w:adjustRightInd w:val="0"/>
        <w:spacing w:after="0" w:line="240" w:lineRule="auto"/>
        <w:rPr>
          <w:rFonts w:cs="Arial"/>
        </w:rPr>
      </w:pPr>
      <w:r w:rsidRPr="001B221B">
        <w:rPr>
          <w:rFonts w:cs="Arial"/>
        </w:rPr>
        <w:t xml:space="preserve">finance is only required to be raised to cover fire pensions when the pensions are actually paid. </w:t>
      </w:r>
    </w:p>
    <w:p w14:paraId="135F7495" w14:textId="77777777" w:rsidR="0079406E" w:rsidRPr="001B221B" w:rsidRDefault="0079406E" w:rsidP="0079406E">
      <w:pPr>
        <w:autoSpaceDE w:val="0"/>
        <w:autoSpaceDN w:val="0"/>
        <w:adjustRightInd w:val="0"/>
        <w:spacing w:after="0" w:line="240" w:lineRule="auto"/>
        <w:rPr>
          <w:rFonts w:cs="Arial"/>
        </w:rPr>
      </w:pPr>
    </w:p>
    <w:p w14:paraId="4897D250" w14:textId="018F3F9A" w:rsidR="001B221B" w:rsidRDefault="0079406E" w:rsidP="0079406E">
      <w:pPr>
        <w:autoSpaceDE w:val="0"/>
        <w:autoSpaceDN w:val="0"/>
        <w:adjustRightInd w:val="0"/>
        <w:spacing w:after="0" w:line="240" w:lineRule="auto"/>
        <w:rPr>
          <w:rFonts w:cs="Arial"/>
        </w:rPr>
      </w:pPr>
      <w:r w:rsidRPr="001B221B">
        <w:rPr>
          <w:rFonts w:cs="Arial"/>
        </w:rPr>
        <w:t>The total contributions expected to be made to the Local government Pension Scheme by the Authority in the year</w:t>
      </w:r>
      <w:r w:rsidR="00DE3318" w:rsidRPr="001B221B">
        <w:rPr>
          <w:rFonts w:cs="Arial"/>
        </w:rPr>
        <w:t xml:space="preserve"> to 31 March 202</w:t>
      </w:r>
      <w:r w:rsidR="00EE43C2">
        <w:rPr>
          <w:rFonts w:cs="Arial"/>
        </w:rPr>
        <w:t>3</w:t>
      </w:r>
      <w:r w:rsidRPr="001B221B">
        <w:rPr>
          <w:rFonts w:cs="Arial"/>
        </w:rPr>
        <w:t xml:space="preserve"> is </w:t>
      </w:r>
      <w:r w:rsidRPr="001B221B">
        <w:rPr>
          <w:rFonts w:cs="Arial"/>
          <w:bCs/>
        </w:rPr>
        <w:t>£</w:t>
      </w:r>
      <w:r w:rsidR="003A1422" w:rsidRPr="001B221B">
        <w:rPr>
          <w:rFonts w:cs="Arial"/>
          <w:bCs/>
        </w:rPr>
        <w:t>0</w:t>
      </w:r>
      <w:r w:rsidRPr="001B221B">
        <w:rPr>
          <w:rFonts w:cs="Arial"/>
          <w:bCs/>
        </w:rPr>
        <w:t>.</w:t>
      </w:r>
      <w:r w:rsidR="003A1422" w:rsidRPr="001B221B">
        <w:rPr>
          <w:rFonts w:cs="Arial"/>
          <w:bCs/>
        </w:rPr>
        <w:t>3</w:t>
      </w:r>
      <w:r w:rsidRPr="001B221B">
        <w:rPr>
          <w:rFonts w:cs="Arial"/>
          <w:bCs/>
        </w:rPr>
        <w:t>m</w:t>
      </w:r>
      <w:r w:rsidRPr="001B221B">
        <w:rPr>
          <w:rFonts w:cs="Arial"/>
        </w:rPr>
        <w:t>. Expected contributions for the Fire pension Scheme in the year</w:t>
      </w:r>
      <w:r w:rsidR="003A1422" w:rsidRPr="001B221B">
        <w:rPr>
          <w:rFonts w:cs="Arial"/>
        </w:rPr>
        <w:t xml:space="preserve"> to 31 March 202</w:t>
      </w:r>
      <w:r w:rsidR="00EE43C2">
        <w:rPr>
          <w:rFonts w:cs="Arial"/>
        </w:rPr>
        <w:t>3</w:t>
      </w:r>
      <w:r w:rsidR="0045077C" w:rsidRPr="001B221B">
        <w:rPr>
          <w:rFonts w:cs="Arial"/>
        </w:rPr>
        <w:t xml:space="preserve"> </w:t>
      </w:r>
      <w:r w:rsidRPr="001B221B">
        <w:rPr>
          <w:rFonts w:cs="Arial"/>
        </w:rPr>
        <w:t xml:space="preserve">are </w:t>
      </w:r>
      <w:r w:rsidRPr="001B221B">
        <w:rPr>
          <w:rFonts w:cs="Arial"/>
          <w:bCs/>
        </w:rPr>
        <w:t>£</w:t>
      </w:r>
      <w:r w:rsidR="00B61844" w:rsidRPr="001B221B">
        <w:rPr>
          <w:rFonts w:cs="Arial"/>
          <w:bCs/>
        </w:rPr>
        <w:t>1</w:t>
      </w:r>
      <w:r w:rsidRPr="001B221B">
        <w:rPr>
          <w:rFonts w:cs="Arial"/>
          <w:bCs/>
        </w:rPr>
        <w:t>.</w:t>
      </w:r>
      <w:r w:rsidR="00CA7C2B" w:rsidRPr="001B221B">
        <w:rPr>
          <w:rFonts w:cs="Arial"/>
          <w:bCs/>
        </w:rPr>
        <w:t>14</w:t>
      </w:r>
      <w:r w:rsidRPr="001B221B">
        <w:rPr>
          <w:rFonts w:cs="Arial"/>
          <w:bCs/>
        </w:rPr>
        <w:t>m</w:t>
      </w:r>
      <w:r w:rsidRPr="001B221B">
        <w:rPr>
          <w:rFonts w:cs="Arial"/>
        </w:rPr>
        <w:t xml:space="preserve">. </w:t>
      </w:r>
    </w:p>
    <w:p w14:paraId="1B92D9A4" w14:textId="6BB420C6" w:rsidR="001B221B" w:rsidRDefault="004636B4" w:rsidP="004636B4">
      <w:pPr>
        <w:rPr>
          <w:rFonts w:cs="Arial"/>
        </w:rPr>
      </w:pPr>
      <w:r>
        <w:rPr>
          <w:rFonts w:cs="Arial"/>
        </w:rPr>
        <w:br w:type="page"/>
      </w:r>
    </w:p>
    <w:p w14:paraId="7CB26BB4" w14:textId="036C35A9"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26</w:t>
      </w:r>
      <w:r w:rsidR="0079406E" w:rsidRPr="007F07C2">
        <w:rPr>
          <w:rFonts w:cs="Arial"/>
          <w:b/>
          <w:bCs/>
          <w:sz w:val="28"/>
          <w:szCs w:val="28"/>
        </w:rPr>
        <w:t xml:space="preserve">.5 Basis for estimating assets and liabilities </w:t>
      </w:r>
    </w:p>
    <w:p w14:paraId="5F495EA7" w14:textId="77777777" w:rsidR="0079406E" w:rsidRPr="007F07C2" w:rsidRDefault="0079406E" w:rsidP="0079406E">
      <w:pPr>
        <w:autoSpaceDE w:val="0"/>
        <w:autoSpaceDN w:val="0"/>
        <w:adjustRightInd w:val="0"/>
        <w:spacing w:after="0" w:line="240" w:lineRule="auto"/>
        <w:rPr>
          <w:rFonts w:cs="Arial"/>
        </w:rPr>
      </w:pPr>
      <w:r w:rsidRPr="007F07C2">
        <w:rPr>
          <w:rFonts w:cs="Arial"/>
        </w:rPr>
        <w:t xml:space="preserve">Liabilities have been assessed on an actuarial basis using the projected unit method, an estimate of the pensions that will be payable in future years dependent on assumptions about mortality rates, salary levels, etc. The annual Fire Authority budget will make allowance for the firefighter’s pension scheme payments based on an estimate of when such payments fall due. The Authority’s budget is set taking the employer’s pension contribution into account and government grant is received to cover any shortfall in the account. </w:t>
      </w:r>
    </w:p>
    <w:p w14:paraId="1CC126CE" w14:textId="77777777" w:rsidR="0079406E" w:rsidRPr="007F07C2" w:rsidRDefault="00DC31BC" w:rsidP="0079406E">
      <w:pPr>
        <w:autoSpaceDE w:val="0"/>
        <w:autoSpaceDN w:val="0"/>
        <w:adjustRightInd w:val="0"/>
        <w:spacing w:after="0" w:line="240" w:lineRule="auto"/>
        <w:rPr>
          <w:rFonts w:cs="Arial"/>
        </w:rPr>
      </w:pPr>
      <w:r w:rsidRPr="007F07C2">
        <w:rPr>
          <w:rFonts w:cs="Arial"/>
        </w:rPr>
        <w:t>The Government Actuaries Department (GAD)</w:t>
      </w:r>
      <w:r w:rsidR="0079406E" w:rsidRPr="007F07C2">
        <w:rPr>
          <w:rFonts w:cs="Arial"/>
        </w:rPr>
        <w:t xml:space="preserve">, has assessed both the Firefighters’ scheme and the Local Government Pension Scheme liabilities. The main assumptions used in their calculations are as follows: </w:t>
      </w:r>
    </w:p>
    <w:p w14:paraId="38FA6329" w14:textId="619913F7" w:rsidR="00CF1BC8" w:rsidRPr="007F07C2" w:rsidRDefault="00CF1BC8" w:rsidP="0079406E">
      <w:pPr>
        <w:autoSpaceDE w:val="0"/>
        <w:autoSpaceDN w:val="0"/>
        <w:adjustRightInd w:val="0"/>
        <w:spacing w:after="0" w:line="240" w:lineRule="auto"/>
      </w:pPr>
    </w:p>
    <w:tbl>
      <w:tblPr>
        <w:tblW w:w="9700" w:type="dxa"/>
        <w:tblLook w:val="04A0" w:firstRow="1" w:lastRow="0" w:firstColumn="1" w:lastColumn="0" w:noHBand="0" w:noVBand="1"/>
      </w:tblPr>
      <w:tblGrid>
        <w:gridCol w:w="1520"/>
        <w:gridCol w:w="1520"/>
        <w:gridCol w:w="3500"/>
        <w:gridCol w:w="1640"/>
        <w:gridCol w:w="1520"/>
      </w:tblGrid>
      <w:tr w:rsidR="001B221B" w:rsidRPr="001B221B" w14:paraId="0C3B7C42" w14:textId="77777777" w:rsidTr="001B221B">
        <w:trPr>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19C1640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bookmarkStart w:id="1" w:name="RANGE!A1"/>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2B283B2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4172781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5F75451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30E9966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r>
      <w:tr w:rsidR="001B221B" w:rsidRPr="001B221B" w14:paraId="48B5C327" w14:textId="77777777" w:rsidTr="001B221B">
        <w:trPr>
          <w:trHeight w:val="580"/>
        </w:trPr>
        <w:tc>
          <w:tcPr>
            <w:tcW w:w="1520" w:type="dxa"/>
            <w:tcBorders>
              <w:top w:val="nil"/>
              <w:left w:val="single" w:sz="4" w:space="0" w:color="auto"/>
              <w:bottom w:val="nil"/>
              <w:right w:val="single" w:sz="4" w:space="0" w:color="auto"/>
            </w:tcBorders>
            <w:shd w:val="clear" w:color="000000" w:fill="C00000"/>
            <w:vAlign w:val="center"/>
            <w:hideMark/>
          </w:tcPr>
          <w:p w14:paraId="611AA21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1520" w:type="dxa"/>
            <w:tcBorders>
              <w:top w:val="nil"/>
              <w:left w:val="nil"/>
              <w:bottom w:val="nil"/>
              <w:right w:val="single" w:sz="4" w:space="0" w:color="auto"/>
            </w:tcBorders>
            <w:shd w:val="clear" w:color="000000" w:fill="C00000"/>
            <w:vAlign w:val="center"/>
            <w:hideMark/>
          </w:tcPr>
          <w:p w14:paraId="55C9AD2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3500" w:type="dxa"/>
            <w:tcBorders>
              <w:top w:val="nil"/>
              <w:left w:val="nil"/>
              <w:bottom w:val="nil"/>
              <w:right w:val="single" w:sz="4" w:space="0" w:color="auto"/>
            </w:tcBorders>
            <w:shd w:val="clear" w:color="000000" w:fill="C00000"/>
            <w:vAlign w:val="center"/>
            <w:hideMark/>
          </w:tcPr>
          <w:p w14:paraId="350414E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78A3693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c>
          <w:tcPr>
            <w:tcW w:w="1520" w:type="dxa"/>
            <w:tcBorders>
              <w:top w:val="nil"/>
              <w:left w:val="nil"/>
              <w:bottom w:val="nil"/>
              <w:right w:val="single" w:sz="4" w:space="0" w:color="auto"/>
            </w:tcBorders>
            <w:shd w:val="clear" w:color="000000" w:fill="C00000"/>
            <w:vAlign w:val="center"/>
            <w:hideMark/>
          </w:tcPr>
          <w:p w14:paraId="300847C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Pension Scheme</w:t>
            </w:r>
          </w:p>
        </w:tc>
      </w:tr>
      <w:tr w:rsidR="001B221B" w:rsidRPr="001B221B" w14:paraId="6D037371" w14:textId="77777777" w:rsidTr="001B221B">
        <w:trPr>
          <w:trHeight w:val="290"/>
        </w:trPr>
        <w:tc>
          <w:tcPr>
            <w:tcW w:w="1520" w:type="dxa"/>
            <w:tcBorders>
              <w:top w:val="nil"/>
              <w:left w:val="single" w:sz="4" w:space="0" w:color="auto"/>
              <w:bottom w:val="nil"/>
              <w:right w:val="single" w:sz="4" w:space="0" w:color="auto"/>
            </w:tcBorders>
            <w:shd w:val="clear" w:color="000000" w:fill="C00000"/>
            <w:vAlign w:val="center"/>
            <w:hideMark/>
          </w:tcPr>
          <w:p w14:paraId="000C9BA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nil"/>
              <w:right w:val="single" w:sz="4" w:space="0" w:color="auto"/>
            </w:tcBorders>
            <w:shd w:val="clear" w:color="000000" w:fill="C00000"/>
            <w:vAlign w:val="center"/>
            <w:hideMark/>
          </w:tcPr>
          <w:p w14:paraId="7EBCA33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nil"/>
              <w:right w:val="single" w:sz="4" w:space="0" w:color="auto"/>
            </w:tcBorders>
            <w:shd w:val="clear" w:color="000000" w:fill="C00000"/>
            <w:vAlign w:val="center"/>
            <w:hideMark/>
          </w:tcPr>
          <w:p w14:paraId="25CD983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5B5588E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nil"/>
              <w:right w:val="single" w:sz="4" w:space="0" w:color="auto"/>
            </w:tcBorders>
            <w:shd w:val="clear" w:color="000000" w:fill="C00000"/>
            <w:vAlign w:val="center"/>
            <w:hideMark/>
          </w:tcPr>
          <w:p w14:paraId="7B725A6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5B9843B7"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3870954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1520" w:type="dxa"/>
            <w:tcBorders>
              <w:top w:val="nil"/>
              <w:left w:val="nil"/>
              <w:bottom w:val="single" w:sz="4" w:space="0" w:color="auto"/>
              <w:right w:val="single" w:sz="4" w:space="0" w:color="auto"/>
            </w:tcBorders>
            <w:shd w:val="clear" w:color="000000" w:fill="C00000"/>
            <w:vAlign w:val="center"/>
            <w:hideMark/>
          </w:tcPr>
          <w:p w14:paraId="521BE64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3500" w:type="dxa"/>
            <w:tcBorders>
              <w:top w:val="nil"/>
              <w:left w:val="nil"/>
              <w:bottom w:val="single" w:sz="4" w:space="0" w:color="auto"/>
              <w:right w:val="single" w:sz="4" w:space="0" w:color="auto"/>
            </w:tcBorders>
            <w:shd w:val="clear" w:color="000000" w:fill="C00000"/>
            <w:vAlign w:val="center"/>
            <w:hideMark/>
          </w:tcPr>
          <w:p w14:paraId="135D82E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0573238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c>
          <w:tcPr>
            <w:tcW w:w="1520" w:type="dxa"/>
            <w:tcBorders>
              <w:top w:val="nil"/>
              <w:left w:val="nil"/>
              <w:bottom w:val="single" w:sz="4" w:space="0" w:color="auto"/>
              <w:right w:val="single" w:sz="4" w:space="0" w:color="auto"/>
            </w:tcBorders>
            <w:shd w:val="clear" w:color="000000" w:fill="C00000"/>
            <w:vAlign w:val="center"/>
            <w:hideMark/>
          </w:tcPr>
          <w:p w14:paraId="2D27669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w:t>
            </w:r>
          </w:p>
        </w:tc>
      </w:tr>
      <w:tr w:rsidR="001B221B" w:rsidRPr="001B221B" w14:paraId="26C7D35C"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7B6AA38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2.80</w:t>
            </w:r>
          </w:p>
        </w:tc>
        <w:tc>
          <w:tcPr>
            <w:tcW w:w="1520" w:type="dxa"/>
            <w:tcBorders>
              <w:top w:val="nil"/>
              <w:left w:val="nil"/>
              <w:bottom w:val="nil"/>
              <w:right w:val="single" w:sz="4" w:space="0" w:color="auto"/>
            </w:tcBorders>
            <w:shd w:val="clear" w:color="000000" w:fill="FFFFFF"/>
            <w:noWrap/>
            <w:vAlign w:val="bottom"/>
            <w:hideMark/>
          </w:tcPr>
          <w:p w14:paraId="4510B9B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2.40</w:t>
            </w:r>
          </w:p>
        </w:tc>
        <w:tc>
          <w:tcPr>
            <w:tcW w:w="3500" w:type="dxa"/>
            <w:tcBorders>
              <w:top w:val="nil"/>
              <w:left w:val="nil"/>
              <w:bottom w:val="nil"/>
              <w:right w:val="nil"/>
            </w:tcBorders>
            <w:shd w:val="clear" w:color="000000" w:fill="FFFFFF"/>
            <w:vAlign w:val="center"/>
            <w:hideMark/>
          </w:tcPr>
          <w:p w14:paraId="2DB1F14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inflation</w:t>
            </w:r>
          </w:p>
        </w:tc>
        <w:tc>
          <w:tcPr>
            <w:tcW w:w="1640" w:type="dxa"/>
            <w:tcBorders>
              <w:top w:val="nil"/>
              <w:left w:val="single" w:sz="4" w:space="0" w:color="auto"/>
              <w:bottom w:val="nil"/>
              <w:right w:val="single" w:sz="4" w:space="0" w:color="auto"/>
            </w:tcBorders>
            <w:shd w:val="clear" w:color="000000" w:fill="FFFFFF"/>
            <w:noWrap/>
            <w:vAlign w:val="bottom"/>
            <w:hideMark/>
          </w:tcPr>
          <w:p w14:paraId="1E813EE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3.15</w:t>
            </w:r>
          </w:p>
        </w:tc>
        <w:tc>
          <w:tcPr>
            <w:tcW w:w="1520" w:type="dxa"/>
            <w:tcBorders>
              <w:top w:val="nil"/>
              <w:left w:val="nil"/>
              <w:bottom w:val="nil"/>
              <w:right w:val="single" w:sz="4" w:space="0" w:color="auto"/>
            </w:tcBorders>
            <w:shd w:val="clear" w:color="000000" w:fill="FFFFFF"/>
            <w:noWrap/>
            <w:vAlign w:val="bottom"/>
            <w:hideMark/>
          </w:tcPr>
          <w:p w14:paraId="5F56FA2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3.00</w:t>
            </w:r>
          </w:p>
        </w:tc>
      </w:tr>
      <w:tr w:rsidR="001B221B" w:rsidRPr="001B221B" w14:paraId="64717B83"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5B04297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3.30</w:t>
            </w:r>
          </w:p>
        </w:tc>
        <w:tc>
          <w:tcPr>
            <w:tcW w:w="1520" w:type="dxa"/>
            <w:tcBorders>
              <w:top w:val="nil"/>
              <w:left w:val="nil"/>
              <w:bottom w:val="nil"/>
              <w:right w:val="single" w:sz="4" w:space="0" w:color="auto"/>
            </w:tcBorders>
            <w:shd w:val="clear" w:color="000000" w:fill="FFFFFF"/>
            <w:noWrap/>
            <w:vAlign w:val="bottom"/>
            <w:hideMark/>
          </w:tcPr>
          <w:p w14:paraId="49B6B6A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4.15</w:t>
            </w:r>
          </w:p>
        </w:tc>
        <w:tc>
          <w:tcPr>
            <w:tcW w:w="3500" w:type="dxa"/>
            <w:tcBorders>
              <w:top w:val="nil"/>
              <w:left w:val="nil"/>
              <w:bottom w:val="nil"/>
              <w:right w:val="nil"/>
            </w:tcBorders>
            <w:shd w:val="clear" w:color="000000" w:fill="FFFFFF"/>
            <w:vAlign w:val="center"/>
            <w:hideMark/>
          </w:tcPr>
          <w:p w14:paraId="018A26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salaries</w:t>
            </w:r>
          </w:p>
        </w:tc>
        <w:tc>
          <w:tcPr>
            <w:tcW w:w="1640" w:type="dxa"/>
            <w:tcBorders>
              <w:top w:val="nil"/>
              <w:left w:val="single" w:sz="4" w:space="0" w:color="auto"/>
              <w:bottom w:val="nil"/>
              <w:right w:val="single" w:sz="4" w:space="0" w:color="auto"/>
            </w:tcBorders>
            <w:shd w:val="clear" w:color="000000" w:fill="FFFFFF"/>
            <w:noWrap/>
            <w:vAlign w:val="bottom"/>
            <w:hideMark/>
          </w:tcPr>
          <w:p w14:paraId="2BEECE1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3.65</w:t>
            </w:r>
          </w:p>
        </w:tc>
        <w:tc>
          <w:tcPr>
            <w:tcW w:w="1520" w:type="dxa"/>
            <w:tcBorders>
              <w:top w:val="nil"/>
              <w:left w:val="nil"/>
              <w:bottom w:val="nil"/>
              <w:right w:val="single" w:sz="4" w:space="0" w:color="auto"/>
            </w:tcBorders>
            <w:shd w:val="clear" w:color="000000" w:fill="FFFFFF"/>
            <w:noWrap/>
            <w:vAlign w:val="bottom"/>
            <w:hideMark/>
          </w:tcPr>
          <w:p w14:paraId="036568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4.75</w:t>
            </w:r>
          </w:p>
        </w:tc>
      </w:tr>
      <w:tr w:rsidR="001B221B" w:rsidRPr="001B221B" w14:paraId="75B95A76"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709C314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2.80</w:t>
            </w:r>
          </w:p>
        </w:tc>
        <w:tc>
          <w:tcPr>
            <w:tcW w:w="1520" w:type="dxa"/>
            <w:tcBorders>
              <w:top w:val="nil"/>
              <w:left w:val="nil"/>
              <w:bottom w:val="nil"/>
              <w:right w:val="single" w:sz="4" w:space="0" w:color="auto"/>
            </w:tcBorders>
            <w:shd w:val="clear" w:color="000000" w:fill="FFFFFF"/>
            <w:noWrap/>
            <w:vAlign w:val="bottom"/>
            <w:hideMark/>
          </w:tcPr>
          <w:p w14:paraId="331B93D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2.40</w:t>
            </w:r>
          </w:p>
        </w:tc>
        <w:tc>
          <w:tcPr>
            <w:tcW w:w="3500" w:type="dxa"/>
            <w:tcBorders>
              <w:top w:val="nil"/>
              <w:left w:val="nil"/>
              <w:bottom w:val="nil"/>
              <w:right w:val="nil"/>
            </w:tcBorders>
            <w:shd w:val="clear" w:color="000000" w:fill="FFFFFF"/>
            <w:vAlign w:val="center"/>
            <w:hideMark/>
          </w:tcPr>
          <w:p w14:paraId="44035C2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pensions</w:t>
            </w:r>
          </w:p>
        </w:tc>
        <w:tc>
          <w:tcPr>
            <w:tcW w:w="1640" w:type="dxa"/>
            <w:tcBorders>
              <w:top w:val="nil"/>
              <w:left w:val="single" w:sz="4" w:space="0" w:color="auto"/>
              <w:bottom w:val="nil"/>
              <w:right w:val="single" w:sz="4" w:space="0" w:color="auto"/>
            </w:tcBorders>
            <w:shd w:val="clear" w:color="000000" w:fill="FFFFFF"/>
            <w:noWrap/>
            <w:vAlign w:val="bottom"/>
            <w:hideMark/>
          </w:tcPr>
          <w:p w14:paraId="4FF3DF3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3.15</w:t>
            </w:r>
          </w:p>
        </w:tc>
        <w:tc>
          <w:tcPr>
            <w:tcW w:w="1520" w:type="dxa"/>
            <w:tcBorders>
              <w:top w:val="nil"/>
              <w:left w:val="nil"/>
              <w:bottom w:val="nil"/>
              <w:right w:val="single" w:sz="4" w:space="0" w:color="auto"/>
            </w:tcBorders>
            <w:shd w:val="clear" w:color="000000" w:fill="FFFFFF"/>
            <w:noWrap/>
            <w:vAlign w:val="bottom"/>
            <w:hideMark/>
          </w:tcPr>
          <w:p w14:paraId="59C856D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3.00</w:t>
            </w:r>
          </w:p>
        </w:tc>
      </w:tr>
      <w:tr w:rsidR="001B221B" w:rsidRPr="001B221B" w14:paraId="5701076E"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bottom"/>
            <w:hideMark/>
          </w:tcPr>
          <w:p w14:paraId="62D05C9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2.05</w:t>
            </w:r>
          </w:p>
        </w:tc>
        <w:tc>
          <w:tcPr>
            <w:tcW w:w="1520" w:type="dxa"/>
            <w:tcBorders>
              <w:top w:val="nil"/>
              <w:left w:val="nil"/>
              <w:bottom w:val="nil"/>
              <w:right w:val="single" w:sz="4" w:space="0" w:color="auto"/>
            </w:tcBorders>
            <w:shd w:val="clear" w:color="000000" w:fill="FFFFFF"/>
            <w:noWrap/>
            <w:vAlign w:val="bottom"/>
            <w:hideMark/>
          </w:tcPr>
          <w:p w14:paraId="6E7C490B" w14:textId="7DD6150D"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w:t>
            </w:r>
            <w:r w:rsidR="003C3A4C">
              <w:rPr>
                <w:rFonts w:ascii="Calibri" w:eastAsia="Times New Roman" w:hAnsi="Calibri" w:cs="Calibri"/>
                <w:color w:val="000000"/>
                <w:lang w:eastAsia="en-GB"/>
              </w:rPr>
              <w:t>4</w:t>
            </w:r>
            <w:r w:rsidRPr="001B221B">
              <w:rPr>
                <w:rFonts w:ascii="Calibri" w:eastAsia="Times New Roman" w:hAnsi="Calibri" w:cs="Calibri"/>
                <w:color w:val="000000"/>
                <w:lang w:eastAsia="en-GB"/>
              </w:rPr>
              <w:t>0</w:t>
            </w:r>
          </w:p>
        </w:tc>
        <w:tc>
          <w:tcPr>
            <w:tcW w:w="3500" w:type="dxa"/>
            <w:tcBorders>
              <w:top w:val="nil"/>
              <w:left w:val="nil"/>
              <w:bottom w:val="nil"/>
              <w:right w:val="nil"/>
            </w:tcBorders>
            <w:shd w:val="clear" w:color="000000" w:fill="FFFFFF"/>
            <w:vAlign w:val="center"/>
            <w:hideMark/>
          </w:tcPr>
          <w:p w14:paraId="310B1C7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for discounting scheme liabilities</w:t>
            </w:r>
          </w:p>
        </w:tc>
        <w:tc>
          <w:tcPr>
            <w:tcW w:w="1640" w:type="dxa"/>
            <w:tcBorders>
              <w:top w:val="nil"/>
              <w:left w:val="single" w:sz="4" w:space="0" w:color="auto"/>
              <w:bottom w:val="nil"/>
              <w:right w:val="single" w:sz="4" w:space="0" w:color="auto"/>
            </w:tcBorders>
            <w:shd w:val="clear" w:color="000000" w:fill="FFFFFF"/>
            <w:noWrap/>
            <w:vAlign w:val="bottom"/>
            <w:hideMark/>
          </w:tcPr>
          <w:p w14:paraId="124ECED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2.75</w:t>
            </w:r>
          </w:p>
        </w:tc>
        <w:tc>
          <w:tcPr>
            <w:tcW w:w="1520" w:type="dxa"/>
            <w:tcBorders>
              <w:top w:val="nil"/>
              <w:left w:val="nil"/>
              <w:bottom w:val="nil"/>
              <w:right w:val="single" w:sz="4" w:space="0" w:color="auto"/>
            </w:tcBorders>
            <w:shd w:val="clear" w:color="000000" w:fill="FFFFFF"/>
            <w:noWrap/>
            <w:vAlign w:val="bottom"/>
            <w:hideMark/>
          </w:tcPr>
          <w:p w14:paraId="7461623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2.65</w:t>
            </w:r>
          </w:p>
        </w:tc>
      </w:tr>
      <w:tr w:rsidR="001B221B" w:rsidRPr="001B221B" w14:paraId="3FA5696D" w14:textId="77777777" w:rsidTr="001B221B">
        <w:trPr>
          <w:trHeight w:val="870"/>
        </w:trPr>
        <w:tc>
          <w:tcPr>
            <w:tcW w:w="1520" w:type="dxa"/>
            <w:tcBorders>
              <w:top w:val="nil"/>
              <w:left w:val="single" w:sz="4" w:space="0" w:color="auto"/>
              <w:bottom w:val="nil"/>
              <w:right w:val="single" w:sz="4" w:space="0" w:color="auto"/>
            </w:tcBorders>
            <w:shd w:val="clear" w:color="000000" w:fill="FFFFFF"/>
            <w:noWrap/>
            <w:vAlign w:val="bottom"/>
            <w:hideMark/>
          </w:tcPr>
          <w:p w14:paraId="5D86FD1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w:t>
            </w:r>
          </w:p>
        </w:tc>
        <w:tc>
          <w:tcPr>
            <w:tcW w:w="1520" w:type="dxa"/>
            <w:tcBorders>
              <w:top w:val="nil"/>
              <w:left w:val="nil"/>
              <w:bottom w:val="nil"/>
              <w:right w:val="single" w:sz="4" w:space="0" w:color="auto"/>
            </w:tcBorders>
            <w:shd w:val="clear" w:color="000000" w:fill="FFFFFF"/>
            <w:noWrap/>
            <w:vAlign w:val="bottom"/>
            <w:hideMark/>
          </w:tcPr>
          <w:p w14:paraId="1EA9794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c>
          <w:tcPr>
            <w:tcW w:w="3500" w:type="dxa"/>
            <w:tcBorders>
              <w:top w:val="nil"/>
              <w:left w:val="nil"/>
              <w:bottom w:val="nil"/>
              <w:right w:val="nil"/>
            </w:tcBorders>
            <w:shd w:val="clear" w:color="000000" w:fill="FFFFFF"/>
            <w:vAlign w:val="center"/>
            <w:hideMark/>
          </w:tcPr>
          <w:p w14:paraId="669DC180"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Take up of option to convert annual pre April 2008 service Pension into retirement grant </w:t>
            </w:r>
          </w:p>
        </w:tc>
        <w:tc>
          <w:tcPr>
            <w:tcW w:w="1640" w:type="dxa"/>
            <w:tcBorders>
              <w:top w:val="nil"/>
              <w:left w:val="single" w:sz="4" w:space="0" w:color="auto"/>
              <w:bottom w:val="nil"/>
              <w:right w:val="single" w:sz="4" w:space="0" w:color="auto"/>
            </w:tcBorders>
            <w:shd w:val="clear" w:color="000000" w:fill="FFFFFF"/>
            <w:noWrap/>
            <w:vAlign w:val="bottom"/>
            <w:hideMark/>
          </w:tcPr>
          <w:p w14:paraId="4D15344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w:t>
            </w:r>
          </w:p>
        </w:tc>
        <w:tc>
          <w:tcPr>
            <w:tcW w:w="1520" w:type="dxa"/>
            <w:tcBorders>
              <w:top w:val="nil"/>
              <w:left w:val="nil"/>
              <w:bottom w:val="nil"/>
              <w:right w:val="single" w:sz="4" w:space="0" w:color="auto"/>
            </w:tcBorders>
            <w:shd w:val="clear" w:color="000000" w:fill="FFFFFF"/>
            <w:noWrap/>
            <w:vAlign w:val="bottom"/>
            <w:hideMark/>
          </w:tcPr>
          <w:p w14:paraId="4182528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r>
      <w:tr w:rsidR="001B221B" w:rsidRPr="001B221B" w14:paraId="344E555F" w14:textId="77777777" w:rsidTr="001B221B">
        <w:trPr>
          <w:trHeight w:val="870"/>
        </w:trPr>
        <w:tc>
          <w:tcPr>
            <w:tcW w:w="1520" w:type="dxa"/>
            <w:tcBorders>
              <w:top w:val="nil"/>
              <w:left w:val="single" w:sz="4" w:space="0" w:color="auto"/>
              <w:bottom w:val="single" w:sz="4" w:space="0" w:color="auto"/>
              <w:right w:val="single" w:sz="4" w:space="0" w:color="auto"/>
            </w:tcBorders>
            <w:shd w:val="clear" w:color="000000" w:fill="FFFFFF"/>
            <w:noWrap/>
            <w:vAlign w:val="bottom"/>
            <w:hideMark/>
          </w:tcPr>
          <w:p w14:paraId="47CA46A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20" w:type="dxa"/>
            <w:tcBorders>
              <w:top w:val="nil"/>
              <w:left w:val="nil"/>
              <w:bottom w:val="single" w:sz="4" w:space="0" w:color="auto"/>
              <w:right w:val="single" w:sz="4" w:space="0" w:color="auto"/>
            </w:tcBorders>
            <w:shd w:val="clear" w:color="000000" w:fill="FFFFFF"/>
            <w:noWrap/>
            <w:vAlign w:val="bottom"/>
            <w:hideMark/>
          </w:tcPr>
          <w:p w14:paraId="3605362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c>
          <w:tcPr>
            <w:tcW w:w="3500" w:type="dxa"/>
            <w:tcBorders>
              <w:top w:val="nil"/>
              <w:left w:val="nil"/>
              <w:bottom w:val="single" w:sz="4" w:space="0" w:color="auto"/>
              <w:right w:val="nil"/>
            </w:tcBorders>
            <w:shd w:val="clear" w:color="000000" w:fill="FFFFFF"/>
            <w:vAlign w:val="center"/>
            <w:hideMark/>
          </w:tcPr>
          <w:p w14:paraId="00FB6CE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Take up of option to convert annual post April 2008 service pension into retirement grant</w:t>
            </w:r>
          </w:p>
        </w:tc>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488EBC7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20" w:type="dxa"/>
            <w:tcBorders>
              <w:top w:val="nil"/>
              <w:left w:val="nil"/>
              <w:bottom w:val="single" w:sz="4" w:space="0" w:color="auto"/>
              <w:right w:val="single" w:sz="4" w:space="0" w:color="auto"/>
            </w:tcBorders>
            <w:shd w:val="clear" w:color="000000" w:fill="FFFFFF"/>
            <w:noWrap/>
            <w:vAlign w:val="bottom"/>
            <w:hideMark/>
          </w:tcPr>
          <w:p w14:paraId="26E1823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N/A</w:t>
            </w:r>
          </w:p>
        </w:tc>
      </w:tr>
      <w:bookmarkEnd w:id="1"/>
    </w:tbl>
    <w:p w14:paraId="7C3DEEFF" w14:textId="77777777" w:rsidR="00FA556C" w:rsidRDefault="00FA556C" w:rsidP="0079406E">
      <w:pPr>
        <w:autoSpaceDE w:val="0"/>
        <w:autoSpaceDN w:val="0"/>
        <w:adjustRightInd w:val="0"/>
        <w:spacing w:after="0" w:line="240" w:lineRule="auto"/>
        <w:rPr>
          <w:rFonts w:cs="Arial"/>
        </w:rPr>
      </w:pPr>
    </w:p>
    <w:p w14:paraId="11F6C6B4" w14:textId="06BC2E03" w:rsidR="0079406E" w:rsidRPr="007F07C2" w:rsidRDefault="0079406E" w:rsidP="0079406E">
      <w:pPr>
        <w:autoSpaceDE w:val="0"/>
        <w:autoSpaceDN w:val="0"/>
        <w:adjustRightInd w:val="0"/>
        <w:spacing w:after="0" w:line="240" w:lineRule="auto"/>
        <w:rPr>
          <w:rFonts w:cs="Arial"/>
          <w:sz w:val="18"/>
          <w:szCs w:val="18"/>
        </w:rPr>
      </w:pPr>
      <w:r w:rsidRPr="007F07C2">
        <w:rPr>
          <w:rFonts w:cs="Arial"/>
        </w:rPr>
        <w:t xml:space="preserve">The estimation of the defined benefit obligations is sensitive to the actuarial assumptions set out in the table above. The sensitivity analyses below have been determined based on reasonably possible changes of the assumptions </w:t>
      </w:r>
      <w:r w:rsidR="00434B4A" w:rsidRPr="007F07C2">
        <w:rPr>
          <w:rFonts w:cs="Arial"/>
        </w:rPr>
        <w:t>occurring</w:t>
      </w:r>
      <w:r w:rsidRPr="007F07C2">
        <w:rPr>
          <w:rFonts w:cs="Arial"/>
        </w:rPr>
        <w:t xml:space="preserve">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w:t>
      </w:r>
      <w:r w:rsidR="00743416" w:rsidRPr="007F07C2">
        <w:rPr>
          <w:rFonts w:cs="Arial"/>
        </w:rPr>
        <w:t>i.e.</w:t>
      </w:r>
      <w:r w:rsidRPr="007F07C2">
        <w:rPr>
          <w:rFonts w:cs="Arial"/>
        </w:rPr>
        <w:t xml:space="preserve"> on an actuarial basis using the projected unit credit method. The methods and types of assumptions used in preparing the sensitivity analysis below did not change from tho</w:t>
      </w:r>
      <w:r w:rsidR="00BE7015" w:rsidRPr="007F07C2">
        <w:rPr>
          <w:rFonts w:cs="Arial"/>
        </w:rPr>
        <w:t>se used in the previous period.</w:t>
      </w:r>
      <w:r w:rsidRPr="007F07C2">
        <w:rPr>
          <w:rFonts w:cs="Arial"/>
          <w:sz w:val="18"/>
          <w:szCs w:val="18"/>
        </w:rPr>
        <w:t xml:space="preserve"> </w:t>
      </w:r>
    </w:p>
    <w:p w14:paraId="4331A1E9" w14:textId="77777777" w:rsidR="00545919" w:rsidRPr="004636B4" w:rsidRDefault="00545919" w:rsidP="0079406E">
      <w:pPr>
        <w:autoSpaceDE w:val="0"/>
        <w:autoSpaceDN w:val="0"/>
        <w:adjustRightInd w:val="0"/>
        <w:spacing w:after="0" w:line="240" w:lineRule="auto"/>
        <w:rPr>
          <w:rFonts w:cs="Arial"/>
        </w:rPr>
      </w:pPr>
    </w:p>
    <w:tbl>
      <w:tblPr>
        <w:tblW w:w="9700" w:type="dxa"/>
        <w:tblLook w:val="04A0" w:firstRow="1" w:lastRow="0" w:firstColumn="1" w:lastColumn="0" w:noHBand="0" w:noVBand="1"/>
      </w:tblPr>
      <w:tblGrid>
        <w:gridCol w:w="1520"/>
        <w:gridCol w:w="1520"/>
        <w:gridCol w:w="3500"/>
        <w:gridCol w:w="1640"/>
        <w:gridCol w:w="1520"/>
      </w:tblGrid>
      <w:tr w:rsidR="001B221B" w:rsidRPr="001B221B" w14:paraId="5B826362" w14:textId="77777777" w:rsidTr="001B221B">
        <w:trPr>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49911EA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5F5125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470C715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4364D45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0E33279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r>
      <w:tr w:rsidR="001B221B" w:rsidRPr="001B221B" w14:paraId="30F38DEF" w14:textId="77777777" w:rsidTr="001B221B">
        <w:trPr>
          <w:trHeight w:val="580"/>
        </w:trPr>
        <w:tc>
          <w:tcPr>
            <w:tcW w:w="1520" w:type="dxa"/>
            <w:tcBorders>
              <w:top w:val="nil"/>
              <w:left w:val="single" w:sz="4" w:space="0" w:color="auto"/>
              <w:bottom w:val="nil"/>
              <w:right w:val="single" w:sz="4" w:space="0" w:color="auto"/>
            </w:tcBorders>
            <w:shd w:val="clear" w:color="000000" w:fill="C00000"/>
            <w:vAlign w:val="center"/>
            <w:hideMark/>
          </w:tcPr>
          <w:p w14:paraId="342B81C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20" w:type="dxa"/>
            <w:tcBorders>
              <w:top w:val="nil"/>
              <w:left w:val="nil"/>
              <w:bottom w:val="nil"/>
              <w:right w:val="single" w:sz="4" w:space="0" w:color="auto"/>
            </w:tcBorders>
            <w:shd w:val="clear" w:color="000000" w:fill="C00000"/>
            <w:vAlign w:val="center"/>
            <w:hideMark/>
          </w:tcPr>
          <w:p w14:paraId="041EFE6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3500" w:type="dxa"/>
            <w:tcBorders>
              <w:top w:val="nil"/>
              <w:left w:val="nil"/>
              <w:bottom w:val="nil"/>
              <w:right w:val="single" w:sz="4" w:space="0" w:color="auto"/>
            </w:tcBorders>
            <w:shd w:val="clear" w:color="000000" w:fill="C00000"/>
            <w:vAlign w:val="center"/>
            <w:hideMark/>
          </w:tcPr>
          <w:p w14:paraId="341244A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3BDFA97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20" w:type="dxa"/>
            <w:tcBorders>
              <w:top w:val="nil"/>
              <w:left w:val="nil"/>
              <w:bottom w:val="nil"/>
              <w:right w:val="single" w:sz="4" w:space="0" w:color="auto"/>
            </w:tcBorders>
            <w:shd w:val="clear" w:color="000000" w:fill="C00000"/>
            <w:vAlign w:val="center"/>
            <w:hideMark/>
          </w:tcPr>
          <w:p w14:paraId="0E74C69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r>
      <w:tr w:rsidR="001B221B" w:rsidRPr="001B221B" w14:paraId="686BEE64"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0A98E61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single" w:sz="4" w:space="0" w:color="auto"/>
              <w:right w:val="single" w:sz="4" w:space="0" w:color="auto"/>
            </w:tcBorders>
            <w:shd w:val="clear" w:color="000000" w:fill="C00000"/>
            <w:vAlign w:val="center"/>
            <w:hideMark/>
          </w:tcPr>
          <w:p w14:paraId="26BEBE4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single" w:sz="4" w:space="0" w:color="auto"/>
              <w:right w:val="single" w:sz="4" w:space="0" w:color="auto"/>
            </w:tcBorders>
            <w:shd w:val="clear" w:color="000000" w:fill="C00000"/>
            <w:vAlign w:val="center"/>
            <w:hideMark/>
          </w:tcPr>
          <w:p w14:paraId="7E970BD9"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03AE846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single" w:sz="4" w:space="0" w:color="auto"/>
              <w:right w:val="single" w:sz="4" w:space="0" w:color="auto"/>
            </w:tcBorders>
            <w:shd w:val="clear" w:color="000000" w:fill="C00000"/>
            <w:vAlign w:val="center"/>
            <w:hideMark/>
          </w:tcPr>
          <w:p w14:paraId="591A7E4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7624E325"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0FA568C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57B1ED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60001BDE"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65 year old current pensioner</w:t>
            </w:r>
          </w:p>
        </w:tc>
        <w:tc>
          <w:tcPr>
            <w:tcW w:w="1640" w:type="dxa"/>
            <w:tcBorders>
              <w:top w:val="nil"/>
              <w:left w:val="nil"/>
              <w:bottom w:val="nil"/>
              <w:right w:val="single" w:sz="4" w:space="0" w:color="auto"/>
            </w:tcBorders>
            <w:shd w:val="clear" w:color="000000" w:fill="FFFFFF"/>
            <w:vAlign w:val="center"/>
            <w:hideMark/>
          </w:tcPr>
          <w:p w14:paraId="7F39FDE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6ECE29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4DE99203"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002B036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520" w:type="dxa"/>
            <w:tcBorders>
              <w:top w:val="nil"/>
              <w:left w:val="nil"/>
              <w:bottom w:val="nil"/>
              <w:right w:val="single" w:sz="4" w:space="0" w:color="auto"/>
            </w:tcBorders>
            <w:shd w:val="clear" w:color="000000" w:fill="FFFFFF"/>
            <w:vAlign w:val="center"/>
            <w:hideMark/>
          </w:tcPr>
          <w:p w14:paraId="0D2E046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21.4</w:t>
            </w:r>
          </w:p>
        </w:tc>
        <w:tc>
          <w:tcPr>
            <w:tcW w:w="3500" w:type="dxa"/>
            <w:tcBorders>
              <w:top w:val="nil"/>
              <w:left w:val="nil"/>
              <w:bottom w:val="nil"/>
              <w:right w:val="single" w:sz="4" w:space="0" w:color="auto"/>
            </w:tcBorders>
            <w:shd w:val="clear" w:color="000000" w:fill="FFFFFF"/>
            <w:vAlign w:val="center"/>
            <w:hideMark/>
          </w:tcPr>
          <w:p w14:paraId="396B743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Male</w:t>
            </w:r>
          </w:p>
        </w:tc>
        <w:tc>
          <w:tcPr>
            <w:tcW w:w="1640" w:type="dxa"/>
            <w:tcBorders>
              <w:top w:val="nil"/>
              <w:left w:val="nil"/>
              <w:bottom w:val="nil"/>
              <w:right w:val="single" w:sz="4" w:space="0" w:color="auto"/>
            </w:tcBorders>
            <w:shd w:val="clear" w:color="000000" w:fill="FFFFFF"/>
            <w:vAlign w:val="center"/>
            <w:hideMark/>
          </w:tcPr>
          <w:p w14:paraId="6A55CB1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21.7</w:t>
            </w:r>
          </w:p>
        </w:tc>
        <w:tc>
          <w:tcPr>
            <w:tcW w:w="1520" w:type="dxa"/>
            <w:tcBorders>
              <w:top w:val="nil"/>
              <w:left w:val="nil"/>
              <w:bottom w:val="nil"/>
              <w:right w:val="single" w:sz="4" w:space="0" w:color="auto"/>
            </w:tcBorders>
            <w:shd w:val="clear" w:color="000000" w:fill="FFFFFF"/>
            <w:vAlign w:val="center"/>
            <w:hideMark/>
          </w:tcPr>
          <w:p w14:paraId="785E1F7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21.5</w:t>
            </w:r>
          </w:p>
        </w:tc>
      </w:tr>
      <w:tr w:rsidR="001B221B" w:rsidRPr="001B221B" w14:paraId="5076B2C9"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1493541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24.1</w:t>
            </w:r>
          </w:p>
        </w:tc>
        <w:tc>
          <w:tcPr>
            <w:tcW w:w="1520" w:type="dxa"/>
            <w:tcBorders>
              <w:top w:val="nil"/>
              <w:left w:val="nil"/>
              <w:bottom w:val="nil"/>
              <w:right w:val="single" w:sz="4" w:space="0" w:color="auto"/>
            </w:tcBorders>
            <w:shd w:val="clear" w:color="000000" w:fill="FFFFFF"/>
            <w:vAlign w:val="center"/>
            <w:hideMark/>
          </w:tcPr>
          <w:p w14:paraId="730D7F0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21.4</w:t>
            </w:r>
          </w:p>
        </w:tc>
        <w:tc>
          <w:tcPr>
            <w:tcW w:w="3500" w:type="dxa"/>
            <w:tcBorders>
              <w:top w:val="nil"/>
              <w:left w:val="nil"/>
              <w:bottom w:val="nil"/>
              <w:right w:val="single" w:sz="4" w:space="0" w:color="auto"/>
            </w:tcBorders>
            <w:shd w:val="clear" w:color="000000" w:fill="FFFFFF"/>
            <w:vAlign w:val="center"/>
            <w:hideMark/>
          </w:tcPr>
          <w:p w14:paraId="67CFCBE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Female</w:t>
            </w:r>
          </w:p>
        </w:tc>
        <w:tc>
          <w:tcPr>
            <w:tcW w:w="1640" w:type="dxa"/>
            <w:tcBorders>
              <w:top w:val="nil"/>
              <w:left w:val="nil"/>
              <w:bottom w:val="nil"/>
              <w:right w:val="single" w:sz="4" w:space="0" w:color="auto"/>
            </w:tcBorders>
            <w:shd w:val="clear" w:color="000000" w:fill="FFFFFF"/>
            <w:vAlign w:val="center"/>
            <w:hideMark/>
          </w:tcPr>
          <w:p w14:paraId="29CDF69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24</w:t>
            </w:r>
          </w:p>
        </w:tc>
        <w:tc>
          <w:tcPr>
            <w:tcW w:w="1520" w:type="dxa"/>
            <w:tcBorders>
              <w:top w:val="nil"/>
              <w:left w:val="nil"/>
              <w:bottom w:val="nil"/>
              <w:right w:val="single" w:sz="4" w:space="0" w:color="auto"/>
            </w:tcBorders>
            <w:shd w:val="clear" w:color="000000" w:fill="FFFFFF"/>
            <w:vAlign w:val="center"/>
            <w:hideMark/>
          </w:tcPr>
          <w:p w14:paraId="5D7AF0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21.5</w:t>
            </w:r>
          </w:p>
        </w:tc>
      </w:tr>
      <w:tr w:rsidR="001B221B" w:rsidRPr="001B221B" w14:paraId="39533B96"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74B5AFD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7926ED3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656766C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40" w:type="dxa"/>
            <w:tcBorders>
              <w:top w:val="nil"/>
              <w:left w:val="nil"/>
              <w:bottom w:val="nil"/>
              <w:right w:val="single" w:sz="4" w:space="0" w:color="auto"/>
            </w:tcBorders>
            <w:shd w:val="clear" w:color="000000" w:fill="FFFFFF"/>
            <w:vAlign w:val="center"/>
            <w:hideMark/>
          </w:tcPr>
          <w:p w14:paraId="4ADE5C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4F9F9CE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18FD74E" w14:textId="77777777" w:rsidTr="001B221B">
        <w:trPr>
          <w:trHeight w:val="523"/>
        </w:trPr>
        <w:tc>
          <w:tcPr>
            <w:tcW w:w="1520" w:type="dxa"/>
            <w:tcBorders>
              <w:top w:val="nil"/>
              <w:left w:val="single" w:sz="4" w:space="0" w:color="auto"/>
              <w:bottom w:val="nil"/>
              <w:right w:val="single" w:sz="4" w:space="0" w:color="auto"/>
            </w:tcBorders>
            <w:shd w:val="clear" w:color="000000" w:fill="FFFFFF"/>
            <w:vAlign w:val="center"/>
            <w:hideMark/>
          </w:tcPr>
          <w:p w14:paraId="4921B20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2CB7636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126E1ED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45 year old future pensioner at age 65</w:t>
            </w:r>
          </w:p>
        </w:tc>
        <w:tc>
          <w:tcPr>
            <w:tcW w:w="1640" w:type="dxa"/>
            <w:tcBorders>
              <w:top w:val="nil"/>
              <w:left w:val="nil"/>
              <w:bottom w:val="nil"/>
              <w:right w:val="single" w:sz="4" w:space="0" w:color="auto"/>
            </w:tcBorders>
            <w:shd w:val="clear" w:color="000000" w:fill="FFFFFF"/>
            <w:vAlign w:val="center"/>
            <w:hideMark/>
          </w:tcPr>
          <w:p w14:paraId="25A3156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000000" w:fill="FFFFFF"/>
            <w:vAlign w:val="center"/>
            <w:hideMark/>
          </w:tcPr>
          <w:p w14:paraId="7C79A3D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22383041" w14:textId="77777777" w:rsidTr="001B221B">
        <w:trPr>
          <w:trHeight w:val="290"/>
        </w:trPr>
        <w:tc>
          <w:tcPr>
            <w:tcW w:w="1520" w:type="dxa"/>
            <w:tcBorders>
              <w:top w:val="nil"/>
              <w:left w:val="single" w:sz="4" w:space="0" w:color="auto"/>
              <w:bottom w:val="nil"/>
              <w:right w:val="single" w:sz="4" w:space="0" w:color="auto"/>
            </w:tcBorders>
            <w:shd w:val="clear" w:color="000000" w:fill="FFFFFF"/>
            <w:vAlign w:val="center"/>
            <w:hideMark/>
          </w:tcPr>
          <w:p w14:paraId="6643C7F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22.8</w:t>
            </w:r>
          </w:p>
        </w:tc>
        <w:tc>
          <w:tcPr>
            <w:tcW w:w="1520" w:type="dxa"/>
            <w:tcBorders>
              <w:top w:val="nil"/>
              <w:left w:val="nil"/>
              <w:bottom w:val="nil"/>
              <w:right w:val="single" w:sz="4" w:space="0" w:color="auto"/>
            </w:tcBorders>
            <w:shd w:val="clear" w:color="000000" w:fill="FFFFFF"/>
            <w:vAlign w:val="center"/>
            <w:hideMark/>
          </w:tcPr>
          <w:p w14:paraId="515A45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23.1</w:t>
            </w:r>
          </w:p>
        </w:tc>
        <w:tc>
          <w:tcPr>
            <w:tcW w:w="3500" w:type="dxa"/>
            <w:tcBorders>
              <w:top w:val="nil"/>
              <w:left w:val="nil"/>
              <w:bottom w:val="nil"/>
              <w:right w:val="single" w:sz="4" w:space="0" w:color="auto"/>
            </w:tcBorders>
            <w:shd w:val="clear" w:color="000000" w:fill="FFFFFF"/>
            <w:vAlign w:val="center"/>
            <w:hideMark/>
          </w:tcPr>
          <w:p w14:paraId="0F16637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Male</w:t>
            </w:r>
          </w:p>
        </w:tc>
        <w:tc>
          <w:tcPr>
            <w:tcW w:w="1640" w:type="dxa"/>
            <w:tcBorders>
              <w:top w:val="nil"/>
              <w:left w:val="nil"/>
              <w:bottom w:val="nil"/>
              <w:right w:val="single" w:sz="4" w:space="0" w:color="auto"/>
            </w:tcBorders>
            <w:shd w:val="clear" w:color="000000" w:fill="FFFFFF"/>
            <w:vAlign w:val="center"/>
            <w:hideMark/>
          </w:tcPr>
          <w:p w14:paraId="68F2FB8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22.7</w:t>
            </w:r>
          </w:p>
        </w:tc>
        <w:tc>
          <w:tcPr>
            <w:tcW w:w="1520" w:type="dxa"/>
            <w:tcBorders>
              <w:top w:val="nil"/>
              <w:left w:val="nil"/>
              <w:bottom w:val="nil"/>
              <w:right w:val="single" w:sz="4" w:space="0" w:color="auto"/>
            </w:tcBorders>
            <w:shd w:val="clear" w:color="000000" w:fill="FFFFFF"/>
            <w:vAlign w:val="center"/>
            <w:hideMark/>
          </w:tcPr>
          <w:p w14:paraId="4CA99EA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23.2</w:t>
            </w:r>
          </w:p>
        </w:tc>
      </w:tr>
      <w:tr w:rsidR="001B221B" w:rsidRPr="001B221B" w14:paraId="195906F6" w14:textId="77777777" w:rsidTr="001B221B">
        <w:trPr>
          <w:trHeight w:val="29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60A001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25.8</w:t>
            </w:r>
          </w:p>
        </w:tc>
        <w:tc>
          <w:tcPr>
            <w:tcW w:w="1520" w:type="dxa"/>
            <w:tcBorders>
              <w:top w:val="nil"/>
              <w:left w:val="nil"/>
              <w:bottom w:val="single" w:sz="4" w:space="0" w:color="auto"/>
              <w:right w:val="single" w:sz="4" w:space="0" w:color="auto"/>
            </w:tcBorders>
            <w:shd w:val="clear" w:color="000000" w:fill="FFFFFF"/>
            <w:vAlign w:val="center"/>
            <w:hideMark/>
          </w:tcPr>
          <w:p w14:paraId="755F096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23.1</w:t>
            </w:r>
          </w:p>
        </w:tc>
        <w:tc>
          <w:tcPr>
            <w:tcW w:w="3500" w:type="dxa"/>
            <w:tcBorders>
              <w:top w:val="nil"/>
              <w:left w:val="nil"/>
              <w:bottom w:val="single" w:sz="4" w:space="0" w:color="auto"/>
              <w:right w:val="single" w:sz="4" w:space="0" w:color="auto"/>
            </w:tcBorders>
            <w:shd w:val="clear" w:color="000000" w:fill="FFFFFF"/>
            <w:vAlign w:val="center"/>
            <w:hideMark/>
          </w:tcPr>
          <w:p w14:paraId="59F91FE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Female</w:t>
            </w:r>
          </w:p>
        </w:tc>
        <w:tc>
          <w:tcPr>
            <w:tcW w:w="1640" w:type="dxa"/>
            <w:tcBorders>
              <w:top w:val="nil"/>
              <w:left w:val="nil"/>
              <w:bottom w:val="single" w:sz="4" w:space="0" w:color="auto"/>
              <w:right w:val="single" w:sz="4" w:space="0" w:color="auto"/>
            </w:tcBorders>
            <w:shd w:val="clear" w:color="000000" w:fill="FFFFFF"/>
            <w:vAlign w:val="center"/>
            <w:hideMark/>
          </w:tcPr>
          <w:p w14:paraId="454A505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25.8</w:t>
            </w:r>
          </w:p>
        </w:tc>
        <w:tc>
          <w:tcPr>
            <w:tcW w:w="1520" w:type="dxa"/>
            <w:tcBorders>
              <w:top w:val="nil"/>
              <w:left w:val="nil"/>
              <w:bottom w:val="single" w:sz="4" w:space="0" w:color="auto"/>
              <w:right w:val="single" w:sz="4" w:space="0" w:color="auto"/>
            </w:tcBorders>
            <w:shd w:val="clear" w:color="000000" w:fill="FFFFFF"/>
            <w:vAlign w:val="center"/>
            <w:hideMark/>
          </w:tcPr>
          <w:p w14:paraId="4EF7F40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23.2</w:t>
            </w:r>
          </w:p>
        </w:tc>
      </w:tr>
    </w:tbl>
    <w:p w14:paraId="621D3C29" w14:textId="2C4F2316" w:rsidR="00545919" w:rsidRPr="007F07C2" w:rsidRDefault="00545919" w:rsidP="0079406E">
      <w:pPr>
        <w:autoSpaceDE w:val="0"/>
        <w:autoSpaceDN w:val="0"/>
        <w:adjustRightInd w:val="0"/>
        <w:spacing w:after="0" w:line="240" w:lineRule="auto"/>
        <w:rPr>
          <w:rFonts w:cs="Arial"/>
          <w:sz w:val="18"/>
          <w:szCs w:val="18"/>
        </w:rPr>
      </w:pPr>
    </w:p>
    <w:p w14:paraId="175D840E" w14:textId="799FB924" w:rsidR="0071298D" w:rsidRDefault="001E28F2" w:rsidP="001E28F2">
      <w:pPr>
        <w:rPr>
          <w:rFonts w:cs="Arial"/>
          <w:sz w:val="18"/>
          <w:szCs w:val="18"/>
        </w:rPr>
      </w:pPr>
      <w:r>
        <w:rPr>
          <w:rFonts w:cs="Arial"/>
          <w:sz w:val="18"/>
          <w:szCs w:val="18"/>
        </w:rPr>
        <w:br w:type="page"/>
      </w:r>
    </w:p>
    <w:p w14:paraId="52654451" w14:textId="2057748A" w:rsidR="00D477D5" w:rsidRPr="00EC2F17" w:rsidRDefault="00D477D5" w:rsidP="00EC2F17">
      <w:pPr>
        <w:shd w:val="clear" w:color="auto" w:fill="FFFFFF" w:themeFill="background1"/>
        <w:autoSpaceDE w:val="0"/>
        <w:autoSpaceDN w:val="0"/>
        <w:adjustRightInd w:val="0"/>
        <w:spacing w:after="0" w:line="240" w:lineRule="auto"/>
        <w:rPr>
          <w:rFonts w:cs="Arial"/>
          <w:bCs/>
          <w:szCs w:val="28"/>
        </w:rPr>
      </w:pPr>
    </w:p>
    <w:tbl>
      <w:tblPr>
        <w:tblW w:w="9700" w:type="dxa"/>
        <w:tblLook w:val="04A0" w:firstRow="1" w:lastRow="0" w:firstColumn="1" w:lastColumn="0" w:noHBand="0" w:noVBand="1"/>
      </w:tblPr>
      <w:tblGrid>
        <w:gridCol w:w="1520"/>
        <w:gridCol w:w="1520"/>
        <w:gridCol w:w="3500"/>
        <w:gridCol w:w="1640"/>
        <w:gridCol w:w="1520"/>
      </w:tblGrid>
      <w:tr w:rsidR="001B221B" w:rsidRPr="001B221B" w14:paraId="538FE672" w14:textId="77777777" w:rsidTr="001B221B">
        <w:trPr>
          <w:trHeight w:val="290"/>
        </w:trPr>
        <w:tc>
          <w:tcPr>
            <w:tcW w:w="1520" w:type="dxa"/>
            <w:tcBorders>
              <w:top w:val="single" w:sz="4" w:space="0" w:color="auto"/>
              <w:left w:val="single" w:sz="4" w:space="0" w:color="auto"/>
              <w:bottom w:val="nil"/>
              <w:right w:val="single" w:sz="4" w:space="0" w:color="auto"/>
            </w:tcBorders>
            <w:shd w:val="clear" w:color="000000" w:fill="C00000"/>
            <w:noWrap/>
            <w:vAlign w:val="center"/>
            <w:hideMark/>
          </w:tcPr>
          <w:p w14:paraId="00923115"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520" w:type="dxa"/>
            <w:tcBorders>
              <w:top w:val="single" w:sz="4" w:space="0" w:color="auto"/>
              <w:left w:val="nil"/>
              <w:bottom w:val="nil"/>
              <w:right w:val="single" w:sz="4" w:space="0" w:color="auto"/>
            </w:tcBorders>
            <w:shd w:val="clear" w:color="000000" w:fill="C00000"/>
            <w:noWrap/>
            <w:vAlign w:val="center"/>
            <w:hideMark/>
          </w:tcPr>
          <w:p w14:paraId="0371B252"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3500" w:type="dxa"/>
            <w:tcBorders>
              <w:top w:val="single" w:sz="4" w:space="0" w:color="auto"/>
              <w:left w:val="nil"/>
              <w:bottom w:val="nil"/>
              <w:right w:val="single" w:sz="4" w:space="0" w:color="auto"/>
            </w:tcBorders>
            <w:shd w:val="clear" w:color="000000" w:fill="C00000"/>
            <w:noWrap/>
            <w:vAlign w:val="center"/>
            <w:hideMark/>
          </w:tcPr>
          <w:p w14:paraId="3BD2B667"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Impact on Defined Benefit Obligation</w:t>
            </w:r>
          </w:p>
        </w:tc>
        <w:tc>
          <w:tcPr>
            <w:tcW w:w="1640" w:type="dxa"/>
            <w:tcBorders>
              <w:top w:val="single" w:sz="4" w:space="0" w:color="auto"/>
              <w:left w:val="nil"/>
              <w:bottom w:val="nil"/>
              <w:right w:val="single" w:sz="4" w:space="0" w:color="auto"/>
            </w:tcBorders>
            <w:shd w:val="clear" w:color="000000" w:fill="C00000"/>
            <w:noWrap/>
            <w:vAlign w:val="center"/>
            <w:hideMark/>
          </w:tcPr>
          <w:p w14:paraId="1DAC5EC0"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520" w:type="dxa"/>
            <w:tcBorders>
              <w:top w:val="single" w:sz="4" w:space="0" w:color="auto"/>
              <w:left w:val="nil"/>
              <w:bottom w:val="nil"/>
              <w:right w:val="single" w:sz="4" w:space="0" w:color="auto"/>
            </w:tcBorders>
            <w:shd w:val="clear" w:color="000000" w:fill="C00000"/>
            <w:noWrap/>
            <w:vAlign w:val="center"/>
            <w:hideMark/>
          </w:tcPr>
          <w:p w14:paraId="78BBB15B"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03489A8F" w14:textId="77777777" w:rsidTr="001B221B">
        <w:trPr>
          <w:trHeight w:val="1160"/>
        </w:trPr>
        <w:tc>
          <w:tcPr>
            <w:tcW w:w="1520" w:type="dxa"/>
            <w:tcBorders>
              <w:top w:val="nil"/>
              <w:left w:val="single" w:sz="4" w:space="0" w:color="auto"/>
              <w:bottom w:val="nil"/>
              <w:right w:val="single" w:sz="4" w:space="0" w:color="auto"/>
            </w:tcBorders>
            <w:shd w:val="clear" w:color="000000" w:fill="C00000"/>
            <w:vAlign w:val="center"/>
            <w:hideMark/>
          </w:tcPr>
          <w:p w14:paraId="52887CF4"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    Pension scheme</w:t>
            </w:r>
          </w:p>
        </w:tc>
        <w:tc>
          <w:tcPr>
            <w:tcW w:w="1520" w:type="dxa"/>
            <w:tcBorders>
              <w:top w:val="nil"/>
              <w:left w:val="nil"/>
              <w:bottom w:val="nil"/>
              <w:right w:val="single" w:sz="4" w:space="0" w:color="auto"/>
            </w:tcBorders>
            <w:shd w:val="clear" w:color="000000" w:fill="C00000"/>
            <w:vAlign w:val="center"/>
            <w:hideMark/>
          </w:tcPr>
          <w:p w14:paraId="592E78CD"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 Pension Scheme</w:t>
            </w:r>
          </w:p>
        </w:tc>
        <w:tc>
          <w:tcPr>
            <w:tcW w:w="3500" w:type="dxa"/>
            <w:tcBorders>
              <w:top w:val="nil"/>
              <w:left w:val="nil"/>
              <w:bottom w:val="nil"/>
              <w:right w:val="single" w:sz="4" w:space="0" w:color="auto"/>
            </w:tcBorders>
            <w:shd w:val="clear" w:color="000000" w:fill="C00000"/>
            <w:vAlign w:val="center"/>
            <w:hideMark/>
          </w:tcPr>
          <w:p w14:paraId="66DD3A58"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Increase/Decrease in assumption</w:t>
            </w:r>
          </w:p>
        </w:tc>
        <w:tc>
          <w:tcPr>
            <w:tcW w:w="1640" w:type="dxa"/>
            <w:tcBorders>
              <w:top w:val="nil"/>
              <w:left w:val="nil"/>
              <w:bottom w:val="nil"/>
              <w:right w:val="single" w:sz="4" w:space="0" w:color="auto"/>
            </w:tcBorders>
            <w:shd w:val="clear" w:color="000000" w:fill="C00000"/>
            <w:vAlign w:val="center"/>
            <w:hideMark/>
          </w:tcPr>
          <w:p w14:paraId="5014350F"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    Pension scheme</w:t>
            </w:r>
          </w:p>
        </w:tc>
        <w:tc>
          <w:tcPr>
            <w:tcW w:w="1520" w:type="dxa"/>
            <w:tcBorders>
              <w:top w:val="nil"/>
              <w:left w:val="nil"/>
              <w:bottom w:val="nil"/>
              <w:right w:val="single" w:sz="4" w:space="0" w:color="auto"/>
            </w:tcBorders>
            <w:shd w:val="clear" w:color="000000" w:fill="C00000"/>
            <w:vAlign w:val="center"/>
            <w:hideMark/>
          </w:tcPr>
          <w:p w14:paraId="32445A4A" w14:textId="77777777" w:rsidR="001B221B" w:rsidRPr="001B221B" w:rsidRDefault="001B221B" w:rsidP="001B221B">
            <w:pPr>
              <w:spacing w:after="0" w:line="240" w:lineRule="auto"/>
              <w:jc w:val="center"/>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 Pension Scheme</w:t>
            </w:r>
          </w:p>
        </w:tc>
      </w:tr>
      <w:tr w:rsidR="001B221B" w:rsidRPr="001B221B" w14:paraId="04EC99BB" w14:textId="77777777" w:rsidTr="001B221B">
        <w:trPr>
          <w:trHeight w:val="290"/>
        </w:trPr>
        <w:tc>
          <w:tcPr>
            <w:tcW w:w="1520" w:type="dxa"/>
            <w:tcBorders>
              <w:top w:val="nil"/>
              <w:left w:val="single" w:sz="4" w:space="0" w:color="auto"/>
              <w:bottom w:val="nil"/>
              <w:right w:val="single" w:sz="4" w:space="0" w:color="auto"/>
            </w:tcBorders>
            <w:shd w:val="clear" w:color="000000" w:fill="C00000"/>
            <w:vAlign w:val="center"/>
            <w:hideMark/>
          </w:tcPr>
          <w:p w14:paraId="135E12F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1520" w:type="dxa"/>
            <w:tcBorders>
              <w:top w:val="nil"/>
              <w:left w:val="nil"/>
              <w:bottom w:val="nil"/>
              <w:right w:val="single" w:sz="4" w:space="0" w:color="auto"/>
            </w:tcBorders>
            <w:shd w:val="clear" w:color="000000" w:fill="C00000"/>
            <w:vAlign w:val="center"/>
            <w:hideMark/>
          </w:tcPr>
          <w:p w14:paraId="1B0ACF0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2021</w:t>
            </w:r>
          </w:p>
        </w:tc>
        <w:tc>
          <w:tcPr>
            <w:tcW w:w="3500" w:type="dxa"/>
            <w:tcBorders>
              <w:top w:val="nil"/>
              <w:left w:val="nil"/>
              <w:bottom w:val="nil"/>
              <w:right w:val="single" w:sz="4" w:space="0" w:color="auto"/>
            </w:tcBorders>
            <w:shd w:val="clear" w:color="000000" w:fill="C00000"/>
            <w:vAlign w:val="center"/>
            <w:hideMark/>
          </w:tcPr>
          <w:p w14:paraId="08B5E21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nil"/>
              <w:right w:val="single" w:sz="4" w:space="0" w:color="auto"/>
            </w:tcBorders>
            <w:shd w:val="clear" w:color="000000" w:fill="C00000"/>
            <w:vAlign w:val="center"/>
            <w:hideMark/>
          </w:tcPr>
          <w:p w14:paraId="44B05BC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c>
          <w:tcPr>
            <w:tcW w:w="1520" w:type="dxa"/>
            <w:tcBorders>
              <w:top w:val="nil"/>
              <w:left w:val="nil"/>
              <w:bottom w:val="nil"/>
              <w:right w:val="nil"/>
            </w:tcBorders>
            <w:shd w:val="clear" w:color="000000" w:fill="C00000"/>
            <w:vAlign w:val="center"/>
            <w:hideMark/>
          </w:tcPr>
          <w:p w14:paraId="3CBEF5E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March 2022</w:t>
            </w:r>
          </w:p>
        </w:tc>
      </w:tr>
      <w:tr w:rsidR="001B221B" w:rsidRPr="001B221B" w14:paraId="297F9706" w14:textId="77777777" w:rsidTr="001B221B">
        <w:trPr>
          <w:trHeight w:val="290"/>
        </w:trPr>
        <w:tc>
          <w:tcPr>
            <w:tcW w:w="1520" w:type="dxa"/>
            <w:tcBorders>
              <w:top w:val="nil"/>
              <w:left w:val="single" w:sz="4" w:space="0" w:color="auto"/>
              <w:bottom w:val="nil"/>
              <w:right w:val="single" w:sz="4" w:space="0" w:color="auto"/>
            </w:tcBorders>
            <w:shd w:val="clear" w:color="000000" w:fill="FFFFFF"/>
            <w:noWrap/>
            <w:vAlign w:val="center"/>
            <w:hideMark/>
          </w:tcPr>
          <w:p w14:paraId="03D2434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c>
          <w:tcPr>
            <w:tcW w:w="1520" w:type="dxa"/>
            <w:tcBorders>
              <w:top w:val="nil"/>
              <w:left w:val="nil"/>
              <w:bottom w:val="nil"/>
              <w:right w:val="single" w:sz="4" w:space="0" w:color="auto"/>
            </w:tcBorders>
            <w:shd w:val="clear" w:color="000000" w:fill="FFFFFF"/>
            <w:noWrap/>
            <w:vAlign w:val="center"/>
            <w:hideMark/>
          </w:tcPr>
          <w:p w14:paraId="346A9716" w14:textId="7741D413"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r w:rsidR="001B221B" w:rsidRPr="001B221B">
              <w:rPr>
                <w:rFonts w:ascii="Calibri" w:eastAsia="Times New Roman" w:hAnsi="Calibri" w:cs="Calibri"/>
                <w:color w:val="000000"/>
                <w:lang w:eastAsia="en-GB"/>
              </w:rPr>
              <w:t>.0%</w:t>
            </w:r>
          </w:p>
        </w:tc>
        <w:tc>
          <w:tcPr>
            <w:tcW w:w="3500" w:type="dxa"/>
            <w:tcBorders>
              <w:top w:val="nil"/>
              <w:left w:val="nil"/>
              <w:bottom w:val="nil"/>
              <w:right w:val="single" w:sz="4" w:space="0" w:color="auto"/>
            </w:tcBorders>
            <w:shd w:val="clear" w:color="000000" w:fill="FFFFFF"/>
            <w:vAlign w:val="center"/>
            <w:hideMark/>
          </w:tcPr>
          <w:p w14:paraId="7833009A"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Longevity (increase in 1 year)</w:t>
            </w:r>
          </w:p>
        </w:tc>
        <w:tc>
          <w:tcPr>
            <w:tcW w:w="1640" w:type="dxa"/>
            <w:tcBorders>
              <w:top w:val="nil"/>
              <w:left w:val="nil"/>
              <w:bottom w:val="nil"/>
              <w:right w:val="single" w:sz="4" w:space="0" w:color="auto"/>
            </w:tcBorders>
            <w:shd w:val="clear" w:color="000000" w:fill="FFFFFF"/>
            <w:noWrap/>
            <w:vAlign w:val="center"/>
            <w:hideMark/>
          </w:tcPr>
          <w:p w14:paraId="57AB1D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c>
          <w:tcPr>
            <w:tcW w:w="1520" w:type="dxa"/>
            <w:tcBorders>
              <w:top w:val="nil"/>
              <w:left w:val="nil"/>
              <w:bottom w:val="nil"/>
              <w:right w:val="single" w:sz="4" w:space="0" w:color="auto"/>
            </w:tcBorders>
            <w:shd w:val="clear" w:color="000000" w:fill="FFFFFF"/>
            <w:noWrap/>
            <w:vAlign w:val="center"/>
            <w:hideMark/>
          </w:tcPr>
          <w:p w14:paraId="5A95378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3.5%</w:t>
            </w:r>
          </w:p>
        </w:tc>
      </w:tr>
      <w:tr w:rsidR="001B221B" w:rsidRPr="001B221B" w14:paraId="1CE77C2E"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1ED1936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nil"/>
              <w:right w:val="single" w:sz="4" w:space="0" w:color="auto"/>
            </w:tcBorders>
            <w:shd w:val="clear" w:color="000000" w:fill="FFFFFF"/>
            <w:noWrap/>
            <w:vAlign w:val="center"/>
            <w:hideMark/>
          </w:tcPr>
          <w:p w14:paraId="690FADAD" w14:textId="2F174AC5"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w:t>
            </w:r>
            <w:r w:rsidR="001B221B" w:rsidRPr="001B221B">
              <w:rPr>
                <w:rFonts w:ascii="Calibri" w:eastAsia="Times New Roman" w:hAnsi="Calibri" w:cs="Calibri"/>
                <w:color w:val="000000"/>
                <w:lang w:eastAsia="en-GB"/>
              </w:rPr>
              <w:t>.5%</w:t>
            </w:r>
          </w:p>
        </w:tc>
        <w:tc>
          <w:tcPr>
            <w:tcW w:w="3500" w:type="dxa"/>
            <w:tcBorders>
              <w:top w:val="nil"/>
              <w:left w:val="nil"/>
              <w:bottom w:val="nil"/>
              <w:right w:val="single" w:sz="4" w:space="0" w:color="auto"/>
            </w:tcBorders>
            <w:shd w:val="clear" w:color="000000" w:fill="FFFFFF"/>
            <w:vAlign w:val="center"/>
            <w:hideMark/>
          </w:tcPr>
          <w:p w14:paraId="1986C3F4"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salaries (increase by 0.5%)</w:t>
            </w:r>
          </w:p>
        </w:tc>
        <w:tc>
          <w:tcPr>
            <w:tcW w:w="1640" w:type="dxa"/>
            <w:tcBorders>
              <w:top w:val="nil"/>
              <w:left w:val="nil"/>
              <w:bottom w:val="nil"/>
              <w:right w:val="single" w:sz="4" w:space="0" w:color="auto"/>
            </w:tcBorders>
            <w:shd w:val="clear" w:color="000000" w:fill="FFFFFF"/>
            <w:noWrap/>
            <w:vAlign w:val="center"/>
            <w:hideMark/>
          </w:tcPr>
          <w:p w14:paraId="6218360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0.0%</w:t>
            </w:r>
          </w:p>
        </w:tc>
        <w:tc>
          <w:tcPr>
            <w:tcW w:w="1520" w:type="dxa"/>
            <w:tcBorders>
              <w:top w:val="nil"/>
              <w:left w:val="nil"/>
              <w:bottom w:val="nil"/>
              <w:right w:val="single" w:sz="4" w:space="0" w:color="auto"/>
            </w:tcBorders>
            <w:shd w:val="clear" w:color="000000" w:fill="FFFFFF"/>
            <w:noWrap/>
            <w:vAlign w:val="center"/>
            <w:hideMark/>
          </w:tcPr>
          <w:p w14:paraId="55DD112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1.5%</w:t>
            </w:r>
          </w:p>
        </w:tc>
      </w:tr>
      <w:tr w:rsidR="001B221B" w:rsidRPr="001B221B" w14:paraId="24AB4DF5" w14:textId="77777777" w:rsidTr="001B221B">
        <w:trPr>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7793ABF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10.0%</w:t>
            </w:r>
          </w:p>
        </w:tc>
        <w:tc>
          <w:tcPr>
            <w:tcW w:w="1520" w:type="dxa"/>
            <w:tcBorders>
              <w:top w:val="nil"/>
              <w:left w:val="nil"/>
              <w:bottom w:val="nil"/>
              <w:right w:val="single" w:sz="4" w:space="0" w:color="auto"/>
            </w:tcBorders>
            <w:shd w:val="clear" w:color="000000" w:fill="FFFFFF"/>
            <w:noWrap/>
            <w:vAlign w:val="center"/>
            <w:hideMark/>
          </w:tcPr>
          <w:p w14:paraId="773989A8" w14:textId="77F5232C"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7.5</w:t>
            </w:r>
            <w:r w:rsidR="001B221B" w:rsidRPr="001B221B">
              <w:rPr>
                <w:rFonts w:ascii="Calibri" w:eastAsia="Times New Roman" w:hAnsi="Calibri" w:cs="Calibri"/>
                <w:color w:val="000000"/>
                <w:lang w:eastAsia="en-GB"/>
              </w:rPr>
              <w:t>%</w:t>
            </w:r>
          </w:p>
        </w:tc>
        <w:tc>
          <w:tcPr>
            <w:tcW w:w="3500" w:type="dxa"/>
            <w:tcBorders>
              <w:top w:val="nil"/>
              <w:left w:val="nil"/>
              <w:bottom w:val="nil"/>
              <w:right w:val="single" w:sz="4" w:space="0" w:color="auto"/>
            </w:tcBorders>
            <w:shd w:val="clear" w:color="000000" w:fill="FFFFFF"/>
            <w:vAlign w:val="center"/>
            <w:hideMark/>
          </w:tcPr>
          <w:p w14:paraId="7562EB56"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of increase in pensions (increase 0.5%)</w:t>
            </w:r>
          </w:p>
        </w:tc>
        <w:tc>
          <w:tcPr>
            <w:tcW w:w="1640" w:type="dxa"/>
            <w:tcBorders>
              <w:top w:val="nil"/>
              <w:left w:val="nil"/>
              <w:bottom w:val="nil"/>
              <w:right w:val="single" w:sz="4" w:space="0" w:color="auto"/>
            </w:tcBorders>
            <w:shd w:val="clear" w:color="000000" w:fill="FFFFFF"/>
            <w:noWrap/>
            <w:vAlign w:val="center"/>
            <w:hideMark/>
          </w:tcPr>
          <w:p w14:paraId="6EEB45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nil"/>
              <w:right w:val="single" w:sz="4" w:space="0" w:color="auto"/>
            </w:tcBorders>
            <w:shd w:val="clear" w:color="000000" w:fill="FFFFFF"/>
            <w:noWrap/>
            <w:vAlign w:val="center"/>
            <w:hideMark/>
          </w:tcPr>
          <w:p w14:paraId="52D3DBF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w:t>
            </w:r>
          </w:p>
        </w:tc>
      </w:tr>
      <w:tr w:rsidR="001B221B" w:rsidRPr="001B221B" w14:paraId="2C5A131D" w14:textId="77777777" w:rsidTr="001B221B">
        <w:trPr>
          <w:trHeight w:val="580"/>
        </w:trPr>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ADA69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520" w:type="dxa"/>
            <w:tcBorders>
              <w:top w:val="nil"/>
              <w:left w:val="nil"/>
              <w:bottom w:val="single" w:sz="4" w:space="0" w:color="auto"/>
              <w:right w:val="single" w:sz="4" w:space="0" w:color="auto"/>
            </w:tcBorders>
            <w:shd w:val="clear" w:color="000000" w:fill="FFFFFF"/>
            <w:noWrap/>
            <w:vAlign w:val="center"/>
            <w:hideMark/>
          </w:tcPr>
          <w:p w14:paraId="0815CCA0" w14:textId="22A9E3D2"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r w:rsidR="001B221B" w:rsidRPr="001B221B">
              <w:rPr>
                <w:rFonts w:ascii="Calibri" w:eastAsia="Times New Roman" w:hAnsi="Calibri" w:cs="Calibri"/>
                <w:color w:val="000000"/>
                <w:lang w:eastAsia="en-GB"/>
              </w:rPr>
              <w:t>.0%</w:t>
            </w:r>
          </w:p>
        </w:tc>
        <w:tc>
          <w:tcPr>
            <w:tcW w:w="3500" w:type="dxa"/>
            <w:tcBorders>
              <w:top w:val="nil"/>
              <w:left w:val="nil"/>
              <w:bottom w:val="single" w:sz="4" w:space="0" w:color="auto"/>
              <w:right w:val="single" w:sz="4" w:space="0" w:color="auto"/>
            </w:tcBorders>
            <w:shd w:val="clear" w:color="000000" w:fill="FFFFFF"/>
            <w:vAlign w:val="center"/>
            <w:hideMark/>
          </w:tcPr>
          <w:p w14:paraId="4757CC5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Rate for discounting Scheme liabilities (decrease by 0.5%)</w:t>
            </w:r>
          </w:p>
        </w:tc>
        <w:tc>
          <w:tcPr>
            <w:tcW w:w="1640" w:type="dxa"/>
            <w:tcBorders>
              <w:top w:val="nil"/>
              <w:left w:val="nil"/>
              <w:bottom w:val="single" w:sz="4" w:space="0" w:color="auto"/>
              <w:right w:val="single" w:sz="4" w:space="0" w:color="auto"/>
            </w:tcBorders>
            <w:shd w:val="clear" w:color="000000" w:fill="FFFFFF"/>
            <w:noWrap/>
            <w:vAlign w:val="center"/>
            <w:hideMark/>
          </w:tcPr>
          <w:p w14:paraId="0E4845D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2.0%</w:t>
            </w:r>
          </w:p>
        </w:tc>
        <w:tc>
          <w:tcPr>
            <w:tcW w:w="1520" w:type="dxa"/>
            <w:tcBorders>
              <w:top w:val="nil"/>
              <w:left w:val="nil"/>
              <w:bottom w:val="single" w:sz="4" w:space="0" w:color="auto"/>
              <w:right w:val="single" w:sz="4" w:space="0" w:color="auto"/>
            </w:tcBorders>
            <w:shd w:val="clear" w:color="000000" w:fill="FFFFFF"/>
            <w:noWrap/>
            <w:vAlign w:val="center"/>
            <w:hideMark/>
          </w:tcPr>
          <w:p w14:paraId="05ABD6B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-9.5%</w:t>
            </w:r>
          </w:p>
        </w:tc>
      </w:tr>
    </w:tbl>
    <w:p w14:paraId="1CB735B7" w14:textId="56F1FBDC" w:rsidR="006D0C7E" w:rsidRPr="007F07C2" w:rsidRDefault="006D0C7E" w:rsidP="00E519B3">
      <w:pPr>
        <w:tabs>
          <w:tab w:val="left" w:pos="6521"/>
        </w:tabs>
        <w:autoSpaceDE w:val="0"/>
        <w:autoSpaceDN w:val="0"/>
        <w:adjustRightInd w:val="0"/>
        <w:spacing w:after="0" w:line="240" w:lineRule="auto"/>
      </w:pPr>
    </w:p>
    <w:p w14:paraId="1B9E3B59" w14:textId="5D9A5F2A" w:rsidR="001B221B" w:rsidRDefault="001B221B" w:rsidP="001B221B">
      <w:pPr>
        <w:shd w:val="clear" w:color="auto" w:fill="FFFFFF" w:themeFill="background1"/>
        <w:autoSpaceDE w:val="0"/>
        <w:autoSpaceDN w:val="0"/>
        <w:adjustRightInd w:val="0"/>
        <w:spacing w:after="0" w:line="240" w:lineRule="auto"/>
        <w:rPr>
          <w:rFonts w:cs="Arial"/>
          <w:bCs/>
          <w:szCs w:val="28"/>
        </w:rPr>
      </w:pPr>
      <w:r>
        <w:rPr>
          <w:rFonts w:cs="Arial"/>
          <w:bCs/>
          <w:szCs w:val="28"/>
        </w:rPr>
        <w:t>T</w:t>
      </w:r>
      <w:r w:rsidRPr="007F07C2">
        <w:rPr>
          <w:rFonts w:cs="Arial"/>
          <w:bCs/>
          <w:szCs w:val="28"/>
        </w:rPr>
        <w:t>he Fire Pension Scheme has no assets to cover its liabilities.  The Local Government Pension Scheme’s assets consist of the following categories, by proportion of the total assets held:</w:t>
      </w:r>
    </w:p>
    <w:p w14:paraId="0641BA9C" w14:textId="77777777" w:rsidR="00ED2A06" w:rsidRDefault="00ED2A06" w:rsidP="001B221B">
      <w:pPr>
        <w:shd w:val="clear" w:color="auto" w:fill="FFFFFF" w:themeFill="background1"/>
        <w:autoSpaceDE w:val="0"/>
        <w:autoSpaceDN w:val="0"/>
        <w:adjustRightInd w:val="0"/>
        <w:spacing w:after="0" w:line="240" w:lineRule="auto"/>
        <w:rPr>
          <w:rFonts w:cs="Arial"/>
          <w:bCs/>
          <w:szCs w:val="28"/>
        </w:rPr>
      </w:pPr>
    </w:p>
    <w:tbl>
      <w:tblPr>
        <w:tblW w:w="6660" w:type="dxa"/>
        <w:tblLook w:val="04A0" w:firstRow="1" w:lastRow="0" w:firstColumn="1" w:lastColumn="0" w:noHBand="0" w:noVBand="1"/>
      </w:tblPr>
      <w:tblGrid>
        <w:gridCol w:w="1838"/>
        <w:gridCol w:w="3182"/>
        <w:gridCol w:w="1640"/>
      </w:tblGrid>
      <w:tr w:rsidR="001B221B" w:rsidRPr="001B221B" w14:paraId="79E56D05" w14:textId="77777777" w:rsidTr="00493F30">
        <w:trPr>
          <w:trHeight w:val="290"/>
        </w:trPr>
        <w:tc>
          <w:tcPr>
            <w:tcW w:w="1838" w:type="dxa"/>
            <w:tcBorders>
              <w:top w:val="single" w:sz="4" w:space="0" w:color="auto"/>
              <w:left w:val="single" w:sz="4" w:space="0" w:color="auto"/>
              <w:bottom w:val="nil"/>
              <w:right w:val="single" w:sz="4" w:space="0" w:color="auto"/>
            </w:tcBorders>
            <w:shd w:val="clear" w:color="000000" w:fill="C00000"/>
            <w:vAlign w:val="center"/>
            <w:hideMark/>
          </w:tcPr>
          <w:p w14:paraId="6E54EDB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31 March 2021</w:t>
            </w:r>
          </w:p>
        </w:tc>
        <w:tc>
          <w:tcPr>
            <w:tcW w:w="3182" w:type="dxa"/>
            <w:tcBorders>
              <w:top w:val="single" w:sz="4" w:space="0" w:color="auto"/>
              <w:left w:val="nil"/>
              <w:bottom w:val="nil"/>
              <w:right w:val="single" w:sz="4" w:space="0" w:color="auto"/>
            </w:tcBorders>
            <w:shd w:val="clear" w:color="000000" w:fill="C00000"/>
            <w:vAlign w:val="center"/>
            <w:hideMark/>
          </w:tcPr>
          <w:p w14:paraId="4B316AB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single" w:sz="4" w:space="0" w:color="auto"/>
              <w:left w:val="nil"/>
              <w:bottom w:val="nil"/>
              <w:right w:val="single" w:sz="4" w:space="0" w:color="auto"/>
            </w:tcBorders>
            <w:shd w:val="clear" w:color="000000" w:fill="C00000"/>
            <w:vAlign w:val="center"/>
            <w:hideMark/>
          </w:tcPr>
          <w:p w14:paraId="41D7410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6FD5E9A5" w14:textId="77777777" w:rsidTr="00493F30">
        <w:trPr>
          <w:trHeight w:val="290"/>
        </w:trPr>
        <w:tc>
          <w:tcPr>
            <w:tcW w:w="1838" w:type="dxa"/>
            <w:tcBorders>
              <w:top w:val="nil"/>
              <w:left w:val="single" w:sz="4" w:space="0" w:color="auto"/>
              <w:bottom w:val="single" w:sz="4" w:space="0" w:color="auto"/>
              <w:right w:val="single" w:sz="4" w:space="0" w:color="auto"/>
            </w:tcBorders>
            <w:shd w:val="clear" w:color="000000" w:fill="C00000"/>
            <w:vAlign w:val="center"/>
            <w:hideMark/>
          </w:tcPr>
          <w:p w14:paraId="719458B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3182" w:type="dxa"/>
            <w:tcBorders>
              <w:top w:val="nil"/>
              <w:left w:val="nil"/>
              <w:bottom w:val="single" w:sz="4" w:space="0" w:color="auto"/>
              <w:right w:val="single" w:sz="4" w:space="0" w:color="auto"/>
            </w:tcBorders>
            <w:shd w:val="clear" w:color="000000" w:fill="C00000"/>
            <w:vAlign w:val="center"/>
            <w:hideMark/>
          </w:tcPr>
          <w:p w14:paraId="631C6714"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640" w:type="dxa"/>
            <w:tcBorders>
              <w:top w:val="nil"/>
              <w:left w:val="nil"/>
              <w:bottom w:val="single" w:sz="4" w:space="0" w:color="auto"/>
              <w:right w:val="single" w:sz="4" w:space="0" w:color="auto"/>
            </w:tcBorders>
            <w:shd w:val="clear" w:color="000000" w:fill="C00000"/>
            <w:vAlign w:val="center"/>
            <w:hideMark/>
          </w:tcPr>
          <w:p w14:paraId="53AB5B2F"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47999EF2"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7C715B6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w:t>
            </w:r>
          </w:p>
        </w:tc>
        <w:tc>
          <w:tcPr>
            <w:tcW w:w="3182" w:type="dxa"/>
            <w:tcBorders>
              <w:top w:val="nil"/>
              <w:left w:val="nil"/>
              <w:bottom w:val="nil"/>
              <w:right w:val="single" w:sz="4" w:space="0" w:color="auto"/>
            </w:tcBorders>
            <w:shd w:val="clear" w:color="000000" w:fill="FFFFFF"/>
            <w:vAlign w:val="center"/>
            <w:hideMark/>
          </w:tcPr>
          <w:p w14:paraId="23CC26A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Cash and Cash Equivalents</w:t>
            </w:r>
          </w:p>
        </w:tc>
        <w:tc>
          <w:tcPr>
            <w:tcW w:w="1640" w:type="dxa"/>
            <w:tcBorders>
              <w:top w:val="nil"/>
              <w:left w:val="nil"/>
              <w:bottom w:val="nil"/>
              <w:right w:val="single" w:sz="4" w:space="0" w:color="auto"/>
            </w:tcBorders>
            <w:shd w:val="clear" w:color="000000" w:fill="FFFFFF"/>
            <w:vAlign w:val="center"/>
            <w:hideMark/>
          </w:tcPr>
          <w:p w14:paraId="69F3C35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w:t>
            </w:r>
          </w:p>
        </w:tc>
      </w:tr>
      <w:tr w:rsidR="001B221B" w:rsidRPr="001B221B" w14:paraId="258A631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006B7691" w14:textId="77777777" w:rsidR="003C3A4C" w:rsidRDefault="003C3A4C" w:rsidP="001B221B">
            <w:pPr>
              <w:spacing w:after="0" w:line="240" w:lineRule="auto"/>
              <w:jc w:val="right"/>
              <w:rPr>
                <w:rFonts w:ascii="Calibri" w:eastAsia="Times New Roman" w:hAnsi="Calibri" w:cs="Calibri"/>
                <w:color w:val="000000"/>
                <w:lang w:eastAsia="en-GB"/>
              </w:rPr>
            </w:pPr>
          </w:p>
          <w:p w14:paraId="6B73888C" w14:textId="35B047E2" w:rsidR="001B221B" w:rsidRPr="001B221B" w:rsidRDefault="003C3A4C"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1B221B"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2B7E0FBA" w14:textId="77777777" w:rsidR="003C3A4C" w:rsidRDefault="003C3A4C" w:rsidP="001B221B">
            <w:pPr>
              <w:spacing w:after="0" w:line="240" w:lineRule="auto"/>
              <w:rPr>
                <w:rFonts w:ascii="Calibri" w:eastAsia="Times New Roman" w:hAnsi="Calibri" w:cs="Calibri"/>
                <w:b/>
                <w:bCs/>
                <w:color w:val="000000"/>
                <w:lang w:eastAsia="en-GB"/>
              </w:rPr>
            </w:pPr>
          </w:p>
          <w:p w14:paraId="4A4A4C82" w14:textId="18F288FD"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Equity Securities</w:t>
            </w:r>
          </w:p>
        </w:tc>
        <w:tc>
          <w:tcPr>
            <w:tcW w:w="1640" w:type="dxa"/>
            <w:tcBorders>
              <w:top w:val="nil"/>
              <w:left w:val="nil"/>
              <w:bottom w:val="nil"/>
              <w:right w:val="single" w:sz="4" w:space="0" w:color="auto"/>
            </w:tcBorders>
            <w:shd w:val="clear" w:color="000000" w:fill="FFFFFF"/>
            <w:vAlign w:val="center"/>
            <w:hideMark/>
          </w:tcPr>
          <w:p w14:paraId="6B92F383" w14:textId="77777777" w:rsidR="003C3A4C" w:rsidRDefault="003C3A4C" w:rsidP="001B221B">
            <w:pPr>
              <w:spacing w:after="0" w:line="240" w:lineRule="auto"/>
              <w:jc w:val="right"/>
              <w:rPr>
                <w:rFonts w:ascii="Calibri" w:eastAsia="Times New Roman" w:hAnsi="Calibri" w:cs="Calibri"/>
                <w:color w:val="000000"/>
                <w:lang w:eastAsia="en-GB"/>
              </w:rPr>
            </w:pPr>
          </w:p>
          <w:p w14:paraId="1F65F590" w14:textId="7F94EA83" w:rsidR="001B221B" w:rsidRPr="001B221B" w:rsidRDefault="003C3A4C"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1B221B" w:rsidRPr="001B221B">
              <w:rPr>
                <w:rFonts w:ascii="Calibri" w:eastAsia="Times New Roman" w:hAnsi="Calibri" w:cs="Calibri"/>
                <w:color w:val="000000"/>
                <w:lang w:eastAsia="en-GB"/>
              </w:rPr>
              <w:t> </w:t>
            </w:r>
          </w:p>
        </w:tc>
      </w:tr>
      <w:tr w:rsidR="001B221B" w:rsidRPr="001B221B" w14:paraId="63AFA4C3" w14:textId="77777777" w:rsidTr="003C3A4C">
        <w:trPr>
          <w:trHeight w:val="290"/>
        </w:trPr>
        <w:tc>
          <w:tcPr>
            <w:tcW w:w="1838" w:type="dxa"/>
            <w:tcBorders>
              <w:top w:val="nil"/>
              <w:left w:val="single" w:sz="4" w:space="0" w:color="auto"/>
              <w:bottom w:val="nil"/>
              <w:right w:val="single" w:sz="4" w:space="0" w:color="auto"/>
            </w:tcBorders>
            <w:shd w:val="clear" w:color="000000" w:fill="FFFFFF"/>
            <w:vAlign w:val="center"/>
          </w:tcPr>
          <w:p w14:paraId="401FBECB" w14:textId="1873D41E" w:rsidR="001B221B" w:rsidRPr="001B221B" w:rsidRDefault="001B221B"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1CE759E6" w14:textId="5AB1F693" w:rsidR="001B221B" w:rsidRPr="001B221B" w:rsidRDefault="001B221B"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hideMark/>
          </w:tcPr>
          <w:p w14:paraId="7270927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0D3CA76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450BC4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08530DA4"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Debt Securities Bonds</w:t>
            </w:r>
          </w:p>
        </w:tc>
        <w:tc>
          <w:tcPr>
            <w:tcW w:w="1640" w:type="dxa"/>
            <w:tcBorders>
              <w:top w:val="nil"/>
              <w:left w:val="nil"/>
              <w:bottom w:val="nil"/>
              <w:right w:val="single" w:sz="4" w:space="0" w:color="auto"/>
            </w:tcBorders>
            <w:shd w:val="clear" w:color="000000" w:fill="FFFFFF"/>
            <w:vAlign w:val="center"/>
            <w:hideMark/>
          </w:tcPr>
          <w:p w14:paraId="753F020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EA5D54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AEEAF0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818</w:t>
            </w:r>
          </w:p>
        </w:tc>
        <w:tc>
          <w:tcPr>
            <w:tcW w:w="3182" w:type="dxa"/>
            <w:tcBorders>
              <w:top w:val="nil"/>
              <w:left w:val="nil"/>
              <w:bottom w:val="nil"/>
              <w:right w:val="single" w:sz="4" w:space="0" w:color="auto"/>
            </w:tcBorders>
            <w:shd w:val="clear" w:color="000000" w:fill="FFFFFF"/>
            <w:vAlign w:val="center"/>
            <w:hideMark/>
          </w:tcPr>
          <w:p w14:paraId="61BD512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Government </w:t>
            </w:r>
          </w:p>
        </w:tc>
        <w:tc>
          <w:tcPr>
            <w:tcW w:w="1640" w:type="dxa"/>
            <w:tcBorders>
              <w:top w:val="nil"/>
              <w:left w:val="nil"/>
              <w:bottom w:val="nil"/>
              <w:right w:val="single" w:sz="4" w:space="0" w:color="auto"/>
            </w:tcBorders>
            <w:shd w:val="clear" w:color="000000" w:fill="FFFFFF"/>
            <w:vAlign w:val="center"/>
            <w:hideMark/>
          </w:tcPr>
          <w:p w14:paraId="36DEDBD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908</w:t>
            </w:r>
          </w:p>
        </w:tc>
      </w:tr>
      <w:tr w:rsidR="003C3A4C" w:rsidRPr="001B221B" w14:paraId="3F660FC7"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tcPr>
          <w:p w14:paraId="2F97735B"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60312BB2" w14:textId="77777777" w:rsidR="003C3A4C" w:rsidRPr="001B221B" w:rsidRDefault="003C3A4C"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tcPr>
          <w:p w14:paraId="596629FF"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r>
      <w:tr w:rsidR="001B221B" w:rsidRPr="001B221B" w14:paraId="3422F5B0"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5AF3C16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544FB0F6"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Property</w:t>
            </w:r>
          </w:p>
        </w:tc>
        <w:tc>
          <w:tcPr>
            <w:tcW w:w="1640" w:type="dxa"/>
            <w:tcBorders>
              <w:top w:val="nil"/>
              <w:left w:val="nil"/>
              <w:bottom w:val="nil"/>
              <w:right w:val="single" w:sz="4" w:space="0" w:color="auto"/>
            </w:tcBorders>
            <w:shd w:val="clear" w:color="000000" w:fill="FFFFFF"/>
            <w:vAlign w:val="center"/>
            <w:hideMark/>
          </w:tcPr>
          <w:p w14:paraId="1044A2B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7AC3FEAE"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C38250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467</w:t>
            </w:r>
          </w:p>
        </w:tc>
        <w:tc>
          <w:tcPr>
            <w:tcW w:w="3182" w:type="dxa"/>
            <w:tcBorders>
              <w:top w:val="nil"/>
              <w:left w:val="nil"/>
              <w:bottom w:val="nil"/>
              <w:right w:val="single" w:sz="4" w:space="0" w:color="auto"/>
            </w:tcBorders>
            <w:shd w:val="clear" w:color="000000" w:fill="FFFFFF"/>
            <w:vAlign w:val="center"/>
            <w:hideMark/>
          </w:tcPr>
          <w:p w14:paraId="50F21B7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UK</w:t>
            </w:r>
          </w:p>
        </w:tc>
        <w:tc>
          <w:tcPr>
            <w:tcW w:w="1640" w:type="dxa"/>
            <w:tcBorders>
              <w:top w:val="nil"/>
              <w:left w:val="nil"/>
              <w:bottom w:val="nil"/>
              <w:right w:val="single" w:sz="4" w:space="0" w:color="auto"/>
            </w:tcBorders>
            <w:shd w:val="clear" w:color="000000" w:fill="FFFFFF"/>
            <w:vAlign w:val="center"/>
            <w:hideMark/>
          </w:tcPr>
          <w:p w14:paraId="7314A9D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531</w:t>
            </w:r>
          </w:p>
        </w:tc>
      </w:tr>
      <w:tr w:rsidR="001B221B" w:rsidRPr="001B221B" w14:paraId="544D8F53"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4C0E634E"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60</w:t>
            </w:r>
          </w:p>
        </w:tc>
        <w:tc>
          <w:tcPr>
            <w:tcW w:w="3182" w:type="dxa"/>
            <w:tcBorders>
              <w:top w:val="nil"/>
              <w:left w:val="nil"/>
              <w:bottom w:val="nil"/>
              <w:right w:val="single" w:sz="4" w:space="0" w:color="auto"/>
            </w:tcBorders>
            <w:shd w:val="clear" w:color="000000" w:fill="FFFFFF"/>
            <w:vAlign w:val="center"/>
            <w:hideMark/>
          </w:tcPr>
          <w:p w14:paraId="5F04782F"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Overseas</w:t>
            </w:r>
          </w:p>
        </w:tc>
        <w:tc>
          <w:tcPr>
            <w:tcW w:w="1640" w:type="dxa"/>
            <w:tcBorders>
              <w:top w:val="nil"/>
              <w:left w:val="nil"/>
              <w:bottom w:val="nil"/>
              <w:right w:val="single" w:sz="4" w:space="0" w:color="auto"/>
            </w:tcBorders>
            <w:shd w:val="clear" w:color="000000" w:fill="FFFFFF"/>
            <w:vAlign w:val="center"/>
            <w:hideMark/>
          </w:tcPr>
          <w:p w14:paraId="49837C8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73</w:t>
            </w:r>
          </w:p>
        </w:tc>
      </w:tr>
      <w:tr w:rsidR="001B221B" w:rsidRPr="001B221B" w14:paraId="62DF231A"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E80512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5BB5EB28"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1640" w:type="dxa"/>
            <w:tcBorders>
              <w:top w:val="nil"/>
              <w:left w:val="nil"/>
              <w:bottom w:val="nil"/>
              <w:right w:val="single" w:sz="4" w:space="0" w:color="auto"/>
            </w:tcBorders>
            <w:shd w:val="clear" w:color="000000" w:fill="FFFFFF"/>
            <w:vAlign w:val="center"/>
            <w:hideMark/>
          </w:tcPr>
          <w:p w14:paraId="6D0B3AE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1D0C94D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25529A6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6CFA21DB"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 xml:space="preserve">Private Equity </w:t>
            </w:r>
          </w:p>
        </w:tc>
        <w:tc>
          <w:tcPr>
            <w:tcW w:w="1640" w:type="dxa"/>
            <w:tcBorders>
              <w:top w:val="nil"/>
              <w:left w:val="nil"/>
              <w:bottom w:val="nil"/>
              <w:right w:val="single" w:sz="4" w:space="0" w:color="auto"/>
            </w:tcBorders>
            <w:shd w:val="clear" w:color="000000" w:fill="FFFFFF"/>
            <w:vAlign w:val="center"/>
            <w:hideMark/>
          </w:tcPr>
          <w:p w14:paraId="52F1B07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0BD8D4B4"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06B69F07" w14:textId="39054385" w:rsidR="001B221B" w:rsidRPr="001B221B" w:rsidRDefault="00493F30" w:rsidP="001B221B">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240</w:t>
            </w:r>
          </w:p>
        </w:tc>
        <w:tc>
          <w:tcPr>
            <w:tcW w:w="3182" w:type="dxa"/>
            <w:tcBorders>
              <w:top w:val="nil"/>
              <w:left w:val="nil"/>
              <w:bottom w:val="nil"/>
              <w:right w:val="single" w:sz="4" w:space="0" w:color="auto"/>
            </w:tcBorders>
            <w:shd w:val="clear" w:color="000000" w:fill="FFFFFF"/>
            <w:vAlign w:val="center"/>
            <w:hideMark/>
          </w:tcPr>
          <w:p w14:paraId="26FF7562"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All</w:t>
            </w:r>
          </w:p>
        </w:tc>
        <w:tc>
          <w:tcPr>
            <w:tcW w:w="1640" w:type="dxa"/>
            <w:tcBorders>
              <w:top w:val="nil"/>
              <w:left w:val="nil"/>
              <w:bottom w:val="nil"/>
              <w:right w:val="single" w:sz="4" w:space="0" w:color="auto"/>
            </w:tcBorders>
            <w:shd w:val="clear" w:color="000000" w:fill="FFFFFF"/>
            <w:vAlign w:val="center"/>
            <w:hideMark/>
          </w:tcPr>
          <w:p w14:paraId="3147000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408</w:t>
            </w:r>
          </w:p>
        </w:tc>
      </w:tr>
      <w:tr w:rsidR="003C3A4C" w:rsidRPr="001B221B" w14:paraId="358C0E6D"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tcPr>
          <w:p w14:paraId="5B1D17D1" w14:textId="77777777" w:rsidR="003C3A4C" w:rsidRDefault="003C3A4C" w:rsidP="001B221B">
            <w:pPr>
              <w:spacing w:after="0" w:line="240" w:lineRule="auto"/>
              <w:jc w:val="right"/>
              <w:rPr>
                <w:rFonts w:ascii="Calibri" w:eastAsia="Times New Roman" w:hAnsi="Calibri" w:cs="Calibri"/>
                <w:color w:val="000000"/>
                <w:lang w:eastAsia="en-GB"/>
              </w:rPr>
            </w:pPr>
          </w:p>
        </w:tc>
        <w:tc>
          <w:tcPr>
            <w:tcW w:w="3182" w:type="dxa"/>
            <w:tcBorders>
              <w:top w:val="nil"/>
              <w:left w:val="nil"/>
              <w:bottom w:val="nil"/>
              <w:right w:val="single" w:sz="4" w:space="0" w:color="auto"/>
            </w:tcBorders>
            <w:shd w:val="clear" w:color="000000" w:fill="FFFFFF"/>
            <w:vAlign w:val="center"/>
          </w:tcPr>
          <w:p w14:paraId="06278B1D" w14:textId="77777777" w:rsidR="003C3A4C" w:rsidRPr="001B221B" w:rsidRDefault="003C3A4C" w:rsidP="001B221B">
            <w:pPr>
              <w:spacing w:after="0" w:line="240" w:lineRule="auto"/>
              <w:rPr>
                <w:rFonts w:ascii="Calibri" w:eastAsia="Times New Roman" w:hAnsi="Calibri" w:cs="Calibri"/>
                <w:color w:val="000000"/>
                <w:lang w:eastAsia="en-GB"/>
              </w:rPr>
            </w:pPr>
          </w:p>
        </w:tc>
        <w:tc>
          <w:tcPr>
            <w:tcW w:w="1640" w:type="dxa"/>
            <w:tcBorders>
              <w:top w:val="nil"/>
              <w:left w:val="nil"/>
              <w:bottom w:val="nil"/>
              <w:right w:val="single" w:sz="4" w:space="0" w:color="auto"/>
            </w:tcBorders>
            <w:shd w:val="clear" w:color="000000" w:fill="FFFFFF"/>
            <w:vAlign w:val="center"/>
          </w:tcPr>
          <w:p w14:paraId="36109760" w14:textId="77777777" w:rsidR="003C3A4C" w:rsidRPr="001B221B" w:rsidRDefault="003C3A4C" w:rsidP="001B221B">
            <w:pPr>
              <w:spacing w:after="0" w:line="240" w:lineRule="auto"/>
              <w:jc w:val="right"/>
              <w:rPr>
                <w:rFonts w:ascii="Calibri" w:eastAsia="Times New Roman" w:hAnsi="Calibri" w:cs="Calibri"/>
                <w:color w:val="000000"/>
                <w:lang w:eastAsia="en-GB"/>
              </w:rPr>
            </w:pPr>
          </w:p>
        </w:tc>
      </w:tr>
      <w:tr w:rsidR="001B221B" w:rsidRPr="001B221B" w14:paraId="221347A0"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1864ADC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c>
          <w:tcPr>
            <w:tcW w:w="3182" w:type="dxa"/>
            <w:tcBorders>
              <w:top w:val="nil"/>
              <w:left w:val="nil"/>
              <w:bottom w:val="nil"/>
              <w:right w:val="single" w:sz="4" w:space="0" w:color="auto"/>
            </w:tcBorders>
            <w:shd w:val="clear" w:color="000000" w:fill="FFFFFF"/>
            <w:vAlign w:val="center"/>
            <w:hideMark/>
          </w:tcPr>
          <w:p w14:paraId="696C2B9F"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Investment Funds and Trust Units</w:t>
            </w:r>
          </w:p>
        </w:tc>
        <w:tc>
          <w:tcPr>
            <w:tcW w:w="1640" w:type="dxa"/>
            <w:tcBorders>
              <w:top w:val="nil"/>
              <w:left w:val="nil"/>
              <w:bottom w:val="nil"/>
              <w:right w:val="single" w:sz="4" w:space="0" w:color="auto"/>
            </w:tcBorders>
            <w:shd w:val="clear" w:color="000000" w:fill="FFFFFF"/>
            <w:vAlign w:val="center"/>
            <w:hideMark/>
          </w:tcPr>
          <w:p w14:paraId="75D25BA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w:t>
            </w:r>
          </w:p>
        </w:tc>
      </w:tr>
      <w:tr w:rsidR="001B221B" w:rsidRPr="001B221B" w14:paraId="6790CFF8"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58AF87E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5,095</w:t>
            </w:r>
          </w:p>
        </w:tc>
        <w:tc>
          <w:tcPr>
            <w:tcW w:w="3182" w:type="dxa"/>
            <w:tcBorders>
              <w:top w:val="nil"/>
              <w:left w:val="nil"/>
              <w:bottom w:val="nil"/>
              <w:right w:val="single" w:sz="4" w:space="0" w:color="auto"/>
            </w:tcBorders>
            <w:shd w:val="clear" w:color="000000" w:fill="FFFFFF"/>
            <w:vAlign w:val="center"/>
            <w:hideMark/>
          </w:tcPr>
          <w:p w14:paraId="60FCE33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Equities</w:t>
            </w:r>
          </w:p>
        </w:tc>
        <w:tc>
          <w:tcPr>
            <w:tcW w:w="1640" w:type="dxa"/>
            <w:tcBorders>
              <w:top w:val="nil"/>
              <w:left w:val="nil"/>
              <w:bottom w:val="nil"/>
              <w:right w:val="single" w:sz="4" w:space="0" w:color="auto"/>
            </w:tcBorders>
            <w:shd w:val="clear" w:color="000000" w:fill="FFFFFF"/>
            <w:vAlign w:val="center"/>
            <w:hideMark/>
          </w:tcPr>
          <w:p w14:paraId="60A6517B" w14:textId="64EF4856"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5,72</w:t>
            </w:r>
            <w:r w:rsidR="00AE19E0">
              <w:rPr>
                <w:rFonts w:ascii="Calibri" w:eastAsia="Times New Roman" w:hAnsi="Calibri" w:cs="Calibri"/>
                <w:color w:val="000000"/>
                <w:lang w:eastAsia="en-GB"/>
              </w:rPr>
              <w:t>1</w:t>
            </w:r>
          </w:p>
        </w:tc>
      </w:tr>
      <w:tr w:rsidR="001B221B" w:rsidRPr="001B221B" w14:paraId="0E0A645B"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98759B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748</w:t>
            </w:r>
          </w:p>
        </w:tc>
        <w:tc>
          <w:tcPr>
            <w:tcW w:w="3182" w:type="dxa"/>
            <w:tcBorders>
              <w:top w:val="nil"/>
              <w:left w:val="nil"/>
              <w:bottom w:val="nil"/>
              <w:right w:val="single" w:sz="4" w:space="0" w:color="auto"/>
            </w:tcBorders>
            <w:shd w:val="clear" w:color="000000" w:fill="FFFFFF"/>
            <w:vAlign w:val="center"/>
            <w:hideMark/>
          </w:tcPr>
          <w:p w14:paraId="1889047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Bonds</w:t>
            </w:r>
          </w:p>
        </w:tc>
        <w:tc>
          <w:tcPr>
            <w:tcW w:w="1640" w:type="dxa"/>
            <w:tcBorders>
              <w:top w:val="nil"/>
              <w:left w:val="nil"/>
              <w:bottom w:val="nil"/>
              <w:right w:val="single" w:sz="4" w:space="0" w:color="auto"/>
            </w:tcBorders>
            <w:shd w:val="clear" w:color="000000" w:fill="FFFFFF"/>
            <w:vAlign w:val="center"/>
            <w:hideMark/>
          </w:tcPr>
          <w:p w14:paraId="5B7E0EC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822</w:t>
            </w:r>
          </w:p>
        </w:tc>
      </w:tr>
      <w:tr w:rsidR="001B221B" w:rsidRPr="001B221B" w14:paraId="16E4DC56"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3FB8AC0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 </w:t>
            </w:r>
          </w:p>
        </w:tc>
        <w:tc>
          <w:tcPr>
            <w:tcW w:w="3182" w:type="dxa"/>
            <w:tcBorders>
              <w:top w:val="nil"/>
              <w:left w:val="nil"/>
              <w:bottom w:val="nil"/>
              <w:right w:val="single" w:sz="4" w:space="0" w:color="auto"/>
            </w:tcBorders>
            <w:shd w:val="clear" w:color="000000" w:fill="FFFFFF"/>
            <w:vAlign w:val="center"/>
            <w:hideMark/>
          </w:tcPr>
          <w:p w14:paraId="2AAC98D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Commodities </w:t>
            </w:r>
          </w:p>
        </w:tc>
        <w:tc>
          <w:tcPr>
            <w:tcW w:w="1640" w:type="dxa"/>
            <w:tcBorders>
              <w:top w:val="nil"/>
              <w:left w:val="nil"/>
              <w:bottom w:val="nil"/>
              <w:right w:val="single" w:sz="4" w:space="0" w:color="auto"/>
            </w:tcBorders>
            <w:shd w:val="clear" w:color="000000" w:fill="FFFFFF"/>
            <w:vAlign w:val="center"/>
            <w:hideMark/>
          </w:tcPr>
          <w:p w14:paraId="3A70DD4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 xml:space="preserve"> </w:t>
            </w:r>
          </w:p>
        </w:tc>
      </w:tr>
      <w:tr w:rsidR="001B221B" w:rsidRPr="001B221B" w14:paraId="236FF41C" w14:textId="77777777" w:rsidTr="00493F30">
        <w:trPr>
          <w:trHeight w:val="290"/>
        </w:trPr>
        <w:tc>
          <w:tcPr>
            <w:tcW w:w="1838" w:type="dxa"/>
            <w:tcBorders>
              <w:top w:val="nil"/>
              <w:left w:val="single" w:sz="4" w:space="0" w:color="auto"/>
              <w:bottom w:val="nil"/>
              <w:right w:val="single" w:sz="4" w:space="0" w:color="auto"/>
            </w:tcBorders>
            <w:shd w:val="clear" w:color="000000" w:fill="FFFFFF"/>
            <w:vAlign w:val="center"/>
            <w:hideMark/>
          </w:tcPr>
          <w:p w14:paraId="64E57A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505</w:t>
            </w:r>
          </w:p>
        </w:tc>
        <w:tc>
          <w:tcPr>
            <w:tcW w:w="3182" w:type="dxa"/>
            <w:tcBorders>
              <w:top w:val="nil"/>
              <w:left w:val="nil"/>
              <w:bottom w:val="nil"/>
              <w:right w:val="single" w:sz="4" w:space="0" w:color="auto"/>
            </w:tcBorders>
            <w:shd w:val="clear" w:color="000000" w:fill="FFFFFF"/>
            <w:vAlign w:val="center"/>
            <w:hideMark/>
          </w:tcPr>
          <w:p w14:paraId="52A9ABF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Infrastructure</w:t>
            </w:r>
          </w:p>
        </w:tc>
        <w:tc>
          <w:tcPr>
            <w:tcW w:w="1640" w:type="dxa"/>
            <w:tcBorders>
              <w:top w:val="nil"/>
              <w:left w:val="nil"/>
              <w:bottom w:val="nil"/>
              <w:right w:val="single" w:sz="4" w:space="0" w:color="auto"/>
            </w:tcBorders>
            <w:shd w:val="clear" w:color="000000" w:fill="FFFFFF"/>
            <w:vAlign w:val="center"/>
            <w:hideMark/>
          </w:tcPr>
          <w:p w14:paraId="523702B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540</w:t>
            </w:r>
          </w:p>
        </w:tc>
      </w:tr>
      <w:tr w:rsidR="001B221B" w:rsidRPr="001B221B" w14:paraId="49BC6E92" w14:textId="77777777" w:rsidTr="00493F30">
        <w:trPr>
          <w:trHeight w:val="290"/>
        </w:trPr>
        <w:tc>
          <w:tcPr>
            <w:tcW w:w="183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8F4908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8,060</w:t>
            </w:r>
          </w:p>
        </w:tc>
        <w:tc>
          <w:tcPr>
            <w:tcW w:w="3182" w:type="dxa"/>
            <w:tcBorders>
              <w:top w:val="single" w:sz="4" w:space="0" w:color="auto"/>
              <w:left w:val="nil"/>
              <w:bottom w:val="single" w:sz="4" w:space="0" w:color="auto"/>
              <w:right w:val="single" w:sz="4" w:space="0" w:color="auto"/>
            </w:tcBorders>
            <w:shd w:val="clear" w:color="000000" w:fill="C00000"/>
            <w:vAlign w:val="center"/>
            <w:hideMark/>
          </w:tcPr>
          <w:p w14:paraId="7959EB13"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 Assets</w:t>
            </w:r>
          </w:p>
        </w:tc>
        <w:tc>
          <w:tcPr>
            <w:tcW w:w="1640" w:type="dxa"/>
            <w:tcBorders>
              <w:top w:val="single" w:sz="4" w:space="0" w:color="auto"/>
              <w:left w:val="nil"/>
              <w:bottom w:val="single" w:sz="4" w:space="0" w:color="auto"/>
              <w:right w:val="single" w:sz="4" w:space="0" w:color="auto"/>
            </w:tcBorders>
            <w:shd w:val="clear" w:color="000000" w:fill="C00000"/>
            <w:vAlign w:val="center"/>
            <w:hideMark/>
          </w:tcPr>
          <w:p w14:paraId="099C3C28" w14:textId="6B73DFF1"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9,11</w:t>
            </w:r>
            <w:r w:rsidR="00AE19E0">
              <w:rPr>
                <w:rFonts w:ascii="Calibri" w:eastAsia="Times New Roman" w:hAnsi="Calibri" w:cs="Calibri"/>
                <w:b/>
                <w:bCs/>
                <w:color w:val="FFFFFF"/>
                <w:lang w:eastAsia="en-GB"/>
              </w:rPr>
              <w:t>6</w:t>
            </w:r>
          </w:p>
        </w:tc>
      </w:tr>
    </w:tbl>
    <w:p w14:paraId="095E9ED3" w14:textId="34EC5A49" w:rsidR="001E28F2" w:rsidRDefault="001E28F2" w:rsidP="001B221B">
      <w:pPr>
        <w:shd w:val="clear" w:color="auto" w:fill="FFFFFF" w:themeFill="background1"/>
        <w:autoSpaceDE w:val="0"/>
        <w:autoSpaceDN w:val="0"/>
        <w:adjustRightInd w:val="0"/>
        <w:spacing w:after="0" w:line="240" w:lineRule="auto"/>
        <w:rPr>
          <w:rFonts w:cs="Arial"/>
          <w:bCs/>
          <w:szCs w:val="28"/>
        </w:rPr>
      </w:pPr>
    </w:p>
    <w:p w14:paraId="6A50747D" w14:textId="77777777" w:rsidR="001E28F2" w:rsidRDefault="001E28F2">
      <w:pPr>
        <w:rPr>
          <w:rFonts w:cs="Arial"/>
          <w:bCs/>
          <w:szCs w:val="28"/>
        </w:rPr>
      </w:pPr>
      <w:r>
        <w:rPr>
          <w:rFonts w:cs="Arial"/>
          <w:bCs/>
          <w:szCs w:val="28"/>
        </w:rPr>
        <w:br w:type="page"/>
      </w:r>
    </w:p>
    <w:p w14:paraId="4998470F" w14:textId="18F27767"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lastRenderedPageBreak/>
        <w:t>26</w:t>
      </w:r>
      <w:r w:rsidR="0079406E" w:rsidRPr="007F07C2">
        <w:rPr>
          <w:rFonts w:cs="Arial"/>
          <w:b/>
          <w:bCs/>
          <w:sz w:val="28"/>
          <w:szCs w:val="28"/>
        </w:rPr>
        <w:t xml:space="preserve">.6 Pensions Reserve </w:t>
      </w:r>
    </w:p>
    <w:p w14:paraId="71EAED80" w14:textId="77777777" w:rsidR="006408FD" w:rsidRPr="007F07C2" w:rsidRDefault="006408FD"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tbl>
      <w:tblPr>
        <w:tblW w:w="10633" w:type="dxa"/>
        <w:tblLook w:val="04A0" w:firstRow="1" w:lastRow="0" w:firstColumn="1" w:lastColumn="0" w:noHBand="0" w:noVBand="1"/>
      </w:tblPr>
      <w:tblGrid>
        <w:gridCol w:w="2041"/>
        <w:gridCol w:w="1496"/>
        <w:gridCol w:w="1565"/>
        <w:gridCol w:w="1306"/>
        <w:gridCol w:w="1372"/>
        <w:gridCol w:w="1583"/>
        <w:gridCol w:w="1270"/>
      </w:tblGrid>
      <w:tr w:rsidR="001B221B" w:rsidRPr="001B221B" w14:paraId="637D891D" w14:textId="77777777" w:rsidTr="001B221B">
        <w:trPr>
          <w:trHeight w:val="491"/>
        </w:trPr>
        <w:tc>
          <w:tcPr>
            <w:tcW w:w="2041" w:type="dxa"/>
            <w:tcBorders>
              <w:top w:val="single" w:sz="4" w:space="0" w:color="auto"/>
              <w:left w:val="single" w:sz="4" w:space="0" w:color="auto"/>
              <w:bottom w:val="nil"/>
              <w:right w:val="single" w:sz="4" w:space="0" w:color="auto"/>
            </w:tcBorders>
            <w:shd w:val="clear" w:color="000000" w:fill="C00000"/>
            <w:vAlign w:val="center"/>
            <w:hideMark/>
          </w:tcPr>
          <w:p w14:paraId="15BA4A9E"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single" w:sz="4" w:space="0" w:color="auto"/>
              <w:left w:val="nil"/>
              <w:bottom w:val="nil"/>
              <w:right w:val="single" w:sz="4" w:space="0" w:color="auto"/>
            </w:tcBorders>
            <w:shd w:val="clear" w:color="000000" w:fill="C00000"/>
            <w:vAlign w:val="center"/>
            <w:hideMark/>
          </w:tcPr>
          <w:p w14:paraId="26CD5E8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65" w:type="dxa"/>
            <w:tcBorders>
              <w:top w:val="single" w:sz="4" w:space="0" w:color="auto"/>
              <w:left w:val="nil"/>
              <w:bottom w:val="nil"/>
              <w:right w:val="single" w:sz="4" w:space="0" w:color="auto"/>
            </w:tcBorders>
            <w:shd w:val="clear" w:color="000000" w:fill="C00000"/>
            <w:vAlign w:val="center"/>
            <w:hideMark/>
          </w:tcPr>
          <w:p w14:paraId="2FB00D5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306" w:type="dxa"/>
            <w:tcBorders>
              <w:top w:val="single" w:sz="4" w:space="0" w:color="auto"/>
              <w:left w:val="nil"/>
              <w:bottom w:val="nil"/>
              <w:right w:val="single" w:sz="4" w:space="0" w:color="auto"/>
            </w:tcBorders>
            <w:shd w:val="clear" w:color="000000" w:fill="C00000"/>
            <w:noWrap/>
            <w:vAlign w:val="center"/>
            <w:hideMark/>
          </w:tcPr>
          <w:p w14:paraId="0FFC106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c>
          <w:tcPr>
            <w:tcW w:w="1372" w:type="dxa"/>
            <w:tcBorders>
              <w:top w:val="single" w:sz="4" w:space="0" w:color="auto"/>
              <w:left w:val="nil"/>
              <w:bottom w:val="nil"/>
              <w:right w:val="single" w:sz="4" w:space="0" w:color="auto"/>
            </w:tcBorders>
            <w:shd w:val="clear" w:color="000000" w:fill="C00000"/>
            <w:vAlign w:val="center"/>
            <w:hideMark/>
          </w:tcPr>
          <w:p w14:paraId="540E24C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Local Government</w:t>
            </w:r>
          </w:p>
        </w:tc>
        <w:tc>
          <w:tcPr>
            <w:tcW w:w="1583" w:type="dxa"/>
            <w:tcBorders>
              <w:top w:val="single" w:sz="4" w:space="0" w:color="auto"/>
              <w:left w:val="nil"/>
              <w:bottom w:val="nil"/>
              <w:right w:val="single" w:sz="4" w:space="0" w:color="auto"/>
            </w:tcBorders>
            <w:shd w:val="clear" w:color="000000" w:fill="C00000"/>
            <w:vAlign w:val="center"/>
            <w:hideMark/>
          </w:tcPr>
          <w:p w14:paraId="3DA676BC"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Fire Fighters</w:t>
            </w:r>
          </w:p>
        </w:tc>
        <w:tc>
          <w:tcPr>
            <w:tcW w:w="1270" w:type="dxa"/>
            <w:tcBorders>
              <w:top w:val="single" w:sz="4" w:space="0" w:color="auto"/>
              <w:left w:val="nil"/>
              <w:bottom w:val="nil"/>
              <w:right w:val="single" w:sz="4" w:space="0" w:color="auto"/>
            </w:tcBorders>
            <w:shd w:val="clear" w:color="000000" w:fill="C00000"/>
            <w:noWrap/>
            <w:vAlign w:val="center"/>
            <w:hideMark/>
          </w:tcPr>
          <w:p w14:paraId="3625CED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w:t>
            </w:r>
          </w:p>
        </w:tc>
      </w:tr>
      <w:tr w:rsidR="001B221B" w:rsidRPr="001B221B" w14:paraId="774414A3" w14:textId="77777777" w:rsidTr="001B221B">
        <w:trPr>
          <w:trHeight w:val="491"/>
        </w:trPr>
        <w:tc>
          <w:tcPr>
            <w:tcW w:w="2041" w:type="dxa"/>
            <w:tcBorders>
              <w:top w:val="nil"/>
              <w:left w:val="single" w:sz="4" w:space="0" w:color="auto"/>
              <w:bottom w:val="nil"/>
              <w:right w:val="single" w:sz="4" w:space="0" w:color="auto"/>
            </w:tcBorders>
            <w:shd w:val="clear" w:color="000000" w:fill="C00000"/>
            <w:vAlign w:val="center"/>
            <w:hideMark/>
          </w:tcPr>
          <w:p w14:paraId="62020A67"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vAlign w:val="center"/>
            <w:hideMark/>
          </w:tcPr>
          <w:p w14:paraId="03560EB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65" w:type="dxa"/>
            <w:tcBorders>
              <w:top w:val="nil"/>
              <w:left w:val="nil"/>
              <w:bottom w:val="nil"/>
              <w:right w:val="single" w:sz="4" w:space="0" w:color="auto"/>
            </w:tcBorders>
            <w:shd w:val="clear" w:color="000000" w:fill="C00000"/>
            <w:vAlign w:val="center"/>
            <w:hideMark/>
          </w:tcPr>
          <w:p w14:paraId="177EB77B"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306" w:type="dxa"/>
            <w:tcBorders>
              <w:top w:val="nil"/>
              <w:left w:val="nil"/>
              <w:bottom w:val="nil"/>
              <w:right w:val="single" w:sz="4" w:space="0" w:color="auto"/>
            </w:tcBorders>
            <w:shd w:val="clear" w:color="000000" w:fill="C00000"/>
            <w:noWrap/>
            <w:vAlign w:val="center"/>
            <w:hideMark/>
          </w:tcPr>
          <w:p w14:paraId="7351A3F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c>
          <w:tcPr>
            <w:tcW w:w="1372" w:type="dxa"/>
            <w:tcBorders>
              <w:top w:val="nil"/>
              <w:left w:val="nil"/>
              <w:bottom w:val="nil"/>
              <w:right w:val="single" w:sz="4" w:space="0" w:color="auto"/>
            </w:tcBorders>
            <w:shd w:val="clear" w:color="000000" w:fill="C00000"/>
            <w:vAlign w:val="center"/>
            <w:hideMark/>
          </w:tcPr>
          <w:p w14:paraId="1E0C93CD"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583" w:type="dxa"/>
            <w:tcBorders>
              <w:top w:val="nil"/>
              <w:left w:val="nil"/>
              <w:bottom w:val="nil"/>
              <w:right w:val="single" w:sz="4" w:space="0" w:color="auto"/>
            </w:tcBorders>
            <w:shd w:val="clear" w:color="000000" w:fill="C00000"/>
            <w:vAlign w:val="center"/>
            <w:hideMark/>
          </w:tcPr>
          <w:p w14:paraId="638EDB3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Pension Scheme</w:t>
            </w:r>
          </w:p>
        </w:tc>
        <w:tc>
          <w:tcPr>
            <w:tcW w:w="1270" w:type="dxa"/>
            <w:tcBorders>
              <w:top w:val="nil"/>
              <w:left w:val="nil"/>
              <w:bottom w:val="nil"/>
              <w:right w:val="single" w:sz="4" w:space="0" w:color="auto"/>
            </w:tcBorders>
            <w:shd w:val="clear" w:color="000000" w:fill="C00000"/>
            <w:noWrap/>
            <w:vAlign w:val="center"/>
            <w:hideMark/>
          </w:tcPr>
          <w:p w14:paraId="7A7BB7B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Total</w:t>
            </w:r>
          </w:p>
        </w:tc>
      </w:tr>
      <w:tr w:rsidR="001B221B" w:rsidRPr="001B221B" w14:paraId="59A8F178" w14:textId="77777777" w:rsidTr="001B221B">
        <w:trPr>
          <w:trHeight w:val="245"/>
        </w:trPr>
        <w:tc>
          <w:tcPr>
            <w:tcW w:w="2041" w:type="dxa"/>
            <w:tcBorders>
              <w:top w:val="nil"/>
              <w:left w:val="single" w:sz="4" w:space="0" w:color="auto"/>
              <w:bottom w:val="nil"/>
              <w:right w:val="single" w:sz="4" w:space="0" w:color="auto"/>
            </w:tcBorders>
            <w:shd w:val="clear" w:color="000000" w:fill="C00000"/>
            <w:vAlign w:val="center"/>
            <w:hideMark/>
          </w:tcPr>
          <w:p w14:paraId="09D8A8BB"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noWrap/>
            <w:vAlign w:val="center"/>
            <w:hideMark/>
          </w:tcPr>
          <w:p w14:paraId="57CDB69E"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565" w:type="dxa"/>
            <w:tcBorders>
              <w:top w:val="nil"/>
              <w:left w:val="nil"/>
              <w:bottom w:val="nil"/>
              <w:right w:val="single" w:sz="4" w:space="0" w:color="auto"/>
            </w:tcBorders>
            <w:shd w:val="clear" w:color="000000" w:fill="C00000"/>
            <w:noWrap/>
            <w:vAlign w:val="center"/>
            <w:hideMark/>
          </w:tcPr>
          <w:p w14:paraId="09E3BD7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306" w:type="dxa"/>
            <w:tcBorders>
              <w:top w:val="nil"/>
              <w:left w:val="nil"/>
              <w:bottom w:val="nil"/>
              <w:right w:val="single" w:sz="4" w:space="0" w:color="auto"/>
            </w:tcBorders>
            <w:shd w:val="clear" w:color="000000" w:fill="C00000"/>
            <w:noWrap/>
            <w:vAlign w:val="center"/>
            <w:hideMark/>
          </w:tcPr>
          <w:p w14:paraId="00E75D1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2021</w:t>
            </w:r>
          </w:p>
        </w:tc>
        <w:tc>
          <w:tcPr>
            <w:tcW w:w="1372" w:type="dxa"/>
            <w:tcBorders>
              <w:top w:val="nil"/>
              <w:left w:val="nil"/>
              <w:bottom w:val="nil"/>
              <w:right w:val="single" w:sz="4" w:space="0" w:color="auto"/>
            </w:tcBorders>
            <w:shd w:val="clear" w:color="000000" w:fill="C00000"/>
            <w:noWrap/>
            <w:vAlign w:val="center"/>
            <w:hideMark/>
          </w:tcPr>
          <w:p w14:paraId="46E9ED7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c>
          <w:tcPr>
            <w:tcW w:w="1583" w:type="dxa"/>
            <w:tcBorders>
              <w:top w:val="nil"/>
              <w:left w:val="nil"/>
              <w:bottom w:val="nil"/>
              <w:right w:val="single" w:sz="4" w:space="0" w:color="auto"/>
            </w:tcBorders>
            <w:shd w:val="clear" w:color="000000" w:fill="C00000"/>
            <w:noWrap/>
            <w:vAlign w:val="center"/>
            <w:hideMark/>
          </w:tcPr>
          <w:p w14:paraId="17474F4A"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c>
          <w:tcPr>
            <w:tcW w:w="1270" w:type="dxa"/>
            <w:tcBorders>
              <w:top w:val="nil"/>
              <w:left w:val="nil"/>
              <w:bottom w:val="nil"/>
              <w:right w:val="single" w:sz="4" w:space="0" w:color="auto"/>
            </w:tcBorders>
            <w:shd w:val="clear" w:color="000000" w:fill="C00000"/>
            <w:noWrap/>
            <w:vAlign w:val="center"/>
            <w:hideMark/>
          </w:tcPr>
          <w:p w14:paraId="25B98826"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 xml:space="preserve"> 31 March 2022</w:t>
            </w:r>
          </w:p>
        </w:tc>
      </w:tr>
      <w:tr w:rsidR="001B221B" w:rsidRPr="001B221B" w14:paraId="5257066D" w14:textId="77777777" w:rsidTr="001B221B">
        <w:trPr>
          <w:trHeight w:val="245"/>
        </w:trPr>
        <w:tc>
          <w:tcPr>
            <w:tcW w:w="2041" w:type="dxa"/>
            <w:tcBorders>
              <w:top w:val="nil"/>
              <w:left w:val="single" w:sz="4" w:space="0" w:color="auto"/>
              <w:bottom w:val="nil"/>
              <w:right w:val="single" w:sz="4" w:space="0" w:color="auto"/>
            </w:tcBorders>
            <w:shd w:val="clear" w:color="000000" w:fill="C00000"/>
            <w:vAlign w:val="center"/>
            <w:hideMark/>
          </w:tcPr>
          <w:p w14:paraId="4144765D" w14:textId="77777777" w:rsidR="001B221B" w:rsidRPr="001B221B" w:rsidRDefault="001B221B" w:rsidP="001B221B">
            <w:pPr>
              <w:spacing w:after="0" w:line="240" w:lineRule="auto"/>
              <w:rPr>
                <w:rFonts w:ascii="Calibri" w:eastAsia="Times New Roman" w:hAnsi="Calibri" w:cs="Calibri"/>
                <w:color w:val="FFFFFF"/>
                <w:lang w:eastAsia="en-GB"/>
              </w:rPr>
            </w:pPr>
            <w:r w:rsidRPr="001B221B">
              <w:rPr>
                <w:rFonts w:ascii="Calibri" w:eastAsia="Times New Roman" w:hAnsi="Calibri" w:cs="Calibri"/>
                <w:color w:val="FFFFFF"/>
                <w:lang w:eastAsia="en-GB"/>
              </w:rPr>
              <w:t> </w:t>
            </w:r>
          </w:p>
        </w:tc>
        <w:tc>
          <w:tcPr>
            <w:tcW w:w="1496" w:type="dxa"/>
            <w:tcBorders>
              <w:top w:val="nil"/>
              <w:left w:val="nil"/>
              <w:bottom w:val="nil"/>
              <w:right w:val="single" w:sz="4" w:space="0" w:color="auto"/>
            </w:tcBorders>
            <w:shd w:val="clear" w:color="000000" w:fill="C00000"/>
            <w:vAlign w:val="center"/>
            <w:hideMark/>
          </w:tcPr>
          <w:p w14:paraId="7A7DAB9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65" w:type="dxa"/>
            <w:tcBorders>
              <w:top w:val="nil"/>
              <w:left w:val="nil"/>
              <w:bottom w:val="nil"/>
              <w:right w:val="single" w:sz="4" w:space="0" w:color="auto"/>
            </w:tcBorders>
            <w:shd w:val="clear" w:color="000000" w:fill="C00000"/>
            <w:vAlign w:val="center"/>
            <w:hideMark/>
          </w:tcPr>
          <w:p w14:paraId="422CCFF1"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06" w:type="dxa"/>
            <w:tcBorders>
              <w:top w:val="nil"/>
              <w:left w:val="nil"/>
              <w:bottom w:val="nil"/>
              <w:right w:val="single" w:sz="4" w:space="0" w:color="auto"/>
            </w:tcBorders>
            <w:shd w:val="clear" w:color="000000" w:fill="C00000"/>
            <w:vAlign w:val="center"/>
            <w:hideMark/>
          </w:tcPr>
          <w:p w14:paraId="4C3235C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372" w:type="dxa"/>
            <w:tcBorders>
              <w:top w:val="nil"/>
              <w:left w:val="nil"/>
              <w:bottom w:val="nil"/>
              <w:right w:val="single" w:sz="4" w:space="0" w:color="auto"/>
            </w:tcBorders>
            <w:shd w:val="clear" w:color="000000" w:fill="C00000"/>
            <w:vAlign w:val="center"/>
            <w:hideMark/>
          </w:tcPr>
          <w:p w14:paraId="3D45FC58"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583" w:type="dxa"/>
            <w:tcBorders>
              <w:top w:val="nil"/>
              <w:left w:val="nil"/>
              <w:bottom w:val="nil"/>
              <w:right w:val="single" w:sz="4" w:space="0" w:color="auto"/>
            </w:tcBorders>
            <w:shd w:val="clear" w:color="000000" w:fill="C00000"/>
            <w:vAlign w:val="center"/>
            <w:hideMark/>
          </w:tcPr>
          <w:p w14:paraId="40EE88C5"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c>
          <w:tcPr>
            <w:tcW w:w="1270" w:type="dxa"/>
            <w:tcBorders>
              <w:top w:val="nil"/>
              <w:left w:val="nil"/>
              <w:bottom w:val="nil"/>
              <w:right w:val="single" w:sz="4" w:space="0" w:color="auto"/>
            </w:tcBorders>
            <w:shd w:val="clear" w:color="000000" w:fill="C00000"/>
            <w:vAlign w:val="center"/>
            <w:hideMark/>
          </w:tcPr>
          <w:p w14:paraId="1A01CE60"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£000</w:t>
            </w:r>
          </w:p>
        </w:tc>
      </w:tr>
      <w:tr w:rsidR="001B221B" w:rsidRPr="001B221B" w14:paraId="74606777" w14:textId="77777777" w:rsidTr="001B221B">
        <w:trPr>
          <w:trHeight w:val="245"/>
        </w:trPr>
        <w:tc>
          <w:tcPr>
            <w:tcW w:w="20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E5D5C" w14:textId="77777777" w:rsidR="001B221B" w:rsidRPr="001B221B" w:rsidRDefault="001B221B" w:rsidP="001B221B">
            <w:pPr>
              <w:spacing w:after="0" w:line="240" w:lineRule="auto"/>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Opening Balance</w:t>
            </w:r>
          </w:p>
        </w:tc>
        <w:tc>
          <w:tcPr>
            <w:tcW w:w="1496" w:type="dxa"/>
            <w:tcBorders>
              <w:top w:val="single" w:sz="4" w:space="0" w:color="auto"/>
              <w:left w:val="nil"/>
              <w:bottom w:val="single" w:sz="4" w:space="0" w:color="auto"/>
              <w:right w:val="single" w:sz="4" w:space="0" w:color="auto"/>
            </w:tcBorders>
            <w:shd w:val="clear" w:color="000000" w:fill="FFFFFF"/>
            <w:vAlign w:val="center"/>
            <w:hideMark/>
          </w:tcPr>
          <w:p w14:paraId="2970837E"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3,106</w:t>
            </w:r>
          </w:p>
        </w:tc>
        <w:tc>
          <w:tcPr>
            <w:tcW w:w="1565" w:type="dxa"/>
            <w:tcBorders>
              <w:top w:val="single" w:sz="4" w:space="0" w:color="auto"/>
              <w:left w:val="nil"/>
              <w:bottom w:val="single" w:sz="4" w:space="0" w:color="auto"/>
              <w:right w:val="single" w:sz="4" w:space="0" w:color="auto"/>
            </w:tcBorders>
            <w:shd w:val="clear" w:color="000000" w:fill="FFFFFF"/>
            <w:vAlign w:val="center"/>
            <w:hideMark/>
          </w:tcPr>
          <w:p w14:paraId="5C712FFF"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287,340</w:t>
            </w:r>
          </w:p>
        </w:tc>
        <w:tc>
          <w:tcPr>
            <w:tcW w:w="1306" w:type="dxa"/>
            <w:tcBorders>
              <w:top w:val="single" w:sz="4" w:space="0" w:color="auto"/>
              <w:left w:val="nil"/>
              <w:bottom w:val="single" w:sz="4" w:space="0" w:color="auto"/>
              <w:right w:val="single" w:sz="4" w:space="0" w:color="auto"/>
            </w:tcBorders>
            <w:shd w:val="clear" w:color="000000" w:fill="FFCDCD"/>
            <w:noWrap/>
            <w:vAlign w:val="center"/>
            <w:hideMark/>
          </w:tcPr>
          <w:p w14:paraId="7D4B1E74"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290,446</w:t>
            </w:r>
          </w:p>
        </w:tc>
        <w:tc>
          <w:tcPr>
            <w:tcW w:w="1372" w:type="dxa"/>
            <w:tcBorders>
              <w:top w:val="single" w:sz="4" w:space="0" w:color="auto"/>
              <w:left w:val="nil"/>
              <w:bottom w:val="single" w:sz="4" w:space="0" w:color="auto"/>
              <w:right w:val="single" w:sz="4" w:space="0" w:color="auto"/>
            </w:tcBorders>
            <w:shd w:val="clear" w:color="000000" w:fill="FFFFFF"/>
            <w:vAlign w:val="center"/>
            <w:hideMark/>
          </w:tcPr>
          <w:p w14:paraId="45DC39A8"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5,485</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14:paraId="2C9CC311"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323,370</w:t>
            </w:r>
          </w:p>
        </w:tc>
        <w:tc>
          <w:tcPr>
            <w:tcW w:w="1270" w:type="dxa"/>
            <w:tcBorders>
              <w:top w:val="single" w:sz="4" w:space="0" w:color="auto"/>
              <w:left w:val="nil"/>
              <w:bottom w:val="single" w:sz="4" w:space="0" w:color="auto"/>
              <w:right w:val="single" w:sz="4" w:space="0" w:color="auto"/>
            </w:tcBorders>
            <w:shd w:val="clear" w:color="000000" w:fill="FFCDCD"/>
            <w:noWrap/>
            <w:vAlign w:val="center"/>
            <w:hideMark/>
          </w:tcPr>
          <w:p w14:paraId="14F41F45" w14:textId="77777777" w:rsidR="001B221B" w:rsidRPr="001B221B" w:rsidRDefault="001B221B" w:rsidP="001B221B">
            <w:pPr>
              <w:spacing w:after="0" w:line="240" w:lineRule="auto"/>
              <w:jc w:val="right"/>
              <w:rPr>
                <w:rFonts w:ascii="Calibri" w:eastAsia="Times New Roman" w:hAnsi="Calibri" w:cs="Calibri"/>
                <w:b/>
                <w:bCs/>
                <w:color w:val="000000"/>
                <w:lang w:eastAsia="en-GB"/>
              </w:rPr>
            </w:pPr>
            <w:r w:rsidRPr="001B221B">
              <w:rPr>
                <w:rFonts w:ascii="Calibri" w:eastAsia="Times New Roman" w:hAnsi="Calibri" w:cs="Calibri"/>
                <w:b/>
                <w:bCs/>
                <w:color w:val="000000"/>
                <w:lang w:eastAsia="en-GB"/>
              </w:rPr>
              <w:t>328,855</w:t>
            </w:r>
          </w:p>
        </w:tc>
      </w:tr>
      <w:tr w:rsidR="001B221B" w:rsidRPr="001B221B" w14:paraId="252C15A2"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316E326C"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Current service cost</w:t>
            </w:r>
          </w:p>
        </w:tc>
        <w:tc>
          <w:tcPr>
            <w:tcW w:w="1496" w:type="dxa"/>
            <w:tcBorders>
              <w:top w:val="nil"/>
              <w:left w:val="nil"/>
              <w:bottom w:val="nil"/>
              <w:right w:val="single" w:sz="4" w:space="0" w:color="auto"/>
            </w:tcBorders>
            <w:shd w:val="clear" w:color="000000" w:fill="FFFFFF"/>
            <w:vAlign w:val="center"/>
            <w:hideMark/>
          </w:tcPr>
          <w:p w14:paraId="6B912C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806</w:t>
            </w:r>
          </w:p>
        </w:tc>
        <w:tc>
          <w:tcPr>
            <w:tcW w:w="1565" w:type="dxa"/>
            <w:tcBorders>
              <w:top w:val="nil"/>
              <w:left w:val="nil"/>
              <w:bottom w:val="nil"/>
              <w:right w:val="single" w:sz="4" w:space="0" w:color="auto"/>
            </w:tcBorders>
            <w:shd w:val="clear" w:color="000000" w:fill="FFFFFF"/>
            <w:vAlign w:val="center"/>
            <w:hideMark/>
          </w:tcPr>
          <w:p w14:paraId="3B58BD7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6,950</w:t>
            </w:r>
          </w:p>
        </w:tc>
        <w:tc>
          <w:tcPr>
            <w:tcW w:w="1306" w:type="dxa"/>
            <w:tcBorders>
              <w:top w:val="nil"/>
              <w:left w:val="nil"/>
              <w:bottom w:val="nil"/>
              <w:right w:val="single" w:sz="4" w:space="0" w:color="auto"/>
            </w:tcBorders>
            <w:shd w:val="clear" w:color="000000" w:fill="FFCDCD"/>
            <w:noWrap/>
            <w:vAlign w:val="center"/>
            <w:hideMark/>
          </w:tcPr>
          <w:p w14:paraId="5669A00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7,756</w:t>
            </w:r>
          </w:p>
        </w:tc>
        <w:tc>
          <w:tcPr>
            <w:tcW w:w="1372" w:type="dxa"/>
            <w:tcBorders>
              <w:top w:val="nil"/>
              <w:left w:val="nil"/>
              <w:bottom w:val="nil"/>
              <w:right w:val="single" w:sz="4" w:space="0" w:color="auto"/>
            </w:tcBorders>
            <w:shd w:val="clear" w:color="000000" w:fill="FFFFFF"/>
            <w:vAlign w:val="center"/>
            <w:hideMark/>
          </w:tcPr>
          <w:p w14:paraId="2D2C000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1,133</w:t>
            </w:r>
          </w:p>
        </w:tc>
        <w:tc>
          <w:tcPr>
            <w:tcW w:w="1583" w:type="dxa"/>
            <w:tcBorders>
              <w:top w:val="nil"/>
              <w:left w:val="nil"/>
              <w:bottom w:val="nil"/>
              <w:right w:val="single" w:sz="4" w:space="0" w:color="auto"/>
            </w:tcBorders>
            <w:shd w:val="clear" w:color="000000" w:fill="FFFFFF"/>
            <w:vAlign w:val="center"/>
            <w:hideMark/>
          </w:tcPr>
          <w:p w14:paraId="0C0B140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6,980</w:t>
            </w:r>
          </w:p>
        </w:tc>
        <w:tc>
          <w:tcPr>
            <w:tcW w:w="1270" w:type="dxa"/>
            <w:tcBorders>
              <w:top w:val="nil"/>
              <w:left w:val="nil"/>
              <w:bottom w:val="nil"/>
              <w:right w:val="single" w:sz="4" w:space="0" w:color="auto"/>
            </w:tcBorders>
            <w:shd w:val="clear" w:color="000000" w:fill="FFCDCD"/>
            <w:noWrap/>
            <w:vAlign w:val="center"/>
            <w:hideMark/>
          </w:tcPr>
          <w:p w14:paraId="200CC69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8,113</w:t>
            </w:r>
          </w:p>
        </w:tc>
      </w:tr>
      <w:tr w:rsidR="001B221B" w:rsidRPr="001B221B" w14:paraId="081791C3"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27469BDB"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Interest cost</w:t>
            </w:r>
          </w:p>
        </w:tc>
        <w:tc>
          <w:tcPr>
            <w:tcW w:w="1496" w:type="dxa"/>
            <w:tcBorders>
              <w:top w:val="nil"/>
              <w:left w:val="nil"/>
              <w:bottom w:val="nil"/>
              <w:right w:val="single" w:sz="4" w:space="0" w:color="auto"/>
            </w:tcBorders>
            <w:shd w:val="clear" w:color="000000" w:fill="FFFFFF"/>
            <w:vAlign w:val="center"/>
            <w:hideMark/>
          </w:tcPr>
          <w:p w14:paraId="5AD5D64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75</w:t>
            </w:r>
          </w:p>
        </w:tc>
        <w:tc>
          <w:tcPr>
            <w:tcW w:w="1565" w:type="dxa"/>
            <w:tcBorders>
              <w:top w:val="nil"/>
              <w:left w:val="nil"/>
              <w:bottom w:val="nil"/>
              <w:right w:val="single" w:sz="4" w:space="0" w:color="auto"/>
            </w:tcBorders>
            <w:shd w:val="clear" w:color="000000" w:fill="FFFFFF"/>
            <w:vAlign w:val="center"/>
            <w:hideMark/>
          </w:tcPr>
          <w:p w14:paraId="588A6B0F"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6,450</w:t>
            </w:r>
          </w:p>
        </w:tc>
        <w:tc>
          <w:tcPr>
            <w:tcW w:w="1306" w:type="dxa"/>
            <w:tcBorders>
              <w:top w:val="nil"/>
              <w:left w:val="nil"/>
              <w:bottom w:val="nil"/>
              <w:right w:val="single" w:sz="4" w:space="0" w:color="auto"/>
            </w:tcBorders>
            <w:shd w:val="clear" w:color="000000" w:fill="FFCDCD"/>
            <w:noWrap/>
            <w:vAlign w:val="center"/>
            <w:hideMark/>
          </w:tcPr>
          <w:p w14:paraId="513A15A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6,525</w:t>
            </w:r>
          </w:p>
        </w:tc>
        <w:tc>
          <w:tcPr>
            <w:tcW w:w="1372" w:type="dxa"/>
            <w:tcBorders>
              <w:top w:val="nil"/>
              <w:left w:val="nil"/>
              <w:bottom w:val="nil"/>
              <w:right w:val="single" w:sz="4" w:space="0" w:color="auto"/>
            </w:tcBorders>
            <w:shd w:val="clear" w:color="000000" w:fill="FFFFFF"/>
            <w:vAlign w:val="center"/>
            <w:hideMark/>
          </w:tcPr>
          <w:p w14:paraId="3C5DCDD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120</w:t>
            </w:r>
          </w:p>
        </w:tc>
        <w:tc>
          <w:tcPr>
            <w:tcW w:w="1583" w:type="dxa"/>
            <w:tcBorders>
              <w:top w:val="nil"/>
              <w:left w:val="nil"/>
              <w:bottom w:val="nil"/>
              <w:right w:val="single" w:sz="4" w:space="0" w:color="auto"/>
            </w:tcBorders>
            <w:shd w:val="clear" w:color="000000" w:fill="FFFFFF"/>
            <w:vAlign w:val="center"/>
            <w:hideMark/>
          </w:tcPr>
          <w:p w14:paraId="75AF461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6,470</w:t>
            </w:r>
          </w:p>
        </w:tc>
        <w:tc>
          <w:tcPr>
            <w:tcW w:w="1270" w:type="dxa"/>
            <w:tcBorders>
              <w:top w:val="nil"/>
              <w:left w:val="nil"/>
              <w:bottom w:val="nil"/>
              <w:right w:val="single" w:sz="4" w:space="0" w:color="auto"/>
            </w:tcBorders>
            <w:shd w:val="clear" w:color="000000" w:fill="FFCDCD"/>
            <w:noWrap/>
            <w:vAlign w:val="center"/>
            <w:hideMark/>
          </w:tcPr>
          <w:p w14:paraId="6021B48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6,590</w:t>
            </w:r>
          </w:p>
        </w:tc>
      </w:tr>
      <w:tr w:rsidR="001B221B" w:rsidRPr="001B221B" w14:paraId="534A9BC0"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0B3F9CD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Changes in assumptions</w:t>
            </w:r>
          </w:p>
        </w:tc>
        <w:tc>
          <w:tcPr>
            <w:tcW w:w="1496" w:type="dxa"/>
            <w:tcBorders>
              <w:top w:val="nil"/>
              <w:left w:val="nil"/>
              <w:bottom w:val="nil"/>
              <w:right w:val="single" w:sz="4" w:space="0" w:color="auto"/>
            </w:tcBorders>
            <w:shd w:val="clear" w:color="000000" w:fill="FFFFFF"/>
            <w:vAlign w:val="center"/>
            <w:hideMark/>
          </w:tcPr>
          <w:p w14:paraId="2270A40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1,921</w:t>
            </w:r>
          </w:p>
        </w:tc>
        <w:tc>
          <w:tcPr>
            <w:tcW w:w="1565" w:type="dxa"/>
            <w:tcBorders>
              <w:top w:val="nil"/>
              <w:left w:val="nil"/>
              <w:bottom w:val="nil"/>
              <w:right w:val="single" w:sz="4" w:space="0" w:color="auto"/>
            </w:tcBorders>
            <w:shd w:val="clear" w:color="000000" w:fill="FFFFFF"/>
            <w:vAlign w:val="center"/>
            <w:hideMark/>
          </w:tcPr>
          <w:p w14:paraId="56512B5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30,110</w:t>
            </w:r>
          </w:p>
        </w:tc>
        <w:tc>
          <w:tcPr>
            <w:tcW w:w="1306" w:type="dxa"/>
            <w:tcBorders>
              <w:top w:val="nil"/>
              <w:left w:val="nil"/>
              <w:bottom w:val="nil"/>
              <w:right w:val="single" w:sz="4" w:space="0" w:color="auto"/>
            </w:tcBorders>
            <w:shd w:val="clear" w:color="000000" w:fill="FFCDCD"/>
            <w:noWrap/>
            <w:vAlign w:val="center"/>
            <w:hideMark/>
          </w:tcPr>
          <w:p w14:paraId="02F83BB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32,031</w:t>
            </w:r>
          </w:p>
        </w:tc>
        <w:tc>
          <w:tcPr>
            <w:tcW w:w="1372" w:type="dxa"/>
            <w:tcBorders>
              <w:top w:val="nil"/>
              <w:left w:val="nil"/>
              <w:bottom w:val="nil"/>
              <w:right w:val="single" w:sz="4" w:space="0" w:color="auto"/>
            </w:tcBorders>
            <w:shd w:val="clear" w:color="000000" w:fill="FFFFFF"/>
            <w:vAlign w:val="center"/>
            <w:hideMark/>
          </w:tcPr>
          <w:p w14:paraId="08179B2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(1,641)</w:t>
            </w:r>
          </w:p>
        </w:tc>
        <w:tc>
          <w:tcPr>
            <w:tcW w:w="1583" w:type="dxa"/>
            <w:tcBorders>
              <w:top w:val="nil"/>
              <w:left w:val="nil"/>
              <w:bottom w:val="nil"/>
              <w:right w:val="single" w:sz="4" w:space="0" w:color="auto"/>
            </w:tcBorders>
            <w:shd w:val="clear" w:color="000000" w:fill="FFFFFF"/>
            <w:vAlign w:val="center"/>
            <w:hideMark/>
          </w:tcPr>
          <w:p w14:paraId="0CA8A99A"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(1,120)</w:t>
            </w:r>
          </w:p>
        </w:tc>
        <w:tc>
          <w:tcPr>
            <w:tcW w:w="1270" w:type="dxa"/>
            <w:tcBorders>
              <w:top w:val="nil"/>
              <w:left w:val="nil"/>
              <w:bottom w:val="nil"/>
              <w:right w:val="single" w:sz="4" w:space="0" w:color="auto"/>
            </w:tcBorders>
            <w:shd w:val="clear" w:color="000000" w:fill="FFCDCD"/>
            <w:noWrap/>
            <w:vAlign w:val="center"/>
            <w:hideMark/>
          </w:tcPr>
          <w:p w14:paraId="3D7F2F69"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(2,761)</w:t>
            </w:r>
          </w:p>
        </w:tc>
      </w:tr>
      <w:tr w:rsidR="001B221B" w:rsidRPr="001B221B" w14:paraId="64DFD763"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045E811"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Past service cost, including curtailments</w:t>
            </w:r>
          </w:p>
        </w:tc>
        <w:tc>
          <w:tcPr>
            <w:tcW w:w="1496" w:type="dxa"/>
            <w:tcBorders>
              <w:top w:val="nil"/>
              <w:left w:val="nil"/>
              <w:bottom w:val="nil"/>
              <w:right w:val="single" w:sz="4" w:space="0" w:color="auto"/>
            </w:tcBorders>
            <w:shd w:val="clear" w:color="000000" w:fill="FFFFFF"/>
            <w:vAlign w:val="center"/>
            <w:hideMark/>
          </w:tcPr>
          <w:p w14:paraId="44E4D3C7"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199D600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06" w:type="dxa"/>
            <w:tcBorders>
              <w:top w:val="nil"/>
              <w:left w:val="nil"/>
              <w:bottom w:val="nil"/>
              <w:right w:val="single" w:sz="4" w:space="0" w:color="auto"/>
            </w:tcBorders>
            <w:shd w:val="clear" w:color="000000" w:fill="FFCDCD"/>
            <w:noWrap/>
            <w:vAlign w:val="center"/>
            <w:hideMark/>
          </w:tcPr>
          <w:p w14:paraId="45797AC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90</w:t>
            </w:r>
          </w:p>
        </w:tc>
        <w:tc>
          <w:tcPr>
            <w:tcW w:w="1372" w:type="dxa"/>
            <w:tcBorders>
              <w:top w:val="nil"/>
              <w:left w:val="nil"/>
              <w:bottom w:val="nil"/>
              <w:right w:val="single" w:sz="4" w:space="0" w:color="auto"/>
            </w:tcBorders>
            <w:shd w:val="clear" w:color="000000" w:fill="FFFFFF"/>
            <w:vAlign w:val="center"/>
            <w:hideMark/>
          </w:tcPr>
          <w:p w14:paraId="606811C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137E4E2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6F888EEC"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1E70646B"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A56E147"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Contributions by employer/employee</w:t>
            </w:r>
          </w:p>
        </w:tc>
        <w:tc>
          <w:tcPr>
            <w:tcW w:w="1496" w:type="dxa"/>
            <w:tcBorders>
              <w:top w:val="nil"/>
              <w:left w:val="nil"/>
              <w:bottom w:val="nil"/>
              <w:right w:val="single" w:sz="4" w:space="0" w:color="auto"/>
            </w:tcBorders>
            <w:shd w:val="clear" w:color="000000" w:fill="FFFFFF"/>
            <w:vAlign w:val="center"/>
            <w:hideMark/>
          </w:tcPr>
          <w:p w14:paraId="720D6BB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(423)</w:t>
            </w:r>
          </w:p>
        </w:tc>
        <w:tc>
          <w:tcPr>
            <w:tcW w:w="1565" w:type="dxa"/>
            <w:tcBorders>
              <w:top w:val="nil"/>
              <w:left w:val="nil"/>
              <w:bottom w:val="nil"/>
              <w:right w:val="single" w:sz="4" w:space="0" w:color="auto"/>
            </w:tcBorders>
            <w:shd w:val="clear" w:color="000000" w:fill="FFFFFF"/>
            <w:vAlign w:val="center"/>
            <w:hideMark/>
          </w:tcPr>
          <w:p w14:paraId="07E9F5F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1,250</w:t>
            </w:r>
          </w:p>
        </w:tc>
        <w:tc>
          <w:tcPr>
            <w:tcW w:w="1306" w:type="dxa"/>
            <w:tcBorders>
              <w:top w:val="nil"/>
              <w:left w:val="nil"/>
              <w:bottom w:val="nil"/>
              <w:right w:val="single" w:sz="4" w:space="0" w:color="auto"/>
            </w:tcBorders>
            <w:shd w:val="clear" w:color="000000" w:fill="FFCDCD"/>
            <w:noWrap/>
            <w:vAlign w:val="center"/>
            <w:hideMark/>
          </w:tcPr>
          <w:p w14:paraId="358DDE45"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827</w:t>
            </w:r>
          </w:p>
        </w:tc>
        <w:tc>
          <w:tcPr>
            <w:tcW w:w="1372" w:type="dxa"/>
            <w:tcBorders>
              <w:top w:val="nil"/>
              <w:left w:val="nil"/>
              <w:bottom w:val="nil"/>
              <w:right w:val="single" w:sz="4" w:space="0" w:color="auto"/>
            </w:tcBorders>
            <w:shd w:val="clear" w:color="000000" w:fill="FFFFFF"/>
            <w:vAlign w:val="center"/>
            <w:hideMark/>
          </w:tcPr>
          <w:p w14:paraId="1E94D93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(402)</w:t>
            </w:r>
          </w:p>
        </w:tc>
        <w:tc>
          <w:tcPr>
            <w:tcW w:w="1583" w:type="dxa"/>
            <w:tcBorders>
              <w:top w:val="nil"/>
              <w:left w:val="nil"/>
              <w:bottom w:val="nil"/>
              <w:right w:val="single" w:sz="4" w:space="0" w:color="auto"/>
            </w:tcBorders>
            <w:shd w:val="clear" w:color="000000" w:fill="FFFFFF"/>
            <w:vAlign w:val="center"/>
            <w:hideMark/>
          </w:tcPr>
          <w:p w14:paraId="4F5E6FF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1,270</w:t>
            </w:r>
          </w:p>
        </w:tc>
        <w:tc>
          <w:tcPr>
            <w:tcW w:w="1270" w:type="dxa"/>
            <w:tcBorders>
              <w:top w:val="nil"/>
              <w:left w:val="nil"/>
              <w:bottom w:val="nil"/>
              <w:right w:val="single" w:sz="4" w:space="0" w:color="auto"/>
            </w:tcBorders>
            <w:shd w:val="clear" w:color="000000" w:fill="FFCDCD"/>
            <w:noWrap/>
            <w:vAlign w:val="center"/>
            <w:hideMark/>
          </w:tcPr>
          <w:p w14:paraId="74F963A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868</w:t>
            </w:r>
          </w:p>
        </w:tc>
      </w:tr>
      <w:tr w:rsidR="001B221B" w:rsidRPr="001B221B" w14:paraId="12701CCB" w14:textId="77777777" w:rsidTr="001B221B">
        <w:trPr>
          <w:trHeight w:val="245"/>
        </w:trPr>
        <w:tc>
          <w:tcPr>
            <w:tcW w:w="2041" w:type="dxa"/>
            <w:tcBorders>
              <w:top w:val="nil"/>
              <w:left w:val="single" w:sz="4" w:space="0" w:color="auto"/>
              <w:bottom w:val="nil"/>
              <w:right w:val="single" w:sz="4" w:space="0" w:color="auto"/>
            </w:tcBorders>
            <w:shd w:val="clear" w:color="000000" w:fill="FFFFFF"/>
            <w:vAlign w:val="center"/>
            <w:hideMark/>
          </w:tcPr>
          <w:p w14:paraId="58C92E9E"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Benefits Paid</w:t>
            </w:r>
          </w:p>
        </w:tc>
        <w:tc>
          <w:tcPr>
            <w:tcW w:w="1496" w:type="dxa"/>
            <w:tcBorders>
              <w:top w:val="nil"/>
              <w:left w:val="nil"/>
              <w:bottom w:val="nil"/>
              <w:right w:val="single" w:sz="4" w:space="0" w:color="auto"/>
            </w:tcBorders>
            <w:shd w:val="clear" w:color="000000" w:fill="FFFFFF"/>
            <w:vAlign w:val="center"/>
            <w:hideMark/>
          </w:tcPr>
          <w:p w14:paraId="390E43C2"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734A339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306" w:type="dxa"/>
            <w:tcBorders>
              <w:top w:val="nil"/>
              <w:left w:val="nil"/>
              <w:bottom w:val="nil"/>
              <w:right w:val="single" w:sz="4" w:space="0" w:color="auto"/>
            </w:tcBorders>
            <w:shd w:val="clear" w:color="000000" w:fill="FFCDCD"/>
            <w:noWrap/>
            <w:vAlign w:val="center"/>
            <w:hideMark/>
          </w:tcPr>
          <w:p w14:paraId="00A9A74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(8,820)</w:t>
            </w:r>
          </w:p>
        </w:tc>
        <w:tc>
          <w:tcPr>
            <w:tcW w:w="1372" w:type="dxa"/>
            <w:tcBorders>
              <w:top w:val="nil"/>
              <w:left w:val="nil"/>
              <w:bottom w:val="nil"/>
              <w:right w:val="single" w:sz="4" w:space="0" w:color="auto"/>
            </w:tcBorders>
            <w:shd w:val="clear" w:color="000000" w:fill="FFFFFF"/>
            <w:vAlign w:val="center"/>
            <w:hideMark/>
          </w:tcPr>
          <w:p w14:paraId="07825770"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2E61099B"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c>
          <w:tcPr>
            <w:tcW w:w="1270" w:type="dxa"/>
            <w:tcBorders>
              <w:top w:val="nil"/>
              <w:left w:val="nil"/>
              <w:bottom w:val="nil"/>
              <w:right w:val="single" w:sz="4" w:space="0" w:color="auto"/>
            </w:tcBorders>
            <w:shd w:val="clear" w:color="000000" w:fill="FFCDCD"/>
            <w:noWrap/>
            <w:vAlign w:val="center"/>
            <w:hideMark/>
          </w:tcPr>
          <w:p w14:paraId="5BBA3AD6"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(7,230)</w:t>
            </w:r>
          </w:p>
        </w:tc>
      </w:tr>
      <w:tr w:rsidR="001B221B" w:rsidRPr="001B221B" w14:paraId="32C2709F" w14:textId="77777777" w:rsidTr="001B221B">
        <w:trPr>
          <w:trHeight w:val="491"/>
        </w:trPr>
        <w:tc>
          <w:tcPr>
            <w:tcW w:w="2041" w:type="dxa"/>
            <w:tcBorders>
              <w:top w:val="nil"/>
              <w:left w:val="single" w:sz="4" w:space="0" w:color="auto"/>
              <w:bottom w:val="nil"/>
              <w:right w:val="single" w:sz="4" w:space="0" w:color="auto"/>
            </w:tcBorders>
            <w:shd w:val="clear" w:color="000000" w:fill="FFFFFF"/>
            <w:vAlign w:val="center"/>
            <w:hideMark/>
          </w:tcPr>
          <w:p w14:paraId="720D48E5" w14:textId="77777777" w:rsidR="001B221B" w:rsidRPr="001B221B" w:rsidRDefault="001B221B" w:rsidP="001B221B">
            <w:pPr>
              <w:spacing w:after="0" w:line="240" w:lineRule="auto"/>
              <w:rPr>
                <w:rFonts w:ascii="Calibri" w:eastAsia="Times New Roman" w:hAnsi="Calibri" w:cs="Calibri"/>
                <w:color w:val="000000"/>
                <w:lang w:eastAsia="en-GB"/>
              </w:rPr>
            </w:pPr>
            <w:r w:rsidRPr="001B221B">
              <w:rPr>
                <w:rFonts w:ascii="Calibri" w:eastAsia="Times New Roman" w:hAnsi="Calibri" w:cs="Calibri"/>
                <w:color w:val="000000"/>
                <w:lang w:eastAsia="en-GB"/>
              </w:rPr>
              <w:t>Return on assets less interest</w:t>
            </w:r>
          </w:p>
        </w:tc>
        <w:tc>
          <w:tcPr>
            <w:tcW w:w="1496" w:type="dxa"/>
            <w:tcBorders>
              <w:top w:val="nil"/>
              <w:left w:val="nil"/>
              <w:bottom w:val="nil"/>
              <w:right w:val="single" w:sz="4" w:space="0" w:color="auto"/>
            </w:tcBorders>
            <w:shd w:val="clear" w:color="000000" w:fill="FFFFFF"/>
            <w:vAlign w:val="center"/>
            <w:hideMark/>
          </w:tcPr>
          <w:p w14:paraId="02B27F64"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65" w:type="dxa"/>
            <w:tcBorders>
              <w:top w:val="nil"/>
              <w:left w:val="nil"/>
              <w:bottom w:val="nil"/>
              <w:right w:val="single" w:sz="4" w:space="0" w:color="auto"/>
            </w:tcBorders>
            <w:shd w:val="clear" w:color="000000" w:fill="FFFFFF"/>
            <w:vAlign w:val="center"/>
            <w:hideMark/>
          </w:tcPr>
          <w:p w14:paraId="14CDDF18"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306" w:type="dxa"/>
            <w:tcBorders>
              <w:top w:val="nil"/>
              <w:left w:val="nil"/>
              <w:bottom w:val="nil"/>
              <w:right w:val="single" w:sz="4" w:space="0" w:color="auto"/>
            </w:tcBorders>
            <w:shd w:val="clear" w:color="000000" w:fill="FFCDCD"/>
            <w:noWrap/>
            <w:vAlign w:val="center"/>
            <w:hideMark/>
          </w:tcPr>
          <w:p w14:paraId="38F4654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372" w:type="dxa"/>
            <w:tcBorders>
              <w:top w:val="nil"/>
              <w:left w:val="nil"/>
              <w:bottom w:val="nil"/>
              <w:right w:val="single" w:sz="4" w:space="0" w:color="auto"/>
            </w:tcBorders>
            <w:shd w:val="clear" w:color="000000" w:fill="FFFFFF"/>
            <w:vAlign w:val="center"/>
            <w:hideMark/>
          </w:tcPr>
          <w:p w14:paraId="12DF13B1"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583" w:type="dxa"/>
            <w:tcBorders>
              <w:top w:val="nil"/>
              <w:left w:val="nil"/>
              <w:bottom w:val="nil"/>
              <w:right w:val="single" w:sz="4" w:space="0" w:color="auto"/>
            </w:tcBorders>
            <w:shd w:val="clear" w:color="000000" w:fill="FFFFFF"/>
            <w:vAlign w:val="center"/>
            <w:hideMark/>
          </w:tcPr>
          <w:p w14:paraId="1303232D"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c>
          <w:tcPr>
            <w:tcW w:w="1270" w:type="dxa"/>
            <w:tcBorders>
              <w:top w:val="nil"/>
              <w:left w:val="nil"/>
              <w:bottom w:val="nil"/>
              <w:right w:val="single" w:sz="4" w:space="0" w:color="auto"/>
            </w:tcBorders>
            <w:shd w:val="clear" w:color="000000" w:fill="FFCDCD"/>
            <w:noWrap/>
            <w:vAlign w:val="center"/>
            <w:hideMark/>
          </w:tcPr>
          <w:p w14:paraId="7A693FD3" w14:textId="77777777" w:rsidR="001B221B" w:rsidRPr="001B221B" w:rsidRDefault="001B221B" w:rsidP="001B221B">
            <w:pPr>
              <w:spacing w:after="0" w:line="240" w:lineRule="auto"/>
              <w:jc w:val="right"/>
              <w:rPr>
                <w:rFonts w:ascii="Calibri" w:eastAsia="Times New Roman" w:hAnsi="Calibri" w:cs="Calibri"/>
                <w:color w:val="000000"/>
                <w:lang w:eastAsia="en-GB"/>
              </w:rPr>
            </w:pPr>
            <w:r w:rsidRPr="001B221B">
              <w:rPr>
                <w:rFonts w:ascii="Calibri" w:eastAsia="Times New Roman" w:hAnsi="Calibri" w:cs="Calibri"/>
                <w:color w:val="000000"/>
                <w:lang w:eastAsia="en-GB"/>
              </w:rPr>
              <w:t>-</w:t>
            </w:r>
          </w:p>
        </w:tc>
      </w:tr>
      <w:tr w:rsidR="001B221B" w:rsidRPr="001B221B" w14:paraId="09AB6E95" w14:textId="77777777" w:rsidTr="001B221B">
        <w:trPr>
          <w:trHeight w:val="245"/>
        </w:trPr>
        <w:tc>
          <w:tcPr>
            <w:tcW w:w="2041"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68675E0C" w14:textId="77777777" w:rsidR="001B221B" w:rsidRPr="001B221B" w:rsidRDefault="001B221B" w:rsidP="001B221B">
            <w:pPr>
              <w:spacing w:after="0" w:line="240" w:lineRule="auto"/>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Closing Balance</w:t>
            </w:r>
          </w:p>
        </w:tc>
        <w:tc>
          <w:tcPr>
            <w:tcW w:w="1496" w:type="dxa"/>
            <w:tcBorders>
              <w:top w:val="single" w:sz="4" w:space="0" w:color="auto"/>
              <w:left w:val="nil"/>
              <w:bottom w:val="single" w:sz="4" w:space="0" w:color="auto"/>
              <w:right w:val="single" w:sz="4" w:space="0" w:color="auto"/>
            </w:tcBorders>
            <w:shd w:val="clear" w:color="000000" w:fill="C00000"/>
            <w:vAlign w:val="center"/>
            <w:hideMark/>
          </w:tcPr>
          <w:p w14:paraId="608FEDD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5,485</w:t>
            </w:r>
          </w:p>
        </w:tc>
        <w:tc>
          <w:tcPr>
            <w:tcW w:w="1565" w:type="dxa"/>
            <w:tcBorders>
              <w:top w:val="single" w:sz="4" w:space="0" w:color="auto"/>
              <w:left w:val="nil"/>
              <w:bottom w:val="single" w:sz="4" w:space="0" w:color="auto"/>
              <w:right w:val="single" w:sz="4" w:space="0" w:color="auto"/>
            </w:tcBorders>
            <w:shd w:val="clear" w:color="000000" w:fill="C00000"/>
            <w:vAlign w:val="center"/>
            <w:hideMark/>
          </w:tcPr>
          <w:p w14:paraId="0CA4382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323,370</w:t>
            </w:r>
          </w:p>
        </w:tc>
        <w:tc>
          <w:tcPr>
            <w:tcW w:w="1306" w:type="dxa"/>
            <w:tcBorders>
              <w:top w:val="single" w:sz="4" w:space="0" w:color="auto"/>
              <w:left w:val="nil"/>
              <w:bottom w:val="single" w:sz="4" w:space="0" w:color="auto"/>
              <w:right w:val="single" w:sz="4" w:space="0" w:color="auto"/>
            </w:tcBorders>
            <w:shd w:val="clear" w:color="000000" w:fill="C00000"/>
            <w:noWrap/>
            <w:vAlign w:val="center"/>
            <w:hideMark/>
          </w:tcPr>
          <w:p w14:paraId="130A40D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328,855</w:t>
            </w:r>
          </w:p>
        </w:tc>
        <w:tc>
          <w:tcPr>
            <w:tcW w:w="1372" w:type="dxa"/>
            <w:tcBorders>
              <w:top w:val="single" w:sz="4" w:space="0" w:color="auto"/>
              <w:left w:val="nil"/>
              <w:bottom w:val="single" w:sz="4" w:space="0" w:color="auto"/>
              <w:right w:val="single" w:sz="4" w:space="0" w:color="auto"/>
            </w:tcBorders>
            <w:shd w:val="clear" w:color="000000" w:fill="C00000"/>
            <w:vAlign w:val="center"/>
            <w:hideMark/>
          </w:tcPr>
          <w:p w14:paraId="0B65BBA4"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4,695</w:t>
            </w:r>
          </w:p>
        </w:tc>
        <w:tc>
          <w:tcPr>
            <w:tcW w:w="1583" w:type="dxa"/>
            <w:tcBorders>
              <w:top w:val="single" w:sz="4" w:space="0" w:color="auto"/>
              <w:left w:val="nil"/>
              <w:bottom w:val="single" w:sz="4" w:space="0" w:color="auto"/>
              <w:right w:val="single" w:sz="4" w:space="0" w:color="auto"/>
            </w:tcBorders>
            <w:shd w:val="clear" w:color="000000" w:fill="C00000"/>
            <w:vAlign w:val="center"/>
            <w:hideMark/>
          </w:tcPr>
          <w:p w14:paraId="58DC4603"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329,740</w:t>
            </w:r>
          </w:p>
        </w:tc>
        <w:tc>
          <w:tcPr>
            <w:tcW w:w="1270" w:type="dxa"/>
            <w:tcBorders>
              <w:top w:val="single" w:sz="4" w:space="0" w:color="auto"/>
              <w:left w:val="nil"/>
              <w:bottom w:val="single" w:sz="4" w:space="0" w:color="auto"/>
              <w:right w:val="single" w:sz="4" w:space="0" w:color="auto"/>
            </w:tcBorders>
            <w:shd w:val="clear" w:color="000000" w:fill="C00000"/>
            <w:noWrap/>
            <w:vAlign w:val="center"/>
            <w:hideMark/>
          </w:tcPr>
          <w:p w14:paraId="1576CD37" w14:textId="77777777" w:rsidR="001B221B" w:rsidRPr="001B221B" w:rsidRDefault="001B221B" w:rsidP="001B221B">
            <w:pPr>
              <w:spacing w:after="0" w:line="240" w:lineRule="auto"/>
              <w:jc w:val="right"/>
              <w:rPr>
                <w:rFonts w:ascii="Calibri" w:eastAsia="Times New Roman" w:hAnsi="Calibri" w:cs="Calibri"/>
                <w:b/>
                <w:bCs/>
                <w:color w:val="FFFFFF"/>
                <w:lang w:eastAsia="en-GB"/>
              </w:rPr>
            </w:pPr>
            <w:r w:rsidRPr="001B221B">
              <w:rPr>
                <w:rFonts w:ascii="Calibri" w:eastAsia="Times New Roman" w:hAnsi="Calibri" w:cs="Calibri"/>
                <w:b/>
                <w:bCs/>
                <w:color w:val="FFFFFF"/>
                <w:lang w:eastAsia="en-GB"/>
              </w:rPr>
              <w:t>334,435</w:t>
            </w:r>
          </w:p>
        </w:tc>
      </w:tr>
    </w:tbl>
    <w:p w14:paraId="587C755A" w14:textId="151F27B0" w:rsidR="00EC2F17" w:rsidRDefault="00EC2F17"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p w14:paraId="4CE82E3F" w14:textId="6C43E80D" w:rsidR="00822ADE" w:rsidRDefault="00822ADE" w:rsidP="00822ADE">
      <w:pPr>
        <w:autoSpaceDE w:val="0"/>
        <w:autoSpaceDN w:val="0"/>
        <w:adjustRightInd w:val="0"/>
        <w:spacing w:after="0" w:line="240" w:lineRule="auto"/>
        <w:rPr>
          <w:rFonts w:cs="Arial"/>
          <w:b/>
          <w:bCs/>
          <w:sz w:val="28"/>
          <w:szCs w:val="28"/>
        </w:rPr>
      </w:pPr>
      <w:r w:rsidRPr="007F07C2">
        <w:rPr>
          <w:rFonts w:cs="Arial"/>
          <w:b/>
          <w:bCs/>
          <w:sz w:val="28"/>
          <w:szCs w:val="28"/>
        </w:rPr>
        <w:t>2</w:t>
      </w:r>
      <w:r>
        <w:rPr>
          <w:rFonts w:cs="Arial"/>
          <w:b/>
          <w:bCs/>
          <w:sz w:val="28"/>
          <w:szCs w:val="28"/>
        </w:rPr>
        <w:t>7</w:t>
      </w:r>
      <w:r w:rsidRPr="007F07C2">
        <w:rPr>
          <w:rFonts w:cs="Arial"/>
          <w:b/>
          <w:bCs/>
          <w:sz w:val="28"/>
          <w:szCs w:val="28"/>
        </w:rPr>
        <w:t xml:space="preserve"> </w:t>
      </w:r>
      <w:r>
        <w:rPr>
          <w:rFonts w:cs="Arial"/>
          <w:b/>
          <w:bCs/>
          <w:sz w:val="28"/>
          <w:szCs w:val="28"/>
        </w:rPr>
        <w:t>Financial Instruments</w:t>
      </w:r>
    </w:p>
    <w:p w14:paraId="2D581EFB" w14:textId="3FA4E4F2" w:rsidR="002105E0" w:rsidRDefault="002105E0" w:rsidP="002105E0">
      <w:pPr>
        <w:autoSpaceDE w:val="0"/>
        <w:autoSpaceDN w:val="0"/>
        <w:adjustRightInd w:val="0"/>
        <w:spacing w:after="0" w:line="240" w:lineRule="auto"/>
        <w:rPr>
          <w:rFonts w:cs="Arial"/>
          <w:bCs/>
          <w:szCs w:val="28"/>
        </w:rPr>
      </w:pPr>
      <w:r w:rsidRPr="002105E0">
        <w:rPr>
          <w:rFonts w:cs="Arial"/>
          <w:bCs/>
          <w:szCs w:val="28"/>
        </w:rPr>
        <w:t xml:space="preserve">Financial instruments are recognised on the Balance Sheet when the Fire Authority becomes party to the contractual provisions of a financial </w:t>
      </w:r>
      <w:proofErr w:type="spellStart"/>
      <w:r w:rsidRPr="002105E0">
        <w:rPr>
          <w:rFonts w:cs="Arial"/>
          <w:bCs/>
          <w:szCs w:val="28"/>
        </w:rPr>
        <w:t>instrument.They</w:t>
      </w:r>
      <w:proofErr w:type="spellEnd"/>
      <w:r w:rsidRPr="002105E0">
        <w:rPr>
          <w:rFonts w:cs="Arial"/>
          <w:bCs/>
          <w:szCs w:val="28"/>
        </w:rPr>
        <w:t xml:space="preserve"> are initially measured at fair value.</w:t>
      </w:r>
    </w:p>
    <w:p w14:paraId="497BC64B" w14:textId="77777777" w:rsidR="002105E0" w:rsidRPr="002105E0" w:rsidRDefault="002105E0" w:rsidP="002105E0">
      <w:pPr>
        <w:autoSpaceDE w:val="0"/>
        <w:autoSpaceDN w:val="0"/>
        <w:adjustRightInd w:val="0"/>
        <w:spacing w:after="0" w:line="240" w:lineRule="auto"/>
        <w:rPr>
          <w:rFonts w:cs="Arial"/>
          <w:bCs/>
          <w:szCs w:val="28"/>
        </w:rPr>
      </w:pPr>
    </w:p>
    <w:p w14:paraId="28A940A0" w14:textId="77777777"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Financial Liabilities</w:t>
      </w:r>
    </w:p>
    <w:p w14:paraId="53E1AB4D" w14:textId="77777777" w:rsidR="002105E0" w:rsidRDefault="002105E0" w:rsidP="002105E0">
      <w:pPr>
        <w:autoSpaceDE w:val="0"/>
        <w:autoSpaceDN w:val="0"/>
        <w:adjustRightInd w:val="0"/>
        <w:spacing w:after="0" w:line="240" w:lineRule="auto"/>
        <w:rPr>
          <w:rFonts w:cs="Arial"/>
          <w:bCs/>
          <w:szCs w:val="28"/>
        </w:rPr>
      </w:pPr>
    </w:p>
    <w:p w14:paraId="002111DF" w14:textId="2C730709"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Financial liabilities are subsequently measured at amortised cost. For the Fire Authority’s borrowing this means that the amount presented in the Balance Sheet is the outstanding principal repayable (plus accrued interest).</w:t>
      </w:r>
    </w:p>
    <w:p w14:paraId="0FB74007" w14:textId="7777777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Annual charges to the Financing and Investment Income and Expenditure line in the Comprehensive Income and Expenditure Statement are based on the carrying amount of the liability, multiplied by the effective rate of interest for the instrument.</w:t>
      </w:r>
    </w:p>
    <w:p w14:paraId="1F47AA4E" w14:textId="77777777" w:rsidR="002105E0" w:rsidRDefault="002105E0" w:rsidP="002105E0">
      <w:pPr>
        <w:autoSpaceDE w:val="0"/>
        <w:autoSpaceDN w:val="0"/>
        <w:adjustRightInd w:val="0"/>
        <w:spacing w:after="0" w:line="240" w:lineRule="auto"/>
        <w:rPr>
          <w:rFonts w:cs="Arial"/>
          <w:b/>
          <w:szCs w:val="28"/>
        </w:rPr>
      </w:pPr>
    </w:p>
    <w:p w14:paraId="041FFFE0" w14:textId="13758A4F"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Financial Assets</w:t>
      </w:r>
    </w:p>
    <w:p w14:paraId="60EA9DF0" w14:textId="77777777" w:rsidR="002105E0" w:rsidRDefault="002105E0" w:rsidP="002105E0">
      <w:pPr>
        <w:autoSpaceDE w:val="0"/>
        <w:autoSpaceDN w:val="0"/>
        <w:adjustRightInd w:val="0"/>
        <w:spacing w:after="0" w:line="240" w:lineRule="auto"/>
        <w:rPr>
          <w:rFonts w:cs="Arial"/>
          <w:bCs/>
          <w:szCs w:val="28"/>
        </w:rPr>
      </w:pPr>
    </w:p>
    <w:p w14:paraId="5AA7E01D" w14:textId="1B5D2F41" w:rsidR="002105E0" w:rsidRDefault="002105E0" w:rsidP="002105E0">
      <w:pPr>
        <w:autoSpaceDE w:val="0"/>
        <w:autoSpaceDN w:val="0"/>
        <w:adjustRightInd w:val="0"/>
        <w:spacing w:after="0" w:line="240" w:lineRule="auto"/>
        <w:rPr>
          <w:rFonts w:cs="Arial"/>
          <w:bCs/>
          <w:szCs w:val="28"/>
        </w:rPr>
      </w:pPr>
      <w:r w:rsidRPr="002105E0">
        <w:rPr>
          <w:rFonts w:cs="Arial"/>
          <w:bCs/>
          <w:szCs w:val="28"/>
        </w:rPr>
        <w:t>Financial assets are classified as below:</w:t>
      </w:r>
    </w:p>
    <w:p w14:paraId="05E2E5D8" w14:textId="77777777" w:rsidR="002105E0" w:rsidRPr="002105E0" w:rsidRDefault="002105E0" w:rsidP="002105E0">
      <w:pPr>
        <w:autoSpaceDE w:val="0"/>
        <w:autoSpaceDN w:val="0"/>
        <w:adjustRightInd w:val="0"/>
        <w:spacing w:after="0" w:line="240" w:lineRule="auto"/>
        <w:rPr>
          <w:rFonts w:cs="Arial"/>
          <w:bCs/>
          <w:szCs w:val="28"/>
        </w:rPr>
      </w:pPr>
    </w:p>
    <w:p w14:paraId="78BA9D2D" w14:textId="1A67AE1E" w:rsidR="002105E0" w:rsidRDefault="002105E0" w:rsidP="00B02FD3">
      <w:pPr>
        <w:pStyle w:val="ListParagraph"/>
        <w:numPr>
          <w:ilvl w:val="0"/>
          <w:numId w:val="31"/>
        </w:numPr>
        <w:autoSpaceDE w:val="0"/>
        <w:autoSpaceDN w:val="0"/>
        <w:adjustRightInd w:val="0"/>
        <w:spacing w:after="0" w:line="240" w:lineRule="auto"/>
        <w:ind w:left="360"/>
        <w:rPr>
          <w:rFonts w:cs="Arial"/>
          <w:bCs/>
          <w:szCs w:val="28"/>
        </w:rPr>
      </w:pPr>
      <w:r w:rsidRPr="002105E0">
        <w:rPr>
          <w:rFonts w:cs="Arial"/>
          <w:bCs/>
          <w:szCs w:val="28"/>
        </w:rPr>
        <w:t>Financial assets held at amortised cost. These represent loans and loan-type arrangements where repayments of interest and principal take place on set dates and at specified amounts. The amount presented in the Balance Sheet represents the outstanding principal received plus accrued interest. Interest credited to the CIES is the amount receivable as per the loan agreement.</w:t>
      </w:r>
    </w:p>
    <w:p w14:paraId="168F8526" w14:textId="77777777" w:rsidR="00B02FD3" w:rsidRPr="002105E0" w:rsidRDefault="00B02FD3" w:rsidP="00B02FD3">
      <w:pPr>
        <w:pStyle w:val="ListParagraph"/>
        <w:autoSpaceDE w:val="0"/>
        <w:autoSpaceDN w:val="0"/>
        <w:adjustRightInd w:val="0"/>
        <w:spacing w:after="0" w:line="240" w:lineRule="auto"/>
        <w:ind w:left="360"/>
        <w:rPr>
          <w:rFonts w:cs="Arial"/>
          <w:bCs/>
          <w:szCs w:val="28"/>
        </w:rPr>
      </w:pPr>
    </w:p>
    <w:p w14:paraId="24BE71E4" w14:textId="099CE960" w:rsidR="002105E0" w:rsidRDefault="002105E0" w:rsidP="00B02FD3">
      <w:pPr>
        <w:pStyle w:val="ListParagraph"/>
        <w:numPr>
          <w:ilvl w:val="0"/>
          <w:numId w:val="31"/>
        </w:numPr>
        <w:autoSpaceDE w:val="0"/>
        <w:autoSpaceDN w:val="0"/>
        <w:adjustRightInd w:val="0"/>
        <w:spacing w:after="0" w:line="240" w:lineRule="auto"/>
        <w:ind w:left="360"/>
        <w:rPr>
          <w:rFonts w:cs="Arial"/>
          <w:bCs/>
          <w:szCs w:val="28"/>
        </w:rPr>
      </w:pPr>
      <w:r w:rsidRPr="002105E0">
        <w:rPr>
          <w:rFonts w:cs="Arial"/>
          <w:bCs/>
          <w:szCs w:val="28"/>
        </w:rPr>
        <w:t>Fair Value Through Profit and Loss (FVTPL). These assets are measured and carried at fair value.  All gains and losses due to changes in fair value (both realised and unrealised) are recognised in the CIES as they occur.</w:t>
      </w:r>
    </w:p>
    <w:p w14:paraId="63B1C816" w14:textId="77777777" w:rsidR="002105E0" w:rsidRPr="002105E0" w:rsidRDefault="002105E0" w:rsidP="00B02FD3">
      <w:pPr>
        <w:pStyle w:val="ListParagraph"/>
        <w:autoSpaceDE w:val="0"/>
        <w:autoSpaceDN w:val="0"/>
        <w:adjustRightInd w:val="0"/>
        <w:spacing w:after="0" w:line="240" w:lineRule="auto"/>
        <w:ind w:left="360"/>
        <w:rPr>
          <w:rFonts w:cs="Arial"/>
          <w:bCs/>
          <w:szCs w:val="28"/>
        </w:rPr>
      </w:pPr>
    </w:p>
    <w:p w14:paraId="39240B4D" w14:textId="7777777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Allowances for impairment losses have been calculated for amortised cost assets, applying the expected credit losses model. Changes in loss allowances (including balances outstanding at the date of derecognition of an asset) are debited/credited to the Financing and Investment Income and Expenditure line in the CIES.</w:t>
      </w:r>
    </w:p>
    <w:p w14:paraId="189A69F4" w14:textId="77777777" w:rsidR="002105E0" w:rsidRDefault="002105E0" w:rsidP="002105E0">
      <w:pPr>
        <w:autoSpaceDE w:val="0"/>
        <w:autoSpaceDN w:val="0"/>
        <w:adjustRightInd w:val="0"/>
        <w:spacing w:after="0" w:line="240" w:lineRule="auto"/>
        <w:rPr>
          <w:rFonts w:cs="Arial"/>
          <w:bCs/>
          <w:szCs w:val="28"/>
        </w:rPr>
      </w:pPr>
    </w:p>
    <w:p w14:paraId="75DE7DE7" w14:textId="33EFFF17" w:rsidR="002105E0" w:rsidRPr="002105E0" w:rsidRDefault="002105E0" w:rsidP="002105E0">
      <w:pPr>
        <w:autoSpaceDE w:val="0"/>
        <w:autoSpaceDN w:val="0"/>
        <w:adjustRightInd w:val="0"/>
        <w:spacing w:after="0" w:line="240" w:lineRule="auto"/>
        <w:rPr>
          <w:rFonts w:cs="Arial"/>
          <w:bCs/>
          <w:szCs w:val="28"/>
        </w:rPr>
      </w:pPr>
      <w:r w:rsidRPr="002105E0">
        <w:rPr>
          <w:rFonts w:cs="Arial"/>
          <w:bCs/>
          <w:szCs w:val="28"/>
        </w:rPr>
        <w:t xml:space="preserve">As at the 31st March 2022 (or 31st March 2021), the fire authority has no type 2) assets or </w:t>
      </w:r>
      <w:proofErr w:type="spellStart"/>
      <w:r w:rsidRPr="002105E0">
        <w:rPr>
          <w:rFonts w:cs="Arial"/>
          <w:bCs/>
          <w:szCs w:val="28"/>
        </w:rPr>
        <w:t>liabilites</w:t>
      </w:r>
      <w:proofErr w:type="spellEnd"/>
      <w:r w:rsidRPr="002105E0">
        <w:rPr>
          <w:rFonts w:cs="Arial"/>
          <w:bCs/>
          <w:szCs w:val="28"/>
        </w:rPr>
        <w:t xml:space="preserve"> in its balance sheet</w:t>
      </w:r>
      <w:r w:rsidR="00FC36D8">
        <w:rPr>
          <w:rFonts w:cs="Arial"/>
          <w:bCs/>
          <w:szCs w:val="28"/>
        </w:rPr>
        <w:t>.</w:t>
      </w:r>
    </w:p>
    <w:p w14:paraId="3C65826E" w14:textId="77777777" w:rsidR="002105E0" w:rsidRPr="002105E0" w:rsidRDefault="002105E0" w:rsidP="002105E0">
      <w:pPr>
        <w:autoSpaceDE w:val="0"/>
        <w:autoSpaceDN w:val="0"/>
        <w:adjustRightInd w:val="0"/>
        <w:spacing w:after="0" w:line="240" w:lineRule="auto"/>
        <w:rPr>
          <w:rFonts w:cs="Arial"/>
          <w:bCs/>
          <w:szCs w:val="28"/>
        </w:rPr>
      </w:pPr>
    </w:p>
    <w:p w14:paraId="3E07708E" w14:textId="2E88F236" w:rsidR="002105E0" w:rsidRDefault="002105E0" w:rsidP="002105E0">
      <w:pPr>
        <w:autoSpaceDE w:val="0"/>
        <w:autoSpaceDN w:val="0"/>
        <w:adjustRightInd w:val="0"/>
        <w:spacing w:after="0" w:line="240" w:lineRule="auto"/>
        <w:rPr>
          <w:rFonts w:cs="Arial"/>
          <w:bCs/>
          <w:szCs w:val="28"/>
        </w:rPr>
      </w:pPr>
      <w:r w:rsidRPr="002105E0">
        <w:rPr>
          <w:rFonts w:cs="Arial"/>
          <w:bCs/>
          <w:szCs w:val="28"/>
        </w:rPr>
        <w:lastRenderedPageBreak/>
        <w:t xml:space="preserve">Changes in the value of assets carried at fair value are debited/credited to the Financing and Investment Income and Expenditure line in the CIES as they arise.  </w:t>
      </w:r>
    </w:p>
    <w:p w14:paraId="56C0DE01" w14:textId="77777777" w:rsidR="002105E0" w:rsidRDefault="002105E0" w:rsidP="002105E0">
      <w:pPr>
        <w:autoSpaceDE w:val="0"/>
        <w:autoSpaceDN w:val="0"/>
        <w:adjustRightInd w:val="0"/>
        <w:spacing w:after="0" w:line="240" w:lineRule="auto"/>
        <w:rPr>
          <w:rFonts w:cs="Arial"/>
          <w:bCs/>
          <w:szCs w:val="28"/>
        </w:rPr>
      </w:pPr>
    </w:p>
    <w:tbl>
      <w:tblPr>
        <w:tblW w:w="10466" w:type="dxa"/>
        <w:tblLook w:val="04A0" w:firstRow="1" w:lastRow="0" w:firstColumn="1" w:lastColumn="0" w:noHBand="0" w:noVBand="1"/>
      </w:tblPr>
      <w:tblGrid>
        <w:gridCol w:w="10466"/>
      </w:tblGrid>
      <w:tr w:rsidR="002105E0" w:rsidRPr="002105E0" w14:paraId="4A151773" w14:textId="77777777" w:rsidTr="002105E0">
        <w:trPr>
          <w:trHeight w:val="283"/>
        </w:trPr>
        <w:tc>
          <w:tcPr>
            <w:tcW w:w="10466" w:type="dxa"/>
            <w:tcBorders>
              <w:top w:val="nil"/>
              <w:left w:val="nil"/>
              <w:bottom w:val="nil"/>
              <w:right w:val="nil"/>
            </w:tcBorders>
            <w:shd w:val="clear" w:color="auto" w:fill="auto"/>
            <w:noWrap/>
            <w:vAlign w:val="bottom"/>
            <w:hideMark/>
          </w:tcPr>
          <w:p w14:paraId="7FEB4D04" w14:textId="77777777" w:rsidR="002105E0" w:rsidRDefault="002105E0" w:rsidP="00B02FD3">
            <w:pPr>
              <w:autoSpaceDE w:val="0"/>
              <w:autoSpaceDN w:val="0"/>
              <w:adjustRightInd w:val="0"/>
              <w:spacing w:after="0" w:line="240" w:lineRule="auto"/>
              <w:ind w:left="-110"/>
              <w:rPr>
                <w:rFonts w:cs="Arial"/>
                <w:b/>
                <w:bCs/>
                <w:sz w:val="28"/>
                <w:szCs w:val="28"/>
              </w:rPr>
            </w:pPr>
            <w:r w:rsidRPr="002105E0">
              <w:rPr>
                <w:rFonts w:cs="Arial"/>
                <w:b/>
                <w:bCs/>
                <w:sz w:val="28"/>
                <w:szCs w:val="28"/>
              </w:rPr>
              <w:t>Note 27</w:t>
            </w:r>
            <w:r>
              <w:rPr>
                <w:rFonts w:cs="Arial"/>
                <w:b/>
                <w:bCs/>
                <w:sz w:val="28"/>
                <w:szCs w:val="28"/>
              </w:rPr>
              <w:t>.1</w:t>
            </w:r>
            <w:r w:rsidRPr="002105E0">
              <w:rPr>
                <w:rFonts w:cs="Arial"/>
                <w:b/>
                <w:bCs/>
                <w:sz w:val="28"/>
                <w:szCs w:val="28"/>
              </w:rPr>
              <w:t xml:space="preserve"> Financial Instruments</w:t>
            </w:r>
          </w:p>
          <w:p w14:paraId="6EE108A2" w14:textId="4011A4C7" w:rsidR="002105E0" w:rsidRPr="002105E0" w:rsidRDefault="002105E0" w:rsidP="002105E0">
            <w:pPr>
              <w:autoSpaceDE w:val="0"/>
              <w:autoSpaceDN w:val="0"/>
              <w:adjustRightInd w:val="0"/>
              <w:spacing w:after="0" w:line="240" w:lineRule="auto"/>
              <w:rPr>
                <w:rFonts w:ascii="Calibri" w:eastAsia="Times New Roman" w:hAnsi="Calibri" w:cs="Calibri"/>
                <w:b/>
                <w:bCs/>
                <w:color w:val="DB4050"/>
                <w:lang w:eastAsia="en-GB"/>
              </w:rPr>
            </w:pPr>
          </w:p>
        </w:tc>
      </w:tr>
      <w:tr w:rsidR="002105E0" w:rsidRPr="002105E0" w14:paraId="5501894E" w14:textId="77777777" w:rsidTr="002105E0">
        <w:trPr>
          <w:trHeight w:val="260"/>
        </w:trPr>
        <w:tc>
          <w:tcPr>
            <w:tcW w:w="10466" w:type="dxa"/>
            <w:tcBorders>
              <w:top w:val="nil"/>
              <w:left w:val="nil"/>
              <w:bottom w:val="nil"/>
              <w:right w:val="nil"/>
            </w:tcBorders>
            <w:shd w:val="clear" w:color="auto" w:fill="auto"/>
            <w:noWrap/>
            <w:vAlign w:val="center"/>
            <w:hideMark/>
          </w:tcPr>
          <w:p w14:paraId="13A97AF3" w14:textId="2868B50C" w:rsidR="002105E0" w:rsidRDefault="002105E0" w:rsidP="00B02FD3">
            <w:pPr>
              <w:spacing w:after="0" w:line="240" w:lineRule="auto"/>
              <w:ind w:left="-110"/>
              <w:rPr>
                <w:rFonts w:ascii="Calibri" w:eastAsia="Times New Roman" w:hAnsi="Calibri" w:cs="Calibri"/>
                <w:lang w:eastAsia="en-GB"/>
              </w:rPr>
            </w:pPr>
            <w:r w:rsidRPr="002105E0">
              <w:rPr>
                <w:rFonts w:ascii="Calibri" w:eastAsia="Times New Roman" w:hAnsi="Calibri" w:cs="Calibri"/>
                <w:lang w:eastAsia="en-GB"/>
              </w:rPr>
              <w:t>This note includes a correction to the 2020/21 Financial Statements in accordance with Note 28 and provides to correct the omission.</w:t>
            </w:r>
          </w:p>
          <w:p w14:paraId="53F65EF5" w14:textId="77777777" w:rsidR="00B02FD3" w:rsidRDefault="00B02FD3" w:rsidP="002105E0">
            <w:pPr>
              <w:spacing w:after="0" w:line="240" w:lineRule="auto"/>
              <w:rPr>
                <w:rFonts w:ascii="Calibri" w:eastAsia="Times New Roman" w:hAnsi="Calibri" w:cs="Calibri"/>
                <w:lang w:eastAsia="en-GB"/>
              </w:rPr>
            </w:pPr>
          </w:p>
          <w:p w14:paraId="2631867F" w14:textId="1919F3C5" w:rsidR="00FC36D8" w:rsidRPr="002105E0" w:rsidRDefault="00FC36D8" w:rsidP="002105E0">
            <w:pPr>
              <w:spacing w:after="0" w:line="240" w:lineRule="auto"/>
              <w:rPr>
                <w:rFonts w:ascii="Calibri" w:eastAsia="Times New Roman" w:hAnsi="Calibri" w:cs="Calibri"/>
                <w:lang w:eastAsia="en-GB"/>
              </w:rPr>
            </w:pPr>
          </w:p>
        </w:tc>
      </w:tr>
      <w:tr w:rsidR="002105E0" w:rsidRPr="002105E0" w14:paraId="326559E5" w14:textId="77777777" w:rsidTr="002105E0">
        <w:trPr>
          <w:trHeight w:val="260"/>
        </w:trPr>
        <w:tc>
          <w:tcPr>
            <w:tcW w:w="10466" w:type="dxa"/>
            <w:tcBorders>
              <w:top w:val="nil"/>
              <w:left w:val="nil"/>
              <w:bottom w:val="nil"/>
              <w:right w:val="nil"/>
            </w:tcBorders>
            <w:shd w:val="clear" w:color="auto" w:fill="auto"/>
            <w:noWrap/>
            <w:vAlign w:val="center"/>
            <w:hideMark/>
          </w:tcPr>
          <w:p w14:paraId="5BD9E8B7" w14:textId="00F693C9" w:rsidR="002105E0" w:rsidRDefault="002105E0" w:rsidP="00B02FD3">
            <w:pPr>
              <w:spacing w:after="0" w:line="240" w:lineRule="auto"/>
              <w:ind w:left="-110"/>
              <w:rPr>
                <w:rFonts w:ascii="Calibri" w:eastAsia="Times New Roman" w:hAnsi="Calibri" w:cs="Calibri"/>
                <w:lang w:eastAsia="en-GB"/>
              </w:rPr>
            </w:pPr>
            <w:r w:rsidRPr="002105E0">
              <w:rPr>
                <w:rFonts w:ascii="Calibri" w:eastAsia="Times New Roman" w:hAnsi="Calibri" w:cs="Calibri"/>
                <w:lang w:eastAsia="en-GB"/>
              </w:rPr>
              <w:t>The value of debtors and creditors reported in the table below are solely those amounts meeting the definition of a financial instrument. The balances of debtors and creditors reported in the balance sheet and Notes 11 and 14 also include balances which do not meet the definition of a financial instrument, such as tax-based debtors and creditors.</w:t>
            </w:r>
          </w:p>
          <w:p w14:paraId="0E9026EB" w14:textId="77777777" w:rsidR="002105E0" w:rsidRDefault="002105E0" w:rsidP="002105E0">
            <w:pPr>
              <w:spacing w:after="0" w:line="240" w:lineRule="auto"/>
              <w:rPr>
                <w:rFonts w:ascii="Calibri" w:eastAsia="Times New Roman" w:hAnsi="Calibri" w:cs="Calibri"/>
                <w:lang w:eastAsia="en-GB"/>
              </w:rPr>
            </w:pPr>
          </w:p>
          <w:tbl>
            <w:tblPr>
              <w:tblW w:w="14580" w:type="dxa"/>
              <w:tblLook w:val="04A0" w:firstRow="1" w:lastRow="0" w:firstColumn="1" w:lastColumn="0" w:noHBand="0" w:noVBand="1"/>
            </w:tblPr>
            <w:tblGrid>
              <w:gridCol w:w="1780"/>
              <w:gridCol w:w="1780"/>
              <w:gridCol w:w="3480"/>
              <w:gridCol w:w="1355"/>
              <w:gridCol w:w="2205"/>
              <w:gridCol w:w="720"/>
              <w:gridCol w:w="3260"/>
            </w:tblGrid>
            <w:tr w:rsidR="00B658F9" w:rsidRPr="002105E0" w14:paraId="079947DD" w14:textId="77777777" w:rsidTr="00B658F9">
              <w:trPr>
                <w:trHeight w:val="290"/>
              </w:trPr>
              <w:tc>
                <w:tcPr>
                  <w:tcW w:w="3560" w:type="dxa"/>
                  <w:gridSpan w:val="2"/>
                  <w:tcBorders>
                    <w:top w:val="single" w:sz="4" w:space="0" w:color="DB4050"/>
                    <w:left w:val="nil"/>
                    <w:bottom w:val="single" w:sz="4" w:space="0" w:color="DB4050"/>
                    <w:right w:val="nil"/>
                  </w:tcBorders>
                  <w:shd w:val="clear" w:color="auto" w:fill="C00000"/>
                  <w:noWrap/>
                  <w:hideMark/>
                </w:tcPr>
                <w:p w14:paraId="1AB1EDD0" w14:textId="77777777" w:rsidR="00B658F9" w:rsidRPr="00B658F9" w:rsidRDefault="00B658F9" w:rsidP="00B658F9">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31 March 2021</w:t>
                  </w:r>
                </w:p>
                <w:p w14:paraId="272FE584" w14:textId="36FCFDBC" w:rsidR="00B658F9" w:rsidRPr="002105E0" w:rsidRDefault="00B658F9" w:rsidP="00B658F9">
                  <w:pPr>
                    <w:spacing w:after="0" w:line="240" w:lineRule="auto"/>
                    <w:jc w:val="center"/>
                    <w:rPr>
                      <w:rFonts w:ascii="Calibri" w:eastAsia="Times New Roman" w:hAnsi="Calibri" w:cs="Calibri"/>
                      <w:color w:val="FFFFFF" w:themeColor="background1"/>
                      <w:lang w:eastAsia="en-GB"/>
                    </w:rPr>
                  </w:pPr>
                </w:p>
              </w:tc>
              <w:tc>
                <w:tcPr>
                  <w:tcW w:w="3480" w:type="dxa"/>
                  <w:tcBorders>
                    <w:top w:val="single" w:sz="4" w:space="0" w:color="DB4050"/>
                    <w:left w:val="nil"/>
                    <w:bottom w:val="single" w:sz="4" w:space="0" w:color="DB4050"/>
                    <w:right w:val="nil"/>
                  </w:tcBorders>
                  <w:shd w:val="clear" w:color="auto" w:fill="C00000"/>
                  <w:vAlign w:val="center"/>
                  <w:hideMark/>
                </w:tcPr>
                <w:p w14:paraId="7384D304" w14:textId="77777777" w:rsidR="00B658F9" w:rsidRPr="002105E0" w:rsidRDefault="00B658F9" w:rsidP="002105E0">
                  <w:pPr>
                    <w:spacing w:after="0" w:line="240" w:lineRule="auto"/>
                    <w:rPr>
                      <w:rFonts w:ascii="Calibri" w:eastAsia="Times New Roman" w:hAnsi="Calibri" w:cs="Calibri"/>
                      <w:color w:val="FFFFFF" w:themeColor="background1"/>
                      <w:lang w:eastAsia="en-GB"/>
                    </w:rPr>
                  </w:pPr>
                  <w:r w:rsidRPr="002105E0">
                    <w:rPr>
                      <w:rFonts w:ascii="Calibri" w:eastAsia="Times New Roman" w:hAnsi="Calibri" w:cs="Calibri"/>
                      <w:color w:val="FFFFFF" w:themeColor="background1"/>
                      <w:lang w:eastAsia="en-GB"/>
                    </w:rPr>
                    <w:t> </w:t>
                  </w:r>
                </w:p>
              </w:tc>
              <w:tc>
                <w:tcPr>
                  <w:tcW w:w="3560" w:type="dxa"/>
                  <w:gridSpan w:val="2"/>
                  <w:tcBorders>
                    <w:top w:val="single" w:sz="4" w:space="0" w:color="DB4050"/>
                    <w:left w:val="nil"/>
                    <w:bottom w:val="single" w:sz="4" w:space="0" w:color="DB4050"/>
                    <w:right w:val="nil"/>
                  </w:tcBorders>
                  <w:shd w:val="clear" w:color="auto" w:fill="C00000"/>
                  <w:noWrap/>
                  <w:hideMark/>
                </w:tcPr>
                <w:p w14:paraId="6BB213A1" w14:textId="77777777" w:rsidR="00B658F9" w:rsidRPr="00B658F9" w:rsidRDefault="00B658F9" w:rsidP="00B658F9">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31 March 2022</w:t>
                  </w:r>
                </w:p>
                <w:p w14:paraId="20062B02" w14:textId="1D589DFF" w:rsidR="00B658F9" w:rsidRPr="002105E0" w:rsidRDefault="00B658F9" w:rsidP="002105E0">
                  <w:pPr>
                    <w:spacing w:after="0" w:line="240" w:lineRule="auto"/>
                    <w:rPr>
                      <w:rFonts w:ascii="Calibri" w:eastAsia="Times New Roman" w:hAnsi="Calibri" w:cs="Calibri"/>
                      <w:color w:val="FFFFFF" w:themeColor="background1"/>
                      <w:lang w:eastAsia="en-GB"/>
                    </w:rPr>
                  </w:pPr>
                  <w:r w:rsidRPr="002105E0">
                    <w:rPr>
                      <w:rFonts w:ascii="Calibri" w:eastAsia="Times New Roman" w:hAnsi="Calibri" w:cs="Calibri"/>
                      <w:color w:val="FFFFFF" w:themeColor="background1"/>
                      <w:lang w:eastAsia="en-GB"/>
                    </w:rPr>
                    <w:t> </w:t>
                  </w:r>
                </w:p>
              </w:tc>
              <w:tc>
                <w:tcPr>
                  <w:tcW w:w="720" w:type="dxa"/>
                  <w:tcBorders>
                    <w:top w:val="nil"/>
                    <w:left w:val="nil"/>
                    <w:bottom w:val="nil"/>
                    <w:right w:val="nil"/>
                  </w:tcBorders>
                  <w:shd w:val="clear" w:color="auto" w:fill="auto"/>
                  <w:vAlign w:val="center"/>
                  <w:hideMark/>
                </w:tcPr>
                <w:p w14:paraId="27ACC20C" w14:textId="77777777" w:rsidR="00B658F9" w:rsidRPr="002105E0" w:rsidRDefault="00B658F9" w:rsidP="002105E0">
                  <w:pPr>
                    <w:spacing w:after="0" w:line="240" w:lineRule="auto"/>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vAlign w:val="center"/>
                  <w:hideMark/>
                </w:tcPr>
                <w:p w14:paraId="299D036D" w14:textId="77777777" w:rsidR="00B658F9" w:rsidRPr="002105E0" w:rsidRDefault="00B658F9" w:rsidP="002105E0">
                  <w:pPr>
                    <w:spacing w:after="0" w:line="240" w:lineRule="auto"/>
                    <w:rPr>
                      <w:rFonts w:ascii="Times New Roman" w:eastAsia="Times New Roman" w:hAnsi="Times New Roman" w:cs="Times New Roman"/>
                      <w:sz w:val="20"/>
                      <w:szCs w:val="20"/>
                      <w:lang w:eastAsia="en-GB"/>
                    </w:rPr>
                  </w:pPr>
                </w:p>
              </w:tc>
            </w:tr>
            <w:tr w:rsidR="002105E0" w:rsidRPr="002105E0" w14:paraId="64B39F18" w14:textId="77777777" w:rsidTr="002105E0">
              <w:trPr>
                <w:trHeight w:val="260"/>
              </w:trPr>
              <w:tc>
                <w:tcPr>
                  <w:tcW w:w="1780" w:type="dxa"/>
                  <w:tcBorders>
                    <w:top w:val="nil"/>
                    <w:left w:val="nil"/>
                    <w:bottom w:val="nil"/>
                    <w:right w:val="nil"/>
                  </w:tcBorders>
                  <w:shd w:val="clear" w:color="000000" w:fill="FCEEED"/>
                  <w:hideMark/>
                </w:tcPr>
                <w:p w14:paraId="1E66A5E8"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Long term</w:t>
                  </w:r>
                </w:p>
              </w:tc>
              <w:tc>
                <w:tcPr>
                  <w:tcW w:w="1780" w:type="dxa"/>
                  <w:tcBorders>
                    <w:top w:val="nil"/>
                    <w:left w:val="nil"/>
                    <w:bottom w:val="nil"/>
                    <w:right w:val="nil"/>
                  </w:tcBorders>
                  <w:shd w:val="clear" w:color="000000" w:fill="FCEEED"/>
                  <w:hideMark/>
                </w:tcPr>
                <w:p w14:paraId="62F766B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Short term</w:t>
                  </w:r>
                </w:p>
              </w:tc>
              <w:tc>
                <w:tcPr>
                  <w:tcW w:w="3480" w:type="dxa"/>
                  <w:tcBorders>
                    <w:top w:val="nil"/>
                    <w:left w:val="nil"/>
                    <w:bottom w:val="nil"/>
                    <w:right w:val="nil"/>
                  </w:tcBorders>
                  <w:shd w:val="clear" w:color="000000" w:fill="FCEEED"/>
                  <w:vAlign w:val="center"/>
                  <w:hideMark/>
                </w:tcPr>
                <w:p w14:paraId="482D0FA4"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355" w:type="dxa"/>
                  <w:tcBorders>
                    <w:top w:val="nil"/>
                    <w:left w:val="nil"/>
                    <w:bottom w:val="nil"/>
                    <w:right w:val="nil"/>
                  </w:tcBorders>
                  <w:shd w:val="clear" w:color="000000" w:fill="FCEEED"/>
                  <w:hideMark/>
                </w:tcPr>
                <w:p w14:paraId="03BDDC26"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Long term</w:t>
                  </w:r>
                </w:p>
              </w:tc>
              <w:tc>
                <w:tcPr>
                  <w:tcW w:w="2205" w:type="dxa"/>
                  <w:tcBorders>
                    <w:top w:val="nil"/>
                    <w:left w:val="nil"/>
                    <w:bottom w:val="nil"/>
                    <w:right w:val="nil"/>
                  </w:tcBorders>
                  <w:shd w:val="clear" w:color="000000" w:fill="FCEEED"/>
                  <w:hideMark/>
                </w:tcPr>
                <w:p w14:paraId="25B361EB" w14:textId="69DA2B97" w:rsidR="002105E0" w:rsidRPr="002105E0" w:rsidRDefault="00B658F9" w:rsidP="00B658F9">
                  <w:pPr>
                    <w:spacing w:after="0" w:line="240" w:lineRule="auto"/>
                    <w:rPr>
                      <w:rFonts w:ascii="Calibri" w:eastAsia="Times New Roman" w:hAnsi="Calibri" w:cs="Calibri"/>
                      <w:b/>
                      <w:bCs/>
                      <w:lang w:eastAsia="en-GB"/>
                    </w:rPr>
                  </w:pPr>
                  <w:r>
                    <w:rPr>
                      <w:rFonts w:ascii="Calibri" w:eastAsia="Times New Roman" w:hAnsi="Calibri" w:cs="Calibri"/>
                      <w:b/>
                      <w:bCs/>
                      <w:lang w:eastAsia="en-GB"/>
                    </w:rPr>
                    <w:t xml:space="preserve">              </w:t>
                  </w:r>
                  <w:r w:rsidR="002105E0" w:rsidRPr="002105E0">
                    <w:rPr>
                      <w:rFonts w:ascii="Calibri" w:eastAsia="Times New Roman" w:hAnsi="Calibri" w:cs="Calibri"/>
                      <w:b/>
                      <w:bCs/>
                      <w:lang w:eastAsia="en-GB"/>
                    </w:rPr>
                    <w:t>Short term</w:t>
                  </w:r>
                </w:p>
              </w:tc>
              <w:tc>
                <w:tcPr>
                  <w:tcW w:w="720" w:type="dxa"/>
                  <w:tcBorders>
                    <w:top w:val="nil"/>
                    <w:left w:val="nil"/>
                    <w:bottom w:val="nil"/>
                    <w:right w:val="nil"/>
                  </w:tcBorders>
                  <w:shd w:val="clear" w:color="auto" w:fill="auto"/>
                  <w:vAlign w:val="center"/>
                  <w:hideMark/>
                </w:tcPr>
                <w:p w14:paraId="6DC02C1E" w14:textId="77777777" w:rsidR="002105E0" w:rsidRPr="002105E0" w:rsidRDefault="002105E0" w:rsidP="002105E0">
                  <w:pPr>
                    <w:spacing w:after="0" w:line="240" w:lineRule="auto"/>
                    <w:jc w:val="right"/>
                    <w:rPr>
                      <w:rFonts w:ascii="Calibri" w:eastAsia="Times New Roman" w:hAnsi="Calibri" w:cs="Calibri"/>
                      <w:b/>
                      <w:bCs/>
                      <w:lang w:eastAsia="en-GB"/>
                    </w:rPr>
                  </w:pPr>
                </w:p>
              </w:tc>
              <w:tc>
                <w:tcPr>
                  <w:tcW w:w="3260" w:type="dxa"/>
                  <w:tcBorders>
                    <w:top w:val="single" w:sz="4" w:space="0" w:color="DB4050"/>
                    <w:left w:val="nil"/>
                    <w:bottom w:val="nil"/>
                    <w:right w:val="nil"/>
                  </w:tcBorders>
                  <w:shd w:val="clear" w:color="000000" w:fill="FCEEED"/>
                  <w:hideMark/>
                </w:tcPr>
                <w:p w14:paraId="00695A23"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Source</w:t>
                  </w:r>
                </w:p>
              </w:tc>
            </w:tr>
            <w:tr w:rsidR="002105E0" w:rsidRPr="002105E0" w14:paraId="307A72A5" w14:textId="77777777" w:rsidTr="002105E0">
              <w:trPr>
                <w:trHeight w:val="260"/>
              </w:trPr>
              <w:tc>
                <w:tcPr>
                  <w:tcW w:w="1780" w:type="dxa"/>
                  <w:tcBorders>
                    <w:top w:val="nil"/>
                    <w:left w:val="nil"/>
                    <w:bottom w:val="nil"/>
                    <w:right w:val="nil"/>
                  </w:tcBorders>
                  <w:shd w:val="clear" w:color="auto" w:fill="auto"/>
                  <w:hideMark/>
                </w:tcPr>
                <w:p w14:paraId="59EB4644"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31F3922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3480" w:type="dxa"/>
                  <w:tcBorders>
                    <w:top w:val="nil"/>
                    <w:left w:val="nil"/>
                    <w:bottom w:val="nil"/>
                    <w:right w:val="nil"/>
                  </w:tcBorders>
                  <w:shd w:val="clear" w:color="auto" w:fill="auto"/>
                  <w:vAlign w:val="center"/>
                  <w:hideMark/>
                </w:tcPr>
                <w:p w14:paraId="683B51F0" w14:textId="77777777" w:rsidR="002105E0" w:rsidRPr="002105E0" w:rsidRDefault="002105E0" w:rsidP="002105E0">
                  <w:pPr>
                    <w:spacing w:after="0" w:line="240" w:lineRule="auto"/>
                    <w:rPr>
                      <w:rFonts w:ascii="Calibri" w:eastAsia="Times New Roman" w:hAnsi="Calibri" w:cs="Calibri"/>
                      <w:b/>
                      <w:bCs/>
                      <w:lang w:eastAsia="en-GB"/>
                    </w:rPr>
                  </w:pPr>
                </w:p>
              </w:tc>
              <w:tc>
                <w:tcPr>
                  <w:tcW w:w="1355" w:type="dxa"/>
                  <w:tcBorders>
                    <w:top w:val="nil"/>
                    <w:left w:val="nil"/>
                    <w:bottom w:val="nil"/>
                    <w:right w:val="nil"/>
                  </w:tcBorders>
                  <w:shd w:val="clear" w:color="auto" w:fill="auto"/>
                  <w:hideMark/>
                </w:tcPr>
                <w:p w14:paraId="46C3479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2205" w:type="dxa"/>
                  <w:tcBorders>
                    <w:top w:val="nil"/>
                    <w:left w:val="nil"/>
                    <w:bottom w:val="nil"/>
                    <w:right w:val="nil"/>
                  </w:tcBorders>
                  <w:shd w:val="clear" w:color="auto" w:fill="auto"/>
                  <w:hideMark/>
                </w:tcPr>
                <w:p w14:paraId="4C9F53A9" w14:textId="38B9A9B6" w:rsidR="002105E0" w:rsidRPr="002105E0" w:rsidRDefault="00B658F9" w:rsidP="00B658F9">
                  <w:pPr>
                    <w:spacing w:after="0" w:line="240" w:lineRule="auto"/>
                    <w:rPr>
                      <w:rFonts w:ascii="Calibri" w:eastAsia="Times New Roman" w:hAnsi="Calibri" w:cs="Calibri"/>
                      <w:b/>
                      <w:bCs/>
                      <w:lang w:eastAsia="en-GB"/>
                    </w:rPr>
                  </w:pPr>
                  <w:r>
                    <w:rPr>
                      <w:rFonts w:ascii="Calibri" w:eastAsia="Times New Roman" w:hAnsi="Calibri" w:cs="Calibri"/>
                      <w:b/>
                      <w:bCs/>
                      <w:lang w:eastAsia="en-GB"/>
                    </w:rPr>
                    <w:t xml:space="preserve">                       </w:t>
                  </w:r>
                  <w:r w:rsidR="002105E0" w:rsidRPr="002105E0">
                    <w:rPr>
                      <w:rFonts w:ascii="Calibri" w:eastAsia="Times New Roman" w:hAnsi="Calibri" w:cs="Calibri"/>
                      <w:b/>
                      <w:bCs/>
                      <w:lang w:eastAsia="en-GB"/>
                    </w:rPr>
                    <w:t>£'000</w:t>
                  </w:r>
                </w:p>
              </w:tc>
              <w:tc>
                <w:tcPr>
                  <w:tcW w:w="720" w:type="dxa"/>
                  <w:tcBorders>
                    <w:top w:val="nil"/>
                    <w:left w:val="nil"/>
                    <w:bottom w:val="nil"/>
                    <w:right w:val="nil"/>
                  </w:tcBorders>
                  <w:shd w:val="clear" w:color="auto" w:fill="auto"/>
                  <w:vAlign w:val="center"/>
                  <w:hideMark/>
                </w:tcPr>
                <w:p w14:paraId="17595D61" w14:textId="77777777" w:rsidR="002105E0" w:rsidRPr="002105E0" w:rsidRDefault="002105E0" w:rsidP="002105E0">
                  <w:pPr>
                    <w:spacing w:after="0" w:line="240" w:lineRule="auto"/>
                    <w:jc w:val="right"/>
                    <w:rPr>
                      <w:rFonts w:ascii="Calibri" w:eastAsia="Times New Roman" w:hAnsi="Calibri" w:cs="Calibri"/>
                      <w:b/>
                      <w:bCs/>
                      <w:lang w:eastAsia="en-GB"/>
                    </w:rPr>
                  </w:pPr>
                </w:p>
              </w:tc>
              <w:tc>
                <w:tcPr>
                  <w:tcW w:w="3260" w:type="dxa"/>
                  <w:tcBorders>
                    <w:top w:val="nil"/>
                    <w:left w:val="nil"/>
                    <w:bottom w:val="nil"/>
                    <w:right w:val="nil"/>
                  </w:tcBorders>
                  <w:shd w:val="clear" w:color="auto" w:fill="auto"/>
                  <w:hideMark/>
                </w:tcPr>
                <w:p w14:paraId="5A6003B1"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430C94F3" w14:textId="77777777" w:rsidTr="002105E0">
              <w:trPr>
                <w:trHeight w:val="260"/>
              </w:trPr>
              <w:tc>
                <w:tcPr>
                  <w:tcW w:w="10600" w:type="dxa"/>
                  <w:gridSpan w:val="5"/>
                  <w:tcBorders>
                    <w:top w:val="nil"/>
                    <w:left w:val="nil"/>
                    <w:bottom w:val="nil"/>
                    <w:right w:val="nil"/>
                  </w:tcBorders>
                  <w:shd w:val="clear" w:color="000000" w:fill="FCEEED"/>
                  <w:hideMark/>
                </w:tcPr>
                <w:p w14:paraId="648CF982" w14:textId="77777777" w:rsidR="002105E0" w:rsidRPr="002105E0" w:rsidRDefault="002105E0" w:rsidP="00B658F9">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Financial assets at amortised cost</w:t>
                  </w:r>
                </w:p>
              </w:tc>
              <w:tc>
                <w:tcPr>
                  <w:tcW w:w="720" w:type="dxa"/>
                  <w:tcBorders>
                    <w:top w:val="nil"/>
                    <w:left w:val="nil"/>
                    <w:bottom w:val="nil"/>
                    <w:right w:val="nil"/>
                  </w:tcBorders>
                  <w:shd w:val="clear" w:color="auto" w:fill="auto"/>
                  <w:vAlign w:val="center"/>
                  <w:hideMark/>
                </w:tcPr>
                <w:p w14:paraId="0F4CDAB4" w14:textId="77777777" w:rsidR="002105E0" w:rsidRPr="002105E0" w:rsidRDefault="002105E0" w:rsidP="002105E0">
                  <w:pPr>
                    <w:spacing w:after="0" w:line="240" w:lineRule="auto"/>
                    <w:jc w:val="center"/>
                    <w:rPr>
                      <w:rFonts w:ascii="Calibri" w:eastAsia="Times New Roman" w:hAnsi="Calibri" w:cs="Calibri"/>
                      <w:b/>
                      <w:bCs/>
                      <w:lang w:eastAsia="en-GB"/>
                    </w:rPr>
                  </w:pPr>
                </w:p>
              </w:tc>
              <w:tc>
                <w:tcPr>
                  <w:tcW w:w="3260" w:type="dxa"/>
                  <w:tcBorders>
                    <w:top w:val="nil"/>
                    <w:left w:val="nil"/>
                    <w:bottom w:val="nil"/>
                    <w:right w:val="nil"/>
                  </w:tcBorders>
                  <w:shd w:val="clear" w:color="auto" w:fill="auto"/>
                  <w:vAlign w:val="center"/>
                  <w:hideMark/>
                </w:tcPr>
                <w:p w14:paraId="126EE324"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268F7E2D" w14:textId="77777777" w:rsidTr="002105E0">
              <w:trPr>
                <w:trHeight w:val="260"/>
              </w:trPr>
              <w:tc>
                <w:tcPr>
                  <w:tcW w:w="1780" w:type="dxa"/>
                  <w:tcBorders>
                    <w:top w:val="nil"/>
                    <w:left w:val="nil"/>
                    <w:bottom w:val="nil"/>
                    <w:right w:val="nil"/>
                  </w:tcBorders>
                  <w:shd w:val="clear" w:color="auto" w:fill="auto"/>
                  <w:noWrap/>
                  <w:hideMark/>
                </w:tcPr>
                <w:p w14:paraId="54BB02F2"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auto" w:fill="auto"/>
                  <w:noWrap/>
                  <w:hideMark/>
                </w:tcPr>
                <w:p w14:paraId="256CE17F"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3,000</w:t>
                  </w:r>
                </w:p>
              </w:tc>
              <w:tc>
                <w:tcPr>
                  <w:tcW w:w="3480" w:type="dxa"/>
                  <w:tcBorders>
                    <w:top w:val="nil"/>
                    <w:left w:val="nil"/>
                    <w:bottom w:val="nil"/>
                    <w:right w:val="nil"/>
                  </w:tcBorders>
                  <w:shd w:val="clear" w:color="auto" w:fill="auto"/>
                  <w:hideMark/>
                </w:tcPr>
                <w:p w14:paraId="5D1387F9"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Investments</w:t>
                  </w:r>
                </w:p>
              </w:tc>
              <w:tc>
                <w:tcPr>
                  <w:tcW w:w="1355" w:type="dxa"/>
                  <w:tcBorders>
                    <w:top w:val="nil"/>
                    <w:left w:val="nil"/>
                    <w:bottom w:val="nil"/>
                    <w:right w:val="nil"/>
                  </w:tcBorders>
                  <w:shd w:val="clear" w:color="auto" w:fill="auto"/>
                  <w:noWrap/>
                  <w:hideMark/>
                </w:tcPr>
                <w:p w14:paraId="51543632"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auto" w:fill="auto"/>
                  <w:noWrap/>
                  <w:hideMark/>
                </w:tcPr>
                <w:p w14:paraId="26AFF4BB" w14:textId="785EF46D"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3,000</w:t>
                  </w:r>
                </w:p>
              </w:tc>
              <w:tc>
                <w:tcPr>
                  <w:tcW w:w="720" w:type="dxa"/>
                  <w:tcBorders>
                    <w:top w:val="nil"/>
                    <w:left w:val="nil"/>
                    <w:bottom w:val="nil"/>
                    <w:right w:val="nil"/>
                  </w:tcBorders>
                  <w:shd w:val="clear" w:color="auto" w:fill="auto"/>
                  <w:vAlign w:val="center"/>
                  <w:hideMark/>
                </w:tcPr>
                <w:p w14:paraId="474C783C"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noWrap/>
                  <w:hideMark/>
                </w:tcPr>
                <w:p w14:paraId="5BAD6884"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707E8A63" w14:textId="77777777" w:rsidTr="002105E0">
              <w:trPr>
                <w:trHeight w:val="260"/>
              </w:trPr>
              <w:tc>
                <w:tcPr>
                  <w:tcW w:w="1780" w:type="dxa"/>
                  <w:tcBorders>
                    <w:top w:val="nil"/>
                    <w:left w:val="nil"/>
                    <w:bottom w:val="nil"/>
                    <w:right w:val="nil"/>
                  </w:tcBorders>
                  <w:shd w:val="clear" w:color="000000" w:fill="FCEEED"/>
                  <w:noWrap/>
                  <w:hideMark/>
                </w:tcPr>
                <w:p w14:paraId="69E83F3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000000" w:fill="FCEEED"/>
                  <w:noWrap/>
                  <w:hideMark/>
                </w:tcPr>
                <w:p w14:paraId="0DCEFE86"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4,822</w:t>
                  </w:r>
                </w:p>
              </w:tc>
              <w:tc>
                <w:tcPr>
                  <w:tcW w:w="3480" w:type="dxa"/>
                  <w:tcBorders>
                    <w:top w:val="nil"/>
                    <w:left w:val="nil"/>
                    <w:bottom w:val="nil"/>
                    <w:right w:val="nil"/>
                  </w:tcBorders>
                  <w:shd w:val="clear" w:color="000000" w:fill="FCEEED"/>
                  <w:hideMark/>
                </w:tcPr>
                <w:p w14:paraId="59071BB7"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Debtors</w:t>
                  </w:r>
                </w:p>
              </w:tc>
              <w:tc>
                <w:tcPr>
                  <w:tcW w:w="1355" w:type="dxa"/>
                  <w:tcBorders>
                    <w:top w:val="nil"/>
                    <w:left w:val="nil"/>
                    <w:bottom w:val="nil"/>
                    <w:right w:val="nil"/>
                  </w:tcBorders>
                  <w:shd w:val="clear" w:color="000000" w:fill="FCEEED"/>
                  <w:noWrap/>
                  <w:hideMark/>
                </w:tcPr>
                <w:p w14:paraId="00BF2EC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000000" w:fill="FCEEED"/>
                  <w:noWrap/>
                  <w:hideMark/>
                </w:tcPr>
                <w:p w14:paraId="4173107E" w14:textId="6031CEB8"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2,089</w:t>
                  </w:r>
                </w:p>
              </w:tc>
              <w:tc>
                <w:tcPr>
                  <w:tcW w:w="720" w:type="dxa"/>
                  <w:tcBorders>
                    <w:top w:val="nil"/>
                    <w:left w:val="nil"/>
                    <w:bottom w:val="nil"/>
                    <w:right w:val="nil"/>
                  </w:tcBorders>
                  <w:shd w:val="clear" w:color="auto" w:fill="auto"/>
                  <w:vAlign w:val="center"/>
                  <w:hideMark/>
                </w:tcPr>
                <w:p w14:paraId="764C7715"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000000" w:fill="FCEEED"/>
                  <w:noWrap/>
                  <w:hideMark/>
                </w:tcPr>
                <w:p w14:paraId="6E81469B"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B658F9" w:rsidRPr="002105E0" w14:paraId="02AFD92A" w14:textId="77777777" w:rsidTr="00B658F9">
              <w:trPr>
                <w:trHeight w:val="260"/>
              </w:trPr>
              <w:tc>
                <w:tcPr>
                  <w:tcW w:w="1780" w:type="dxa"/>
                  <w:tcBorders>
                    <w:top w:val="single" w:sz="4" w:space="0" w:color="DB4050"/>
                    <w:left w:val="nil"/>
                    <w:bottom w:val="single" w:sz="4" w:space="0" w:color="DB4050"/>
                    <w:right w:val="nil"/>
                  </w:tcBorders>
                  <w:shd w:val="clear" w:color="auto" w:fill="C00000"/>
                  <w:noWrap/>
                  <w:hideMark/>
                </w:tcPr>
                <w:p w14:paraId="418FEF53"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1780" w:type="dxa"/>
                  <w:tcBorders>
                    <w:top w:val="single" w:sz="4" w:space="0" w:color="DB4050"/>
                    <w:left w:val="nil"/>
                    <w:bottom w:val="single" w:sz="4" w:space="0" w:color="DB4050"/>
                    <w:right w:val="nil"/>
                  </w:tcBorders>
                  <w:shd w:val="clear" w:color="auto" w:fill="C00000"/>
                  <w:noWrap/>
                  <w:hideMark/>
                </w:tcPr>
                <w:p w14:paraId="49DD2AA1"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7,822</w:t>
                  </w:r>
                </w:p>
              </w:tc>
              <w:tc>
                <w:tcPr>
                  <w:tcW w:w="3480" w:type="dxa"/>
                  <w:tcBorders>
                    <w:top w:val="single" w:sz="4" w:space="0" w:color="DB4050"/>
                    <w:left w:val="nil"/>
                    <w:bottom w:val="single" w:sz="4" w:space="0" w:color="DB4050"/>
                    <w:right w:val="nil"/>
                  </w:tcBorders>
                  <w:shd w:val="clear" w:color="auto" w:fill="C00000"/>
                  <w:hideMark/>
                </w:tcPr>
                <w:p w14:paraId="44B93668"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Total Financial Assets</w:t>
                  </w:r>
                </w:p>
              </w:tc>
              <w:tc>
                <w:tcPr>
                  <w:tcW w:w="1355" w:type="dxa"/>
                  <w:tcBorders>
                    <w:top w:val="single" w:sz="4" w:space="0" w:color="DB4050"/>
                    <w:left w:val="nil"/>
                    <w:bottom w:val="single" w:sz="4" w:space="0" w:color="DB4050"/>
                    <w:right w:val="nil"/>
                  </w:tcBorders>
                  <w:shd w:val="clear" w:color="auto" w:fill="C00000"/>
                  <w:noWrap/>
                  <w:hideMark/>
                </w:tcPr>
                <w:p w14:paraId="10691E68"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2205" w:type="dxa"/>
                  <w:tcBorders>
                    <w:top w:val="single" w:sz="4" w:space="0" w:color="DB4050"/>
                    <w:left w:val="nil"/>
                    <w:bottom w:val="single" w:sz="4" w:space="0" w:color="DB4050"/>
                    <w:right w:val="nil"/>
                  </w:tcBorders>
                  <w:shd w:val="clear" w:color="auto" w:fill="C00000"/>
                  <w:noWrap/>
                  <w:hideMark/>
                </w:tcPr>
                <w:p w14:paraId="2BC04177" w14:textId="0F7D3AB9" w:rsidR="002105E0" w:rsidRPr="002105E0" w:rsidRDefault="00B658F9" w:rsidP="00B658F9">
                  <w:pPr>
                    <w:spacing w:after="0" w:line="240" w:lineRule="auto"/>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 xml:space="preserve">                      </w:t>
                  </w:r>
                  <w:r w:rsidR="002105E0" w:rsidRPr="002105E0">
                    <w:rPr>
                      <w:rFonts w:ascii="Calibri" w:eastAsia="Times New Roman" w:hAnsi="Calibri" w:cs="Calibri"/>
                      <w:b/>
                      <w:bCs/>
                      <w:color w:val="FFFFFF" w:themeColor="background1"/>
                      <w:lang w:eastAsia="en-GB"/>
                    </w:rPr>
                    <w:t>5,089</w:t>
                  </w:r>
                </w:p>
              </w:tc>
              <w:tc>
                <w:tcPr>
                  <w:tcW w:w="720" w:type="dxa"/>
                  <w:tcBorders>
                    <w:top w:val="nil"/>
                    <w:left w:val="nil"/>
                    <w:bottom w:val="nil"/>
                    <w:right w:val="nil"/>
                  </w:tcBorders>
                  <w:shd w:val="clear" w:color="auto" w:fill="auto"/>
                  <w:vAlign w:val="center"/>
                  <w:hideMark/>
                </w:tcPr>
                <w:p w14:paraId="099C493A"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single" w:sz="4" w:space="0" w:color="DB4050"/>
                    <w:left w:val="nil"/>
                    <w:bottom w:val="single" w:sz="4" w:space="0" w:color="DB4050"/>
                    <w:right w:val="nil"/>
                  </w:tcBorders>
                  <w:shd w:val="clear" w:color="000000" w:fill="FCEEED"/>
                  <w:noWrap/>
                  <w:hideMark/>
                </w:tcPr>
                <w:p w14:paraId="4BB1E52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33A69A44" w14:textId="77777777" w:rsidTr="002105E0">
              <w:trPr>
                <w:trHeight w:val="260"/>
              </w:trPr>
              <w:tc>
                <w:tcPr>
                  <w:tcW w:w="1780" w:type="dxa"/>
                  <w:tcBorders>
                    <w:top w:val="nil"/>
                    <w:left w:val="nil"/>
                    <w:bottom w:val="nil"/>
                    <w:right w:val="nil"/>
                  </w:tcBorders>
                  <w:shd w:val="clear" w:color="auto" w:fill="auto"/>
                  <w:vAlign w:val="center"/>
                  <w:hideMark/>
                </w:tcPr>
                <w:p w14:paraId="2F2AE03F"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780" w:type="dxa"/>
                  <w:tcBorders>
                    <w:top w:val="nil"/>
                    <w:left w:val="nil"/>
                    <w:bottom w:val="nil"/>
                    <w:right w:val="nil"/>
                  </w:tcBorders>
                  <w:shd w:val="clear" w:color="auto" w:fill="auto"/>
                  <w:vAlign w:val="center"/>
                  <w:hideMark/>
                </w:tcPr>
                <w:p w14:paraId="1AE9AF60"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3480" w:type="dxa"/>
                  <w:tcBorders>
                    <w:top w:val="nil"/>
                    <w:left w:val="nil"/>
                    <w:bottom w:val="nil"/>
                    <w:right w:val="nil"/>
                  </w:tcBorders>
                  <w:shd w:val="clear" w:color="auto" w:fill="auto"/>
                  <w:hideMark/>
                </w:tcPr>
                <w:p w14:paraId="11F9C23B" w14:textId="77777777" w:rsidR="002105E0" w:rsidRPr="002105E0" w:rsidRDefault="002105E0" w:rsidP="002105E0">
                  <w:pPr>
                    <w:spacing w:after="0" w:line="240" w:lineRule="auto"/>
                    <w:rPr>
                      <w:rFonts w:ascii="Calibri" w:eastAsia="Times New Roman" w:hAnsi="Calibri" w:cs="Calibri"/>
                      <w:b/>
                      <w:bCs/>
                      <w:lang w:eastAsia="en-GB"/>
                    </w:rPr>
                  </w:pPr>
                  <w:r w:rsidRPr="002105E0">
                    <w:rPr>
                      <w:rFonts w:ascii="Calibri" w:eastAsia="Times New Roman" w:hAnsi="Calibri" w:cs="Calibri"/>
                      <w:b/>
                      <w:bCs/>
                      <w:lang w:eastAsia="en-GB"/>
                    </w:rPr>
                    <w:t>Financial liabilities at amortised cost</w:t>
                  </w:r>
                </w:p>
              </w:tc>
              <w:tc>
                <w:tcPr>
                  <w:tcW w:w="1355" w:type="dxa"/>
                  <w:tcBorders>
                    <w:top w:val="nil"/>
                    <w:left w:val="nil"/>
                    <w:bottom w:val="nil"/>
                    <w:right w:val="nil"/>
                  </w:tcBorders>
                  <w:shd w:val="clear" w:color="auto" w:fill="auto"/>
                  <w:vAlign w:val="center"/>
                  <w:hideMark/>
                </w:tcPr>
                <w:p w14:paraId="359D086F" w14:textId="77777777" w:rsidR="002105E0" w:rsidRPr="002105E0" w:rsidRDefault="002105E0" w:rsidP="002105E0">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2205" w:type="dxa"/>
                  <w:tcBorders>
                    <w:top w:val="nil"/>
                    <w:left w:val="nil"/>
                    <w:bottom w:val="nil"/>
                    <w:right w:val="nil"/>
                  </w:tcBorders>
                  <w:shd w:val="clear" w:color="auto" w:fill="auto"/>
                  <w:vAlign w:val="center"/>
                  <w:hideMark/>
                </w:tcPr>
                <w:p w14:paraId="64594A3C" w14:textId="77777777" w:rsidR="002105E0" w:rsidRPr="002105E0" w:rsidRDefault="002105E0" w:rsidP="00B658F9">
                  <w:pPr>
                    <w:spacing w:after="0" w:line="240" w:lineRule="auto"/>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720" w:type="dxa"/>
                  <w:tcBorders>
                    <w:top w:val="nil"/>
                    <w:left w:val="nil"/>
                    <w:bottom w:val="nil"/>
                    <w:right w:val="nil"/>
                  </w:tcBorders>
                  <w:shd w:val="clear" w:color="auto" w:fill="auto"/>
                  <w:vAlign w:val="center"/>
                  <w:hideMark/>
                </w:tcPr>
                <w:p w14:paraId="5081DDAD"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vAlign w:val="center"/>
                  <w:hideMark/>
                </w:tcPr>
                <w:p w14:paraId="212215AF"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6A5063A5" w14:textId="77777777" w:rsidTr="002105E0">
              <w:trPr>
                <w:trHeight w:val="260"/>
              </w:trPr>
              <w:tc>
                <w:tcPr>
                  <w:tcW w:w="1780" w:type="dxa"/>
                  <w:tcBorders>
                    <w:top w:val="nil"/>
                    <w:left w:val="nil"/>
                    <w:bottom w:val="nil"/>
                    <w:right w:val="nil"/>
                  </w:tcBorders>
                  <w:shd w:val="clear" w:color="000000" w:fill="FCEEED"/>
                  <w:noWrap/>
                  <w:hideMark/>
                </w:tcPr>
                <w:p w14:paraId="1978E551" w14:textId="06E6E4CE"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3,300</w:t>
                  </w:r>
                  <w:r>
                    <w:rPr>
                      <w:rFonts w:ascii="Calibri" w:eastAsia="Times New Roman" w:hAnsi="Calibri" w:cs="Calibri"/>
                      <w:color w:val="000000"/>
                      <w:lang w:eastAsia="en-GB"/>
                    </w:rPr>
                    <w:t>)</w:t>
                  </w:r>
                </w:p>
              </w:tc>
              <w:tc>
                <w:tcPr>
                  <w:tcW w:w="1780" w:type="dxa"/>
                  <w:tcBorders>
                    <w:top w:val="nil"/>
                    <w:left w:val="nil"/>
                    <w:bottom w:val="nil"/>
                    <w:right w:val="nil"/>
                  </w:tcBorders>
                  <w:shd w:val="clear" w:color="000000" w:fill="FCEEED"/>
                  <w:noWrap/>
                  <w:hideMark/>
                </w:tcPr>
                <w:p w14:paraId="4E021A42"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3480" w:type="dxa"/>
                  <w:tcBorders>
                    <w:top w:val="nil"/>
                    <w:left w:val="nil"/>
                    <w:bottom w:val="nil"/>
                    <w:right w:val="nil"/>
                  </w:tcBorders>
                  <w:shd w:val="clear" w:color="000000" w:fill="FCEEED"/>
                  <w:hideMark/>
                </w:tcPr>
                <w:p w14:paraId="41B63AE8"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Borrowing</w:t>
                  </w:r>
                </w:p>
              </w:tc>
              <w:tc>
                <w:tcPr>
                  <w:tcW w:w="1355" w:type="dxa"/>
                  <w:tcBorders>
                    <w:top w:val="nil"/>
                    <w:left w:val="nil"/>
                    <w:bottom w:val="nil"/>
                    <w:right w:val="nil"/>
                  </w:tcBorders>
                  <w:shd w:val="clear" w:color="000000" w:fill="FCEEED"/>
                  <w:noWrap/>
                  <w:hideMark/>
                </w:tcPr>
                <w:p w14:paraId="06FEA376" w14:textId="16D7AEF5"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3,218</w:t>
                  </w:r>
                  <w:r>
                    <w:rPr>
                      <w:rFonts w:ascii="Calibri" w:eastAsia="Times New Roman" w:hAnsi="Calibri" w:cs="Calibri"/>
                      <w:color w:val="000000"/>
                      <w:lang w:eastAsia="en-GB"/>
                    </w:rPr>
                    <w:t>)</w:t>
                  </w:r>
                </w:p>
              </w:tc>
              <w:tc>
                <w:tcPr>
                  <w:tcW w:w="2205" w:type="dxa"/>
                  <w:tcBorders>
                    <w:top w:val="nil"/>
                    <w:left w:val="nil"/>
                    <w:bottom w:val="nil"/>
                    <w:right w:val="nil"/>
                  </w:tcBorders>
                  <w:shd w:val="clear" w:color="000000" w:fill="FCEEED"/>
                  <w:noWrap/>
                  <w:hideMark/>
                </w:tcPr>
                <w:p w14:paraId="71D19CC9" w14:textId="08154439"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0</w:t>
                  </w:r>
                </w:p>
              </w:tc>
              <w:tc>
                <w:tcPr>
                  <w:tcW w:w="720" w:type="dxa"/>
                  <w:tcBorders>
                    <w:top w:val="nil"/>
                    <w:left w:val="nil"/>
                    <w:bottom w:val="nil"/>
                    <w:right w:val="nil"/>
                  </w:tcBorders>
                  <w:shd w:val="clear" w:color="auto" w:fill="auto"/>
                  <w:vAlign w:val="center"/>
                  <w:hideMark/>
                </w:tcPr>
                <w:p w14:paraId="1178D0B2"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000000" w:fill="FCEEED"/>
                  <w:noWrap/>
                  <w:hideMark/>
                </w:tcPr>
                <w:p w14:paraId="62EAF1F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4D2AC212" w14:textId="77777777" w:rsidTr="002105E0">
              <w:trPr>
                <w:trHeight w:val="260"/>
              </w:trPr>
              <w:tc>
                <w:tcPr>
                  <w:tcW w:w="1780" w:type="dxa"/>
                  <w:tcBorders>
                    <w:top w:val="nil"/>
                    <w:left w:val="nil"/>
                    <w:bottom w:val="nil"/>
                    <w:right w:val="nil"/>
                  </w:tcBorders>
                  <w:shd w:val="clear" w:color="auto" w:fill="auto"/>
                  <w:noWrap/>
                  <w:hideMark/>
                </w:tcPr>
                <w:p w14:paraId="290B9A84"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nil"/>
                    <w:right w:val="nil"/>
                  </w:tcBorders>
                  <w:shd w:val="clear" w:color="auto" w:fill="auto"/>
                  <w:noWrap/>
                  <w:hideMark/>
                </w:tcPr>
                <w:p w14:paraId="3D33912C" w14:textId="23A060A5" w:rsidR="002105E0" w:rsidRPr="002105E0" w:rsidRDefault="00B658F9" w:rsidP="00B658F9">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4,770</w:t>
                  </w:r>
                  <w:r>
                    <w:rPr>
                      <w:rFonts w:ascii="Calibri" w:eastAsia="Times New Roman" w:hAnsi="Calibri" w:cs="Calibri"/>
                      <w:color w:val="000000"/>
                      <w:lang w:eastAsia="en-GB"/>
                    </w:rPr>
                    <w:t>)</w:t>
                  </w:r>
                </w:p>
              </w:tc>
              <w:tc>
                <w:tcPr>
                  <w:tcW w:w="3480" w:type="dxa"/>
                  <w:tcBorders>
                    <w:top w:val="nil"/>
                    <w:left w:val="nil"/>
                    <w:bottom w:val="nil"/>
                    <w:right w:val="nil"/>
                  </w:tcBorders>
                  <w:shd w:val="clear" w:color="auto" w:fill="auto"/>
                  <w:hideMark/>
                </w:tcPr>
                <w:p w14:paraId="7E5508F1"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Creditors</w:t>
                  </w:r>
                </w:p>
              </w:tc>
              <w:tc>
                <w:tcPr>
                  <w:tcW w:w="1355" w:type="dxa"/>
                  <w:tcBorders>
                    <w:top w:val="nil"/>
                    <w:left w:val="nil"/>
                    <w:bottom w:val="nil"/>
                    <w:right w:val="nil"/>
                  </w:tcBorders>
                  <w:shd w:val="clear" w:color="auto" w:fill="auto"/>
                  <w:noWrap/>
                  <w:hideMark/>
                </w:tcPr>
                <w:p w14:paraId="1F44FC17" w14:textId="77777777" w:rsidR="002105E0" w:rsidRPr="002105E0" w:rsidRDefault="002105E0" w:rsidP="00B658F9">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2205" w:type="dxa"/>
                  <w:tcBorders>
                    <w:top w:val="nil"/>
                    <w:left w:val="nil"/>
                    <w:bottom w:val="nil"/>
                    <w:right w:val="nil"/>
                  </w:tcBorders>
                  <w:shd w:val="clear" w:color="auto" w:fill="auto"/>
                  <w:noWrap/>
                  <w:hideMark/>
                </w:tcPr>
                <w:p w14:paraId="3487BF9E" w14:textId="73173F0C" w:rsidR="002105E0" w:rsidRPr="002105E0" w:rsidRDefault="00B658F9" w:rsidP="00B658F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2105E0" w:rsidRPr="002105E0">
                    <w:rPr>
                      <w:rFonts w:ascii="Calibri" w:eastAsia="Times New Roman" w:hAnsi="Calibri" w:cs="Calibri"/>
                      <w:color w:val="000000"/>
                      <w:lang w:eastAsia="en-GB"/>
                    </w:rPr>
                    <w:t>3,559</w:t>
                  </w:r>
                  <w:r>
                    <w:rPr>
                      <w:rFonts w:ascii="Calibri" w:eastAsia="Times New Roman" w:hAnsi="Calibri" w:cs="Calibri"/>
                      <w:color w:val="000000"/>
                      <w:lang w:eastAsia="en-GB"/>
                    </w:rPr>
                    <w:t>)</w:t>
                  </w:r>
                </w:p>
              </w:tc>
              <w:tc>
                <w:tcPr>
                  <w:tcW w:w="720" w:type="dxa"/>
                  <w:tcBorders>
                    <w:top w:val="nil"/>
                    <w:left w:val="nil"/>
                    <w:bottom w:val="nil"/>
                    <w:right w:val="nil"/>
                  </w:tcBorders>
                  <w:shd w:val="clear" w:color="auto" w:fill="auto"/>
                  <w:vAlign w:val="center"/>
                  <w:hideMark/>
                </w:tcPr>
                <w:p w14:paraId="56CEF241" w14:textId="77777777" w:rsidR="002105E0" w:rsidRPr="002105E0" w:rsidRDefault="002105E0" w:rsidP="002105E0">
                  <w:pPr>
                    <w:spacing w:after="0" w:line="240" w:lineRule="auto"/>
                    <w:jc w:val="right"/>
                    <w:rPr>
                      <w:rFonts w:ascii="Calibri" w:eastAsia="Times New Roman" w:hAnsi="Calibri" w:cs="Calibri"/>
                      <w:color w:val="000000"/>
                      <w:lang w:eastAsia="en-GB"/>
                    </w:rPr>
                  </w:pPr>
                </w:p>
              </w:tc>
              <w:tc>
                <w:tcPr>
                  <w:tcW w:w="3260" w:type="dxa"/>
                  <w:tcBorders>
                    <w:top w:val="nil"/>
                    <w:left w:val="nil"/>
                    <w:bottom w:val="nil"/>
                    <w:right w:val="nil"/>
                  </w:tcBorders>
                  <w:shd w:val="clear" w:color="auto" w:fill="auto"/>
                  <w:noWrap/>
                  <w:hideMark/>
                </w:tcPr>
                <w:p w14:paraId="5C3089FE"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Balance Sheet</w:t>
                  </w:r>
                </w:p>
              </w:tc>
            </w:tr>
            <w:tr w:rsidR="002105E0" w:rsidRPr="002105E0" w14:paraId="0253FE55" w14:textId="77777777" w:rsidTr="00B658F9">
              <w:trPr>
                <w:trHeight w:val="260"/>
              </w:trPr>
              <w:tc>
                <w:tcPr>
                  <w:tcW w:w="1780" w:type="dxa"/>
                  <w:tcBorders>
                    <w:top w:val="single" w:sz="4" w:space="0" w:color="DB4050"/>
                    <w:left w:val="nil"/>
                    <w:bottom w:val="single" w:sz="4" w:space="0" w:color="DB4050"/>
                    <w:right w:val="nil"/>
                  </w:tcBorders>
                  <w:shd w:val="clear" w:color="auto" w:fill="C00000"/>
                  <w:noWrap/>
                  <w:hideMark/>
                </w:tcPr>
                <w:p w14:paraId="7C63FC7C" w14:textId="2B8FCB45"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3,300</w:t>
                  </w:r>
                  <w:r w:rsidRPr="00B658F9">
                    <w:rPr>
                      <w:rFonts w:ascii="Calibri" w:eastAsia="Times New Roman" w:hAnsi="Calibri" w:cs="Calibri"/>
                      <w:b/>
                      <w:bCs/>
                      <w:color w:val="FFFFFF" w:themeColor="background1"/>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22DA19FC" w14:textId="4DB9F9AF"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4,770</w:t>
                  </w:r>
                  <w:r>
                    <w:rPr>
                      <w:rFonts w:ascii="Calibri" w:eastAsia="Times New Roman" w:hAnsi="Calibri" w:cs="Calibri"/>
                      <w:b/>
                      <w:bCs/>
                      <w:color w:val="FFFFFF" w:themeColor="background1"/>
                      <w:lang w:eastAsia="en-GB"/>
                    </w:rPr>
                    <w:t>)</w:t>
                  </w:r>
                </w:p>
              </w:tc>
              <w:tc>
                <w:tcPr>
                  <w:tcW w:w="3480" w:type="dxa"/>
                  <w:tcBorders>
                    <w:top w:val="single" w:sz="4" w:space="0" w:color="DB4050"/>
                    <w:left w:val="nil"/>
                    <w:bottom w:val="single" w:sz="4" w:space="0" w:color="DB4050"/>
                    <w:right w:val="nil"/>
                  </w:tcBorders>
                  <w:shd w:val="clear" w:color="auto" w:fill="C00000"/>
                  <w:hideMark/>
                </w:tcPr>
                <w:p w14:paraId="2423929E"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Total Financial Liabilities</w:t>
                  </w:r>
                </w:p>
              </w:tc>
              <w:tc>
                <w:tcPr>
                  <w:tcW w:w="1355" w:type="dxa"/>
                  <w:tcBorders>
                    <w:top w:val="single" w:sz="4" w:space="0" w:color="DB4050"/>
                    <w:left w:val="nil"/>
                    <w:bottom w:val="single" w:sz="4" w:space="0" w:color="DB4050"/>
                    <w:right w:val="nil"/>
                  </w:tcBorders>
                  <w:shd w:val="clear" w:color="auto" w:fill="C00000"/>
                  <w:noWrap/>
                  <w:hideMark/>
                </w:tcPr>
                <w:p w14:paraId="03BC887A" w14:textId="4FAA9433" w:rsidR="002105E0" w:rsidRPr="002105E0" w:rsidRDefault="00B658F9" w:rsidP="00B658F9">
                  <w:pPr>
                    <w:spacing w:after="0" w:line="240" w:lineRule="auto"/>
                    <w:jc w:val="right"/>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3,218</w:t>
                  </w:r>
                  <w:r w:rsidRPr="00B658F9">
                    <w:rPr>
                      <w:rFonts w:ascii="Calibri" w:eastAsia="Times New Roman" w:hAnsi="Calibri" w:cs="Calibri"/>
                      <w:b/>
                      <w:bCs/>
                      <w:color w:val="FFFFFF" w:themeColor="background1"/>
                      <w:lang w:eastAsia="en-GB"/>
                    </w:rPr>
                    <w:t>)</w:t>
                  </w:r>
                </w:p>
              </w:tc>
              <w:tc>
                <w:tcPr>
                  <w:tcW w:w="2205" w:type="dxa"/>
                  <w:tcBorders>
                    <w:top w:val="single" w:sz="4" w:space="0" w:color="DB4050"/>
                    <w:left w:val="nil"/>
                    <w:bottom w:val="single" w:sz="4" w:space="0" w:color="DB4050"/>
                    <w:right w:val="nil"/>
                  </w:tcBorders>
                  <w:shd w:val="clear" w:color="auto" w:fill="C00000"/>
                  <w:noWrap/>
                  <w:hideMark/>
                </w:tcPr>
                <w:p w14:paraId="72CC51F6" w14:textId="4A06BEB9" w:rsidR="002105E0" w:rsidRPr="002105E0" w:rsidRDefault="00B658F9" w:rsidP="00B658F9">
                  <w:pPr>
                    <w:spacing w:after="0" w:line="240" w:lineRule="auto"/>
                    <w:rPr>
                      <w:rFonts w:ascii="Calibri" w:eastAsia="Times New Roman" w:hAnsi="Calibri" w:cs="Calibri"/>
                      <w:b/>
                      <w:bCs/>
                      <w:color w:val="FFFFFF" w:themeColor="background1"/>
                      <w:lang w:eastAsia="en-GB"/>
                    </w:rPr>
                  </w:pPr>
                  <w:r w:rsidRPr="00B658F9">
                    <w:rPr>
                      <w:rFonts w:ascii="Calibri" w:eastAsia="Times New Roman" w:hAnsi="Calibri" w:cs="Calibri"/>
                      <w:b/>
                      <w:bCs/>
                      <w:color w:val="FFFFFF" w:themeColor="background1"/>
                      <w:lang w:eastAsia="en-GB"/>
                    </w:rPr>
                    <w:t xml:space="preserve">                    (3</w:t>
                  </w:r>
                  <w:r w:rsidR="002105E0" w:rsidRPr="002105E0">
                    <w:rPr>
                      <w:rFonts w:ascii="Calibri" w:eastAsia="Times New Roman" w:hAnsi="Calibri" w:cs="Calibri"/>
                      <w:b/>
                      <w:bCs/>
                      <w:color w:val="FFFFFF" w:themeColor="background1"/>
                      <w:lang w:eastAsia="en-GB"/>
                    </w:rPr>
                    <w:t>,559</w:t>
                  </w:r>
                  <w:r w:rsidRPr="00B658F9">
                    <w:rPr>
                      <w:rFonts w:ascii="Calibri" w:eastAsia="Times New Roman" w:hAnsi="Calibri" w:cs="Calibri"/>
                      <w:b/>
                      <w:bCs/>
                      <w:color w:val="FFFFFF" w:themeColor="background1"/>
                      <w:lang w:eastAsia="en-GB"/>
                    </w:rPr>
                    <w:t>)</w:t>
                  </w:r>
                </w:p>
              </w:tc>
              <w:tc>
                <w:tcPr>
                  <w:tcW w:w="720" w:type="dxa"/>
                  <w:tcBorders>
                    <w:top w:val="nil"/>
                    <w:left w:val="nil"/>
                    <w:bottom w:val="nil"/>
                    <w:right w:val="nil"/>
                  </w:tcBorders>
                  <w:shd w:val="clear" w:color="auto" w:fill="auto"/>
                  <w:vAlign w:val="center"/>
                  <w:hideMark/>
                </w:tcPr>
                <w:p w14:paraId="23713990" w14:textId="77777777" w:rsidR="002105E0" w:rsidRPr="002105E0" w:rsidRDefault="002105E0" w:rsidP="002105E0">
                  <w:pPr>
                    <w:spacing w:after="0" w:line="240" w:lineRule="auto"/>
                    <w:rPr>
                      <w:rFonts w:ascii="Calibri" w:eastAsia="Times New Roman" w:hAnsi="Calibri" w:cs="Calibri"/>
                      <w:color w:val="000000"/>
                      <w:lang w:eastAsia="en-GB"/>
                    </w:rPr>
                  </w:pPr>
                </w:p>
              </w:tc>
              <w:tc>
                <w:tcPr>
                  <w:tcW w:w="3260" w:type="dxa"/>
                  <w:tcBorders>
                    <w:top w:val="single" w:sz="4" w:space="0" w:color="DB4050"/>
                    <w:left w:val="nil"/>
                    <w:bottom w:val="single" w:sz="4" w:space="0" w:color="DB4050"/>
                    <w:right w:val="nil"/>
                  </w:tcBorders>
                  <w:shd w:val="clear" w:color="auto" w:fill="auto"/>
                  <w:noWrap/>
                  <w:hideMark/>
                </w:tcPr>
                <w:p w14:paraId="49BA1211"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bl>
          <w:p w14:paraId="0BE4D5CA" w14:textId="77777777" w:rsidR="002105E0" w:rsidRDefault="002105E0" w:rsidP="002105E0">
            <w:pPr>
              <w:spacing w:after="0" w:line="240" w:lineRule="auto"/>
              <w:rPr>
                <w:rFonts w:ascii="Calibri" w:eastAsia="Times New Roman" w:hAnsi="Calibri" w:cs="Calibri"/>
                <w:lang w:eastAsia="en-GB"/>
              </w:rPr>
            </w:pPr>
          </w:p>
          <w:p w14:paraId="36FD6701" w14:textId="51C19E5A" w:rsidR="002105E0" w:rsidRPr="002105E0" w:rsidRDefault="002105E0" w:rsidP="002105E0">
            <w:pPr>
              <w:spacing w:after="0" w:line="240" w:lineRule="auto"/>
              <w:rPr>
                <w:rFonts w:ascii="Calibri" w:eastAsia="Times New Roman" w:hAnsi="Calibri" w:cs="Calibri"/>
                <w:lang w:eastAsia="en-GB"/>
              </w:rPr>
            </w:pPr>
          </w:p>
        </w:tc>
      </w:tr>
    </w:tbl>
    <w:p w14:paraId="5B15AB11" w14:textId="4A9FB144" w:rsidR="002105E0" w:rsidRPr="002105E0" w:rsidRDefault="002105E0" w:rsidP="002105E0">
      <w:pPr>
        <w:autoSpaceDE w:val="0"/>
        <w:autoSpaceDN w:val="0"/>
        <w:adjustRightInd w:val="0"/>
        <w:spacing w:after="0" w:line="240" w:lineRule="auto"/>
        <w:rPr>
          <w:rFonts w:cs="Arial"/>
          <w:b/>
          <w:bCs/>
          <w:sz w:val="28"/>
          <w:szCs w:val="28"/>
        </w:rPr>
      </w:pPr>
      <w:r w:rsidRPr="002105E0">
        <w:rPr>
          <w:rFonts w:cs="Arial"/>
          <w:b/>
          <w:bCs/>
          <w:sz w:val="28"/>
          <w:szCs w:val="28"/>
        </w:rPr>
        <w:t>Note 27</w:t>
      </w:r>
      <w:r>
        <w:rPr>
          <w:rFonts w:cs="Arial"/>
          <w:b/>
          <w:bCs/>
          <w:sz w:val="28"/>
          <w:szCs w:val="28"/>
        </w:rPr>
        <w:t>.2</w:t>
      </w:r>
      <w:r w:rsidRPr="002105E0">
        <w:rPr>
          <w:rFonts w:cs="Arial"/>
          <w:b/>
          <w:bCs/>
          <w:sz w:val="28"/>
          <w:szCs w:val="28"/>
        </w:rPr>
        <w:t xml:space="preserve"> Financial Instruments</w:t>
      </w:r>
    </w:p>
    <w:p w14:paraId="7C9CF9C4" w14:textId="77777777" w:rsidR="002105E0" w:rsidRPr="002105E0" w:rsidRDefault="002105E0" w:rsidP="002105E0">
      <w:pPr>
        <w:autoSpaceDE w:val="0"/>
        <w:autoSpaceDN w:val="0"/>
        <w:adjustRightInd w:val="0"/>
        <w:spacing w:after="0" w:line="240" w:lineRule="auto"/>
        <w:rPr>
          <w:rFonts w:cs="Arial"/>
          <w:b/>
          <w:szCs w:val="28"/>
        </w:rPr>
      </w:pPr>
      <w:r w:rsidRPr="002105E0">
        <w:rPr>
          <w:rFonts w:cs="Arial"/>
          <w:b/>
          <w:szCs w:val="28"/>
        </w:rPr>
        <w:t>Income, Expense, Gains and Losses</w:t>
      </w:r>
      <w:r w:rsidRPr="002105E0">
        <w:rPr>
          <w:rFonts w:cs="Arial"/>
          <w:b/>
          <w:szCs w:val="28"/>
        </w:rPr>
        <w:br/>
      </w:r>
    </w:p>
    <w:tbl>
      <w:tblPr>
        <w:tblW w:w="10600" w:type="dxa"/>
        <w:tblLook w:val="04A0" w:firstRow="1" w:lastRow="0" w:firstColumn="1" w:lastColumn="0" w:noHBand="0" w:noVBand="1"/>
      </w:tblPr>
      <w:tblGrid>
        <w:gridCol w:w="1780"/>
        <w:gridCol w:w="1780"/>
        <w:gridCol w:w="3480"/>
        <w:gridCol w:w="1780"/>
        <w:gridCol w:w="1780"/>
      </w:tblGrid>
      <w:tr w:rsidR="002105E0" w:rsidRPr="002105E0" w14:paraId="0C2E1542" w14:textId="77777777" w:rsidTr="00B658F9">
        <w:trPr>
          <w:trHeight w:val="290"/>
        </w:trPr>
        <w:tc>
          <w:tcPr>
            <w:tcW w:w="3560" w:type="dxa"/>
            <w:gridSpan w:val="2"/>
            <w:tcBorders>
              <w:top w:val="single" w:sz="4" w:space="0" w:color="DB4050"/>
              <w:left w:val="nil"/>
              <w:bottom w:val="single" w:sz="4" w:space="0" w:color="DB4050"/>
              <w:right w:val="nil"/>
            </w:tcBorders>
            <w:shd w:val="clear" w:color="auto" w:fill="C00000"/>
            <w:hideMark/>
          </w:tcPr>
          <w:p w14:paraId="2D26D801" w14:textId="77777777" w:rsidR="002105E0" w:rsidRPr="002105E0" w:rsidRDefault="002105E0" w:rsidP="002105E0">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2020/21</w:t>
            </w:r>
          </w:p>
        </w:tc>
        <w:tc>
          <w:tcPr>
            <w:tcW w:w="3480" w:type="dxa"/>
            <w:tcBorders>
              <w:top w:val="single" w:sz="4" w:space="0" w:color="DB4050"/>
              <w:left w:val="nil"/>
              <w:bottom w:val="single" w:sz="4" w:space="0" w:color="DB4050"/>
              <w:right w:val="nil"/>
            </w:tcBorders>
            <w:shd w:val="clear" w:color="auto" w:fill="C00000"/>
            <w:hideMark/>
          </w:tcPr>
          <w:p w14:paraId="46396552"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 </w:t>
            </w:r>
          </w:p>
        </w:tc>
        <w:tc>
          <w:tcPr>
            <w:tcW w:w="3560" w:type="dxa"/>
            <w:gridSpan w:val="2"/>
            <w:tcBorders>
              <w:top w:val="single" w:sz="4" w:space="0" w:color="DB4050"/>
              <w:left w:val="nil"/>
              <w:bottom w:val="single" w:sz="4" w:space="0" w:color="DB4050"/>
              <w:right w:val="nil"/>
            </w:tcBorders>
            <w:shd w:val="clear" w:color="auto" w:fill="C00000"/>
            <w:hideMark/>
          </w:tcPr>
          <w:p w14:paraId="22F0D528" w14:textId="77777777" w:rsidR="002105E0" w:rsidRPr="002105E0" w:rsidRDefault="002105E0" w:rsidP="002105E0">
            <w:pPr>
              <w:spacing w:after="0" w:line="240" w:lineRule="auto"/>
              <w:jc w:val="center"/>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2021/22</w:t>
            </w:r>
          </w:p>
        </w:tc>
      </w:tr>
      <w:tr w:rsidR="002105E0" w:rsidRPr="002105E0" w14:paraId="303D0813" w14:textId="77777777" w:rsidTr="002105E0">
        <w:trPr>
          <w:trHeight w:val="580"/>
        </w:trPr>
        <w:tc>
          <w:tcPr>
            <w:tcW w:w="1780" w:type="dxa"/>
            <w:tcBorders>
              <w:top w:val="nil"/>
              <w:left w:val="nil"/>
              <w:bottom w:val="nil"/>
              <w:right w:val="nil"/>
            </w:tcBorders>
            <w:shd w:val="clear" w:color="000000" w:fill="FCEEED"/>
            <w:hideMark/>
          </w:tcPr>
          <w:p w14:paraId="5EF24184" w14:textId="77777777" w:rsidR="002105E0" w:rsidRPr="002105E0" w:rsidRDefault="002105E0" w:rsidP="002105E0">
            <w:pPr>
              <w:spacing w:after="0" w:line="240" w:lineRule="auto"/>
              <w:ind w:firstLineChars="100" w:firstLine="221"/>
              <w:jc w:val="right"/>
              <w:rPr>
                <w:rFonts w:ascii="Calibri" w:eastAsia="Times New Roman" w:hAnsi="Calibri" w:cs="Calibri"/>
                <w:b/>
                <w:bCs/>
                <w:lang w:eastAsia="en-GB"/>
              </w:rPr>
            </w:pPr>
            <w:r w:rsidRPr="002105E0">
              <w:rPr>
                <w:rFonts w:ascii="Calibri" w:eastAsia="Times New Roman" w:hAnsi="Calibri" w:cs="Calibri"/>
                <w:b/>
                <w:bCs/>
                <w:lang w:eastAsia="en-GB"/>
              </w:rPr>
              <w:t>Financial Liabilities</w:t>
            </w:r>
          </w:p>
        </w:tc>
        <w:tc>
          <w:tcPr>
            <w:tcW w:w="1780" w:type="dxa"/>
            <w:tcBorders>
              <w:top w:val="nil"/>
              <w:left w:val="nil"/>
              <w:bottom w:val="nil"/>
              <w:right w:val="nil"/>
            </w:tcBorders>
            <w:shd w:val="clear" w:color="000000" w:fill="FCEEED"/>
            <w:hideMark/>
          </w:tcPr>
          <w:p w14:paraId="0EC85C2B"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Financial Assets</w:t>
            </w:r>
          </w:p>
        </w:tc>
        <w:tc>
          <w:tcPr>
            <w:tcW w:w="3480" w:type="dxa"/>
            <w:tcBorders>
              <w:top w:val="nil"/>
              <w:left w:val="nil"/>
              <w:bottom w:val="nil"/>
              <w:right w:val="nil"/>
            </w:tcBorders>
            <w:shd w:val="clear" w:color="000000" w:fill="FCEEED"/>
            <w:hideMark/>
          </w:tcPr>
          <w:p w14:paraId="378490B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nil"/>
              <w:right w:val="nil"/>
            </w:tcBorders>
            <w:shd w:val="clear" w:color="000000" w:fill="FCEEED"/>
            <w:hideMark/>
          </w:tcPr>
          <w:p w14:paraId="73B0DE66"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Financial Liabilities</w:t>
            </w:r>
          </w:p>
        </w:tc>
        <w:tc>
          <w:tcPr>
            <w:tcW w:w="1780" w:type="dxa"/>
            <w:tcBorders>
              <w:top w:val="nil"/>
              <w:left w:val="nil"/>
              <w:bottom w:val="nil"/>
              <w:right w:val="nil"/>
            </w:tcBorders>
            <w:shd w:val="clear" w:color="000000" w:fill="FCEEED"/>
            <w:hideMark/>
          </w:tcPr>
          <w:p w14:paraId="6350DD0C" w14:textId="77777777" w:rsidR="002105E0" w:rsidRPr="002105E0" w:rsidRDefault="002105E0" w:rsidP="002105E0">
            <w:pPr>
              <w:spacing w:after="0" w:line="240" w:lineRule="auto"/>
              <w:ind w:firstLineChars="100" w:firstLine="221"/>
              <w:jc w:val="right"/>
              <w:rPr>
                <w:rFonts w:ascii="Calibri" w:eastAsia="Times New Roman" w:hAnsi="Calibri" w:cs="Calibri"/>
                <w:b/>
                <w:bCs/>
                <w:lang w:eastAsia="en-GB"/>
              </w:rPr>
            </w:pPr>
            <w:r w:rsidRPr="002105E0">
              <w:rPr>
                <w:rFonts w:ascii="Calibri" w:eastAsia="Times New Roman" w:hAnsi="Calibri" w:cs="Calibri"/>
                <w:b/>
                <w:bCs/>
                <w:lang w:eastAsia="en-GB"/>
              </w:rPr>
              <w:t>Financial Assets</w:t>
            </w:r>
          </w:p>
        </w:tc>
      </w:tr>
      <w:tr w:rsidR="002105E0" w:rsidRPr="002105E0" w14:paraId="6C880781" w14:textId="77777777" w:rsidTr="002105E0">
        <w:trPr>
          <w:trHeight w:val="290"/>
        </w:trPr>
        <w:tc>
          <w:tcPr>
            <w:tcW w:w="1780" w:type="dxa"/>
            <w:tcBorders>
              <w:top w:val="nil"/>
              <w:left w:val="nil"/>
              <w:bottom w:val="nil"/>
              <w:right w:val="nil"/>
            </w:tcBorders>
            <w:shd w:val="clear" w:color="000000" w:fill="FCEEED"/>
            <w:vAlign w:val="bottom"/>
            <w:hideMark/>
          </w:tcPr>
          <w:p w14:paraId="306B9E44"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1780" w:type="dxa"/>
            <w:tcBorders>
              <w:top w:val="nil"/>
              <w:left w:val="nil"/>
              <w:bottom w:val="nil"/>
              <w:right w:val="nil"/>
            </w:tcBorders>
            <w:shd w:val="clear" w:color="000000" w:fill="FCEEED"/>
            <w:vAlign w:val="bottom"/>
            <w:hideMark/>
          </w:tcPr>
          <w:p w14:paraId="2BA3569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3480" w:type="dxa"/>
            <w:tcBorders>
              <w:top w:val="nil"/>
              <w:left w:val="nil"/>
              <w:bottom w:val="nil"/>
              <w:right w:val="nil"/>
            </w:tcBorders>
            <w:shd w:val="clear" w:color="000000" w:fill="FCEEED"/>
            <w:vAlign w:val="bottom"/>
            <w:hideMark/>
          </w:tcPr>
          <w:p w14:paraId="343EC2EA"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nil"/>
              <w:right w:val="nil"/>
            </w:tcBorders>
            <w:shd w:val="clear" w:color="000000" w:fill="FCEEED"/>
            <w:vAlign w:val="bottom"/>
            <w:hideMark/>
          </w:tcPr>
          <w:p w14:paraId="66C86AD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c>
          <w:tcPr>
            <w:tcW w:w="1780" w:type="dxa"/>
            <w:tcBorders>
              <w:top w:val="nil"/>
              <w:left w:val="nil"/>
              <w:bottom w:val="nil"/>
              <w:right w:val="nil"/>
            </w:tcBorders>
            <w:shd w:val="clear" w:color="000000" w:fill="FCEEED"/>
            <w:vAlign w:val="bottom"/>
            <w:hideMark/>
          </w:tcPr>
          <w:p w14:paraId="31B7A02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Measured at</w:t>
            </w:r>
          </w:p>
        </w:tc>
      </w:tr>
      <w:tr w:rsidR="002105E0" w:rsidRPr="002105E0" w14:paraId="1AA4F899" w14:textId="77777777" w:rsidTr="002105E0">
        <w:trPr>
          <w:trHeight w:val="290"/>
        </w:trPr>
        <w:tc>
          <w:tcPr>
            <w:tcW w:w="1780" w:type="dxa"/>
            <w:tcBorders>
              <w:top w:val="nil"/>
              <w:left w:val="nil"/>
              <w:bottom w:val="single" w:sz="4" w:space="0" w:color="DB4050"/>
              <w:right w:val="nil"/>
            </w:tcBorders>
            <w:shd w:val="clear" w:color="000000" w:fill="FCEEED"/>
            <w:vAlign w:val="bottom"/>
            <w:hideMark/>
          </w:tcPr>
          <w:p w14:paraId="3994CC0F"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1780" w:type="dxa"/>
            <w:tcBorders>
              <w:top w:val="nil"/>
              <w:left w:val="nil"/>
              <w:bottom w:val="single" w:sz="4" w:space="0" w:color="DB4050"/>
              <w:right w:val="nil"/>
            </w:tcBorders>
            <w:shd w:val="clear" w:color="000000" w:fill="FCEEED"/>
            <w:vAlign w:val="bottom"/>
            <w:hideMark/>
          </w:tcPr>
          <w:p w14:paraId="1C654061"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3480" w:type="dxa"/>
            <w:tcBorders>
              <w:top w:val="nil"/>
              <w:left w:val="nil"/>
              <w:bottom w:val="single" w:sz="4" w:space="0" w:color="DB4050"/>
              <w:right w:val="nil"/>
            </w:tcBorders>
            <w:shd w:val="clear" w:color="000000" w:fill="FCEEED"/>
            <w:vAlign w:val="bottom"/>
            <w:hideMark/>
          </w:tcPr>
          <w:p w14:paraId="73639669"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single" w:sz="4" w:space="0" w:color="DB4050"/>
              <w:right w:val="nil"/>
            </w:tcBorders>
            <w:shd w:val="clear" w:color="000000" w:fill="FCEEED"/>
            <w:vAlign w:val="bottom"/>
            <w:hideMark/>
          </w:tcPr>
          <w:p w14:paraId="4E8E3DCB"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c>
          <w:tcPr>
            <w:tcW w:w="1780" w:type="dxa"/>
            <w:tcBorders>
              <w:top w:val="nil"/>
              <w:left w:val="nil"/>
              <w:bottom w:val="single" w:sz="4" w:space="0" w:color="DB4050"/>
              <w:right w:val="nil"/>
            </w:tcBorders>
            <w:shd w:val="clear" w:color="000000" w:fill="FCEEED"/>
            <w:vAlign w:val="bottom"/>
            <w:hideMark/>
          </w:tcPr>
          <w:p w14:paraId="41E57421"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Amortised Cost</w:t>
            </w:r>
          </w:p>
        </w:tc>
      </w:tr>
      <w:tr w:rsidR="002105E0" w:rsidRPr="002105E0" w14:paraId="00B0EFEA" w14:textId="77777777" w:rsidTr="002105E0">
        <w:trPr>
          <w:trHeight w:val="290"/>
        </w:trPr>
        <w:tc>
          <w:tcPr>
            <w:tcW w:w="1780" w:type="dxa"/>
            <w:tcBorders>
              <w:top w:val="nil"/>
              <w:left w:val="nil"/>
              <w:bottom w:val="single" w:sz="4" w:space="0" w:color="DB4050"/>
              <w:right w:val="nil"/>
            </w:tcBorders>
            <w:shd w:val="clear" w:color="auto" w:fill="auto"/>
            <w:hideMark/>
          </w:tcPr>
          <w:p w14:paraId="45E1BA8E"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single" w:sz="4" w:space="0" w:color="DB4050"/>
              <w:right w:val="nil"/>
            </w:tcBorders>
            <w:shd w:val="clear" w:color="auto" w:fill="auto"/>
            <w:hideMark/>
          </w:tcPr>
          <w:p w14:paraId="7FBEC388"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3480" w:type="dxa"/>
            <w:tcBorders>
              <w:top w:val="nil"/>
              <w:left w:val="nil"/>
              <w:bottom w:val="single" w:sz="4" w:space="0" w:color="DB4050"/>
              <w:right w:val="nil"/>
            </w:tcBorders>
            <w:shd w:val="clear" w:color="auto" w:fill="auto"/>
            <w:hideMark/>
          </w:tcPr>
          <w:p w14:paraId="5460327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 </w:t>
            </w:r>
          </w:p>
        </w:tc>
        <w:tc>
          <w:tcPr>
            <w:tcW w:w="1780" w:type="dxa"/>
            <w:tcBorders>
              <w:top w:val="nil"/>
              <w:left w:val="nil"/>
              <w:bottom w:val="single" w:sz="4" w:space="0" w:color="DB4050"/>
              <w:right w:val="nil"/>
            </w:tcBorders>
            <w:shd w:val="clear" w:color="auto" w:fill="auto"/>
            <w:hideMark/>
          </w:tcPr>
          <w:p w14:paraId="097CD507"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c>
          <w:tcPr>
            <w:tcW w:w="1780" w:type="dxa"/>
            <w:tcBorders>
              <w:top w:val="nil"/>
              <w:left w:val="nil"/>
              <w:bottom w:val="single" w:sz="4" w:space="0" w:color="DB4050"/>
              <w:right w:val="nil"/>
            </w:tcBorders>
            <w:shd w:val="clear" w:color="auto" w:fill="auto"/>
            <w:hideMark/>
          </w:tcPr>
          <w:p w14:paraId="15052033" w14:textId="77777777" w:rsidR="002105E0" w:rsidRPr="002105E0" w:rsidRDefault="002105E0" w:rsidP="002105E0">
            <w:pPr>
              <w:spacing w:after="0" w:line="240" w:lineRule="auto"/>
              <w:jc w:val="right"/>
              <w:rPr>
                <w:rFonts w:ascii="Calibri" w:eastAsia="Times New Roman" w:hAnsi="Calibri" w:cs="Calibri"/>
                <w:b/>
                <w:bCs/>
                <w:lang w:eastAsia="en-GB"/>
              </w:rPr>
            </w:pPr>
            <w:r w:rsidRPr="002105E0">
              <w:rPr>
                <w:rFonts w:ascii="Calibri" w:eastAsia="Times New Roman" w:hAnsi="Calibri" w:cs="Calibri"/>
                <w:b/>
                <w:bCs/>
                <w:lang w:eastAsia="en-GB"/>
              </w:rPr>
              <w:t>£’000</w:t>
            </w:r>
          </w:p>
        </w:tc>
      </w:tr>
      <w:tr w:rsidR="002105E0" w:rsidRPr="002105E0" w14:paraId="78A216C9" w14:textId="77777777" w:rsidTr="002105E0">
        <w:trPr>
          <w:trHeight w:val="290"/>
        </w:trPr>
        <w:tc>
          <w:tcPr>
            <w:tcW w:w="1780" w:type="dxa"/>
            <w:tcBorders>
              <w:top w:val="nil"/>
              <w:left w:val="nil"/>
              <w:bottom w:val="single" w:sz="4" w:space="0" w:color="DB4050"/>
              <w:right w:val="nil"/>
            </w:tcBorders>
            <w:shd w:val="clear" w:color="auto" w:fill="auto"/>
            <w:hideMark/>
          </w:tcPr>
          <w:p w14:paraId="1EF09E01"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 xml:space="preserve">                             -   </w:t>
            </w:r>
          </w:p>
        </w:tc>
        <w:tc>
          <w:tcPr>
            <w:tcW w:w="1780" w:type="dxa"/>
            <w:tcBorders>
              <w:top w:val="nil"/>
              <w:left w:val="nil"/>
              <w:bottom w:val="single" w:sz="4" w:space="0" w:color="DB4050"/>
              <w:right w:val="nil"/>
            </w:tcBorders>
            <w:shd w:val="clear" w:color="auto" w:fill="auto"/>
            <w:noWrap/>
            <w:hideMark/>
          </w:tcPr>
          <w:p w14:paraId="0FEA5679"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xml:space="preserve"> -   </w:t>
            </w:r>
          </w:p>
        </w:tc>
        <w:tc>
          <w:tcPr>
            <w:tcW w:w="3480" w:type="dxa"/>
            <w:tcBorders>
              <w:top w:val="nil"/>
              <w:left w:val="nil"/>
              <w:bottom w:val="single" w:sz="4" w:space="0" w:color="DB4050"/>
              <w:right w:val="nil"/>
            </w:tcBorders>
            <w:shd w:val="clear" w:color="auto" w:fill="auto"/>
            <w:hideMark/>
          </w:tcPr>
          <w:p w14:paraId="2C041139"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 xml:space="preserve"> Interest Expense </w:t>
            </w:r>
          </w:p>
        </w:tc>
        <w:tc>
          <w:tcPr>
            <w:tcW w:w="1780" w:type="dxa"/>
            <w:tcBorders>
              <w:top w:val="nil"/>
              <w:left w:val="nil"/>
              <w:bottom w:val="single" w:sz="4" w:space="0" w:color="DB4050"/>
              <w:right w:val="nil"/>
            </w:tcBorders>
            <w:shd w:val="clear" w:color="auto" w:fill="auto"/>
            <w:vAlign w:val="center"/>
            <w:hideMark/>
          </w:tcPr>
          <w:p w14:paraId="33158ED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xml:space="preserve">                            65 </w:t>
            </w:r>
          </w:p>
        </w:tc>
        <w:tc>
          <w:tcPr>
            <w:tcW w:w="1780" w:type="dxa"/>
            <w:tcBorders>
              <w:top w:val="nil"/>
              <w:left w:val="nil"/>
              <w:bottom w:val="single" w:sz="4" w:space="0" w:color="DB4050"/>
              <w:right w:val="nil"/>
            </w:tcBorders>
            <w:shd w:val="clear" w:color="auto" w:fill="auto"/>
            <w:noWrap/>
            <w:hideMark/>
          </w:tcPr>
          <w:p w14:paraId="5D148E40"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0A97CA53" w14:textId="77777777" w:rsidTr="002105E0">
        <w:trPr>
          <w:trHeight w:val="580"/>
        </w:trPr>
        <w:tc>
          <w:tcPr>
            <w:tcW w:w="1780" w:type="dxa"/>
            <w:tcBorders>
              <w:top w:val="nil"/>
              <w:left w:val="nil"/>
              <w:bottom w:val="single" w:sz="4" w:space="0" w:color="DB4050"/>
              <w:right w:val="nil"/>
            </w:tcBorders>
            <w:shd w:val="clear" w:color="000000" w:fill="FCEEED"/>
            <w:noWrap/>
            <w:hideMark/>
          </w:tcPr>
          <w:p w14:paraId="7D5103F8"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0</w:t>
            </w:r>
          </w:p>
        </w:tc>
        <w:tc>
          <w:tcPr>
            <w:tcW w:w="1780" w:type="dxa"/>
            <w:tcBorders>
              <w:top w:val="nil"/>
              <w:left w:val="nil"/>
              <w:bottom w:val="single" w:sz="4" w:space="0" w:color="DB4050"/>
              <w:right w:val="nil"/>
            </w:tcBorders>
            <w:shd w:val="clear" w:color="000000" w:fill="FCEEED"/>
            <w:hideMark/>
          </w:tcPr>
          <w:p w14:paraId="2812311D"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 xml:space="preserve">                             -   </w:t>
            </w:r>
          </w:p>
        </w:tc>
        <w:tc>
          <w:tcPr>
            <w:tcW w:w="3480" w:type="dxa"/>
            <w:tcBorders>
              <w:top w:val="nil"/>
              <w:left w:val="nil"/>
              <w:bottom w:val="single" w:sz="4" w:space="0" w:color="DB4050"/>
              <w:right w:val="nil"/>
            </w:tcBorders>
            <w:shd w:val="clear" w:color="000000" w:fill="FCEEED"/>
            <w:hideMark/>
          </w:tcPr>
          <w:p w14:paraId="5CF2EE4A"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Total Expense in Surplus/Deficit on the Provision of Service</w:t>
            </w:r>
          </w:p>
        </w:tc>
        <w:tc>
          <w:tcPr>
            <w:tcW w:w="1780" w:type="dxa"/>
            <w:tcBorders>
              <w:top w:val="nil"/>
              <w:left w:val="nil"/>
              <w:bottom w:val="single" w:sz="4" w:space="0" w:color="DB4050"/>
              <w:right w:val="nil"/>
            </w:tcBorders>
            <w:shd w:val="clear" w:color="000000" w:fill="FCEEED"/>
            <w:noWrap/>
            <w:hideMark/>
          </w:tcPr>
          <w:p w14:paraId="6EAC7508"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65</w:t>
            </w:r>
          </w:p>
        </w:tc>
        <w:tc>
          <w:tcPr>
            <w:tcW w:w="1780" w:type="dxa"/>
            <w:tcBorders>
              <w:top w:val="nil"/>
              <w:left w:val="nil"/>
              <w:bottom w:val="single" w:sz="4" w:space="0" w:color="DB4050"/>
              <w:right w:val="nil"/>
            </w:tcBorders>
            <w:shd w:val="clear" w:color="000000" w:fill="FCEEED"/>
            <w:vAlign w:val="center"/>
            <w:hideMark/>
          </w:tcPr>
          <w:p w14:paraId="6912A02D"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r>
      <w:tr w:rsidR="002105E0" w:rsidRPr="002105E0" w14:paraId="4824FA84" w14:textId="77777777" w:rsidTr="002105E0">
        <w:trPr>
          <w:trHeight w:val="290"/>
        </w:trPr>
        <w:tc>
          <w:tcPr>
            <w:tcW w:w="1780" w:type="dxa"/>
            <w:tcBorders>
              <w:top w:val="nil"/>
              <w:left w:val="nil"/>
              <w:bottom w:val="single" w:sz="4" w:space="0" w:color="DB4050"/>
              <w:right w:val="nil"/>
            </w:tcBorders>
            <w:shd w:val="clear" w:color="auto" w:fill="auto"/>
            <w:hideMark/>
          </w:tcPr>
          <w:p w14:paraId="7C397BCF" w14:textId="77777777" w:rsidR="002105E0" w:rsidRPr="002105E0" w:rsidRDefault="002105E0" w:rsidP="002105E0">
            <w:pPr>
              <w:spacing w:after="0" w:line="240" w:lineRule="auto"/>
              <w:ind w:firstLineChars="100" w:firstLine="220"/>
              <w:jc w:val="right"/>
              <w:rPr>
                <w:rFonts w:ascii="Calibri" w:eastAsia="Times New Roman" w:hAnsi="Calibri" w:cs="Calibri"/>
                <w:lang w:eastAsia="en-GB"/>
              </w:rPr>
            </w:pPr>
            <w:r w:rsidRPr="002105E0">
              <w:rPr>
                <w:rFonts w:ascii="Calibri" w:eastAsia="Times New Roman" w:hAnsi="Calibri" w:cs="Calibri"/>
                <w:lang w:eastAsia="en-GB"/>
              </w:rPr>
              <w:t>0</w:t>
            </w:r>
          </w:p>
        </w:tc>
        <w:tc>
          <w:tcPr>
            <w:tcW w:w="1780" w:type="dxa"/>
            <w:tcBorders>
              <w:top w:val="nil"/>
              <w:left w:val="nil"/>
              <w:bottom w:val="single" w:sz="4" w:space="0" w:color="DB4050"/>
              <w:right w:val="nil"/>
            </w:tcBorders>
            <w:shd w:val="clear" w:color="auto" w:fill="auto"/>
            <w:noWrap/>
            <w:hideMark/>
          </w:tcPr>
          <w:p w14:paraId="444FB41A" w14:textId="7B2B83B3" w:rsidR="002105E0" w:rsidRPr="002105E0" w:rsidRDefault="00B658F9" w:rsidP="002105E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w:t>
            </w:r>
            <w:r>
              <w:rPr>
                <w:rFonts w:ascii="Calibri" w:eastAsia="Times New Roman" w:hAnsi="Calibri" w:cs="Calibri"/>
                <w:color w:val="000000"/>
                <w:lang w:eastAsia="en-GB"/>
              </w:rPr>
              <w:t>)</w:t>
            </w:r>
          </w:p>
        </w:tc>
        <w:tc>
          <w:tcPr>
            <w:tcW w:w="3480" w:type="dxa"/>
            <w:tcBorders>
              <w:top w:val="nil"/>
              <w:left w:val="nil"/>
              <w:bottom w:val="single" w:sz="4" w:space="0" w:color="DB4050"/>
              <w:right w:val="nil"/>
            </w:tcBorders>
            <w:shd w:val="clear" w:color="auto" w:fill="auto"/>
            <w:hideMark/>
          </w:tcPr>
          <w:p w14:paraId="40BD25AF" w14:textId="77777777" w:rsidR="002105E0" w:rsidRPr="002105E0" w:rsidRDefault="002105E0" w:rsidP="002105E0">
            <w:pPr>
              <w:spacing w:after="0" w:line="240" w:lineRule="auto"/>
              <w:rPr>
                <w:rFonts w:ascii="Calibri" w:eastAsia="Times New Roman" w:hAnsi="Calibri" w:cs="Calibri"/>
                <w:lang w:eastAsia="en-GB"/>
              </w:rPr>
            </w:pPr>
            <w:r w:rsidRPr="002105E0">
              <w:rPr>
                <w:rFonts w:ascii="Calibri" w:eastAsia="Times New Roman" w:hAnsi="Calibri" w:cs="Calibri"/>
                <w:lang w:eastAsia="en-GB"/>
              </w:rPr>
              <w:t>Interest Income</w:t>
            </w:r>
          </w:p>
        </w:tc>
        <w:tc>
          <w:tcPr>
            <w:tcW w:w="1780" w:type="dxa"/>
            <w:tcBorders>
              <w:top w:val="nil"/>
              <w:left w:val="nil"/>
              <w:bottom w:val="single" w:sz="4" w:space="0" w:color="DB4050"/>
              <w:right w:val="nil"/>
            </w:tcBorders>
            <w:shd w:val="clear" w:color="auto" w:fill="auto"/>
            <w:vAlign w:val="center"/>
            <w:hideMark/>
          </w:tcPr>
          <w:p w14:paraId="335B750E" w14:textId="77777777" w:rsidR="002105E0" w:rsidRPr="002105E0" w:rsidRDefault="002105E0" w:rsidP="002105E0">
            <w:pPr>
              <w:spacing w:after="0" w:line="240" w:lineRule="auto"/>
              <w:jc w:val="right"/>
              <w:rPr>
                <w:rFonts w:ascii="Calibri" w:eastAsia="Times New Roman" w:hAnsi="Calibri" w:cs="Calibri"/>
                <w:color w:val="000000"/>
                <w:lang w:eastAsia="en-GB"/>
              </w:rPr>
            </w:pPr>
            <w:r w:rsidRPr="002105E0">
              <w:rPr>
                <w:rFonts w:ascii="Calibri" w:eastAsia="Times New Roman" w:hAnsi="Calibri" w:cs="Calibri"/>
                <w:color w:val="000000"/>
                <w:lang w:eastAsia="en-GB"/>
              </w:rPr>
              <w:t> </w:t>
            </w:r>
          </w:p>
        </w:tc>
        <w:tc>
          <w:tcPr>
            <w:tcW w:w="1780" w:type="dxa"/>
            <w:tcBorders>
              <w:top w:val="nil"/>
              <w:left w:val="nil"/>
              <w:bottom w:val="single" w:sz="4" w:space="0" w:color="DB4050"/>
              <w:right w:val="nil"/>
            </w:tcBorders>
            <w:shd w:val="clear" w:color="auto" w:fill="auto"/>
            <w:noWrap/>
            <w:hideMark/>
          </w:tcPr>
          <w:p w14:paraId="56A662B1" w14:textId="19A773AF" w:rsidR="002105E0" w:rsidRPr="002105E0" w:rsidRDefault="00B658F9" w:rsidP="002105E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r w:rsidR="002105E0" w:rsidRPr="002105E0">
              <w:rPr>
                <w:rFonts w:ascii="Calibri" w:eastAsia="Times New Roman" w:hAnsi="Calibri" w:cs="Calibri"/>
                <w:color w:val="000000"/>
                <w:lang w:eastAsia="en-GB"/>
              </w:rPr>
              <w:t>3</w:t>
            </w:r>
            <w:r>
              <w:rPr>
                <w:rFonts w:ascii="Calibri" w:eastAsia="Times New Roman" w:hAnsi="Calibri" w:cs="Calibri"/>
                <w:color w:val="000000"/>
                <w:lang w:eastAsia="en-GB"/>
              </w:rPr>
              <w:t>)</w:t>
            </w:r>
          </w:p>
        </w:tc>
      </w:tr>
      <w:tr w:rsidR="002105E0" w:rsidRPr="002105E0" w14:paraId="4EC87688" w14:textId="77777777" w:rsidTr="002105E0">
        <w:trPr>
          <w:trHeight w:val="580"/>
        </w:trPr>
        <w:tc>
          <w:tcPr>
            <w:tcW w:w="1780" w:type="dxa"/>
            <w:tcBorders>
              <w:top w:val="nil"/>
              <w:left w:val="nil"/>
              <w:bottom w:val="nil"/>
              <w:right w:val="nil"/>
            </w:tcBorders>
            <w:shd w:val="clear" w:color="000000" w:fill="FEF0EE"/>
            <w:noWrap/>
            <w:hideMark/>
          </w:tcPr>
          <w:p w14:paraId="4DAB681A" w14:textId="77777777" w:rsidR="002105E0" w:rsidRPr="002105E0" w:rsidRDefault="002105E0" w:rsidP="002105E0">
            <w:pPr>
              <w:spacing w:after="0" w:line="240" w:lineRule="auto"/>
              <w:ind w:firstLineChars="100" w:firstLine="220"/>
              <w:jc w:val="right"/>
              <w:rPr>
                <w:rFonts w:ascii="Calibri" w:eastAsia="Times New Roman" w:hAnsi="Calibri" w:cs="Calibri"/>
                <w:color w:val="231F20"/>
                <w:lang w:eastAsia="en-GB"/>
              </w:rPr>
            </w:pPr>
            <w:r w:rsidRPr="002105E0">
              <w:rPr>
                <w:rFonts w:ascii="Calibri" w:eastAsia="Times New Roman" w:hAnsi="Calibri" w:cs="Calibri"/>
                <w:color w:val="231F20"/>
                <w:lang w:eastAsia="en-GB"/>
              </w:rPr>
              <w:t>0</w:t>
            </w:r>
          </w:p>
        </w:tc>
        <w:tc>
          <w:tcPr>
            <w:tcW w:w="1780" w:type="dxa"/>
            <w:tcBorders>
              <w:top w:val="nil"/>
              <w:left w:val="nil"/>
              <w:bottom w:val="nil"/>
              <w:right w:val="nil"/>
            </w:tcBorders>
            <w:shd w:val="clear" w:color="000000" w:fill="FEF0EE"/>
            <w:noWrap/>
            <w:hideMark/>
          </w:tcPr>
          <w:p w14:paraId="43C59898" w14:textId="06D058E7" w:rsidR="002105E0" w:rsidRPr="002105E0" w:rsidRDefault="00B658F9" w:rsidP="002105E0">
            <w:pPr>
              <w:spacing w:after="0" w:line="240" w:lineRule="auto"/>
              <w:jc w:val="right"/>
              <w:rPr>
                <w:rFonts w:ascii="Calibri" w:eastAsia="Times New Roman" w:hAnsi="Calibri" w:cs="Calibri"/>
                <w:color w:val="231F20"/>
                <w:lang w:eastAsia="en-GB"/>
              </w:rPr>
            </w:pPr>
            <w:r>
              <w:rPr>
                <w:rFonts w:ascii="Calibri" w:eastAsia="Times New Roman" w:hAnsi="Calibri" w:cs="Calibri"/>
                <w:color w:val="231F20"/>
                <w:lang w:eastAsia="en-GB"/>
              </w:rPr>
              <w:t>(</w:t>
            </w:r>
            <w:r w:rsidR="002105E0" w:rsidRPr="002105E0">
              <w:rPr>
                <w:rFonts w:ascii="Calibri" w:eastAsia="Times New Roman" w:hAnsi="Calibri" w:cs="Calibri"/>
                <w:color w:val="231F20"/>
                <w:lang w:eastAsia="en-GB"/>
              </w:rPr>
              <w:t>3</w:t>
            </w:r>
            <w:r>
              <w:rPr>
                <w:rFonts w:ascii="Calibri" w:eastAsia="Times New Roman" w:hAnsi="Calibri" w:cs="Calibri"/>
                <w:color w:val="231F20"/>
                <w:lang w:eastAsia="en-GB"/>
              </w:rPr>
              <w:t>)</w:t>
            </w:r>
          </w:p>
        </w:tc>
        <w:tc>
          <w:tcPr>
            <w:tcW w:w="3480" w:type="dxa"/>
            <w:tcBorders>
              <w:top w:val="nil"/>
              <w:left w:val="nil"/>
              <w:bottom w:val="nil"/>
              <w:right w:val="nil"/>
            </w:tcBorders>
            <w:shd w:val="clear" w:color="000000" w:fill="FEF0EE"/>
            <w:hideMark/>
          </w:tcPr>
          <w:p w14:paraId="0E7BCF52" w14:textId="77777777" w:rsidR="002105E0" w:rsidRPr="002105E0" w:rsidRDefault="002105E0" w:rsidP="002105E0">
            <w:pPr>
              <w:spacing w:after="0" w:line="240" w:lineRule="auto"/>
              <w:jc w:val="right"/>
              <w:rPr>
                <w:rFonts w:ascii="Calibri" w:eastAsia="Times New Roman" w:hAnsi="Calibri" w:cs="Calibri"/>
                <w:lang w:eastAsia="en-GB"/>
              </w:rPr>
            </w:pPr>
            <w:r w:rsidRPr="002105E0">
              <w:rPr>
                <w:rFonts w:ascii="Calibri" w:eastAsia="Times New Roman" w:hAnsi="Calibri" w:cs="Calibri"/>
                <w:lang w:eastAsia="en-GB"/>
              </w:rPr>
              <w:t>Total income in Surplus/Deficit on the Provision of Services</w:t>
            </w:r>
          </w:p>
        </w:tc>
        <w:tc>
          <w:tcPr>
            <w:tcW w:w="1780" w:type="dxa"/>
            <w:tcBorders>
              <w:top w:val="nil"/>
              <w:left w:val="nil"/>
              <w:bottom w:val="nil"/>
              <w:right w:val="nil"/>
            </w:tcBorders>
            <w:shd w:val="clear" w:color="000000" w:fill="FEF0EE"/>
            <w:noWrap/>
            <w:hideMark/>
          </w:tcPr>
          <w:p w14:paraId="3ECD36EF" w14:textId="77777777" w:rsidR="002105E0" w:rsidRPr="002105E0" w:rsidRDefault="002105E0" w:rsidP="002105E0">
            <w:pPr>
              <w:spacing w:after="0" w:line="240" w:lineRule="auto"/>
              <w:jc w:val="right"/>
              <w:rPr>
                <w:rFonts w:ascii="Calibri" w:eastAsia="Times New Roman" w:hAnsi="Calibri" w:cs="Calibri"/>
                <w:color w:val="231F20"/>
                <w:lang w:eastAsia="en-GB"/>
              </w:rPr>
            </w:pPr>
            <w:r w:rsidRPr="002105E0">
              <w:rPr>
                <w:rFonts w:ascii="Calibri" w:eastAsia="Times New Roman" w:hAnsi="Calibri" w:cs="Calibri"/>
                <w:color w:val="231F20"/>
                <w:lang w:eastAsia="en-GB"/>
              </w:rPr>
              <w:t> </w:t>
            </w:r>
          </w:p>
        </w:tc>
        <w:tc>
          <w:tcPr>
            <w:tcW w:w="1780" w:type="dxa"/>
            <w:tcBorders>
              <w:top w:val="nil"/>
              <w:left w:val="nil"/>
              <w:bottom w:val="nil"/>
              <w:right w:val="nil"/>
            </w:tcBorders>
            <w:shd w:val="clear" w:color="000000" w:fill="FEF0EE"/>
            <w:noWrap/>
            <w:hideMark/>
          </w:tcPr>
          <w:p w14:paraId="61C146DD" w14:textId="400A8DD0" w:rsidR="002105E0" w:rsidRPr="002105E0" w:rsidRDefault="00B658F9" w:rsidP="002105E0">
            <w:pPr>
              <w:spacing w:after="0" w:line="240" w:lineRule="auto"/>
              <w:jc w:val="right"/>
              <w:rPr>
                <w:rFonts w:ascii="Calibri" w:eastAsia="Times New Roman" w:hAnsi="Calibri" w:cs="Calibri"/>
                <w:color w:val="231F20"/>
                <w:lang w:eastAsia="en-GB"/>
              </w:rPr>
            </w:pPr>
            <w:r>
              <w:rPr>
                <w:rFonts w:ascii="Calibri" w:eastAsia="Times New Roman" w:hAnsi="Calibri" w:cs="Calibri"/>
                <w:color w:val="231F20"/>
                <w:lang w:eastAsia="en-GB"/>
              </w:rPr>
              <w:t>(</w:t>
            </w:r>
            <w:r w:rsidR="002105E0" w:rsidRPr="002105E0">
              <w:rPr>
                <w:rFonts w:ascii="Calibri" w:eastAsia="Times New Roman" w:hAnsi="Calibri" w:cs="Calibri"/>
                <w:color w:val="231F20"/>
                <w:lang w:eastAsia="en-GB"/>
              </w:rPr>
              <w:t>3</w:t>
            </w:r>
            <w:r>
              <w:rPr>
                <w:rFonts w:ascii="Calibri" w:eastAsia="Times New Roman" w:hAnsi="Calibri" w:cs="Calibri"/>
                <w:color w:val="231F20"/>
                <w:lang w:eastAsia="en-GB"/>
              </w:rPr>
              <w:t>)</w:t>
            </w:r>
          </w:p>
        </w:tc>
      </w:tr>
      <w:tr w:rsidR="002105E0" w:rsidRPr="002105E0" w14:paraId="09C522F1"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7B782EF9"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0</w:t>
            </w:r>
          </w:p>
        </w:tc>
        <w:tc>
          <w:tcPr>
            <w:tcW w:w="1780" w:type="dxa"/>
            <w:tcBorders>
              <w:top w:val="single" w:sz="4" w:space="0" w:color="DB4050"/>
              <w:left w:val="nil"/>
              <w:bottom w:val="single" w:sz="4" w:space="0" w:color="DB4050"/>
              <w:right w:val="nil"/>
            </w:tcBorders>
            <w:shd w:val="clear" w:color="auto" w:fill="C00000"/>
            <w:noWrap/>
            <w:hideMark/>
          </w:tcPr>
          <w:p w14:paraId="4CAEF20E" w14:textId="7AED1C4C" w:rsidR="002105E0" w:rsidRPr="002105E0" w:rsidRDefault="00B658F9" w:rsidP="002105E0">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w:t>
            </w:r>
            <w:r>
              <w:rPr>
                <w:rFonts w:ascii="Calibri" w:eastAsia="Times New Roman" w:hAnsi="Calibri" w:cs="Calibri"/>
                <w:b/>
                <w:bCs/>
                <w:color w:val="FFFFFF" w:themeColor="background1"/>
                <w:lang w:eastAsia="en-GB"/>
              </w:rPr>
              <w:t>)</w:t>
            </w:r>
          </w:p>
        </w:tc>
        <w:tc>
          <w:tcPr>
            <w:tcW w:w="3480" w:type="dxa"/>
            <w:tcBorders>
              <w:top w:val="single" w:sz="4" w:space="0" w:color="DB4050"/>
              <w:left w:val="nil"/>
              <w:bottom w:val="single" w:sz="4" w:space="0" w:color="DB4050"/>
              <w:right w:val="nil"/>
            </w:tcBorders>
            <w:shd w:val="clear" w:color="auto" w:fill="C00000"/>
            <w:hideMark/>
          </w:tcPr>
          <w:p w14:paraId="6E88D6A1" w14:textId="77777777" w:rsidR="002105E0" w:rsidRPr="002105E0" w:rsidRDefault="002105E0" w:rsidP="002105E0">
            <w:pPr>
              <w:spacing w:after="0" w:line="240" w:lineRule="auto"/>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Net Gain/(Loss) for the Year</w:t>
            </w:r>
          </w:p>
        </w:tc>
        <w:tc>
          <w:tcPr>
            <w:tcW w:w="1780" w:type="dxa"/>
            <w:tcBorders>
              <w:top w:val="single" w:sz="4" w:space="0" w:color="DB4050"/>
              <w:left w:val="nil"/>
              <w:bottom w:val="single" w:sz="4" w:space="0" w:color="DB4050"/>
              <w:right w:val="nil"/>
            </w:tcBorders>
            <w:shd w:val="clear" w:color="auto" w:fill="C00000"/>
            <w:noWrap/>
            <w:hideMark/>
          </w:tcPr>
          <w:p w14:paraId="129ECCA3" w14:textId="77777777" w:rsidR="002105E0" w:rsidRPr="002105E0" w:rsidRDefault="002105E0" w:rsidP="002105E0">
            <w:pPr>
              <w:spacing w:after="0" w:line="240" w:lineRule="auto"/>
              <w:jc w:val="right"/>
              <w:rPr>
                <w:rFonts w:ascii="Calibri" w:eastAsia="Times New Roman" w:hAnsi="Calibri" w:cs="Calibri"/>
                <w:b/>
                <w:bCs/>
                <w:color w:val="FFFFFF" w:themeColor="background1"/>
                <w:lang w:eastAsia="en-GB"/>
              </w:rPr>
            </w:pPr>
            <w:r w:rsidRPr="002105E0">
              <w:rPr>
                <w:rFonts w:ascii="Calibri" w:eastAsia="Times New Roman" w:hAnsi="Calibri" w:cs="Calibri"/>
                <w:b/>
                <w:bCs/>
                <w:color w:val="FFFFFF" w:themeColor="background1"/>
                <w:lang w:eastAsia="en-GB"/>
              </w:rPr>
              <w:t>65</w:t>
            </w:r>
          </w:p>
        </w:tc>
        <w:tc>
          <w:tcPr>
            <w:tcW w:w="1780" w:type="dxa"/>
            <w:tcBorders>
              <w:top w:val="single" w:sz="4" w:space="0" w:color="DB4050"/>
              <w:left w:val="nil"/>
              <w:bottom w:val="single" w:sz="4" w:space="0" w:color="DB4050"/>
              <w:right w:val="nil"/>
            </w:tcBorders>
            <w:shd w:val="clear" w:color="auto" w:fill="C00000"/>
            <w:noWrap/>
            <w:hideMark/>
          </w:tcPr>
          <w:p w14:paraId="711D3D4A" w14:textId="01988031" w:rsidR="002105E0" w:rsidRPr="002105E0" w:rsidRDefault="00B658F9" w:rsidP="002105E0">
            <w:pPr>
              <w:spacing w:after="0" w:line="240" w:lineRule="auto"/>
              <w:jc w:val="right"/>
              <w:rPr>
                <w:rFonts w:ascii="Calibri" w:eastAsia="Times New Roman" w:hAnsi="Calibri" w:cs="Calibri"/>
                <w:b/>
                <w:bCs/>
                <w:color w:val="FFFFFF" w:themeColor="background1"/>
                <w:lang w:eastAsia="en-GB"/>
              </w:rPr>
            </w:pPr>
            <w:r>
              <w:rPr>
                <w:rFonts w:ascii="Calibri" w:eastAsia="Times New Roman" w:hAnsi="Calibri" w:cs="Calibri"/>
                <w:b/>
                <w:bCs/>
                <w:color w:val="FFFFFF" w:themeColor="background1"/>
                <w:lang w:eastAsia="en-GB"/>
              </w:rPr>
              <w:t>(</w:t>
            </w:r>
            <w:r w:rsidR="002105E0" w:rsidRPr="002105E0">
              <w:rPr>
                <w:rFonts w:ascii="Calibri" w:eastAsia="Times New Roman" w:hAnsi="Calibri" w:cs="Calibri"/>
                <w:b/>
                <w:bCs/>
                <w:color w:val="FFFFFF" w:themeColor="background1"/>
                <w:lang w:eastAsia="en-GB"/>
              </w:rPr>
              <w:t>3</w:t>
            </w:r>
            <w:r>
              <w:rPr>
                <w:rFonts w:ascii="Calibri" w:eastAsia="Times New Roman" w:hAnsi="Calibri" w:cs="Calibri"/>
                <w:b/>
                <w:bCs/>
                <w:color w:val="FFFFFF" w:themeColor="background1"/>
                <w:lang w:eastAsia="en-GB"/>
              </w:rPr>
              <w:t>)</w:t>
            </w:r>
          </w:p>
        </w:tc>
      </w:tr>
    </w:tbl>
    <w:p w14:paraId="45AB99E7" w14:textId="723BD666" w:rsidR="002105E0" w:rsidRPr="002105E0" w:rsidRDefault="002105E0" w:rsidP="002105E0">
      <w:pPr>
        <w:autoSpaceDE w:val="0"/>
        <w:autoSpaceDN w:val="0"/>
        <w:adjustRightInd w:val="0"/>
        <w:spacing w:after="0" w:line="240" w:lineRule="auto"/>
        <w:rPr>
          <w:rFonts w:cs="Arial"/>
          <w:bCs/>
          <w:szCs w:val="28"/>
        </w:rPr>
      </w:pPr>
    </w:p>
    <w:tbl>
      <w:tblPr>
        <w:tblW w:w="23940" w:type="dxa"/>
        <w:tblCellMar>
          <w:top w:w="15" w:type="dxa"/>
        </w:tblCellMar>
        <w:tblLook w:val="04A0" w:firstRow="1" w:lastRow="0" w:firstColumn="1" w:lastColumn="0" w:noHBand="0" w:noVBand="1"/>
      </w:tblPr>
      <w:tblGrid>
        <w:gridCol w:w="3961"/>
        <w:gridCol w:w="1760"/>
        <w:gridCol w:w="1758"/>
        <w:gridCol w:w="3433"/>
        <w:gridCol w:w="1757"/>
        <w:gridCol w:w="1757"/>
        <w:gridCol w:w="714"/>
        <w:gridCol w:w="3214"/>
        <w:gridCol w:w="1068"/>
        <w:gridCol w:w="1068"/>
        <w:gridCol w:w="1068"/>
        <w:gridCol w:w="1080"/>
        <w:gridCol w:w="1080"/>
        <w:gridCol w:w="222"/>
      </w:tblGrid>
      <w:tr w:rsidR="002105E0" w:rsidRPr="002105E0" w14:paraId="286508FC" w14:textId="77777777" w:rsidTr="002105E0">
        <w:trPr>
          <w:gridAfter w:val="1"/>
          <w:wAfter w:w="6" w:type="dxa"/>
          <w:trHeight w:val="260"/>
        </w:trPr>
        <w:tc>
          <w:tcPr>
            <w:tcW w:w="3960" w:type="dxa"/>
            <w:tcBorders>
              <w:top w:val="nil"/>
              <w:left w:val="nil"/>
              <w:bottom w:val="nil"/>
              <w:right w:val="nil"/>
            </w:tcBorders>
            <w:shd w:val="clear" w:color="auto" w:fill="auto"/>
            <w:noWrap/>
            <w:vAlign w:val="center"/>
            <w:hideMark/>
          </w:tcPr>
          <w:p w14:paraId="4B979BEE" w14:textId="77777777" w:rsidR="00B02FD3" w:rsidRDefault="00B02FD3" w:rsidP="002105E0">
            <w:pPr>
              <w:autoSpaceDE w:val="0"/>
              <w:autoSpaceDN w:val="0"/>
              <w:adjustRightInd w:val="0"/>
              <w:spacing w:after="0" w:line="240" w:lineRule="auto"/>
              <w:rPr>
                <w:rFonts w:cs="Arial"/>
                <w:b/>
                <w:bCs/>
                <w:sz w:val="28"/>
                <w:szCs w:val="28"/>
              </w:rPr>
            </w:pPr>
          </w:p>
          <w:p w14:paraId="1D23D300" w14:textId="77777777" w:rsidR="00B02FD3" w:rsidRDefault="00B02FD3" w:rsidP="002105E0">
            <w:pPr>
              <w:autoSpaceDE w:val="0"/>
              <w:autoSpaceDN w:val="0"/>
              <w:adjustRightInd w:val="0"/>
              <w:spacing w:after="0" w:line="240" w:lineRule="auto"/>
              <w:rPr>
                <w:rFonts w:cs="Arial"/>
                <w:b/>
                <w:bCs/>
                <w:sz w:val="28"/>
                <w:szCs w:val="28"/>
              </w:rPr>
            </w:pPr>
          </w:p>
          <w:p w14:paraId="12276CA4" w14:textId="77777777" w:rsidR="00B02FD3" w:rsidRDefault="00B02FD3" w:rsidP="002105E0">
            <w:pPr>
              <w:autoSpaceDE w:val="0"/>
              <w:autoSpaceDN w:val="0"/>
              <w:adjustRightInd w:val="0"/>
              <w:spacing w:after="0" w:line="240" w:lineRule="auto"/>
              <w:rPr>
                <w:rFonts w:cs="Arial"/>
                <w:b/>
                <w:bCs/>
                <w:sz w:val="28"/>
                <w:szCs w:val="28"/>
              </w:rPr>
            </w:pPr>
          </w:p>
          <w:p w14:paraId="72D8D5F8" w14:textId="77777777" w:rsidR="00B02FD3" w:rsidRDefault="00B02FD3" w:rsidP="002105E0">
            <w:pPr>
              <w:autoSpaceDE w:val="0"/>
              <w:autoSpaceDN w:val="0"/>
              <w:adjustRightInd w:val="0"/>
              <w:spacing w:after="0" w:line="240" w:lineRule="auto"/>
              <w:rPr>
                <w:rFonts w:cs="Arial"/>
                <w:b/>
                <w:bCs/>
                <w:sz w:val="28"/>
                <w:szCs w:val="28"/>
              </w:rPr>
            </w:pPr>
          </w:p>
          <w:p w14:paraId="1A38FDEE" w14:textId="77777777" w:rsidR="00B02FD3" w:rsidRDefault="00B02FD3" w:rsidP="002105E0">
            <w:pPr>
              <w:autoSpaceDE w:val="0"/>
              <w:autoSpaceDN w:val="0"/>
              <w:adjustRightInd w:val="0"/>
              <w:spacing w:after="0" w:line="240" w:lineRule="auto"/>
              <w:rPr>
                <w:rFonts w:cs="Arial"/>
                <w:b/>
                <w:bCs/>
                <w:sz w:val="28"/>
                <w:szCs w:val="28"/>
              </w:rPr>
            </w:pPr>
          </w:p>
          <w:p w14:paraId="16C78EF9" w14:textId="77777777" w:rsidR="00B02FD3" w:rsidRDefault="00B02FD3" w:rsidP="002105E0">
            <w:pPr>
              <w:autoSpaceDE w:val="0"/>
              <w:autoSpaceDN w:val="0"/>
              <w:adjustRightInd w:val="0"/>
              <w:spacing w:after="0" w:line="240" w:lineRule="auto"/>
              <w:rPr>
                <w:rFonts w:cs="Arial"/>
                <w:b/>
                <w:bCs/>
                <w:sz w:val="28"/>
                <w:szCs w:val="28"/>
              </w:rPr>
            </w:pPr>
          </w:p>
          <w:p w14:paraId="13D33AA9" w14:textId="77777777" w:rsidR="00B02FD3" w:rsidRDefault="00B02FD3" w:rsidP="002105E0">
            <w:pPr>
              <w:autoSpaceDE w:val="0"/>
              <w:autoSpaceDN w:val="0"/>
              <w:adjustRightInd w:val="0"/>
              <w:spacing w:after="0" w:line="240" w:lineRule="auto"/>
              <w:rPr>
                <w:rFonts w:cs="Arial"/>
                <w:b/>
                <w:bCs/>
                <w:sz w:val="28"/>
                <w:szCs w:val="28"/>
              </w:rPr>
            </w:pPr>
          </w:p>
          <w:p w14:paraId="65BDDDFC" w14:textId="77777777" w:rsidR="00B02FD3" w:rsidRDefault="00B02FD3" w:rsidP="002105E0">
            <w:pPr>
              <w:autoSpaceDE w:val="0"/>
              <w:autoSpaceDN w:val="0"/>
              <w:adjustRightInd w:val="0"/>
              <w:spacing w:after="0" w:line="240" w:lineRule="auto"/>
              <w:rPr>
                <w:rFonts w:cs="Arial"/>
                <w:b/>
                <w:bCs/>
                <w:sz w:val="28"/>
                <w:szCs w:val="28"/>
              </w:rPr>
            </w:pPr>
          </w:p>
          <w:p w14:paraId="1DA5600C" w14:textId="297E1A26" w:rsidR="002105E0" w:rsidRPr="002105E0" w:rsidRDefault="002105E0" w:rsidP="002105E0">
            <w:pPr>
              <w:autoSpaceDE w:val="0"/>
              <w:autoSpaceDN w:val="0"/>
              <w:adjustRightInd w:val="0"/>
              <w:spacing w:after="0" w:line="240" w:lineRule="auto"/>
              <w:rPr>
                <w:rFonts w:ascii="Calibri" w:eastAsia="Times New Roman" w:hAnsi="Calibri" w:cs="Calibri"/>
                <w:color w:val="DB4050"/>
                <w:lang w:eastAsia="en-GB"/>
              </w:rPr>
            </w:pPr>
            <w:r w:rsidRPr="002105E0">
              <w:rPr>
                <w:rFonts w:cs="Arial"/>
                <w:b/>
                <w:bCs/>
                <w:sz w:val="28"/>
                <w:szCs w:val="28"/>
              </w:rPr>
              <w:lastRenderedPageBreak/>
              <w:t>Note 27</w:t>
            </w:r>
            <w:r>
              <w:rPr>
                <w:rFonts w:cs="Arial"/>
                <w:b/>
                <w:bCs/>
                <w:sz w:val="28"/>
                <w:szCs w:val="28"/>
              </w:rPr>
              <w:t>.3</w:t>
            </w:r>
            <w:r w:rsidRPr="002105E0">
              <w:rPr>
                <w:rFonts w:cs="Arial"/>
                <w:b/>
                <w:bCs/>
                <w:sz w:val="28"/>
                <w:szCs w:val="28"/>
              </w:rPr>
              <w:t xml:space="preserve"> Financial Instruments</w:t>
            </w:r>
          </w:p>
        </w:tc>
        <w:tc>
          <w:tcPr>
            <w:tcW w:w="1779" w:type="dxa"/>
            <w:tcBorders>
              <w:top w:val="nil"/>
              <w:left w:val="nil"/>
              <w:bottom w:val="nil"/>
              <w:right w:val="nil"/>
            </w:tcBorders>
            <w:shd w:val="clear" w:color="auto" w:fill="auto"/>
            <w:vAlign w:val="center"/>
            <w:hideMark/>
          </w:tcPr>
          <w:p w14:paraId="24C5BBA1" w14:textId="77777777" w:rsidR="002105E0" w:rsidRDefault="002105E0" w:rsidP="002105E0">
            <w:pPr>
              <w:spacing w:after="0" w:line="240" w:lineRule="auto"/>
              <w:rPr>
                <w:rFonts w:ascii="Calibri" w:eastAsia="Times New Roman" w:hAnsi="Calibri" w:cs="Calibri"/>
                <w:color w:val="DB4050"/>
                <w:lang w:eastAsia="en-GB"/>
              </w:rPr>
            </w:pPr>
          </w:p>
          <w:p w14:paraId="6C6278C9" w14:textId="43295C46" w:rsidR="00B658F9" w:rsidRPr="002105E0" w:rsidRDefault="00B658F9" w:rsidP="002105E0">
            <w:pPr>
              <w:spacing w:after="0" w:line="240" w:lineRule="auto"/>
              <w:rPr>
                <w:rFonts w:ascii="Calibri" w:eastAsia="Times New Roman" w:hAnsi="Calibri" w:cs="Calibri"/>
                <w:color w:val="DB4050"/>
                <w:lang w:eastAsia="en-GB"/>
              </w:rPr>
            </w:pPr>
          </w:p>
        </w:tc>
        <w:tc>
          <w:tcPr>
            <w:tcW w:w="1779" w:type="dxa"/>
            <w:tcBorders>
              <w:top w:val="nil"/>
              <w:left w:val="nil"/>
              <w:bottom w:val="nil"/>
              <w:right w:val="nil"/>
            </w:tcBorders>
            <w:shd w:val="clear" w:color="auto" w:fill="auto"/>
            <w:vAlign w:val="center"/>
            <w:hideMark/>
          </w:tcPr>
          <w:p w14:paraId="18C09B5A"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3479" w:type="dxa"/>
            <w:tcBorders>
              <w:top w:val="nil"/>
              <w:left w:val="nil"/>
              <w:bottom w:val="nil"/>
              <w:right w:val="nil"/>
            </w:tcBorders>
            <w:shd w:val="clear" w:color="auto" w:fill="auto"/>
            <w:vAlign w:val="center"/>
            <w:hideMark/>
          </w:tcPr>
          <w:p w14:paraId="30148790"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779" w:type="dxa"/>
            <w:tcBorders>
              <w:top w:val="nil"/>
              <w:left w:val="nil"/>
              <w:bottom w:val="nil"/>
              <w:right w:val="nil"/>
            </w:tcBorders>
            <w:shd w:val="clear" w:color="auto" w:fill="auto"/>
            <w:vAlign w:val="center"/>
            <w:hideMark/>
          </w:tcPr>
          <w:p w14:paraId="1EA17E2D"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779" w:type="dxa"/>
            <w:tcBorders>
              <w:top w:val="nil"/>
              <w:left w:val="nil"/>
              <w:bottom w:val="nil"/>
              <w:right w:val="nil"/>
            </w:tcBorders>
            <w:shd w:val="clear" w:color="auto" w:fill="auto"/>
            <w:vAlign w:val="center"/>
            <w:hideMark/>
          </w:tcPr>
          <w:p w14:paraId="3472362D"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720" w:type="dxa"/>
            <w:tcBorders>
              <w:top w:val="nil"/>
              <w:left w:val="nil"/>
              <w:bottom w:val="nil"/>
              <w:right w:val="nil"/>
            </w:tcBorders>
            <w:shd w:val="clear" w:color="auto" w:fill="auto"/>
            <w:vAlign w:val="center"/>
            <w:hideMark/>
          </w:tcPr>
          <w:p w14:paraId="1C952E2C"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3259" w:type="dxa"/>
            <w:tcBorders>
              <w:top w:val="nil"/>
              <w:left w:val="nil"/>
              <w:bottom w:val="nil"/>
              <w:right w:val="nil"/>
            </w:tcBorders>
            <w:shd w:val="clear" w:color="auto" w:fill="auto"/>
            <w:vAlign w:val="center"/>
            <w:hideMark/>
          </w:tcPr>
          <w:p w14:paraId="22190EF3"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365F4643" w14:textId="77777777" w:rsidR="002105E0" w:rsidRPr="002105E0" w:rsidRDefault="002105E0" w:rsidP="002105E0">
            <w:pPr>
              <w:spacing w:after="0" w:line="240" w:lineRule="auto"/>
              <w:jc w:val="righ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001744D9"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17B8D768"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hideMark/>
          </w:tcPr>
          <w:p w14:paraId="292C6875"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hideMark/>
          </w:tcPr>
          <w:p w14:paraId="27B01010" w14:textId="77777777" w:rsidR="002105E0" w:rsidRPr="002105E0" w:rsidRDefault="002105E0" w:rsidP="002105E0">
            <w:pPr>
              <w:spacing w:after="0" w:line="240" w:lineRule="auto"/>
              <w:rPr>
                <w:rFonts w:ascii="Times New Roman" w:eastAsia="Times New Roman" w:hAnsi="Times New Roman" w:cs="Times New Roman"/>
                <w:sz w:val="20"/>
                <w:szCs w:val="20"/>
                <w:lang w:eastAsia="en-GB"/>
              </w:rPr>
            </w:pPr>
          </w:p>
        </w:tc>
      </w:tr>
      <w:tr w:rsidR="002105E0" w:rsidRPr="002105E0" w14:paraId="43DA51BA" w14:textId="77777777" w:rsidTr="002105E0">
        <w:trPr>
          <w:gridAfter w:val="1"/>
          <w:wAfter w:w="6" w:type="dxa"/>
          <w:trHeight w:val="450"/>
        </w:trPr>
        <w:tc>
          <w:tcPr>
            <w:tcW w:w="23934" w:type="dxa"/>
            <w:gridSpan w:val="13"/>
            <w:vMerge w:val="restart"/>
            <w:tcBorders>
              <w:top w:val="nil"/>
              <w:left w:val="nil"/>
              <w:bottom w:val="nil"/>
              <w:right w:val="nil"/>
            </w:tcBorders>
            <w:shd w:val="clear" w:color="auto" w:fill="auto"/>
            <w:hideMark/>
          </w:tcPr>
          <w:p w14:paraId="1663AD65" w14:textId="77777777" w:rsidR="00B658F9" w:rsidRPr="00F17710" w:rsidRDefault="00B658F9" w:rsidP="002105E0">
            <w:pPr>
              <w:spacing w:after="0" w:line="240" w:lineRule="auto"/>
              <w:rPr>
                <w:rFonts w:ascii="Calibri" w:eastAsia="Times New Roman" w:hAnsi="Calibri" w:cs="Calibri"/>
                <w:b/>
                <w:bCs/>
                <w:sz w:val="20"/>
                <w:szCs w:val="20"/>
                <w:lang w:eastAsia="en-GB"/>
              </w:rPr>
            </w:pPr>
          </w:p>
          <w:p w14:paraId="4FB19E34" w14:textId="6C0EFF43" w:rsidR="00B658F9" w:rsidRPr="00F17710" w:rsidRDefault="002105E0" w:rsidP="002105E0">
            <w:pPr>
              <w:spacing w:after="0" w:line="240" w:lineRule="auto"/>
              <w:rPr>
                <w:rFonts w:ascii="Calibri" w:eastAsia="Times New Roman" w:hAnsi="Calibri" w:cs="Calibri"/>
                <w:b/>
                <w:bCs/>
                <w:sz w:val="28"/>
                <w:szCs w:val="28"/>
                <w:lang w:eastAsia="en-GB"/>
              </w:rPr>
            </w:pPr>
            <w:r w:rsidRPr="00F17710">
              <w:rPr>
                <w:rFonts w:ascii="Calibri" w:eastAsia="Times New Roman" w:hAnsi="Calibri" w:cs="Calibri"/>
                <w:b/>
                <w:bCs/>
                <w:sz w:val="28"/>
                <w:szCs w:val="28"/>
                <w:lang w:eastAsia="en-GB"/>
              </w:rPr>
              <w:t>Fair value of assets and liabilities</w:t>
            </w:r>
          </w:p>
          <w:p w14:paraId="6C6B8E5D"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Financial liabilities and financial assets classed as financial assets and financial liabilities at amortised cost are carried</w:t>
            </w:r>
          </w:p>
          <w:p w14:paraId="317DBEEF"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in the balance sheet at amortised cost.</w:t>
            </w:r>
            <w:r w:rsidRPr="00F17710">
              <w:rPr>
                <w:rFonts w:ascii="Calibri" w:eastAsia="Times New Roman" w:hAnsi="Calibri" w:cs="Calibri"/>
                <w:lang w:eastAsia="en-GB"/>
              </w:rPr>
              <w:br/>
            </w:r>
          </w:p>
          <w:p w14:paraId="272765E8"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 xml:space="preserve">Their fair values can be estimated by calculating the present value of cash flows that will take place over the remaining </w:t>
            </w:r>
          </w:p>
          <w:p w14:paraId="39881E7F"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term of the instruments.</w:t>
            </w:r>
            <w:r w:rsidRPr="00F17710">
              <w:rPr>
                <w:rFonts w:ascii="Calibri" w:eastAsia="Times New Roman" w:hAnsi="Calibri" w:cs="Calibri"/>
                <w:lang w:eastAsia="en-GB"/>
              </w:rPr>
              <w:br/>
            </w:r>
          </w:p>
          <w:p w14:paraId="3D972EF7" w14:textId="77777777"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The fair value of borrowing is less than the carrying value because this reflects the fact that the average rate of</w:t>
            </w:r>
          </w:p>
          <w:p w14:paraId="59BD2FE5" w14:textId="2F076A95" w:rsidR="00B02FD3" w:rsidRPr="00F17710" w:rsidRDefault="00B02FD3" w:rsidP="00B02FD3">
            <w:pPr>
              <w:spacing w:after="0" w:line="240" w:lineRule="auto"/>
              <w:ind w:right="5453"/>
              <w:rPr>
                <w:rFonts w:ascii="Calibri" w:eastAsia="Times New Roman" w:hAnsi="Calibri" w:cs="Calibri"/>
                <w:lang w:eastAsia="en-GB"/>
              </w:rPr>
            </w:pPr>
            <w:r w:rsidRPr="00F17710">
              <w:rPr>
                <w:rFonts w:ascii="Calibri" w:eastAsia="Times New Roman" w:hAnsi="Calibri" w:cs="Calibri"/>
                <w:lang w:eastAsia="en-GB"/>
              </w:rPr>
              <w:t>interest (1.98%) on the Fire Authority’s borrowing is less than current rates (2.66%)for new borrowing.</w:t>
            </w:r>
          </w:p>
          <w:p w14:paraId="237FF050" w14:textId="77777777" w:rsidR="00F65ECD" w:rsidRPr="00F17710" w:rsidRDefault="00F65ECD" w:rsidP="002105E0">
            <w:pPr>
              <w:spacing w:after="0" w:line="240" w:lineRule="auto"/>
              <w:rPr>
                <w:rFonts w:ascii="Calibri" w:eastAsia="Times New Roman" w:hAnsi="Calibri" w:cs="Calibri"/>
                <w:sz w:val="20"/>
                <w:szCs w:val="20"/>
                <w:lang w:eastAsia="en-GB"/>
              </w:rPr>
            </w:pPr>
          </w:p>
          <w:p w14:paraId="43F01E6A" w14:textId="6DCBB334" w:rsidR="00B658F9" w:rsidRPr="00F17710" w:rsidRDefault="00B658F9" w:rsidP="002105E0">
            <w:pPr>
              <w:spacing w:after="0" w:line="240" w:lineRule="auto"/>
              <w:rPr>
                <w:rFonts w:ascii="Calibri" w:eastAsia="Times New Roman" w:hAnsi="Calibri" w:cs="Calibri"/>
                <w:sz w:val="20"/>
                <w:szCs w:val="20"/>
                <w:lang w:eastAsia="en-GB"/>
              </w:rPr>
            </w:pPr>
          </w:p>
          <w:tbl>
            <w:tblPr>
              <w:tblW w:w="10600" w:type="dxa"/>
              <w:tblLook w:val="04A0" w:firstRow="1" w:lastRow="0" w:firstColumn="1" w:lastColumn="0" w:noHBand="0" w:noVBand="1"/>
            </w:tblPr>
            <w:tblGrid>
              <w:gridCol w:w="1780"/>
              <w:gridCol w:w="1780"/>
              <w:gridCol w:w="3480"/>
              <w:gridCol w:w="1780"/>
              <w:gridCol w:w="1780"/>
            </w:tblGrid>
            <w:tr w:rsidR="00F17710" w:rsidRPr="00F17710" w14:paraId="1F597819" w14:textId="77777777" w:rsidTr="00B658F9">
              <w:trPr>
                <w:trHeight w:val="290"/>
              </w:trPr>
              <w:tc>
                <w:tcPr>
                  <w:tcW w:w="3560" w:type="dxa"/>
                  <w:gridSpan w:val="2"/>
                  <w:tcBorders>
                    <w:top w:val="nil"/>
                    <w:left w:val="nil"/>
                    <w:bottom w:val="single" w:sz="4" w:space="0" w:color="DB4050"/>
                    <w:right w:val="nil"/>
                  </w:tcBorders>
                  <w:shd w:val="clear" w:color="auto" w:fill="C00000"/>
                  <w:hideMark/>
                </w:tcPr>
                <w:p w14:paraId="1BEA549D"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31 March 2021</w:t>
                  </w:r>
                </w:p>
              </w:tc>
              <w:tc>
                <w:tcPr>
                  <w:tcW w:w="3480" w:type="dxa"/>
                  <w:tcBorders>
                    <w:top w:val="nil"/>
                    <w:left w:val="nil"/>
                    <w:bottom w:val="nil"/>
                    <w:right w:val="nil"/>
                  </w:tcBorders>
                  <w:shd w:val="clear" w:color="auto" w:fill="C00000"/>
                  <w:hideMark/>
                </w:tcPr>
                <w:p w14:paraId="07BCCE06" w14:textId="77777777" w:rsidR="002105E0" w:rsidRPr="00F17710" w:rsidRDefault="002105E0" w:rsidP="002105E0">
                  <w:pPr>
                    <w:spacing w:after="0" w:line="240" w:lineRule="auto"/>
                    <w:jc w:val="center"/>
                    <w:rPr>
                      <w:rFonts w:ascii="Calibri" w:eastAsia="Times New Roman" w:hAnsi="Calibri" w:cs="Calibri"/>
                      <w:b/>
                      <w:bCs/>
                      <w:lang w:eastAsia="en-GB"/>
                    </w:rPr>
                  </w:pPr>
                </w:p>
              </w:tc>
              <w:tc>
                <w:tcPr>
                  <w:tcW w:w="3560" w:type="dxa"/>
                  <w:gridSpan w:val="2"/>
                  <w:tcBorders>
                    <w:top w:val="nil"/>
                    <w:left w:val="nil"/>
                    <w:bottom w:val="single" w:sz="4" w:space="0" w:color="DB4050"/>
                    <w:right w:val="nil"/>
                  </w:tcBorders>
                  <w:shd w:val="clear" w:color="auto" w:fill="C00000"/>
                  <w:hideMark/>
                </w:tcPr>
                <w:p w14:paraId="71387E7D"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 xml:space="preserve"> 31 March 2022</w:t>
                  </w:r>
                </w:p>
              </w:tc>
            </w:tr>
            <w:tr w:rsidR="00F17710" w:rsidRPr="00F17710" w14:paraId="5825ECF6" w14:textId="77777777" w:rsidTr="002105E0">
              <w:trPr>
                <w:trHeight w:val="290"/>
              </w:trPr>
              <w:tc>
                <w:tcPr>
                  <w:tcW w:w="1780" w:type="dxa"/>
                  <w:tcBorders>
                    <w:top w:val="nil"/>
                    <w:left w:val="nil"/>
                    <w:bottom w:val="nil"/>
                    <w:right w:val="nil"/>
                  </w:tcBorders>
                  <w:shd w:val="clear" w:color="000000" w:fill="FEF0EE"/>
                  <w:hideMark/>
                </w:tcPr>
                <w:p w14:paraId="46612622"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Carrying Amount</w:t>
                  </w:r>
                </w:p>
              </w:tc>
              <w:tc>
                <w:tcPr>
                  <w:tcW w:w="1780" w:type="dxa"/>
                  <w:tcBorders>
                    <w:top w:val="nil"/>
                    <w:left w:val="nil"/>
                    <w:bottom w:val="nil"/>
                    <w:right w:val="nil"/>
                  </w:tcBorders>
                  <w:shd w:val="clear" w:color="000000" w:fill="FEF0EE"/>
                  <w:hideMark/>
                </w:tcPr>
                <w:p w14:paraId="1800B208"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Fair Value</w:t>
                  </w:r>
                </w:p>
              </w:tc>
              <w:tc>
                <w:tcPr>
                  <w:tcW w:w="3480" w:type="dxa"/>
                  <w:tcBorders>
                    <w:top w:val="single" w:sz="4" w:space="0" w:color="DB4050"/>
                    <w:left w:val="nil"/>
                    <w:bottom w:val="nil"/>
                    <w:right w:val="nil"/>
                  </w:tcBorders>
                  <w:shd w:val="clear" w:color="000000" w:fill="FEF0EE"/>
                  <w:hideMark/>
                </w:tcPr>
                <w:p w14:paraId="6DBAA1EA" w14:textId="77777777" w:rsidR="002105E0" w:rsidRPr="00F17710" w:rsidRDefault="002105E0" w:rsidP="002105E0">
                  <w:pPr>
                    <w:spacing w:after="0" w:line="240" w:lineRule="auto"/>
                    <w:rPr>
                      <w:rFonts w:ascii="Calibri" w:eastAsia="Times New Roman" w:hAnsi="Calibri" w:cs="Calibri"/>
                      <w:b/>
                      <w:bCs/>
                      <w:lang w:eastAsia="en-GB"/>
                    </w:rPr>
                  </w:pPr>
                  <w:r w:rsidRPr="00F17710">
                    <w:rPr>
                      <w:rFonts w:ascii="Calibri" w:eastAsia="Times New Roman" w:hAnsi="Calibri" w:cs="Calibri"/>
                      <w:b/>
                      <w:bCs/>
                      <w:lang w:eastAsia="en-GB"/>
                    </w:rPr>
                    <w:t> </w:t>
                  </w:r>
                </w:p>
              </w:tc>
              <w:tc>
                <w:tcPr>
                  <w:tcW w:w="1780" w:type="dxa"/>
                  <w:tcBorders>
                    <w:top w:val="nil"/>
                    <w:left w:val="nil"/>
                    <w:bottom w:val="nil"/>
                    <w:right w:val="nil"/>
                  </w:tcBorders>
                  <w:shd w:val="clear" w:color="000000" w:fill="FEF0EE"/>
                  <w:hideMark/>
                </w:tcPr>
                <w:p w14:paraId="2BE27303"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Carrying Amount</w:t>
                  </w:r>
                </w:p>
              </w:tc>
              <w:tc>
                <w:tcPr>
                  <w:tcW w:w="1780" w:type="dxa"/>
                  <w:tcBorders>
                    <w:top w:val="nil"/>
                    <w:left w:val="nil"/>
                    <w:bottom w:val="nil"/>
                    <w:right w:val="nil"/>
                  </w:tcBorders>
                  <w:shd w:val="clear" w:color="000000" w:fill="FEF0EE"/>
                  <w:hideMark/>
                </w:tcPr>
                <w:p w14:paraId="29630E3C"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Fair Value</w:t>
                  </w:r>
                </w:p>
              </w:tc>
            </w:tr>
            <w:tr w:rsidR="00F17710" w:rsidRPr="00F17710" w14:paraId="1E8FEBDA" w14:textId="77777777" w:rsidTr="002105E0">
              <w:trPr>
                <w:trHeight w:val="290"/>
              </w:trPr>
              <w:tc>
                <w:tcPr>
                  <w:tcW w:w="1780" w:type="dxa"/>
                  <w:tcBorders>
                    <w:top w:val="nil"/>
                    <w:left w:val="nil"/>
                    <w:bottom w:val="nil"/>
                    <w:right w:val="nil"/>
                  </w:tcBorders>
                  <w:shd w:val="clear" w:color="auto" w:fill="auto"/>
                  <w:hideMark/>
                </w:tcPr>
                <w:p w14:paraId="4200790D"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2730BFD7"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3480" w:type="dxa"/>
                  <w:tcBorders>
                    <w:top w:val="nil"/>
                    <w:left w:val="nil"/>
                    <w:bottom w:val="nil"/>
                    <w:right w:val="nil"/>
                  </w:tcBorders>
                  <w:shd w:val="clear" w:color="auto" w:fill="auto"/>
                  <w:hideMark/>
                </w:tcPr>
                <w:p w14:paraId="143C65F6" w14:textId="77777777" w:rsidR="002105E0" w:rsidRPr="00F17710" w:rsidRDefault="002105E0" w:rsidP="002105E0">
                  <w:pPr>
                    <w:spacing w:after="0" w:line="240" w:lineRule="auto"/>
                    <w:rPr>
                      <w:rFonts w:ascii="Calibri" w:eastAsia="Times New Roman" w:hAnsi="Calibri" w:cs="Calibri"/>
                      <w:b/>
                      <w:bCs/>
                      <w:lang w:eastAsia="en-GB"/>
                    </w:rPr>
                  </w:pPr>
                </w:p>
              </w:tc>
              <w:tc>
                <w:tcPr>
                  <w:tcW w:w="1780" w:type="dxa"/>
                  <w:tcBorders>
                    <w:top w:val="nil"/>
                    <w:left w:val="nil"/>
                    <w:bottom w:val="nil"/>
                    <w:right w:val="nil"/>
                  </w:tcBorders>
                  <w:shd w:val="clear" w:color="auto" w:fill="auto"/>
                  <w:hideMark/>
                </w:tcPr>
                <w:p w14:paraId="6C205373"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c>
                <w:tcPr>
                  <w:tcW w:w="1780" w:type="dxa"/>
                  <w:tcBorders>
                    <w:top w:val="nil"/>
                    <w:left w:val="nil"/>
                    <w:bottom w:val="nil"/>
                    <w:right w:val="nil"/>
                  </w:tcBorders>
                  <w:shd w:val="clear" w:color="auto" w:fill="auto"/>
                  <w:hideMark/>
                </w:tcPr>
                <w:p w14:paraId="2F2E4EC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£'000</w:t>
                  </w:r>
                </w:p>
              </w:tc>
            </w:tr>
            <w:tr w:rsidR="00F17710" w:rsidRPr="00F17710" w14:paraId="4C1415A5" w14:textId="77777777" w:rsidTr="002105E0">
              <w:trPr>
                <w:trHeight w:val="290"/>
              </w:trPr>
              <w:tc>
                <w:tcPr>
                  <w:tcW w:w="10600" w:type="dxa"/>
                  <w:gridSpan w:val="5"/>
                  <w:tcBorders>
                    <w:top w:val="nil"/>
                    <w:left w:val="nil"/>
                    <w:bottom w:val="nil"/>
                    <w:right w:val="nil"/>
                  </w:tcBorders>
                  <w:shd w:val="clear" w:color="000000" w:fill="FEF0EE"/>
                  <w:noWrap/>
                  <w:hideMark/>
                </w:tcPr>
                <w:p w14:paraId="1257C458"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Financial Assets Held at amortised cost</w:t>
                  </w:r>
                </w:p>
              </w:tc>
            </w:tr>
            <w:tr w:rsidR="00F17710" w:rsidRPr="00F17710" w14:paraId="691DEEAB" w14:textId="77777777" w:rsidTr="002105E0">
              <w:trPr>
                <w:trHeight w:val="290"/>
              </w:trPr>
              <w:tc>
                <w:tcPr>
                  <w:tcW w:w="1780" w:type="dxa"/>
                  <w:tcBorders>
                    <w:top w:val="nil"/>
                    <w:left w:val="nil"/>
                    <w:bottom w:val="nil"/>
                    <w:right w:val="nil"/>
                  </w:tcBorders>
                  <w:shd w:val="clear" w:color="auto" w:fill="auto"/>
                  <w:noWrap/>
                  <w:hideMark/>
                </w:tcPr>
                <w:p w14:paraId="398F4531"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1780" w:type="dxa"/>
                  <w:tcBorders>
                    <w:top w:val="nil"/>
                    <w:left w:val="nil"/>
                    <w:bottom w:val="nil"/>
                    <w:right w:val="nil"/>
                  </w:tcBorders>
                  <w:shd w:val="clear" w:color="auto" w:fill="auto"/>
                  <w:noWrap/>
                  <w:hideMark/>
                </w:tcPr>
                <w:p w14:paraId="485E3201"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3480" w:type="dxa"/>
                  <w:tcBorders>
                    <w:top w:val="nil"/>
                    <w:left w:val="nil"/>
                    <w:bottom w:val="nil"/>
                    <w:right w:val="nil"/>
                  </w:tcBorders>
                  <w:shd w:val="clear" w:color="auto" w:fill="auto"/>
                  <w:hideMark/>
                </w:tcPr>
                <w:p w14:paraId="60B13BF5"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Investments</w:t>
                  </w:r>
                </w:p>
              </w:tc>
              <w:tc>
                <w:tcPr>
                  <w:tcW w:w="1780" w:type="dxa"/>
                  <w:tcBorders>
                    <w:top w:val="nil"/>
                    <w:left w:val="nil"/>
                    <w:bottom w:val="nil"/>
                    <w:right w:val="nil"/>
                  </w:tcBorders>
                  <w:shd w:val="clear" w:color="auto" w:fill="auto"/>
                  <w:noWrap/>
                  <w:hideMark/>
                </w:tcPr>
                <w:p w14:paraId="0A561FEA"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c>
                <w:tcPr>
                  <w:tcW w:w="1780" w:type="dxa"/>
                  <w:tcBorders>
                    <w:top w:val="nil"/>
                    <w:left w:val="nil"/>
                    <w:bottom w:val="nil"/>
                    <w:right w:val="nil"/>
                  </w:tcBorders>
                  <w:shd w:val="clear" w:color="auto" w:fill="auto"/>
                  <w:noWrap/>
                  <w:hideMark/>
                </w:tcPr>
                <w:p w14:paraId="25131BCB"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3,000</w:t>
                  </w:r>
                </w:p>
              </w:tc>
            </w:tr>
            <w:tr w:rsidR="00F17710" w:rsidRPr="00F17710" w14:paraId="53671CBD" w14:textId="77777777" w:rsidTr="002105E0">
              <w:trPr>
                <w:trHeight w:val="290"/>
              </w:trPr>
              <w:tc>
                <w:tcPr>
                  <w:tcW w:w="1780" w:type="dxa"/>
                  <w:tcBorders>
                    <w:top w:val="nil"/>
                    <w:left w:val="nil"/>
                    <w:bottom w:val="nil"/>
                    <w:right w:val="nil"/>
                  </w:tcBorders>
                  <w:shd w:val="clear" w:color="000000" w:fill="FEF0EE"/>
                  <w:noWrap/>
                  <w:hideMark/>
                </w:tcPr>
                <w:p w14:paraId="3C5A119A"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4,822</w:t>
                  </w:r>
                </w:p>
              </w:tc>
              <w:tc>
                <w:tcPr>
                  <w:tcW w:w="1780" w:type="dxa"/>
                  <w:tcBorders>
                    <w:top w:val="nil"/>
                    <w:left w:val="nil"/>
                    <w:bottom w:val="nil"/>
                    <w:right w:val="nil"/>
                  </w:tcBorders>
                  <w:shd w:val="clear" w:color="000000" w:fill="FEF0EE"/>
                  <w:noWrap/>
                  <w:hideMark/>
                </w:tcPr>
                <w:p w14:paraId="666227F8"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4,822</w:t>
                  </w:r>
                </w:p>
              </w:tc>
              <w:tc>
                <w:tcPr>
                  <w:tcW w:w="3480" w:type="dxa"/>
                  <w:tcBorders>
                    <w:top w:val="nil"/>
                    <w:left w:val="nil"/>
                    <w:bottom w:val="nil"/>
                    <w:right w:val="nil"/>
                  </w:tcBorders>
                  <w:shd w:val="clear" w:color="000000" w:fill="FEF0EE"/>
                  <w:hideMark/>
                </w:tcPr>
                <w:p w14:paraId="5EA44BEE"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Debtors</w:t>
                  </w:r>
                </w:p>
              </w:tc>
              <w:tc>
                <w:tcPr>
                  <w:tcW w:w="1780" w:type="dxa"/>
                  <w:tcBorders>
                    <w:top w:val="nil"/>
                    <w:left w:val="nil"/>
                    <w:bottom w:val="nil"/>
                    <w:right w:val="nil"/>
                  </w:tcBorders>
                  <w:shd w:val="clear" w:color="000000" w:fill="FEF0EE"/>
                  <w:noWrap/>
                  <w:vAlign w:val="center"/>
                  <w:hideMark/>
                </w:tcPr>
                <w:p w14:paraId="6001C672"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2,089</w:t>
                  </w:r>
                </w:p>
              </w:tc>
              <w:tc>
                <w:tcPr>
                  <w:tcW w:w="1780" w:type="dxa"/>
                  <w:tcBorders>
                    <w:top w:val="nil"/>
                    <w:left w:val="nil"/>
                    <w:bottom w:val="nil"/>
                    <w:right w:val="nil"/>
                  </w:tcBorders>
                  <w:shd w:val="clear" w:color="000000" w:fill="FEF0EE"/>
                  <w:noWrap/>
                  <w:hideMark/>
                </w:tcPr>
                <w:p w14:paraId="3F26ED37" w14:textId="77777777" w:rsidR="002105E0" w:rsidRPr="00F17710" w:rsidRDefault="002105E0"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2,089</w:t>
                  </w:r>
                </w:p>
              </w:tc>
            </w:tr>
            <w:tr w:rsidR="00F17710" w:rsidRPr="00F17710" w14:paraId="03F24383"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35C65C9F"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7,822</w:t>
                  </w:r>
                </w:p>
              </w:tc>
              <w:tc>
                <w:tcPr>
                  <w:tcW w:w="1780" w:type="dxa"/>
                  <w:tcBorders>
                    <w:top w:val="single" w:sz="4" w:space="0" w:color="DB4050"/>
                    <w:left w:val="nil"/>
                    <w:bottom w:val="single" w:sz="4" w:space="0" w:color="DB4050"/>
                    <w:right w:val="nil"/>
                  </w:tcBorders>
                  <w:shd w:val="clear" w:color="auto" w:fill="C00000"/>
                  <w:noWrap/>
                  <w:hideMark/>
                </w:tcPr>
                <w:p w14:paraId="15DC111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7,822</w:t>
                  </w:r>
                </w:p>
              </w:tc>
              <w:tc>
                <w:tcPr>
                  <w:tcW w:w="3480" w:type="dxa"/>
                  <w:tcBorders>
                    <w:top w:val="single" w:sz="4" w:space="0" w:color="DB4050"/>
                    <w:left w:val="nil"/>
                    <w:bottom w:val="single" w:sz="4" w:space="0" w:color="DB4050"/>
                    <w:right w:val="nil"/>
                  </w:tcBorders>
                  <w:shd w:val="clear" w:color="auto" w:fill="C00000"/>
                  <w:hideMark/>
                </w:tcPr>
                <w:p w14:paraId="3687495C" w14:textId="77777777" w:rsidR="002105E0" w:rsidRPr="00F17710" w:rsidRDefault="002105E0" w:rsidP="002105E0">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Total Financial Assets</w:t>
                  </w:r>
                </w:p>
              </w:tc>
              <w:tc>
                <w:tcPr>
                  <w:tcW w:w="1780" w:type="dxa"/>
                  <w:tcBorders>
                    <w:top w:val="single" w:sz="4" w:space="0" w:color="DB4050"/>
                    <w:left w:val="nil"/>
                    <w:bottom w:val="single" w:sz="4" w:space="0" w:color="DB4050"/>
                    <w:right w:val="nil"/>
                  </w:tcBorders>
                  <w:shd w:val="clear" w:color="auto" w:fill="C00000"/>
                  <w:noWrap/>
                  <w:hideMark/>
                </w:tcPr>
                <w:p w14:paraId="7F163140"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5,089</w:t>
                  </w:r>
                </w:p>
              </w:tc>
              <w:tc>
                <w:tcPr>
                  <w:tcW w:w="1780" w:type="dxa"/>
                  <w:tcBorders>
                    <w:top w:val="single" w:sz="4" w:space="0" w:color="DB4050"/>
                    <w:left w:val="nil"/>
                    <w:bottom w:val="single" w:sz="4" w:space="0" w:color="DB4050"/>
                    <w:right w:val="nil"/>
                  </w:tcBorders>
                  <w:shd w:val="clear" w:color="auto" w:fill="C00000"/>
                  <w:noWrap/>
                  <w:hideMark/>
                </w:tcPr>
                <w:p w14:paraId="116C547F" w14:textId="77777777"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5,089</w:t>
                  </w:r>
                </w:p>
              </w:tc>
            </w:tr>
            <w:tr w:rsidR="00F17710" w:rsidRPr="00F17710" w14:paraId="356FEA75" w14:textId="77777777" w:rsidTr="002105E0">
              <w:trPr>
                <w:trHeight w:val="290"/>
              </w:trPr>
              <w:tc>
                <w:tcPr>
                  <w:tcW w:w="10600" w:type="dxa"/>
                  <w:gridSpan w:val="5"/>
                  <w:tcBorders>
                    <w:top w:val="single" w:sz="4" w:space="0" w:color="DB4050"/>
                    <w:left w:val="nil"/>
                    <w:bottom w:val="nil"/>
                    <w:right w:val="nil"/>
                  </w:tcBorders>
                  <w:shd w:val="clear" w:color="auto" w:fill="auto"/>
                  <w:vAlign w:val="center"/>
                  <w:hideMark/>
                </w:tcPr>
                <w:p w14:paraId="0014B4FC" w14:textId="77777777" w:rsidR="002105E0" w:rsidRPr="00F17710" w:rsidRDefault="002105E0" w:rsidP="002105E0">
                  <w:pPr>
                    <w:spacing w:after="0" w:line="240" w:lineRule="auto"/>
                    <w:jc w:val="center"/>
                    <w:rPr>
                      <w:rFonts w:ascii="Calibri" w:eastAsia="Times New Roman" w:hAnsi="Calibri" w:cs="Calibri"/>
                      <w:b/>
                      <w:bCs/>
                      <w:lang w:eastAsia="en-GB"/>
                    </w:rPr>
                  </w:pPr>
                  <w:r w:rsidRPr="00F17710">
                    <w:rPr>
                      <w:rFonts w:ascii="Calibri" w:eastAsia="Times New Roman" w:hAnsi="Calibri" w:cs="Calibri"/>
                      <w:b/>
                      <w:bCs/>
                      <w:lang w:eastAsia="en-GB"/>
                    </w:rPr>
                    <w:t>Financial liabilities at amortised cost</w:t>
                  </w:r>
                </w:p>
              </w:tc>
            </w:tr>
            <w:tr w:rsidR="00F17710" w:rsidRPr="00F17710" w14:paraId="18DE08F6" w14:textId="77777777" w:rsidTr="002105E0">
              <w:trPr>
                <w:trHeight w:val="290"/>
              </w:trPr>
              <w:tc>
                <w:tcPr>
                  <w:tcW w:w="1780" w:type="dxa"/>
                  <w:tcBorders>
                    <w:top w:val="nil"/>
                    <w:left w:val="nil"/>
                    <w:bottom w:val="nil"/>
                    <w:right w:val="nil"/>
                  </w:tcBorders>
                  <w:shd w:val="clear" w:color="auto" w:fill="auto"/>
                  <w:noWrap/>
                  <w:hideMark/>
                </w:tcPr>
                <w:p w14:paraId="21826C37" w14:textId="0F207A15"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3,300</w:t>
                  </w:r>
                  <w:r w:rsidRPr="00F17710">
                    <w:rPr>
                      <w:rFonts w:ascii="Calibri" w:eastAsia="Times New Roman" w:hAnsi="Calibri" w:cs="Calibri"/>
                      <w:lang w:eastAsia="en-GB"/>
                    </w:rPr>
                    <w:t>)</w:t>
                  </w:r>
                </w:p>
              </w:tc>
              <w:tc>
                <w:tcPr>
                  <w:tcW w:w="1780" w:type="dxa"/>
                  <w:tcBorders>
                    <w:top w:val="nil"/>
                    <w:left w:val="nil"/>
                    <w:bottom w:val="nil"/>
                    <w:right w:val="nil"/>
                  </w:tcBorders>
                  <w:shd w:val="clear" w:color="auto" w:fill="auto"/>
                  <w:noWrap/>
                  <w:hideMark/>
                </w:tcPr>
                <w:p w14:paraId="237E35B3" w14:textId="1604FA8F"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3,738</w:t>
                  </w:r>
                  <w:r w:rsidRPr="00F17710">
                    <w:rPr>
                      <w:rFonts w:ascii="Calibri" w:eastAsia="Times New Roman" w:hAnsi="Calibri" w:cs="Calibri"/>
                      <w:lang w:eastAsia="en-GB"/>
                    </w:rPr>
                    <w:t>)</w:t>
                  </w:r>
                </w:p>
              </w:tc>
              <w:tc>
                <w:tcPr>
                  <w:tcW w:w="3480" w:type="dxa"/>
                  <w:tcBorders>
                    <w:top w:val="nil"/>
                    <w:left w:val="nil"/>
                    <w:bottom w:val="nil"/>
                    <w:right w:val="nil"/>
                  </w:tcBorders>
                  <w:shd w:val="clear" w:color="auto" w:fill="auto"/>
                  <w:hideMark/>
                </w:tcPr>
                <w:p w14:paraId="3BDEE4F3"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Public Works Loan Board Borrowing</w:t>
                  </w:r>
                </w:p>
              </w:tc>
              <w:tc>
                <w:tcPr>
                  <w:tcW w:w="1780" w:type="dxa"/>
                  <w:tcBorders>
                    <w:top w:val="nil"/>
                    <w:left w:val="nil"/>
                    <w:bottom w:val="nil"/>
                    <w:right w:val="nil"/>
                  </w:tcBorders>
                  <w:shd w:val="clear" w:color="auto" w:fill="auto"/>
                  <w:noWrap/>
                  <w:hideMark/>
                </w:tcPr>
                <w:p w14:paraId="71021EB5" w14:textId="6BB1E7FA"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3,218</w:t>
                  </w:r>
                  <w:r w:rsidRPr="00F17710">
                    <w:rPr>
                      <w:rFonts w:ascii="Calibri" w:eastAsia="Times New Roman" w:hAnsi="Calibri" w:cs="Calibri"/>
                      <w:lang w:eastAsia="en-GB"/>
                    </w:rPr>
                    <w:t>)</w:t>
                  </w:r>
                </w:p>
              </w:tc>
              <w:tc>
                <w:tcPr>
                  <w:tcW w:w="1780" w:type="dxa"/>
                  <w:tcBorders>
                    <w:top w:val="nil"/>
                    <w:left w:val="nil"/>
                    <w:bottom w:val="nil"/>
                    <w:right w:val="nil"/>
                  </w:tcBorders>
                  <w:shd w:val="clear" w:color="auto" w:fill="auto"/>
                  <w:noWrap/>
                  <w:hideMark/>
                </w:tcPr>
                <w:p w14:paraId="7960FD30" w14:textId="733D761B"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2,914</w:t>
                  </w:r>
                  <w:r w:rsidRPr="00F17710">
                    <w:rPr>
                      <w:rFonts w:ascii="Calibri" w:eastAsia="Times New Roman" w:hAnsi="Calibri" w:cs="Calibri"/>
                      <w:lang w:eastAsia="en-GB"/>
                    </w:rPr>
                    <w:t>)</w:t>
                  </w:r>
                </w:p>
              </w:tc>
            </w:tr>
            <w:tr w:rsidR="00F17710" w:rsidRPr="00F17710" w14:paraId="67A200B7" w14:textId="77777777" w:rsidTr="002105E0">
              <w:trPr>
                <w:trHeight w:val="290"/>
              </w:trPr>
              <w:tc>
                <w:tcPr>
                  <w:tcW w:w="1780" w:type="dxa"/>
                  <w:tcBorders>
                    <w:top w:val="nil"/>
                    <w:left w:val="nil"/>
                    <w:bottom w:val="nil"/>
                    <w:right w:val="nil"/>
                  </w:tcBorders>
                  <w:shd w:val="clear" w:color="000000" w:fill="FEF0EE"/>
                  <w:noWrap/>
                  <w:hideMark/>
                </w:tcPr>
                <w:p w14:paraId="190A75D9" w14:textId="07F11F96"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4,770</w:t>
                  </w:r>
                  <w:r w:rsidRPr="00F17710">
                    <w:rPr>
                      <w:rFonts w:ascii="Calibri" w:eastAsia="Times New Roman" w:hAnsi="Calibri" w:cs="Calibri"/>
                      <w:lang w:eastAsia="en-GB"/>
                    </w:rPr>
                    <w:t>)</w:t>
                  </w:r>
                </w:p>
              </w:tc>
              <w:tc>
                <w:tcPr>
                  <w:tcW w:w="1780" w:type="dxa"/>
                  <w:tcBorders>
                    <w:top w:val="nil"/>
                    <w:left w:val="nil"/>
                    <w:bottom w:val="nil"/>
                    <w:right w:val="nil"/>
                  </w:tcBorders>
                  <w:shd w:val="clear" w:color="000000" w:fill="FEF0EE"/>
                  <w:noWrap/>
                  <w:hideMark/>
                </w:tcPr>
                <w:p w14:paraId="4157CD50" w14:textId="0A556191"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4,770</w:t>
                  </w:r>
                  <w:r w:rsidRPr="00F17710">
                    <w:rPr>
                      <w:rFonts w:ascii="Calibri" w:eastAsia="Times New Roman" w:hAnsi="Calibri" w:cs="Calibri"/>
                      <w:lang w:eastAsia="en-GB"/>
                    </w:rPr>
                    <w:t>)</w:t>
                  </w:r>
                </w:p>
              </w:tc>
              <w:tc>
                <w:tcPr>
                  <w:tcW w:w="3480" w:type="dxa"/>
                  <w:tcBorders>
                    <w:top w:val="nil"/>
                    <w:left w:val="nil"/>
                    <w:bottom w:val="nil"/>
                    <w:right w:val="nil"/>
                  </w:tcBorders>
                  <w:shd w:val="clear" w:color="000000" w:fill="FEF0EE"/>
                  <w:hideMark/>
                </w:tcPr>
                <w:p w14:paraId="606C5AD7" w14:textId="77777777" w:rsidR="002105E0" w:rsidRPr="00F17710" w:rsidRDefault="002105E0" w:rsidP="002105E0">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Creditors</w:t>
                  </w:r>
                </w:p>
              </w:tc>
              <w:tc>
                <w:tcPr>
                  <w:tcW w:w="1780" w:type="dxa"/>
                  <w:tcBorders>
                    <w:top w:val="nil"/>
                    <w:left w:val="nil"/>
                    <w:bottom w:val="nil"/>
                    <w:right w:val="nil"/>
                  </w:tcBorders>
                  <w:shd w:val="clear" w:color="000000" w:fill="FEF0EE"/>
                  <w:noWrap/>
                  <w:hideMark/>
                </w:tcPr>
                <w:p w14:paraId="37E5CFB6" w14:textId="40A28305"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3,559</w:t>
                  </w:r>
                  <w:r w:rsidRPr="00F17710">
                    <w:rPr>
                      <w:rFonts w:ascii="Calibri" w:eastAsia="Times New Roman" w:hAnsi="Calibri" w:cs="Calibri"/>
                      <w:lang w:eastAsia="en-GB"/>
                    </w:rPr>
                    <w:t>)</w:t>
                  </w:r>
                </w:p>
              </w:tc>
              <w:tc>
                <w:tcPr>
                  <w:tcW w:w="1780" w:type="dxa"/>
                  <w:tcBorders>
                    <w:top w:val="nil"/>
                    <w:left w:val="nil"/>
                    <w:bottom w:val="nil"/>
                    <w:right w:val="nil"/>
                  </w:tcBorders>
                  <w:shd w:val="clear" w:color="000000" w:fill="FEF0EE"/>
                  <w:noWrap/>
                  <w:hideMark/>
                </w:tcPr>
                <w:p w14:paraId="065E3849" w14:textId="5AA046B4" w:rsidR="002105E0" w:rsidRPr="00F17710" w:rsidRDefault="00B658F9" w:rsidP="00B658F9">
                  <w:pPr>
                    <w:spacing w:after="0" w:line="240" w:lineRule="auto"/>
                    <w:jc w:val="right"/>
                    <w:rPr>
                      <w:rFonts w:ascii="Calibri" w:eastAsia="Times New Roman" w:hAnsi="Calibri" w:cs="Calibri"/>
                      <w:lang w:eastAsia="en-GB"/>
                    </w:rPr>
                  </w:pPr>
                  <w:r w:rsidRPr="00F17710">
                    <w:rPr>
                      <w:rFonts w:ascii="Calibri" w:eastAsia="Times New Roman" w:hAnsi="Calibri" w:cs="Calibri"/>
                      <w:lang w:eastAsia="en-GB"/>
                    </w:rPr>
                    <w:t>(</w:t>
                  </w:r>
                  <w:r w:rsidR="002105E0" w:rsidRPr="00F17710">
                    <w:rPr>
                      <w:rFonts w:ascii="Calibri" w:eastAsia="Times New Roman" w:hAnsi="Calibri" w:cs="Calibri"/>
                      <w:lang w:eastAsia="en-GB"/>
                    </w:rPr>
                    <w:t>3,559</w:t>
                  </w:r>
                  <w:r w:rsidRPr="00F17710">
                    <w:rPr>
                      <w:rFonts w:ascii="Calibri" w:eastAsia="Times New Roman" w:hAnsi="Calibri" w:cs="Calibri"/>
                      <w:lang w:eastAsia="en-GB"/>
                    </w:rPr>
                    <w:t>)</w:t>
                  </w:r>
                </w:p>
              </w:tc>
            </w:tr>
            <w:tr w:rsidR="00F17710" w:rsidRPr="00F17710" w14:paraId="3F4087EB" w14:textId="77777777" w:rsidTr="00B658F9">
              <w:trPr>
                <w:trHeight w:val="290"/>
              </w:trPr>
              <w:tc>
                <w:tcPr>
                  <w:tcW w:w="1780" w:type="dxa"/>
                  <w:tcBorders>
                    <w:top w:val="single" w:sz="4" w:space="0" w:color="DB4050"/>
                    <w:left w:val="nil"/>
                    <w:bottom w:val="single" w:sz="4" w:space="0" w:color="DB4050"/>
                    <w:right w:val="nil"/>
                  </w:tcBorders>
                  <w:shd w:val="clear" w:color="auto" w:fill="C00000"/>
                  <w:noWrap/>
                  <w:hideMark/>
                </w:tcPr>
                <w:p w14:paraId="4D024F29" w14:textId="485578FC" w:rsidR="002105E0" w:rsidRPr="00F17710" w:rsidRDefault="002105E0"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8,070</w:t>
                  </w:r>
                  <w:r w:rsidR="00B658F9" w:rsidRPr="00F17710">
                    <w:rPr>
                      <w:rFonts w:ascii="Calibri" w:eastAsia="Times New Roman" w:hAnsi="Calibri" w:cs="Calibri"/>
                      <w:b/>
                      <w:bCs/>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6CA3BA33" w14:textId="35D6B980"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8,508</w:t>
                  </w:r>
                  <w:r w:rsidRPr="00F17710">
                    <w:rPr>
                      <w:rFonts w:ascii="Calibri" w:eastAsia="Times New Roman" w:hAnsi="Calibri" w:cs="Calibri"/>
                      <w:b/>
                      <w:bCs/>
                      <w:lang w:eastAsia="en-GB"/>
                    </w:rPr>
                    <w:t>)</w:t>
                  </w:r>
                </w:p>
              </w:tc>
              <w:tc>
                <w:tcPr>
                  <w:tcW w:w="3480" w:type="dxa"/>
                  <w:tcBorders>
                    <w:top w:val="single" w:sz="4" w:space="0" w:color="DB4050"/>
                    <w:left w:val="nil"/>
                    <w:bottom w:val="single" w:sz="4" w:space="0" w:color="DB4050"/>
                    <w:right w:val="nil"/>
                  </w:tcBorders>
                  <w:shd w:val="clear" w:color="auto" w:fill="C00000"/>
                  <w:hideMark/>
                </w:tcPr>
                <w:p w14:paraId="602B1C5A" w14:textId="77777777" w:rsidR="002105E0" w:rsidRPr="00F17710" w:rsidRDefault="002105E0" w:rsidP="002105E0">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Total Financial Liabilities</w:t>
                  </w:r>
                </w:p>
              </w:tc>
              <w:tc>
                <w:tcPr>
                  <w:tcW w:w="1780" w:type="dxa"/>
                  <w:tcBorders>
                    <w:top w:val="single" w:sz="4" w:space="0" w:color="DB4050"/>
                    <w:left w:val="nil"/>
                    <w:bottom w:val="single" w:sz="4" w:space="0" w:color="DB4050"/>
                    <w:right w:val="nil"/>
                  </w:tcBorders>
                  <w:shd w:val="clear" w:color="auto" w:fill="C00000"/>
                  <w:noWrap/>
                  <w:hideMark/>
                </w:tcPr>
                <w:p w14:paraId="70EBA333" w14:textId="02363FE5"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6,777</w:t>
                  </w:r>
                  <w:r w:rsidRPr="00F17710">
                    <w:rPr>
                      <w:rFonts w:ascii="Calibri" w:eastAsia="Times New Roman" w:hAnsi="Calibri" w:cs="Calibri"/>
                      <w:b/>
                      <w:bCs/>
                      <w:lang w:eastAsia="en-GB"/>
                    </w:rPr>
                    <w:t>)</w:t>
                  </w:r>
                </w:p>
              </w:tc>
              <w:tc>
                <w:tcPr>
                  <w:tcW w:w="1780" w:type="dxa"/>
                  <w:tcBorders>
                    <w:top w:val="single" w:sz="4" w:space="0" w:color="DB4050"/>
                    <w:left w:val="nil"/>
                    <w:bottom w:val="single" w:sz="4" w:space="0" w:color="DB4050"/>
                    <w:right w:val="nil"/>
                  </w:tcBorders>
                  <w:shd w:val="clear" w:color="auto" w:fill="C00000"/>
                  <w:noWrap/>
                  <w:hideMark/>
                </w:tcPr>
                <w:p w14:paraId="1AE0DB0F" w14:textId="1A63C394" w:rsidR="002105E0" w:rsidRPr="00F17710" w:rsidRDefault="00B658F9" w:rsidP="00B658F9">
                  <w:pPr>
                    <w:spacing w:after="0" w:line="240" w:lineRule="auto"/>
                    <w:jc w:val="right"/>
                    <w:rPr>
                      <w:rFonts w:ascii="Calibri" w:eastAsia="Times New Roman" w:hAnsi="Calibri" w:cs="Calibri"/>
                      <w:b/>
                      <w:bCs/>
                      <w:lang w:eastAsia="en-GB"/>
                    </w:rPr>
                  </w:pPr>
                  <w:r w:rsidRPr="00F17710">
                    <w:rPr>
                      <w:rFonts w:ascii="Calibri" w:eastAsia="Times New Roman" w:hAnsi="Calibri" w:cs="Calibri"/>
                      <w:b/>
                      <w:bCs/>
                      <w:lang w:eastAsia="en-GB"/>
                    </w:rPr>
                    <w:t>(</w:t>
                  </w:r>
                  <w:r w:rsidR="002105E0" w:rsidRPr="00F17710">
                    <w:rPr>
                      <w:rFonts w:ascii="Calibri" w:eastAsia="Times New Roman" w:hAnsi="Calibri" w:cs="Calibri"/>
                      <w:b/>
                      <w:bCs/>
                      <w:lang w:eastAsia="en-GB"/>
                    </w:rPr>
                    <w:t>6,473</w:t>
                  </w:r>
                  <w:r w:rsidRPr="00F17710">
                    <w:rPr>
                      <w:rFonts w:ascii="Calibri" w:eastAsia="Times New Roman" w:hAnsi="Calibri" w:cs="Calibri"/>
                      <w:b/>
                      <w:bCs/>
                      <w:lang w:eastAsia="en-GB"/>
                    </w:rPr>
                    <w:t>)</w:t>
                  </w:r>
                </w:p>
              </w:tc>
            </w:tr>
          </w:tbl>
          <w:p w14:paraId="471676DA" w14:textId="19F1AA23" w:rsidR="002105E0" w:rsidRPr="00F17710" w:rsidRDefault="002105E0" w:rsidP="002105E0">
            <w:pPr>
              <w:spacing w:after="0" w:line="240" w:lineRule="auto"/>
              <w:rPr>
                <w:rFonts w:ascii="Calibri" w:eastAsia="Times New Roman" w:hAnsi="Calibri" w:cs="Calibri"/>
                <w:sz w:val="20"/>
                <w:szCs w:val="20"/>
                <w:lang w:eastAsia="en-GB"/>
              </w:rPr>
            </w:pPr>
          </w:p>
        </w:tc>
      </w:tr>
      <w:tr w:rsidR="002105E0" w:rsidRPr="002105E0" w14:paraId="595ED3F0" w14:textId="77777777" w:rsidTr="002105E0">
        <w:trPr>
          <w:trHeight w:val="1363"/>
        </w:trPr>
        <w:tc>
          <w:tcPr>
            <w:tcW w:w="23934" w:type="dxa"/>
            <w:gridSpan w:val="13"/>
            <w:vMerge/>
            <w:tcBorders>
              <w:top w:val="nil"/>
              <w:left w:val="nil"/>
              <w:bottom w:val="nil"/>
              <w:right w:val="nil"/>
            </w:tcBorders>
            <w:vAlign w:val="center"/>
            <w:hideMark/>
          </w:tcPr>
          <w:p w14:paraId="297E1FD1" w14:textId="77777777" w:rsidR="002105E0" w:rsidRPr="002105E0" w:rsidRDefault="002105E0" w:rsidP="002105E0">
            <w:pPr>
              <w:spacing w:after="0" w:line="240" w:lineRule="auto"/>
              <w:rPr>
                <w:rFonts w:ascii="Calibri" w:eastAsia="Times New Roman" w:hAnsi="Calibri" w:cs="Calibri"/>
                <w:color w:val="231F20"/>
                <w:sz w:val="20"/>
                <w:szCs w:val="20"/>
                <w:lang w:eastAsia="en-GB"/>
              </w:rPr>
            </w:pPr>
          </w:p>
        </w:tc>
        <w:tc>
          <w:tcPr>
            <w:tcW w:w="6" w:type="dxa"/>
            <w:tcBorders>
              <w:top w:val="nil"/>
              <w:left w:val="nil"/>
              <w:bottom w:val="nil"/>
              <w:right w:val="nil"/>
            </w:tcBorders>
            <w:shd w:val="clear" w:color="auto" w:fill="auto"/>
            <w:noWrap/>
            <w:hideMark/>
          </w:tcPr>
          <w:p w14:paraId="66976732" w14:textId="77777777" w:rsidR="002105E0" w:rsidRPr="002105E0" w:rsidRDefault="002105E0" w:rsidP="002105E0">
            <w:pPr>
              <w:spacing w:after="0" w:line="240" w:lineRule="auto"/>
              <w:rPr>
                <w:rFonts w:ascii="Calibri" w:eastAsia="Times New Roman" w:hAnsi="Calibri" w:cs="Calibri"/>
                <w:color w:val="231F20"/>
                <w:sz w:val="20"/>
                <w:szCs w:val="20"/>
                <w:lang w:eastAsia="en-GB"/>
              </w:rPr>
            </w:pPr>
          </w:p>
        </w:tc>
      </w:tr>
    </w:tbl>
    <w:p w14:paraId="6D1169E9" w14:textId="50190F79" w:rsidR="00F65ECD" w:rsidRDefault="00F65ECD" w:rsidP="00822ADE">
      <w:pPr>
        <w:autoSpaceDE w:val="0"/>
        <w:autoSpaceDN w:val="0"/>
        <w:adjustRightInd w:val="0"/>
        <w:spacing w:after="0" w:line="240" w:lineRule="auto"/>
        <w:rPr>
          <w:rFonts w:cs="Arial"/>
          <w:b/>
          <w:bCs/>
          <w:sz w:val="28"/>
          <w:szCs w:val="28"/>
        </w:rPr>
      </w:pPr>
    </w:p>
    <w:p w14:paraId="6C7375B0" w14:textId="688FD961" w:rsidR="00F65ECD" w:rsidRDefault="00F65ECD" w:rsidP="00822ADE">
      <w:pPr>
        <w:autoSpaceDE w:val="0"/>
        <w:autoSpaceDN w:val="0"/>
        <w:adjustRightInd w:val="0"/>
        <w:spacing w:after="0" w:line="240" w:lineRule="auto"/>
        <w:rPr>
          <w:rFonts w:cs="Arial"/>
          <w:b/>
          <w:bCs/>
          <w:sz w:val="28"/>
          <w:szCs w:val="28"/>
        </w:rPr>
      </w:pPr>
      <w:r w:rsidRPr="00996040">
        <w:rPr>
          <w:rFonts w:cs="Arial"/>
          <w:b/>
          <w:bCs/>
          <w:sz w:val="28"/>
          <w:szCs w:val="28"/>
        </w:rPr>
        <w:t>Note 27</w:t>
      </w:r>
      <w:r>
        <w:rPr>
          <w:rFonts w:cs="Arial"/>
          <w:b/>
          <w:bCs/>
          <w:sz w:val="28"/>
          <w:szCs w:val="28"/>
        </w:rPr>
        <w:t>.4</w:t>
      </w:r>
      <w:r w:rsidRPr="00996040">
        <w:rPr>
          <w:rFonts w:cs="Arial"/>
          <w:b/>
          <w:bCs/>
          <w:sz w:val="28"/>
          <w:szCs w:val="28"/>
        </w:rPr>
        <w:t xml:space="preserve"> </w:t>
      </w:r>
      <w:r w:rsidRPr="002A278B">
        <w:rPr>
          <w:rFonts w:cs="Arial"/>
          <w:b/>
          <w:bCs/>
          <w:sz w:val="28"/>
          <w:szCs w:val="28"/>
        </w:rPr>
        <w:t>Credit risk management practices</w:t>
      </w:r>
    </w:p>
    <w:p w14:paraId="7CC53522" w14:textId="226B06EF" w:rsidR="00F65ECD" w:rsidRPr="00F65ECD" w:rsidRDefault="00F65ECD" w:rsidP="00822ADE">
      <w:pPr>
        <w:autoSpaceDE w:val="0"/>
        <w:autoSpaceDN w:val="0"/>
        <w:adjustRightInd w:val="0"/>
        <w:spacing w:after="0" w:line="240" w:lineRule="auto"/>
        <w:rPr>
          <w:rFonts w:cs="Arial"/>
          <w:bCs/>
          <w:szCs w:val="28"/>
        </w:rPr>
      </w:pPr>
      <w:r w:rsidRPr="00F65ECD">
        <w:rPr>
          <w:rFonts w:cs="Arial"/>
          <w:bCs/>
          <w:szCs w:val="28"/>
        </w:rPr>
        <w:t>The authority’s credit risk management practices are set out in the annual treasury management strategy document</w:t>
      </w:r>
    </w:p>
    <w:p w14:paraId="202A6B3F" w14:textId="77777777" w:rsidR="00F65ECD" w:rsidRDefault="00F65ECD" w:rsidP="00822ADE">
      <w:pPr>
        <w:autoSpaceDE w:val="0"/>
        <w:autoSpaceDN w:val="0"/>
        <w:adjustRightInd w:val="0"/>
        <w:spacing w:after="0" w:line="240" w:lineRule="auto"/>
        <w:rPr>
          <w:rFonts w:cs="Arial"/>
          <w:b/>
          <w:bCs/>
          <w:sz w:val="28"/>
          <w:szCs w:val="28"/>
        </w:rPr>
      </w:pPr>
    </w:p>
    <w:p w14:paraId="721C1BA4" w14:textId="3C86F323" w:rsidR="00822ADE" w:rsidRDefault="00822ADE" w:rsidP="00822ADE">
      <w:pPr>
        <w:autoSpaceDE w:val="0"/>
        <w:autoSpaceDN w:val="0"/>
        <w:adjustRightInd w:val="0"/>
        <w:spacing w:after="0" w:line="240" w:lineRule="auto"/>
        <w:rPr>
          <w:rFonts w:cs="Arial"/>
          <w:b/>
          <w:bCs/>
          <w:sz w:val="28"/>
          <w:szCs w:val="28"/>
        </w:rPr>
      </w:pPr>
      <w:r w:rsidRPr="007F07C2">
        <w:rPr>
          <w:rFonts w:cs="Arial"/>
          <w:b/>
          <w:bCs/>
          <w:sz w:val="28"/>
          <w:szCs w:val="28"/>
        </w:rPr>
        <w:t>2</w:t>
      </w:r>
      <w:r>
        <w:rPr>
          <w:rFonts w:cs="Arial"/>
          <w:b/>
          <w:bCs/>
          <w:sz w:val="28"/>
          <w:szCs w:val="28"/>
        </w:rPr>
        <w:t>8</w:t>
      </w:r>
      <w:r w:rsidRPr="007F07C2">
        <w:rPr>
          <w:rFonts w:cs="Arial"/>
          <w:b/>
          <w:bCs/>
          <w:sz w:val="28"/>
          <w:szCs w:val="28"/>
        </w:rPr>
        <w:t xml:space="preserve"> </w:t>
      </w:r>
      <w:r w:rsidR="002105E0">
        <w:rPr>
          <w:rFonts w:cs="Arial"/>
          <w:b/>
          <w:bCs/>
          <w:sz w:val="28"/>
          <w:szCs w:val="28"/>
        </w:rPr>
        <w:t>Prior Period Adjustment</w:t>
      </w:r>
    </w:p>
    <w:p w14:paraId="3D1B25F2" w14:textId="5DF313F2" w:rsidR="002105E0" w:rsidRPr="002105E0" w:rsidRDefault="002105E0" w:rsidP="00822ADE">
      <w:pPr>
        <w:autoSpaceDE w:val="0"/>
        <w:autoSpaceDN w:val="0"/>
        <w:adjustRightInd w:val="0"/>
        <w:spacing w:after="0" w:line="240" w:lineRule="auto"/>
        <w:rPr>
          <w:rFonts w:cs="Arial"/>
          <w:bCs/>
          <w:szCs w:val="28"/>
        </w:rPr>
      </w:pPr>
      <w:r w:rsidRPr="002105E0">
        <w:rPr>
          <w:rFonts w:cs="Arial"/>
          <w:bCs/>
          <w:szCs w:val="28"/>
        </w:rPr>
        <w:t xml:space="preserve">In the 2020/21 Statement of Accounts, the Financial Instruments disclosures required by the CIPFA Code of Practice were omitted in error. These disclosures are now given in note 27 and the comparators for </w:t>
      </w:r>
      <w:r w:rsidR="00FC36D8">
        <w:rPr>
          <w:rFonts w:cs="Arial"/>
          <w:bCs/>
          <w:szCs w:val="28"/>
        </w:rPr>
        <w:t>20</w:t>
      </w:r>
      <w:r w:rsidRPr="002105E0">
        <w:rPr>
          <w:rFonts w:cs="Arial"/>
          <w:bCs/>
          <w:szCs w:val="28"/>
        </w:rPr>
        <w:t>20/21 in that note now correct that omission</w:t>
      </w:r>
    </w:p>
    <w:p w14:paraId="1498AE97" w14:textId="26C3707E" w:rsidR="001E28F2" w:rsidRDefault="001E28F2">
      <w:pPr>
        <w:rPr>
          <w:rFonts w:cs="Arial"/>
          <w:b/>
          <w:bCs/>
          <w:sz w:val="28"/>
          <w:szCs w:val="28"/>
        </w:rPr>
      </w:pPr>
    </w:p>
    <w:p w14:paraId="7D276A90" w14:textId="4A97007E" w:rsidR="00822ADE" w:rsidRDefault="00822ADE">
      <w:pPr>
        <w:rPr>
          <w:rFonts w:cs="Arial"/>
          <w:b/>
          <w:bCs/>
          <w:sz w:val="28"/>
          <w:szCs w:val="28"/>
        </w:rPr>
      </w:pPr>
    </w:p>
    <w:p w14:paraId="1DFAB6F8" w14:textId="6A1666D6" w:rsidR="00822ADE" w:rsidRDefault="00822ADE">
      <w:pPr>
        <w:rPr>
          <w:rFonts w:cs="Arial"/>
          <w:b/>
          <w:bCs/>
          <w:sz w:val="28"/>
          <w:szCs w:val="28"/>
        </w:rPr>
      </w:pPr>
    </w:p>
    <w:p w14:paraId="78740FD5" w14:textId="0B8C63BF" w:rsidR="00822ADE" w:rsidRDefault="00822ADE">
      <w:pPr>
        <w:rPr>
          <w:rFonts w:cs="Arial"/>
          <w:b/>
          <w:bCs/>
          <w:sz w:val="28"/>
          <w:szCs w:val="28"/>
        </w:rPr>
      </w:pPr>
    </w:p>
    <w:p w14:paraId="23DB5687" w14:textId="5934C2E1" w:rsidR="00822ADE" w:rsidRDefault="00822ADE">
      <w:pPr>
        <w:rPr>
          <w:rFonts w:cs="Arial"/>
          <w:b/>
          <w:bCs/>
          <w:sz w:val="28"/>
          <w:szCs w:val="28"/>
        </w:rPr>
      </w:pPr>
    </w:p>
    <w:p w14:paraId="58250EF3" w14:textId="3D6D6772" w:rsidR="00822ADE" w:rsidRDefault="00822ADE">
      <w:pPr>
        <w:rPr>
          <w:rFonts w:cs="Arial"/>
          <w:b/>
          <w:bCs/>
          <w:sz w:val="28"/>
          <w:szCs w:val="28"/>
        </w:rPr>
      </w:pPr>
    </w:p>
    <w:p w14:paraId="29265130" w14:textId="4060A3E2" w:rsidR="00822ADE" w:rsidRDefault="00822ADE">
      <w:pPr>
        <w:rPr>
          <w:rFonts w:cs="Arial"/>
          <w:b/>
          <w:bCs/>
          <w:sz w:val="28"/>
          <w:szCs w:val="28"/>
        </w:rPr>
      </w:pPr>
    </w:p>
    <w:p w14:paraId="567BE13A" w14:textId="1703006F" w:rsidR="00822ADE" w:rsidRDefault="00822ADE">
      <w:pPr>
        <w:rPr>
          <w:rFonts w:cs="Arial"/>
          <w:b/>
          <w:bCs/>
          <w:sz w:val="28"/>
          <w:szCs w:val="28"/>
        </w:rPr>
      </w:pPr>
    </w:p>
    <w:p w14:paraId="693452F3" w14:textId="05C239BA" w:rsidR="00822ADE" w:rsidRDefault="00822ADE">
      <w:pPr>
        <w:rPr>
          <w:rFonts w:cs="Arial"/>
          <w:b/>
          <w:bCs/>
          <w:sz w:val="28"/>
          <w:szCs w:val="28"/>
        </w:rPr>
      </w:pPr>
    </w:p>
    <w:p w14:paraId="072D571C" w14:textId="77728BA4" w:rsidR="00822ADE" w:rsidRDefault="00822ADE">
      <w:pPr>
        <w:rPr>
          <w:rFonts w:cs="Arial"/>
          <w:b/>
          <w:bCs/>
          <w:sz w:val="28"/>
          <w:szCs w:val="28"/>
        </w:rPr>
      </w:pPr>
    </w:p>
    <w:p w14:paraId="00640440" w14:textId="1803AD7F" w:rsidR="00B658F9" w:rsidRDefault="00B658F9">
      <w:pPr>
        <w:rPr>
          <w:rFonts w:cs="Arial"/>
          <w:b/>
          <w:bCs/>
          <w:sz w:val="28"/>
          <w:szCs w:val="28"/>
        </w:rPr>
      </w:pPr>
    </w:p>
    <w:p w14:paraId="05CFAB8C" w14:textId="619778F2" w:rsidR="0079406E" w:rsidRPr="001E28F2" w:rsidRDefault="0079406E" w:rsidP="001E28F2">
      <w:pPr>
        <w:autoSpaceDE w:val="0"/>
        <w:autoSpaceDN w:val="0"/>
        <w:adjustRightInd w:val="0"/>
        <w:spacing w:after="0" w:line="240" w:lineRule="auto"/>
        <w:rPr>
          <w:rFonts w:cs="Arial"/>
          <w:b/>
          <w:bCs/>
          <w:sz w:val="28"/>
          <w:szCs w:val="28"/>
        </w:rPr>
      </w:pPr>
      <w:r w:rsidRPr="007F07C2">
        <w:rPr>
          <w:rFonts w:cs="Arial"/>
          <w:b/>
          <w:bCs/>
          <w:sz w:val="28"/>
          <w:szCs w:val="28"/>
        </w:rPr>
        <w:lastRenderedPageBreak/>
        <w:t xml:space="preserve">FIREFIGHTERS’ PENSION FUND ACCOUNT </w:t>
      </w:r>
    </w:p>
    <w:p w14:paraId="1D60128C" w14:textId="406EA41B" w:rsidR="00690669" w:rsidRDefault="0079406E" w:rsidP="00AC0108">
      <w:pPr>
        <w:autoSpaceDE w:val="0"/>
        <w:autoSpaceDN w:val="0"/>
        <w:adjustRightInd w:val="0"/>
        <w:spacing w:after="0" w:line="240" w:lineRule="auto"/>
        <w:rPr>
          <w:rFonts w:cs="Arial"/>
          <w:b/>
          <w:bCs/>
        </w:rPr>
      </w:pPr>
      <w:r w:rsidRPr="007F07C2">
        <w:rPr>
          <w:rFonts w:cs="Arial"/>
          <w:b/>
          <w:bCs/>
        </w:rPr>
        <w:t xml:space="preserve">FOR THE YEAR ENDED </w:t>
      </w:r>
      <w:r w:rsidR="00F10EBC" w:rsidRPr="007F07C2">
        <w:rPr>
          <w:rFonts w:cs="Arial"/>
          <w:b/>
          <w:bCs/>
        </w:rPr>
        <w:t>31 March 20</w:t>
      </w:r>
      <w:r w:rsidR="00D21A27" w:rsidRPr="007F07C2">
        <w:rPr>
          <w:rFonts w:cs="Arial"/>
          <w:b/>
          <w:bCs/>
        </w:rPr>
        <w:t>2</w:t>
      </w:r>
      <w:r w:rsidR="00690669">
        <w:rPr>
          <w:rFonts w:cs="Arial"/>
          <w:b/>
          <w:bCs/>
        </w:rPr>
        <w:t>2</w:t>
      </w:r>
    </w:p>
    <w:p w14:paraId="6F9A840F" w14:textId="77777777" w:rsidR="001E28F2" w:rsidRPr="007F07C2" w:rsidRDefault="001E28F2" w:rsidP="00AC0108">
      <w:pPr>
        <w:autoSpaceDE w:val="0"/>
        <w:autoSpaceDN w:val="0"/>
        <w:adjustRightInd w:val="0"/>
        <w:spacing w:after="0" w:line="240" w:lineRule="auto"/>
        <w:rPr>
          <w:rFonts w:cs="Arial"/>
          <w:b/>
          <w:bCs/>
        </w:rPr>
      </w:pPr>
    </w:p>
    <w:tbl>
      <w:tblPr>
        <w:tblW w:w="9060" w:type="dxa"/>
        <w:tblLook w:val="04A0" w:firstRow="1" w:lastRow="0" w:firstColumn="1" w:lastColumn="0" w:noHBand="0" w:noVBand="1"/>
      </w:tblPr>
      <w:tblGrid>
        <w:gridCol w:w="1556"/>
        <w:gridCol w:w="476"/>
        <w:gridCol w:w="4676"/>
        <w:gridCol w:w="936"/>
        <w:gridCol w:w="1416"/>
      </w:tblGrid>
      <w:tr w:rsidR="001D1C78" w:rsidRPr="001D1C78" w14:paraId="69A50362" w14:textId="77777777" w:rsidTr="001D1C78">
        <w:trPr>
          <w:trHeight w:val="300"/>
        </w:trPr>
        <w:tc>
          <w:tcPr>
            <w:tcW w:w="1556" w:type="dxa"/>
            <w:tcBorders>
              <w:top w:val="single" w:sz="4" w:space="0" w:color="auto"/>
              <w:left w:val="nil"/>
              <w:bottom w:val="nil"/>
              <w:right w:val="nil"/>
            </w:tcBorders>
            <w:shd w:val="clear" w:color="000000" w:fill="C00000"/>
            <w:noWrap/>
            <w:vAlign w:val="bottom"/>
            <w:hideMark/>
          </w:tcPr>
          <w:p w14:paraId="24ACE3A6"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76" w:type="dxa"/>
            <w:tcBorders>
              <w:top w:val="single" w:sz="4" w:space="0" w:color="auto"/>
              <w:left w:val="nil"/>
              <w:bottom w:val="nil"/>
              <w:right w:val="nil"/>
            </w:tcBorders>
            <w:shd w:val="clear" w:color="000000" w:fill="C00000"/>
            <w:noWrap/>
            <w:vAlign w:val="bottom"/>
            <w:hideMark/>
          </w:tcPr>
          <w:p w14:paraId="17A62B27"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nil"/>
              <w:right w:val="nil"/>
            </w:tcBorders>
            <w:shd w:val="clear" w:color="000000" w:fill="C00000"/>
            <w:noWrap/>
            <w:vAlign w:val="bottom"/>
            <w:hideMark/>
          </w:tcPr>
          <w:p w14:paraId="5CD23475"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single" w:sz="4" w:space="0" w:color="auto"/>
              <w:left w:val="nil"/>
              <w:bottom w:val="nil"/>
              <w:right w:val="nil"/>
            </w:tcBorders>
            <w:shd w:val="clear" w:color="000000" w:fill="C00000"/>
            <w:noWrap/>
            <w:vAlign w:val="bottom"/>
            <w:hideMark/>
          </w:tcPr>
          <w:p w14:paraId="07335CAD"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single" w:sz="4" w:space="0" w:color="auto"/>
              <w:left w:val="nil"/>
              <w:bottom w:val="nil"/>
              <w:right w:val="nil"/>
            </w:tcBorders>
            <w:shd w:val="clear" w:color="000000" w:fill="C00000"/>
            <w:noWrap/>
            <w:vAlign w:val="bottom"/>
            <w:hideMark/>
          </w:tcPr>
          <w:p w14:paraId="5877091A"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r>
      <w:tr w:rsidR="001D1C78" w:rsidRPr="001D1C78" w14:paraId="34AC11CD" w14:textId="77777777" w:rsidTr="001D1C78">
        <w:trPr>
          <w:trHeight w:val="300"/>
        </w:trPr>
        <w:tc>
          <w:tcPr>
            <w:tcW w:w="1556" w:type="dxa"/>
            <w:tcBorders>
              <w:top w:val="nil"/>
              <w:left w:val="nil"/>
              <w:bottom w:val="nil"/>
              <w:right w:val="nil"/>
            </w:tcBorders>
            <w:shd w:val="clear" w:color="000000" w:fill="C00000"/>
            <w:noWrap/>
            <w:vAlign w:val="bottom"/>
            <w:hideMark/>
          </w:tcPr>
          <w:p w14:paraId="7A7FB7BD" w14:textId="4B7FA23B"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2020</w:t>
            </w:r>
            <w:r w:rsidR="0039276D">
              <w:rPr>
                <w:rFonts w:ascii="Calibri" w:eastAsia="Times New Roman" w:hAnsi="Calibri" w:cs="Calibri"/>
                <w:b/>
                <w:bCs/>
                <w:color w:val="FFFFFF"/>
                <w:lang w:eastAsia="en-GB"/>
              </w:rPr>
              <w:t>/</w:t>
            </w:r>
            <w:r w:rsidRPr="001D1C78">
              <w:rPr>
                <w:rFonts w:ascii="Calibri" w:eastAsia="Times New Roman" w:hAnsi="Calibri" w:cs="Calibri"/>
                <w:b/>
                <w:bCs/>
                <w:color w:val="FFFFFF"/>
                <w:lang w:eastAsia="en-GB"/>
              </w:rPr>
              <w:t>21</w:t>
            </w:r>
          </w:p>
        </w:tc>
        <w:tc>
          <w:tcPr>
            <w:tcW w:w="476" w:type="dxa"/>
            <w:tcBorders>
              <w:top w:val="nil"/>
              <w:left w:val="nil"/>
              <w:bottom w:val="nil"/>
              <w:right w:val="nil"/>
            </w:tcBorders>
            <w:shd w:val="clear" w:color="000000" w:fill="C00000"/>
            <w:noWrap/>
            <w:vAlign w:val="bottom"/>
            <w:hideMark/>
          </w:tcPr>
          <w:p w14:paraId="10B8D881"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1E5696A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nil"/>
              <w:left w:val="nil"/>
              <w:bottom w:val="nil"/>
              <w:right w:val="nil"/>
            </w:tcBorders>
            <w:shd w:val="clear" w:color="000000" w:fill="C00000"/>
            <w:noWrap/>
            <w:vAlign w:val="bottom"/>
            <w:hideMark/>
          </w:tcPr>
          <w:p w14:paraId="7ADEF4B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nil"/>
              <w:left w:val="nil"/>
              <w:bottom w:val="nil"/>
              <w:right w:val="nil"/>
            </w:tcBorders>
            <w:shd w:val="clear" w:color="000000" w:fill="C00000"/>
            <w:noWrap/>
            <w:vAlign w:val="bottom"/>
            <w:hideMark/>
          </w:tcPr>
          <w:p w14:paraId="565FCF99" w14:textId="283BB46F"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2021</w:t>
            </w:r>
            <w:r w:rsidR="0039276D">
              <w:rPr>
                <w:rFonts w:ascii="Calibri" w:eastAsia="Times New Roman" w:hAnsi="Calibri" w:cs="Calibri"/>
                <w:b/>
                <w:bCs/>
                <w:color w:val="FFFFFF"/>
                <w:lang w:eastAsia="en-GB"/>
              </w:rPr>
              <w:t>/</w:t>
            </w:r>
            <w:r w:rsidRPr="001D1C78">
              <w:rPr>
                <w:rFonts w:ascii="Calibri" w:eastAsia="Times New Roman" w:hAnsi="Calibri" w:cs="Calibri"/>
                <w:b/>
                <w:bCs/>
                <w:color w:val="FFFFFF"/>
                <w:lang w:eastAsia="en-GB"/>
              </w:rPr>
              <w:t>22</w:t>
            </w:r>
          </w:p>
        </w:tc>
      </w:tr>
      <w:tr w:rsidR="001D1C78" w:rsidRPr="001D1C78" w14:paraId="3935A922" w14:textId="77777777" w:rsidTr="001D1C78">
        <w:trPr>
          <w:trHeight w:val="300"/>
        </w:trPr>
        <w:tc>
          <w:tcPr>
            <w:tcW w:w="1556" w:type="dxa"/>
            <w:tcBorders>
              <w:top w:val="nil"/>
              <w:left w:val="nil"/>
              <w:bottom w:val="nil"/>
              <w:right w:val="nil"/>
            </w:tcBorders>
            <w:shd w:val="clear" w:color="000000" w:fill="C00000"/>
            <w:noWrap/>
            <w:vAlign w:val="bottom"/>
            <w:hideMark/>
          </w:tcPr>
          <w:p w14:paraId="4833AA8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c>
          <w:tcPr>
            <w:tcW w:w="476" w:type="dxa"/>
            <w:tcBorders>
              <w:top w:val="nil"/>
              <w:left w:val="nil"/>
              <w:bottom w:val="nil"/>
              <w:right w:val="nil"/>
            </w:tcBorders>
            <w:shd w:val="clear" w:color="000000" w:fill="C00000"/>
            <w:noWrap/>
            <w:vAlign w:val="bottom"/>
            <w:hideMark/>
          </w:tcPr>
          <w:p w14:paraId="0122F590"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35333EF9"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nil"/>
              <w:left w:val="nil"/>
              <w:bottom w:val="nil"/>
              <w:right w:val="nil"/>
            </w:tcBorders>
            <w:shd w:val="clear" w:color="000000" w:fill="C00000"/>
            <w:noWrap/>
            <w:vAlign w:val="bottom"/>
            <w:hideMark/>
          </w:tcPr>
          <w:p w14:paraId="0A03B000"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Note</w:t>
            </w:r>
          </w:p>
        </w:tc>
        <w:tc>
          <w:tcPr>
            <w:tcW w:w="1416" w:type="dxa"/>
            <w:tcBorders>
              <w:top w:val="nil"/>
              <w:left w:val="nil"/>
              <w:bottom w:val="nil"/>
              <w:right w:val="nil"/>
            </w:tcBorders>
            <w:shd w:val="clear" w:color="000000" w:fill="C00000"/>
            <w:noWrap/>
            <w:vAlign w:val="bottom"/>
            <w:hideMark/>
          </w:tcPr>
          <w:p w14:paraId="4A83B14D"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r>
      <w:tr w:rsidR="001D1C78" w:rsidRPr="001D1C78" w14:paraId="45A80757"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AA64A87"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5152" w:type="dxa"/>
            <w:gridSpan w:val="2"/>
            <w:tcBorders>
              <w:top w:val="nil"/>
              <w:left w:val="nil"/>
              <w:bottom w:val="nil"/>
              <w:right w:val="nil"/>
            </w:tcBorders>
            <w:shd w:val="clear" w:color="000000" w:fill="FFFFFF"/>
            <w:noWrap/>
            <w:vAlign w:val="bottom"/>
            <w:hideMark/>
          </w:tcPr>
          <w:p w14:paraId="3885FA5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Income To The Fund</w:t>
            </w:r>
          </w:p>
        </w:tc>
        <w:tc>
          <w:tcPr>
            <w:tcW w:w="936" w:type="dxa"/>
            <w:tcBorders>
              <w:top w:val="nil"/>
              <w:left w:val="nil"/>
              <w:bottom w:val="nil"/>
              <w:right w:val="nil"/>
            </w:tcBorders>
            <w:shd w:val="clear" w:color="000000" w:fill="FFFFFF"/>
            <w:noWrap/>
            <w:vAlign w:val="bottom"/>
            <w:hideMark/>
          </w:tcPr>
          <w:p w14:paraId="06E147D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0B8D454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AD2E5E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A2E7E2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44AB81E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2A44B6D"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Income to the Fund</w:t>
            </w:r>
          </w:p>
        </w:tc>
        <w:tc>
          <w:tcPr>
            <w:tcW w:w="936" w:type="dxa"/>
            <w:tcBorders>
              <w:top w:val="nil"/>
              <w:left w:val="nil"/>
              <w:bottom w:val="nil"/>
              <w:right w:val="nil"/>
            </w:tcBorders>
            <w:shd w:val="clear" w:color="000000" w:fill="FFFFFF"/>
            <w:noWrap/>
            <w:vAlign w:val="bottom"/>
            <w:hideMark/>
          </w:tcPr>
          <w:p w14:paraId="73EE3E68"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5DD034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266A3BF"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7CA8A1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6021410B"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4676" w:type="dxa"/>
            <w:tcBorders>
              <w:top w:val="nil"/>
              <w:left w:val="nil"/>
              <w:bottom w:val="nil"/>
              <w:right w:val="nil"/>
            </w:tcBorders>
            <w:shd w:val="clear" w:color="000000" w:fill="FFFFFF"/>
            <w:noWrap/>
            <w:vAlign w:val="bottom"/>
            <w:hideMark/>
          </w:tcPr>
          <w:p w14:paraId="76C919E9"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Contributions Receivable</w:t>
            </w:r>
          </w:p>
        </w:tc>
        <w:tc>
          <w:tcPr>
            <w:tcW w:w="936" w:type="dxa"/>
            <w:tcBorders>
              <w:top w:val="nil"/>
              <w:left w:val="nil"/>
              <w:bottom w:val="nil"/>
              <w:right w:val="nil"/>
            </w:tcBorders>
            <w:shd w:val="clear" w:color="000000" w:fill="FFFFFF"/>
            <w:noWrap/>
            <w:vAlign w:val="bottom"/>
            <w:hideMark/>
          </w:tcPr>
          <w:p w14:paraId="1BF3F476"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78F60D3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6EC8EF40"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06A48E1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71EAADB6"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53171E45"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From Employer</w:t>
            </w:r>
          </w:p>
        </w:tc>
        <w:tc>
          <w:tcPr>
            <w:tcW w:w="936" w:type="dxa"/>
            <w:tcBorders>
              <w:top w:val="nil"/>
              <w:left w:val="nil"/>
              <w:bottom w:val="nil"/>
              <w:right w:val="nil"/>
            </w:tcBorders>
            <w:shd w:val="clear" w:color="000000" w:fill="FFFFFF"/>
            <w:noWrap/>
            <w:vAlign w:val="bottom"/>
            <w:hideMark/>
          </w:tcPr>
          <w:p w14:paraId="38F12059"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572C3A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F2D8961"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2D8F67AE"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(2,861)</w:t>
            </w:r>
          </w:p>
        </w:tc>
        <w:tc>
          <w:tcPr>
            <w:tcW w:w="476" w:type="dxa"/>
            <w:tcBorders>
              <w:top w:val="nil"/>
              <w:left w:val="nil"/>
              <w:bottom w:val="nil"/>
              <w:right w:val="nil"/>
            </w:tcBorders>
            <w:shd w:val="clear" w:color="000000" w:fill="FFFFFF"/>
            <w:noWrap/>
            <w:vAlign w:val="bottom"/>
            <w:hideMark/>
          </w:tcPr>
          <w:p w14:paraId="71895AB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3D6B37BD" w14:textId="77777777" w:rsidR="001D1C78" w:rsidRPr="001D1C78" w:rsidRDefault="001D1C78" w:rsidP="001D1C78">
            <w:pPr>
              <w:spacing w:after="0" w:line="240" w:lineRule="auto"/>
              <w:ind w:firstLineChars="300" w:firstLine="660"/>
              <w:rPr>
                <w:rFonts w:ascii="Calibri" w:eastAsia="Times New Roman" w:hAnsi="Calibri" w:cs="Calibri"/>
                <w:color w:val="000000"/>
                <w:lang w:eastAsia="en-GB"/>
              </w:rPr>
            </w:pPr>
            <w:r w:rsidRPr="001D1C78">
              <w:rPr>
                <w:rFonts w:ascii="Calibri" w:eastAsia="Times New Roman" w:hAnsi="Calibri" w:cs="Calibri"/>
                <w:color w:val="000000"/>
                <w:lang w:eastAsia="en-GB"/>
              </w:rPr>
              <w:t>Normal Contributions</w:t>
            </w:r>
          </w:p>
        </w:tc>
        <w:tc>
          <w:tcPr>
            <w:tcW w:w="936" w:type="dxa"/>
            <w:tcBorders>
              <w:top w:val="nil"/>
              <w:left w:val="nil"/>
              <w:bottom w:val="nil"/>
              <w:right w:val="nil"/>
            </w:tcBorders>
            <w:shd w:val="clear" w:color="000000" w:fill="FFFFFF"/>
            <w:noWrap/>
            <w:vAlign w:val="bottom"/>
            <w:hideMark/>
          </w:tcPr>
          <w:p w14:paraId="55462C4B"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7 </w:t>
            </w:r>
          </w:p>
        </w:tc>
        <w:tc>
          <w:tcPr>
            <w:tcW w:w="1416" w:type="dxa"/>
            <w:tcBorders>
              <w:top w:val="nil"/>
              <w:left w:val="nil"/>
              <w:bottom w:val="nil"/>
              <w:right w:val="single" w:sz="4" w:space="0" w:color="auto"/>
            </w:tcBorders>
            <w:shd w:val="clear" w:color="000000" w:fill="FFCCCC"/>
            <w:noWrap/>
            <w:vAlign w:val="bottom"/>
            <w:hideMark/>
          </w:tcPr>
          <w:p w14:paraId="001E22E6"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(2,872)</w:t>
            </w:r>
          </w:p>
        </w:tc>
      </w:tr>
      <w:tr w:rsidR="001D1C78" w:rsidRPr="001D1C78" w14:paraId="0BD895D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30FC0E1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(1,242)</w:t>
            </w:r>
          </w:p>
        </w:tc>
        <w:tc>
          <w:tcPr>
            <w:tcW w:w="476" w:type="dxa"/>
            <w:tcBorders>
              <w:top w:val="nil"/>
              <w:left w:val="nil"/>
              <w:bottom w:val="nil"/>
              <w:right w:val="nil"/>
            </w:tcBorders>
            <w:shd w:val="clear" w:color="000000" w:fill="FFFFFF"/>
            <w:noWrap/>
            <w:vAlign w:val="bottom"/>
            <w:hideMark/>
          </w:tcPr>
          <w:p w14:paraId="50B4F43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490927B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From Members</w:t>
            </w:r>
          </w:p>
        </w:tc>
        <w:tc>
          <w:tcPr>
            <w:tcW w:w="936" w:type="dxa"/>
            <w:tcBorders>
              <w:top w:val="nil"/>
              <w:left w:val="nil"/>
              <w:bottom w:val="nil"/>
              <w:right w:val="nil"/>
            </w:tcBorders>
            <w:shd w:val="clear" w:color="000000" w:fill="FFFFFF"/>
            <w:noWrap/>
            <w:vAlign w:val="bottom"/>
            <w:hideMark/>
          </w:tcPr>
          <w:p w14:paraId="7F4458A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9 </w:t>
            </w:r>
          </w:p>
        </w:tc>
        <w:tc>
          <w:tcPr>
            <w:tcW w:w="1416" w:type="dxa"/>
            <w:tcBorders>
              <w:top w:val="nil"/>
              <w:left w:val="nil"/>
              <w:bottom w:val="nil"/>
              <w:right w:val="single" w:sz="4" w:space="0" w:color="auto"/>
            </w:tcBorders>
            <w:shd w:val="clear" w:color="000000" w:fill="FFCCCC"/>
            <w:noWrap/>
            <w:vAlign w:val="bottom"/>
            <w:hideMark/>
          </w:tcPr>
          <w:p w14:paraId="7C094CE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(1,272)</w:t>
            </w:r>
          </w:p>
        </w:tc>
      </w:tr>
      <w:tr w:rsidR="001D1C78" w:rsidRPr="001D1C78" w14:paraId="1B284F21"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0EF8EAB8"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7E513C41"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D81784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3AF046E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2EDE246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6AE067B"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4705D2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15B3B6C2"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 </w:t>
            </w:r>
          </w:p>
        </w:tc>
        <w:tc>
          <w:tcPr>
            <w:tcW w:w="4676" w:type="dxa"/>
            <w:tcBorders>
              <w:top w:val="nil"/>
              <w:left w:val="nil"/>
              <w:bottom w:val="nil"/>
              <w:right w:val="nil"/>
            </w:tcBorders>
            <w:shd w:val="clear" w:color="000000" w:fill="FFFFFF"/>
            <w:noWrap/>
            <w:vAlign w:val="bottom"/>
            <w:hideMark/>
          </w:tcPr>
          <w:p w14:paraId="2A76EC7F"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Transfers in</w:t>
            </w:r>
          </w:p>
        </w:tc>
        <w:tc>
          <w:tcPr>
            <w:tcW w:w="936" w:type="dxa"/>
            <w:tcBorders>
              <w:top w:val="nil"/>
              <w:left w:val="nil"/>
              <w:bottom w:val="nil"/>
              <w:right w:val="nil"/>
            </w:tcBorders>
            <w:shd w:val="clear" w:color="000000" w:fill="FFFFFF"/>
            <w:noWrap/>
            <w:vAlign w:val="bottom"/>
            <w:hideMark/>
          </w:tcPr>
          <w:p w14:paraId="2F5B8A9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65DFD2F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0FE19105"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D3B7CF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(90)</w:t>
            </w:r>
          </w:p>
        </w:tc>
        <w:tc>
          <w:tcPr>
            <w:tcW w:w="476" w:type="dxa"/>
            <w:tcBorders>
              <w:top w:val="nil"/>
              <w:left w:val="nil"/>
              <w:bottom w:val="nil"/>
              <w:right w:val="nil"/>
            </w:tcBorders>
            <w:shd w:val="clear" w:color="000000" w:fill="FFFFFF"/>
            <w:noWrap/>
            <w:vAlign w:val="bottom"/>
            <w:hideMark/>
          </w:tcPr>
          <w:p w14:paraId="1E35F93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17A71CA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Individual transfers in from other schemes</w:t>
            </w:r>
          </w:p>
        </w:tc>
        <w:tc>
          <w:tcPr>
            <w:tcW w:w="936" w:type="dxa"/>
            <w:tcBorders>
              <w:top w:val="nil"/>
              <w:left w:val="nil"/>
              <w:bottom w:val="nil"/>
              <w:right w:val="nil"/>
            </w:tcBorders>
            <w:shd w:val="clear" w:color="000000" w:fill="FFFFFF"/>
            <w:noWrap/>
            <w:vAlign w:val="bottom"/>
            <w:hideMark/>
          </w:tcPr>
          <w:p w14:paraId="01042DA9"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85855D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(76)</w:t>
            </w:r>
          </w:p>
        </w:tc>
      </w:tr>
      <w:tr w:rsidR="001D1C78" w:rsidRPr="001D1C78" w14:paraId="22BC4E0B"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5B85141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1B6193F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9750F7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6AE01C2E"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2A5EE86"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AACBAE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2D0ABACA"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0FAC931B"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A941D5E"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Expenditure by the Fund</w:t>
            </w:r>
          </w:p>
        </w:tc>
        <w:tc>
          <w:tcPr>
            <w:tcW w:w="936" w:type="dxa"/>
            <w:tcBorders>
              <w:top w:val="nil"/>
              <w:left w:val="nil"/>
              <w:bottom w:val="nil"/>
              <w:right w:val="nil"/>
            </w:tcBorders>
            <w:shd w:val="clear" w:color="000000" w:fill="FFFFFF"/>
            <w:noWrap/>
            <w:vAlign w:val="bottom"/>
            <w:hideMark/>
          </w:tcPr>
          <w:p w14:paraId="4F377F9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F2648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2433A1F4"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F8AD26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3BB5E8B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4CADC312"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Benefits Payable</w:t>
            </w:r>
          </w:p>
        </w:tc>
        <w:tc>
          <w:tcPr>
            <w:tcW w:w="936" w:type="dxa"/>
            <w:tcBorders>
              <w:top w:val="nil"/>
              <w:left w:val="nil"/>
              <w:bottom w:val="nil"/>
              <w:right w:val="nil"/>
            </w:tcBorders>
            <w:shd w:val="clear" w:color="000000" w:fill="FFFFFF"/>
            <w:noWrap/>
            <w:vAlign w:val="bottom"/>
            <w:hideMark/>
          </w:tcPr>
          <w:p w14:paraId="4121566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6FD084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59B7BB92"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6BD8C16A"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7,211</w:t>
            </w:r>
          </w:p>
        </w:tc>
        <w:tc>
          <w:tcPr>
            <w:tcW w:w="476" w:type="dxa"/>
            <w:tcBorders>
              <w:top w:val="nil"/>
              <w:left w:val="nil"/>
              <w:bottom w:val="nil"/>
              <w:right w:val="nil"/>
            </w:tcBorders>
            <w:shd w:val="clear" w:color="000000" w:fill="FFFFFF"/>
            <w:noWrap/>
            <w:vAlign w:val="bottom"/>
            <w:hideMark/>
          </w:tcPr>
          <w:p w14:paraId="7580ED0D"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E12FB23"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Pensions including ill health</w:t>
            </w:r>
          </w:p>
        </w:tc>
        <w:tc>
          <w:tcPr>
            <w:tcW w:w="936" w:type="dxa"/>
            <w:tcBorders>
              <w:top w:val="nil"/>
              <w:left w:val="nil"/>
              <w:bottom w:val="nil"/>
              <w:right w:val="nil"/>
            </w:tcBorders>
            <w:shd w:val="clear" w:color="000000" w:fill="FFFFFF"/>
            <w:noWrap/>
            <w:vAlign w:val="bottom"/>
            <w:hideMark/>
          </w:tcPr>
          <w:p w14:paraId="693971D0"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5BD01B6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7,185</w:t>
            </w:r>
          </w:p>
        </w:tc>
      </w:tr>
      <w:tr w:rsidR="001D1C78" w:rsidRPr="001D1C78" w14:paraId="075596D8"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8A3AD9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2,196</w:t>
            </w:r>
          </w:p>
        </w:tc>
        <w:tc>
          <w:tcPr>
            <w:tcW w:w="476" w:type="dxa"/>
            <w:tcBorders>
              <w:top w:val="nil"/>
              <w:left w:val="nil"/>
              <w:bottom w:val="nil"/>
              <w:right w:val="nil"/>
            </w:tcBorders>
            <w:shd w:val="clear" w:color="000000" w:fill="FFFFFF"/>
            <w:noWrap/>
            <w:vAlign w:val="bottom"/>
            <w:hideMark/>
          </w:tcPr>
          <w:p w14:paraId="3A48A7F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5612" w:type="dxa"/>
            <w:gridSpan w:val="2"/>
            <w:tcBorders>
              <w:top w:val="nil"/>
              <w:left w:val="nil"/>
              <w:bottom w:val="nil"/>
              <w:right w:val="nil"/>
            </w:tcBorders>
            <w:shd w:val="clear" w:color="000000" w:fill="FFFFFF"/>
            <w:noWrap/>
            <w:vAlign w:val="bottom"/>
            <w:hideMark/>
          </w:tcPr>
          <w:p w14:paraId="105FBA1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Commutations and lump sum retirement benefits</w:t>
            </w:r>
          </w:p>
        </w:tc>
        <w:tc>
          <w:tcPr>
            <w:tcW w:w="1416" w:type="dxa"/>
            <w:tcBorders>
              <w:top w:val="nil"/>
              <w:left w:val="nil"/>
              <w:bottom w:val="nil"/>
              <w:right w:val="single" w:sz="4" w:space="0" w:color="auto"/>
            </w:tcBorders>
            <w:shd w:val="clear" w:color="000000" w:fill="FFCCCC"/>
            <w:noWrap/>
            <w:vAlign w:val="bottom"/>
            <w:hideMark/>
          </w:tcPr>
          <w:p w14:paraId="4371FF22" w14:textId="720694EF" w:rsidR="001D1C78" w:rsidRPr="001D1C78" w:rsidRDefault="0020717D"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1D1C78" w:rsidRPr="001D1C78">
              <w:rPr>
                <w:rFonts w:ascii="Calibri" w:eastAsia="Times New Roman" w:hAnsi="Calibri" w:cs="Calibri"/>
                <w:color w:val="000000"/>
                <w:lang w:eastAsia="en-GB"/>
              </w:rPr>
              <w:t>,</w:t>
            </w:r>
            <w:r>
              <w:rPr>
                <w:rFonts w:ascii="Calibri" w:eastAsia="Times New Roman" w:hAnsi="Calibri" w:cs="Calibri"/>
                <w:color w:val="000000"/>
                <w:lang w:eastAsia="en-GB"/>
              </w:rPr>
              <w:t>028</w:t>
            </w:r>
          </w:p>
        </w:tc>
      </w:tr>
      <w:tr w:rsidR="001D1C78" w:rsidRPr="001D1C78" w14:paraId="11F03DB6"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98887A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05C7F6F2"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63595217"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936" w:type="dxa"/>
            <w:tcBorders>
              <w:top w:val="nil"/>
              <w:left w:val="nil"/>
              <w:bottom w:val="nil"/>
              <w:right w:val="nil"/>
            </w:tcBorders>
            <w:shd w:val="clear" w:color="000000" w:fill="FFFFFF"/>
            <w:noWrap/>
            <w:vAlign w:val="bottom"/>
            <w:hideMark/>
          </w:tcPr>
          <w:p w14:paraId="74AF34B0"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008539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42214CFC"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487C1CF9"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76" w:type="dxa"/>
            <w:tcBorders>
              <w:top w:val="nil"/>
              <w:left w:val="nil"/>
              <w:bottom w:val="nil"/>
              <w:right w:val="nil"/>
            </w:tcBorders>
            <w:shd w:val="clear" w:color="000000" w:fill="FFFFFF"/>
            <w:noWrap/>
            <w:vAlign w:val="bottom"/>
            <w:hideMark/>
          </w:tcPr>
          <w:p w14:paraId="5C706817" w14:textId="77777777" w:rsidR="001D1C78" w:rsidRPr="001D1C78" w:rsidRDefault="001D1C78" w:rsidP="001D1C78">
            <w:pPr>
              <w:spacing w:after="0" w:line="240" w:lineRule="auto"/>
              <w:rPr>
                <w:rFonts w:ascii="Calibri" w:eastAsia="Times New Roman" w:hAnsi="Calibri" w:cs="Calibri"/>
                <w:b/>
                <w:bCs/>
                <w:color w:val="000000"/>
                <w:u w:val="single"/>
                <w:lang w:eastAsia="en-GB"/>
              </w:rPr>
            </w:pPr>
            <w:r w:rsidRPr="001D1C78">
              <w:rPr>
                <w:rFonts w:ascii="Calibri" w:eastAsia="Times New Roman" w:hAnsi="Calibri" w:cs="Calibri"/>
                <w:b/>
                <w:bCs/>
                <w:color w:val="000000"/>
                <w:u w:val="single"/>
                <w:lang w:eastAsia="en-GB"/>
              </w:rPr>
              <w:t> </w:t>
            </w:r>
          </w:p>
        </w:tc>
        <w:tc>
          <w:tcPr>
            <w:tcW w:w="4676" w:type="dxa"/>
            <w:tcBorders>
              <w:top w:val="nil"/>
              <w:left w:val="nil"/>
              <w:bottom w:val="nil"/>
              <w:right w:val="nil"/>
            </w:tcBorders>
            <w:shd w:val="clear" w:color="000000" w:fill="FFFFFF"/>
            <w:noWrap/>
            <w:vAlign w:val="bottom"/>
            <w:hideMark/>
          </w:tcPr>
          <w:p w14:paraId="5F56249A"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Payments to and on account of leavers</w:t>
            </w:r>
          </w:p>
        </w:tc>
        <w:tc>
          <w:tcPr>
            <w:tcW w:w="936" w:type="dxa"/>
            <w:tcBorders>
              <w:top w:val="nil"/>
              <w:left w:val="nil"/>
              <w:bottom w:val="nil"/>
              <w:right w:val="nil"/>
            </w:tcBorders>
            <w:shd w:val="clear" w:color="000000" w:fill="FFFFFF"/>
            <w:noWrap/>
            <w:vAlign w:val="bottom"/>
            <w:hideMark/>
          </w:tcPr>
          <w:p w14:paraId="06C71784"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1EDDE83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29D1CD35" w14:textId="77777777" w:rsidTr="001D1C78">
        <w:trPr>
          <w:trHeight w:val="300"/>
        </w:trPr>
        <w:tc>
          <w:tcPr>
            <w:tcW w:w="1556" w:type="dxa"/>
            <w:tcBorders>
              <w:top w:val="nil"/>
              <w:left w:val="single" w:sz="4" w:space="0" w:color="auto"/>
              <w:bottom w:val="single" w:sz="4" w:space="0" w:color="auto"/>
              <w:right w:val="nil"/>
            </w:tcBorders>
            <w:shd w:val="clear" w:color="000000" w:fill="FFFFFF"/>
            <w:noWrap/>
            <w:vAlign w:val="bottom"/>
            <w:hideMark/>
          </w:tcPr>
          <w:p w14:paraId="12932755"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4</w:t>
            </w:r>
          </w:p>
        </w:tc>
        <w:tc>
          <w:tcPr>
            <w:tcW w:w="476" w:type="dxa"/>
            <w:tcBorders>
              <w:top w:val="nil"/>
              <w:left w:val="nil"/>
              <w:bottom w:val="nil"/>
              <w:right w:val="nil"/>
            </w:tcBorders>
            <w:shd w:val="clear" w:color="000000" w:fill="FFFFFF"/>
            <w:noWrap/>
            <w:vAlign w:val="bottom"/>
            <w:hideMark/>
          </w:tcPr>
          <w:p w14:paraId="32589BCE"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0C5E02F5"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Individual transfers out to other schemes</w:t>
            </w:r>
          </w:p>
        </w:tc>
        <w:tc>
          <w:tcPr>
            <w:tcW w:w="936" w:type="dxa"/>
            <w:tcBorders>
              <w:top w:val="nil"/>
              <w:left w:val="nil"/>
              <w:bottom w:val="nil"/>
              <w:right w:val="nil"/>
            </w:tcBorders>
            <w:shd w:val="clear" w:color="000000" w:fill="FFFFFF"/>
            <w:noWrap/>
            <w:vAlign w:val="bottom"/>
            <w:hideMark/>
          </w:tcPr>
          <w:p w14:paraId="0DA431AC"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16" w:type="dxa"/>
            <w:tcBorders>
              <w:top w:val="nil"/>
              <w:left w:val="nil"/>
              <w:bottom w:val="single" w:sz="4" w:space="0" w:color="auto"/>
              <w:right w:val="single" w:sz="4" w:space="0" w:color="auto"/>
            </w:tcBorders>
            <w:shd w:val="clear" w:color="000000" w:fill="FFCCCC"/>
            <w:noWrap/>
            <w:vAlign w:val="bottom"/>
            <w:hideMark/>
          </w:tcPr>
          <w:p w14:paraId="6F123D9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w:t>
            </w:r>
          </w:p>
        </w:tc>
      </w:tr>
      <w:tr w:rsidR="001D1C78" w:rsidRPr="001D1C78" w14:paraId="1D14BD2E"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70BA2DC3" w14:textId="77777777"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5,218</w:t>
            </w:r>
          </w:p>
        </w:tc>
        <w:tc>
          <w:tcPr>
            <w:tcW w:w="476" w:type="dxa"/>
            <w:tcBorders>
              <w:top w:val="nil"/>
              <w:left w:val="nil"/>
              <w:bottom w:val="nil"/>
              <w:right w:val="nil"/>
            </w:tcBorders>
            <w:shd w:val="clear" w:color="000000" w:fill="FFFFFF"/>
            <w:noWrap/>
            <w:vAlign w:val="bottom"/>
            <w:hideMark/>
          </w:tcPr>
          <w:p w14:paraId="317A84EE"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4676" w:type="dxa"/>
            <w:tcBorders>
              <w:top w:val="nil"/>
              <w:left w:val="nil"/>
              <w:bottom w:val="nil"/>
              <w:right w:val="nil"/>
            </w:tcBorders>
            <w:shd w:val="clear" w:color="000000" w:fill="FFFFFF"/>
            <w:noWrap/>
            <w:vAlign w:val="bottom"/>
            <w:hideMark/>
          </w:tcPr>
          <w:p w14:paraId="444A784D" w14:textId="77777777" w:rsidR="001D1C78" w:rsidRPr="001D1C78" w:rsidRDefault="001D1C78" w:rsidP="001D1C78">
            <w:pPr>
              <w:spacing w:after="0" w:line="240" w:lineRule="auto"/>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Net amount payable for the year</w:t>
            </w:r>
          </w:p>
        </w:tc>
        <w:tc>
          <w:tcPr>
            <w:tcW w:w="936" w:type="dxa"/>
            <w:tcBorders>
              <w:top w:val="nil"/>
              <w:left w:val="nil"/>
              <w:bottom w:val="nil"/>
              <w:right w:val="nil"/>
            </w:tcBorders>
            <w:shd w:val="clear" w:color="000000" w:fill="FFFFFF"/>
            <w:noWrap/>
            <w:vAlign w:val="bottom"/>
            <w:hideMark/>
          </w:tcPr>
          <w:p w14:paraId="77F5F3A4" w14:textId="77777777"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 </w:t>
            </w:r>
          </w:p>
        </w:tc>
        <w:tc>
          <w:tcPr>
            <w:tcW w:w="1416" w:type="dxa"/>
            <w:tcBorders>
              <w:top w:val="nil"/>
              <w:left w:val="nil"/>
              <w:bottom w:val="nil"/>
              <w:right w:val="single" w:sz="4" w:space="0" w:color="auto"/>
            </w:tcBorders>
            <w:shd w:val="clear" w:color="000000" w:fill="FFCCCC"/>
            <w:noWrap/>
            <w:vAlign w:val="bottom"/>
            <w:hideMark/>
          </w:tcPr>
          <w:p w14:paraId="3190DA55" w14:textId="018C78DC" w:rsidR="001D1C78" w:rsidRPr="001D1C78" w:rsidRDefault="001D1C78" w:rsidP="001D1C78">
            <w:pPr>
              <w:spacing w:after="0" w:line="240" w:lineRule="auto"/>
              <w:jc w:val="right"/>
              <w:rPr>
                <w:rFonts w:ascii="Calibri" w:eastAsia="Times New Roman" w:hAnsi="Calibri" w:cs="Calibri"/>
                <w:b/>
                <w:bCs/>
                <w:color w:val="000000"/>
                <w:lang w:eastAsia="en-GB"/>
              </w:rPr>
            </w:pPr>
            <w:r w:rsidRPr="001D1C78">
              <w:rPr>
                <w:rFonts w:ascii="Calibri" w:eastAsia="Times New Roman" w:hAnsi="Calibri" w:cs="Calibri"/>
                <w:b/>
                <w:bCs/>
                <w:color w:val="000000"/>
                <w:lang w:eastAsia="en-GB"/>
              </w:rPr>
              <w:t>4,</w:t>
            </w:r>
            <w:r w:rsidR="0020717D">
              <w:rPr>
                <w:rFonts w:ascii="Calibri" w:eastAsia="Times New Roman" w:hAnsi="Calibri" w:cs="Calibri"/>
                <w:b/>
                <w:bCs/>
                <w:color w:val="000000"/>
                <w:lang w:eastAsia="en-GB"/>
              </w:rPr>
              <w:t>993</w:t>
            </w:r>
          </w:p>
        </w:tc>
      </w:tr>
      <w:tr w:rsidR="008A4C6C" w:rsidRPr="001D1C78" w14:paraId="4499C216" w14:textId="77777777" w:rsidTr="001D1C78">
        <w:trPr>
          <w:trHeight w:val="300"/>
        </w:trPr>
        <w:tc>
          <w:tcPr>
            <w:tcW w:w="1556" w:type="dxa"/>
            <w:tcBorders>
              <w:top w:val="nil"/>
              <w:left w:val="single" w:sz="4" w:space="0" w:color="auto"/>
              <w:bottom w:val="nil"/>
              <w:right w:val="nil"/>
            </w:tcBorders>
            <w:shd w:val="clear" w:color="000000" w:fill="FFFFFF"/>
            <w:noWrap/>
            <w:vAlign w:val="bottom"/>
          </w:tcPr>
          <w:p w14:paraId="2820A537" w14:textId="77777777" w:rsidR="008A4C6C" w:rsidRPr="001D1C78" w:rsidRDefault="008A4C6C" w:rsidP="001D1C78">
            <w:pPr>
              <w:spacing w:after="0" w:line="240" w:lineRule="auto"/>
              <w:jc w:val="right"/>
              <w:rPr>
                <w:rFonts w:ascii="Calibri" w:eastAsia="Times New Roman" w:hAnsi="Calibri" w:cs="Calibri"/>
                <w:color w:val="000000"/>
                <w:lang w:eastAsia="en-GB"/>
              </w:rPr>
            </w:pPr>
          </w:p>
        </w:tc>
        <w:tc>
          <w:tcPr>
            <w:tcW w:w="476" w:type="dxa"/>
            <w:tcBorders>
              <w:top w:val="nil"/>
              <w:left w:val="nil"/>
              <w:bottom w:val="nil"/>
              <w:right w:val="nil"/>
            </w:tcBorders>
            <w:shd w:val="clear" w:color="000000" w:fill="FFFFFF"/>
            <w:noWrap/>
            <w:vAlign w:val="bottom"/>
          </w:tcPr>
          <w:p w14:paraId="076EF3B2" w14:textId="77777777" w:rsidR="008A4C6C" w:rsidRPr="001D1C78" w:rsidRDefault="008A4C6C" w:rsidP="001D1C78">
            <w:pPr>
              <w:spacing w:after="0" w:line="240" w:lineRule="auto"/>
              <w:rPr>
                <w:rFonts w:ascii="Calibri" w:eastAsia="Times New Roman" w:hAnsi="Calibri" w:cs="Calibri"/>
                <w:color w:val="000000"/>
                <w:lang w:eastAsia="en-GB"/>
              </w:rPr>
            </w:pPr>
          </w:p>
        </w:tc>
        <w:tc>
          <w:tcPr>
            <w:tcW w:w="4676" w:type="dxa"/>
            <w:tcBorders>
              <w:top w:val="nil"/>
              <w:left w:val="nil"/>
              <w:bottom w:val="nil"/>
              <w:right w:val="nil"/>
            </w:tcBorders>
            <w:shd w:val="clear" w:color="000000" w:fill="FFFFFF"/>
            <w:noWrap/>
            <w:vAlign w:val="bottom"/>
          </w:tcPr>
          <w:p w14:paraId="4687966E" w14:textId="5C622D49" w:rsidR="008A4C6C" w:rsidRPr="00F65ECD" w:rsidRDefault="008A4C6C" w:rsidP="001D1C78">
            <w:pPr>
              <w:spacing w:after="0" w:line="240" w:lineRule="auto"/>
              <w:rPr>
                <w:rFonts w:ascii="Calibri" w:eastAsia="Times New Roman" w:hAnsi="Calibri" w:cs="Calibri"/>
                <w:color w:val="000000"/>
                <w:lang w:eastAsia="en-GB"/>
              </w:rPr>
            </w:pPr>
            <w:r w:rsidRPr="00F65ECD">
              <w:rPr>
                <w:rFonts w:ascii="Calibri" w:eastAsia="Times New Roman" w:hAnsi="Calibri" w:cs="Calibri"/>
                <w:color w:val="000000"/>
                <w:lang w:eastAsia="en-GB"/>
              </w:rPr>
              <w:t>Refund to be received from HMRC</w:t>
            </w:r>
          </w:p>
        </w:tc>
        <w:tc>
          <w:tcPr>
            <w:tcW w:w="936" w:type="dxa"/>
            <w:tcBorders>
              <w:top w:val="nil"/>
              <w:left w:val="nil"/>
              <w:bottom w:val="nil"/>
              <w:right w:val="nil"/>
            </w:tcBorders>
            <w:shd w:val="clear" w:color="000000" w:fill="FFFFFF"/>
            <w:noWrap/>
            <w:vAlign w:val="bottom"/>
          </w:tcPr>
          <w:p w14:paraId="5AA2DE97" w14:textId="77777777" w:rsidR="008A4C6C" w:rsidRPr="001D1C78" w:rsidRDefault="008A4C6C" w:rsidP="001D1C78">
            <w:pPr>
              <w:spacing w:after="0" w:line="240" w:lineRule="auto"/>
              <w:jc w:val="right"/>
              <w:rPr>
                <w:rFonts w:ascii="Calibri" w:eastAsia="Times New Roman" w:hAnsi="Calibri" w:cs="Calibri"/>
                <w:color w:val="000000"/>
                <w:lang w:eastAsia="en-GB"/>
              </w:rPr>
            </w:pPr>
          </w:p>
        </w:tc>
        <w:tc>
          <w:tcPr>
            <w:tcW w:w="1416" w:type="dxa"/>
            <w:tcBorders>
              <w:top w:val="nil"/>
              <w:left w:val="nil"/>
              <w:bottom w:val="nil"/>
              <w:right w:val="single" w:sz="4" w:space="0" w:color="auto"/>
            </w:tcBorders>
            <w:shd w:val="clear" w:color="000000" w:fill="FFCCCC"/>
            <w:noWrap/>
            <w:vAlign w:val="bottom"/>
          </w:tcPr>
          <w:p w14:paraId="35421E86" w14:textId="446E976C" w:rsidR="008A4C6C" w:rsidRPr="001D1C78" w:rsidRDefault="008A4C6C"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(541)</w:t>
            </w:r>
          </w:p>
        </w:tc>
      </w:tr>
      <w:tr w:rsidR="001D1C78" w:rsidRPr="001D1C78" w14:paraId="430C8A6E" w14:textId="77777777" w:rsidTr="001D1C78">
        <w:trPr>
          <w:trHeight w:val="300"/>
        </w:trPr>
        <w:tc>
          <w:tcPr>
            <w:tcW w:w="1556" w:type="dxa"/>
            <w:tcBorders>
              <w:top w:val="nil"/>
              <w:left w:val="single" w:sz="4" w:space="0" w:color="auto"/>
              <w:bottom w:val="nil"/>
              <w:right w:val="nil"/>
            </w:tcBorders>
            <w:shd w:val="clear" w:color="000000" w:fill="FFFFFF"/>
            <w:noWrap/>
            <w:vAlign w:val="bottom"/>
            <w:hideMark/>
          </w:tcPr>
          <w:p w14:paraId="3FAA606F"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(5,218)</w:t>
            </w:r>
          </w:p>
        </w:tc>
        <w:tc>
          <w:tcPr>
            <w:tcW w:w="476" w:type="dxa"/>
            <w:tcBorders>
              <w:top w:val="nil"/>
              <w:left w:val="nil"/>
              <w:bottom w:val="nil"/>
              <w:right w:val="nil"/>
            </w:tcBorders>
            <w:shd w:val="clear" w:color="000000" w:fill="FFFFFF"/>
            <w:noWrap/>
            <w:vAlign w:val="bottom"/>
            <w:hideMark/>
          </w:tcPr>
          <w:p w14:paraId="06424A2F"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noWrap/>
            <w:vAlign w:val="bottom"/>
            <w:hideMark/>
          </w:tcPr>
          <w:p w14:paraId="3824A7F8" w14:textId="77777777" w:rsidR="001D1C78" w:rsidRPr="00F65ECD" w:rsidRDefault="001D1C78" w:rsidP="001D1C78">
            <w:pPr>
              <w:spacing w:after="0" w:line="240" w:lineRule="auto"/>
              <w:rPr>
                <w:rFonts w:ascii="Calibri" w:eastAsia="Times New Roman" w:hAnsi="Calibri" w:cs="Calibri"/>
                <w:color w:val="000000"/>
                <w:lang w:eastAsia="en-GB"/>
              </w:rPr>
            </w:pPr>
            <w:r w:rsidRPr="00F65ECD">
              <w:rPr>
                <w:rFonts w:ascii="Calibri" w:eastAsia="Times New Roman" w:hAnsi="Calibri" w:cs="Calibri"/>
                <w:color w:val="000000"/>
                <w:lang w:eastAsia="en-GB"/>
              </w:rPr>
              <w:t>Top up grant receivable from Central Government</w:t>
            </w:r>
          </w:p>
        </w:tc>
        <w:tc>
          <w:tcPr>
            <w:tcW w:w="936" w:type="dxa"/>
            <w:tcBorders>
              <w:top w:val="nil"/>
              <w:left w:val="nil"/>
              <w:bottom w:val="nil"/>
              <w:right w:val="nil"/>
            </w:tcBorders>
            <w:shd w:val="clear" w:color="000000" w:fill="FFFFFF"/>
            <w:noWrap/>
            <w:vAlign w:val="bottom"/>
            <w:hideMark/>
          </w:tcPr>
          <w:p w14:paraId="714CA617"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 xml:space="preserve">             10 </w:t>
            </w:r>
          </w:p>
        </w:tc>
        <w:tc>
          <w:tcPr>
            <w:tcW w:w="1416" w:type="dxa"/>
            <w:tcBorders>
              <w:top w:val="nil"/>
              <w:left w:val="nil"/>
              <w:bottom w:val="nil"/>
              <w:right w:val="single" w:sz="4" w:space="0" w:color="auto"/>
            </w:tcBorders>
            <w:shd w:val="clear" w:color="000000" w:fill="FFCCCC"/>
            <w:noWrap/>
            <w:vAlign w:val="bottom"/>
            <w:hideMark/>
          </w:tcPr>
          <w:p w14:paraId="248CA7C2"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(4,452)</w:t>
            </w:r>
          </w:p>
        </w:tc>
      </w:tr>
      <w:tr w:rsidR="001D1C78" w:rsidRPr="001D1C78" w14:paraId="6A238496" w14:textId="77777777" w:rsidTr="001D1C78">
        <w:trPr>
          <w:trHeight w:val="300"/>
        </w:trPr>
        <w:tc>
          <w:tcPr>
            <w:tcW w:w="1556" w:type="dxa"/>
            <w:tcBorders>
              <w:top w:val="single" w:sz="4" w:space="0" w:color="auto"/>
              <w:left w:val="single" w:sz="4" w:space="0" w:color="auto"/>
              <w:bottom w:val="single" w:sz="4" w:space="0" w:color="auto"/>
              <w:right w:val="nil"/>
            </w:tcBorders>
            <w:shd w:val="clear" w:color="000000" w:fill="C00000"/>
            <w:noWrap/>
            <w:vAlign w:val="bottom"/>
            <w:hideMark/>
          </w:tcPr>
          <w:p w14:paraId="53276657"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c>
          <w:tcPr>
            <w:tcW w:w="476" w:type="dxa"/>
            <w:tcBorders>
              <w:top w:val="single" w:sz="4" w:space="0" w:color="auto"/>
              <w:left w:val="nil"/>
              <w:bottom w:val="single" w:sz="4" w:space="0" w:color="auto"/>
              <w:right w:val="nil"/>
            </w:tcBorders>
            <w:shd w:val="clear" w:color="000000" w:fill="C00000"/>
            <w:noWrap/>
            <w:vAlign w:val="bottom"/>
            <w:hideMark/>
          </w:tcPr>
          <w:p w14:paraId="298E0347"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single" w:sz="4" w:space="0" w:color="auto"/>
              <w:right w:val="nil"/>
            </w:tcBorders>
            <w:shd w:val="clear" w:color="000000" w:fill="C00000"/>
            <w:noWrap/>
            <w:vAlign w:val="bottom"/>
            <w:hideMark/>
          </w:tcPr>
          <w:p w14:paraId="4820954E"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Fund position for year</w:t>
            </w:r>
          </w:p>
        </w:tc>
        <w:tc>
          <w:tcPr>
            <w:tcW w:w="936" w:type="dxa"/>
            <w:tcBorders>
              <w:top w:val="single" w:sz="4" w:space="0" w:color="auto"/>
              <w:left w:val="nil"/>
              <w:bottom w:val="single" w:sz="4" w:space="0" w:color="auto"/>
              <w:right w:val="nil"/>
            </w:tcBorders>
            <w:shd w:val="clear" w:color="000000" w:fill="C00000"/>
            <w:noWrap/>
            <w:vAlign w:val="bottom"/>
            <w:hideMark/>
          </w:tcPr>
          <w:p w14:paraId="250CBB5D"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16" w:type="dxa"/>
            <w:tcBorders>
              <w:top w:val="single" w:sz="4" w:space="0" w:color="auto"/>
              <w:left w:val="nil"/>
              <w:bottom w:val="single" w:sz="4" w:space="0" w:color="auto"/>
              <w:right w:val="single" w:sz="4" w:space="0" w:color="auto"/>
            </w:tcBorders>
            <w:shd w:val="clear" w:color="000000" w:fill="C00000"/>
            <w:noWrap/>
            <w:vAlign w:val="bottom"/>
            <w:hideMark/>
          </w:tcPr>
          <w:p w14:paraId="747C9315"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r>
    </w:tbl>
    <w:p w14:paraId="6A2EA82A" w14:textId="12E56018" w:rsidR="006D0C7E" w:rsidRPr="007F07C2" w:rsidRDefault="006D0C7E" w:rsidP="00AC0108">
      <w:pPr>
        <w:autoSpaceDE w:val="0"/>
        <w:autoSpaceDN w:val="0"/>
        <w:adjustRightInd w:val="0"/>
        <w:spacing w:after="0" w:line="240" w:lineRule="auto"/>
      </w:pPr>
    </w:p>
    <w:p w14:paraId="1AF64B98" w14:textId="77777777" w:rsidR="00DC3F49" w:rsidRPr="007F07C2" w:rsidRDefault="00DC3F49" w:rsidP="00AC0108">
      <w:pPr>
        <w:autoSpaceDE w:val="0"/>
        <w:autoSpaceDN w:val="0"/>
        <w:adjustRightInd w:val="0"/>
        <w:spacing w:after="0" w:line="240" w:lineRule="auto"/>
      </w:pPr>
    </w:p>
    <w:p w14:paraId="495F8F1E" w14:textId="77777777" w:rsidR="00AC0108" w:rsidRPr="007F07C2" w:rsidRDefault="00AC0108" w:rsidP="00AC0108">
      <w:pPr>
        <w:autoSpaceDE w:val="0"/>
        <w:autoSpaceDN w:val="0"/>
        <w:adjustRightInd w:val="0"/>
        <w:spacing w:after="0" w:line="240" w:lineRule="auto"/>
        <w:rPr>
          <w:rFonts w:cs="Arial"/>
          <w:sz w:val="28"/>
          <w:szCs w:val="28"/>
        </w:rPr>
      </w:pPr>
      <w:r w:rsidRPr="007F07C2">
        <w:rPr>
          <w:rFonts w:cs="Arial"/>
          <w:b/>
          <w:bCs/>
          <w:sz w:val="28"/>
          <w:szCs w:val="28"/>
        </w:rPr>
        <w:t xml:space="preserve">FIREFIGHTERS’ PENSION FUND ACCOUNT </w:t>
      </w:r>
    </w:p>
    <w:p w14:paraId="720257A6" w14:textId="77777777" w:rsidR="00AC0108" w:rsidRPr="00ED2A06" w:rsidRDefault="00AC0108" w:rsidP="00AC0108">
      <w:pPr>
        <w:autoSpaceDE w:val="0"/>
        <w:autoSpaceDN w:val="0"/>
        <w:adjustRightInd w:val="0"/>
        <w:spacing w:after="0" w:line="240" w:lineRule="auto"/>
        <w:rPr>
          <w:rFonts w:cs="Arial"/>
          <w:b/>
          <w:bCs/>
        </w:rPr>
      </w:pPr>
      <w:r w:rsidRPr="00ED2A06">
        <w:rPr>
          <w:rFonts w:cs="Arial"/>
          <w:b/>
          <w:bCs/>
        </w:rPr>
        <w:t>Balance Sheet</w:t>
      </w:r>
    </w:p>
    <w:p w14:paraId="5EE96EC5" w14:textId="7C5B0C20" w:rsidR="00AC0108" w:rsidRPr="00ED2A06" w:rsidRDefault="0071298D" w:rsidP="00AC0108">
      <w:pPr>
        <w:autoSpaceDE w:val="0"/>
        <w:autoSpaceDN w:val="0"/>
        <w:adjustRightInd w:val="0"/>
        <w:spacing w:after="0" w:line="240" w:lineRule="auto"/>
        <w:rPr>
          <w:rFonts w:cs="Arial"/>
          <w:b/>
          <w:bCs/>
        </w:rPr>
      </w:pPr>
      <w:r w:rsidRPr="00ED2A06">
        <w:rPr>
          <w:rFonts w:cs="Arial"/>
          <w:b/>
          <w:bCs/>
        </w:rPr>
        <w:t>As at 31 March 202</w:t>
      </w:r>
      <w:r w:rsidR="00690669" w:rsidRPr="00ED2A06">
        <w:rPr>
          <w:rFonts w:cs="Arial"/>
          <w:b/>
          <w:bCs/>
        </w:rPr>
        <w:t>2</w:t>
      </w:r>
    </w:p>
    <w:p w14:paraId="3C4B51F6" w14:textId="77777777" w:rsidR="005064C1" w:rsidRPr="007F07C2" w:rsidRDefault="00AC0108" w:rsidP="0079406E">
      <w:pPr>
        <w:autoSpaceDE w:val="0"/>
        <w:autoSpaceDN w:val="0"/>
        <w:adjustRightInd w:val="0"/>
        <w:spacing w:after="0" w:line="240" w:lineRule="auto"/>
      </w:pPr>
      <w:r w:rsidRPr="007F07C2">
        <w:rPr>
          <w:rFonts w:cs="Arial"/>
          <w:b/>
          <w:bCs/>
        </w:rPr>
        <w:t xml:space="preserve"> </w:t>
      </w:r>
    </w:p>
    <w:tbl>
      <w:tblPr>
        <w:tblW w:w="9044" w:type="dxa"/>
        <w:tblLook w:val="04A0" w:firstRow="1" w:lastRow="0" w:firstColumn="1" w:lastColumn="0" w:noHBand="0" w:noVBand="1"/>
      </w:tblPr>
      <w:tblGrid>
        <w:gridCol w:w="1548"/>
        <w:gridCol w:w="476"/>
        <w:gridCol w:w="4676"/>
        <w:gridCol w:w="936"/>
        <w:gridCol w:w="1408"/>
      </w:tblGrid>
      <w:tr w:rsidR="001D1C78" w:rsidRPr="001D1C78" w14:paraId="360DFB6F" w14:textId="77777777" w:rsidTr="001D1C78">
        <w:trPr>
          <w:trHeight w:val="300"/>
        </w:trPr>
        <w:tc>
          <w:tcPr>
            <w:tcW w:w="1548" w:type="dxa"/>
            <w:tcBorders>
              <w:top w:val="single" w:sz="4" w:space="0" w:color="auto"/>
              <w:left w:val="single" w:sz="4" w:space="0" w:color="auto"/>
              <w:bottom w:val="nil"/>
              <w:right w:val="nil"/>
            </w:tcBorders>
            <w:shd w:val="clear" w:color="000000" w:fill="C00000"/>
            <w:noWrap/>
            <w:vAlign w:val="bottom"/>
            <w:hideMark/>
          </w:tcPr>
          <w:p w14:paraId="767A8B48"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31 March 2021</w:t>
            </w:r>
          </w:p>
        </w:tc>
        <w:tc>
          <w:tcPr>
            <w:tcW w:w="476" w:type="dxa"/>
            <w:tcBorders>
              <w:top w:val="single" w:sz="4" w:space="0" w:color="auto"/>
              <w:left w:val="nil"/>
              <w:bottom w:val="nil"/>
              <w:right w:val="nil"/>
            </w:tcBorders>
            <w:shd w:val="clear" w:color="000000" w:fill="C00000"/>
            <w:noWrap/>
            <w:vAlign w:val="bottom"/>
            <w:hideMark/>
          </w:tcPr>
          <w:p w14:paraId="563E2E3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nil"/>
              <w:right w:val="nil"/>
            </w:tcBorders>
            <w:shd w:val="clear" w:color="000000" w:fill="C00000"/>
            <w:noWrap/>
            <w:vAlign w:val="bottom"/>
            <w:hideMark/>
          </w:tcPr>
          <w:p w14:paraId="2A808EF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936" w:type="dxa"/>
            <w:tcBorders>
              <w:top w:val="single" w:sz="4" w:space="0" w:color="auto"/>
              <w:left w:val="nil"/>
              <w:bottom w:val="nil"/>
              <w:right w:val="nil"/>
            </w:tcBorders>
            <w:shd w:val="clear" w:color="000000" w:fill="C00000"/>
            <w:noWrap/>
            <w:vAlign w:val="bottom"/>
            <w:hideMark/>
          </w:tcPr>
          <w:p w14:paraId="20FA3590"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single" w:sz="4" w:space="0" w:color="auto"/>
              <w:left w:val="nil"/>
              <w:bottom w:val="nil"/>
              <w:right w:val="single" w:sz="4" w:space="0" w:color="auto"/>
            </w:tcBorders>
            <w:shd w:val="clear" w:color="000000" w:fill="C00000"/>
            <w:noWrap/>
            <w:vAlign w:val="bottom"/>
            <w:hideMark/>
          </w:tcPr>
          <w:p w14:paraId="39E58AE3"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31 March 2022</w:t>
            </w:r>
          </w:p>
        </w:tc>
      </w:tr>
      <w:tr w:rsidR="001D1C78" w:rsidRPr="001D1C78" w14:paraId="63B1A5D2" w14:textId="77777777" w:rsidTr="001D1C78">
        <w:trPr>
          <w:trHeight w:val="300"/>
        </w:trPr>
        <w:tc>
          <w:tcPr>
            <w:tcW w:w="1548" w:type="dxa"/>
            <w:tcBorders>
              <w:top w:val="nil"/>
              <w:left w:val="single" w:sz="4" w:space="0" w:color="auto"/>
              <w:bottom w:val="nil"/>
              <w:right w:val="nil"/>
            </w:tcBorders>
            <w:shd w:val="clear" w:color="000000" w:fill="C00000"/>
            <w:noWrap/>
            <w:vAlign w:val="bottom"/>
            <w:hideMark/>
          </w:tcPr>
          <w:p w14:paraId="5173AA6A"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c>
          <w:tcPr>
            <w:tcW w:w="476" w:type="dxa"/>
            <w:tcBorders>
              <w:top w:val="nil"/>
              <w:left w:val="nil"/>
              <w:bottom w:val="nil"/>
              <w:right w:val="nil"/>
            </w:tcBorders>
            <w:shd w:val="clear" w:color="000000" w:fill="C00000"/>
            <w:noWrap/>
            <w:vAlign w:val="bottom"/>
            <w:hideMark/>
          </w:tcPr>
          <w:p w14:paraId="5D5D7D39"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C00000"/>
            <w:noWrap/>
            <w:vAlign w:val="bottom"/>
            <w:hideMark/>
          </w:tcPr>
          <w:p w14:paraId="6699CFF1"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Current Assets and Liabilities</w:t>
            </w:r>
          </w:p>
        </w:tc>
        <w:tc>
          <w:tcPr>
            <w:tcW w:w="936" w:type="dxa"/>
            <w:tcBorders>
              <w:top w:val="nil"/>
              <w:left w:val="nil"/>
              <w:bottom w:val="nil"/>
              <w:right w:val="nil"/>
            </w:tcBorders>
            <w:shd w:val="clear" w:color="000000" w:fill="C00000"/>
            <w:noWrap/>
            <w:vAlign w:val="bottom"/>
            <w:hideMark/>
          </w:tcPr>
          <w:p w14:paraId="35CB4165"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Note</w:t>
            </w:r>
          </w:p>
        </w:tc>
        <w:tc>
          <w:tcPr>
            <w:tcW w:w="1408" w:type="dxa"/>
            <w:tcBorders>
              <w:top w:val="nil"/>
              <w:left w:val="nil"/>
              <w:bottom w:val="nil"/>
              <w:right w:val="single" w:sz="4" w:space="0" w:color="auto"/>
            </w:tcBorders>
            <w:shd w:val="clear" w:color="000000" w:fill="C00000"/>
            <w:noWrap/>
            <w:vAlign w:val="bottom"/>
            <w:hideMark/>
          </w:tcPr>
          <w:p w14:paraId="5198884C"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£000</w:t>
            </w:r>
          </w:p>
        </w:tc>
      </w:tr>
      <w:tr w:rsidR="001D1C78" w:rsidRPr="001D1C78" w14:paraId="3EC06140" w14:textId="77777777" w:rsidTr="001D1C78">
        <w:trPr>
          <w:trHeight w:val="300"/>
        </w:trPr>
        <w:tc>
          <w:tcPr>
            <w:tcW w:w="1548" w:type="dxa"/>
            <w:tcBorders>
              <w:top w:val="nil"/>
              <w:left w:val="single" w:sz="4" w:space="0" w:color="auto"/>
              <w:bottom w:val="nil"/>
              <w:right w:val="nil"/>
            </w:tcBorders>
            <w:shd w:val="clear" w:color="000000" w:fill="FFFFFF"/>
            <w:noWrap/>
            <w:vAlign w:val="center"/>
            <w:hideMark/>
          </w:tcPr>
          <w:p w14:paraId="31335DC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76" w:type="dxa"/>
            <w:tcBorders>
              <w:top w:val="nil"/>
              <w:left w:val="nil"/>
              <w:bottom w:val="nil"/>
              <w:right w:val="nil"/>
            </w:tcBorders>
            <w:shd w:val="clear" w:color="000000" w:fill="FFFFFF"/>
            <w:noWrap/>
            <w:vAlign w:val="center"/>
            <w:hideMark/>
          </w:tcPr>
          <w:p w14:paraId="1AA26C9F"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nil"/>
              <w:left w:val="nil"/>
              <w:bottom w:val="nil"/>
              <w:right w:val="nil"/>
            </w:tcBorders>
            <w:shd w:val="clear" w:color="000000" w:fill="FFFFFF"/>
            <w:noWrap/>
            <w:vAlign w:val="center"/>
            <w:hideMark/>
          </w:tcPr>
          <w:p w14:paraId="642DDFDC"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Net Current Assets and Liabilities</w:t>
            </w:r>
          </w:p>
        </w:tc>
        <w:tc>
          <w:tcPr>
            <w:tcW w:w="936" w:type="dxa"/>
            <w:tcBorders>
              <w:top w:val="nil"/>
              <w:left w:val="nil"/>
              <w:bottom w:val="nil"/>
              <w:right w:val="nil"/>
            </w:tcBorders>
            <w:shd w:val="clear" w:color="000000" w:fill="FFFFFF"/>
            <w:noWrap/>
            <w:vAlign w:val="center"/>
            <w:hideMark/>
          </w:tcPr>
          <w:p w14:paraId="4EF1DB6E"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nil"/>
              <w:left w:val="nil"/>
              <w:bottom w:val="nil"/>
              <w:right w:val="single" w:sz="4" w:space="0" w:color="auto"/>
            </w:tcBorders>
            <w:shd w:val="clear" w:color="000000" w:fill="FFCCCC"/>
            <w:noWrap/>
            <w:vAlign w:val="center"/>
            <w:hideMark/>
          </w:tcPr>
          <w:p w14:paraId="2F7BE301"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r>
      <w:tr w:rsidR="001D1C78" w:rsidRPr="001D1C78" w14:paraId="1B0368F6" w14:textId="77777777" w:rsidTr="003C3A4C">
        <w:trPr>
          <w:trHeight w:val="600"/>
        </w:trPr>
        <w:tc>
          <w:tcPr>
            <w:tcW w:w="1548" w:type="dxa"/>
            <w:tcBorders>
              <w:top w:val="nil"/>
              <w:left w:val="single" w:sz="4" w:space="0" w:color="auto"/>
              <w:bottom w:val="nil"/>
              <w:right w:val="nil"/>
            </w:tcBorders>
            <w:shd w:val="clear" w:color="000000" w:fill="FFFFFF"/>
            <w:noWrap/>
            <w:vAlign w:val="center"/>
            <w:hideMark/>
          </w:tcPr>
          <w:p w14:paraId="755F9D74" w14:textId="77777777" w:rsidR="001D1C78" w:rsidRPr="001D1C78" w:rsidRDefault="001D1C78" w:rsidP="003C3A4C">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873</w:t>
            </w:r>
          </w:p>
        </w:tc>
        <w:tc>
          <w:tcPr>
            <w:tcW w:w="476" w:type="dxa"/>
            <w:tcBorders>
              <w:top w:val="nil"/>
              <w:left w:val="nil"/>
              <w:bottom w:val="nil"/>
              <w:right w:val="nil"/>
            </w:tcBorders>
            <w:shd w:val="clear" w:color="000000" w:fill="FFFFFF"/>
            <w:noWrap/>
            <w:vAlign w:val="center"/>
            <w:hideMark/>
          </w:tcPr>
          <w:p w14:paraId="702856B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vAlign w:val="center"/>
            <w:hideMark/>
          </w:tcPr>
          <w:p w14:paraId="5694643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Top Up grant receivable from Central Government</w:t>
            </w:r>
          </w:p>
        </w:tc>
        <w:tc>
          <w:tcPr>
            <w:tcW w:w="936" w:type="dxa"/>
            <w:tcBorders>
              <w:top w:val="nil"/>
              <w:left w:val="nil"/>
              <w:bottom w:val="nil"/>
              <w:right w:val="nil"/>
            </w:tcBorders>
            <w:shd w:val="clear" w:color="000000" w:fill="FFFFFF"/>
            <w:noWrap/>
            <w:vAlign w:val="center"/>
            <w:hideMark/>
          </w:tcPr>
          <w:p w14:paraId="15D50D1D" w14:textId="77777777"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10</w:t>
            </w:r>
          </w:p>
        </w:tc>
        <w:tc>
          <w:tcPr>
            <w:tcW w:w="1408" w:type="dxa"/>
            <w:tcBorders>
              <w:top w:val="nil"/>
              <w:left w:val="nil"/>
              <w:bottom w:val="nil"/>
              <w:right w:val="single" w:sz="4" w:space="0" w:color="auto"/>
            </w:tcBorders>
            <w:shd w:val="clear" w:color="000000" w:fill="FFCCCC"/>
            <w:noWrap/>
            <w:vAlign w:val="center"/>
            <w:hideMark/>
          </w:tcPr>
          <w:p w14:paraId="2964CC6E" w14:textId="05052FEC" w:rsidR="001D1C78" w:rsidRPr="001D1C78" w:rsidRDefault="006B4FE4" w:rsidP="001D1C7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192</w:t>
            </w:r>
          </w:p>
        </w:tc>
      </w:tr>
      <w:tr w:rsidR="001D1C78" w:rsidRPr="001D1C78" w14:paraId="5EE232FB" w14:textId="77777777" w:rsidTr="003C3A4C">
        <w:trPr>
          <w:trHeight w:val="600"/>
        </w:trPr>
        <w:tc>
          <w:tcPr>
            <w:tcW w:w="1548" w:type="dxa"/>
            <w:tcBorders>
              <w:top w:val="nil"/>
              <w:left w:val="single" w:sz="4" w:space="0" w:color="auto"/>
              <w:bottom w:val="nil"/>
              <w:right w:val="nil"/>
            </w:tcBorders>
            <w:shd w:val="clear" w:color="000000" w:fill="FFFFFF"/>
            <w:noWrap/>
            <w:vAlign w:val="center"/>
            <w:hideMark/>
          </w:tcPr>
          <w:p w14:paraId="6CDE6667" w14:textId="77777777" w:rsidR="001D1C78" w:rsidRPr="001D1C78" w:rsidRDefault="001D1C78" w:rsidP="003C3A4C">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(873)</w:t>
            </w:r>
          </w:p>
        </w:tc>
        <w:tc>
          <w:tcPr>
            <w:tcW w:w="476" w:type="dxa"/>
            <w:tcBorders>
              <w:top w:val="nil"/>
              <w:left w:val="nil"/>
              <w:bottom w:val="nil"/>
              <w:right w:val="nil"/>
            </w:tcBorders>
            <w:shd w:val="clear" w:color="000000" w:fill="FFFFFF"/>
            <w:noWrap/>
            <w:vAlign w:val="center"/>
            <w:hideMark/>
          </w:tcPr>
          <w:p w14:paraId="2B0B70BC"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4676" w:type="dxa"/>
            <w:tcBorders>
              <w:top w:val="nil"/>
              <w:left w:val="nil"/>
              <w:bottom w:val="nil"/>
              <w:right w:val="nil"/>
            </w:tcBorders>
            <w:shd w:val="clear" w:color="000000" w:fill="FFFFFF"/>
            <w:vAlign w:val="center"/>
            <w:hideMark/>
          </w:tcPr>
          <w:p w14:paraId="70F0A4C0"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Amount Owing to Northamptonshire Fire &amp; Rescue</w:t>
            </w:r>
          </w:p>
        </w:tc>
        <w:tc>
          <w:tcPr>
            <w:tcW w:w="936" w:type="dxa"/>
            <w:tcBorders>
              <w:top w:val="nil"/>
              <w:left w:val="nil"/>
              <w:bottom w:val="nil"/>
              <w:right w:val="nil"/>
            </w:tcBorders>
            <w:shd w:val="clear" w:color="000000" w:fill="FFFFFF"/>
            <w:noWrap/>
            <w:vAlign w:val="center"/>
            <w:hideMark/>
          </w:tcPr>
          <w:p w14:paraId="5AED4C64" w14:textId="77777777" w:rsidR="001D1C78" w:rsidRPr="001D1C78" w:rsidRDefault="001D1C78" w:rsidP="001D1C78">
            <w:pPr>
              <w:spacing w:after="0" w:line="240" w:lineRule="auto"/>
              <w:rPr>
                <w:rFonts w:ascii="Calibri" w:eastAsia="Times New Roman" w:hAnsi="Calibri" w:cs="Calibri"/>
                <w:color w:val="000000"/>
                <w:lang w:eastAsia="en-GB"/>
              </w:rPr>
            </w:pPr>
            <w:r w:rsidRPr="001D1C78">
              <w:rPr>
                <w:rFonts w:ascii="Calibri" w:eastAsia="Times New Roman" w:hAnsi="Calibri" w:cs="Calibri"/>
                <w:color w:val="000000"/>
                <w:lang w:eastAsia="en-GB"/>
              </w:rPr>
              <w:t> </w:t>
            </w:r>
          </w:p>
        </w:tc>
        <w:tc>
          <w:tcPr>
            <w:tcW w:w="1408" w:type="dxa"/>
            <w:tcBorders>
              <w:top w:val="nil"/>
              <w:left w:val="nil"/>
              <w:bottom w:val="nil"/>
              <w:right w:val="single" w:sz="4" w:space="0" w:color="auto"/>
            </w:tcBorders>
            <w:shd w:val="clear" w:color="000000" w:fill="FFCCCC"/>
            <w:noWrap/>
            <w:vAlign w:val="center"/>
            <w:hideMark/>
          </w:tcPr>
          <w:p w14:paraId="5C986EDE" w14:textId="330C135B" w:rsidR="001D1C78" w:rsidRPr="001D1C78" w:rsidRDefault="001D1C78" w:rsidP="001D1C78">
            <w:pPr>
              <w:spacing w:after="0" w:line="240" w:lineRule="auto"/>
              <w:jc w:val="right"/>
              <w:rPr>
                <w:rFonts w:ascii="Calibri" w:eastAsia="Times New Roman" w:hAnsi="Calibri" w:cs="Calibri"/>
                <w:color w:val="000000"/>
                <w:lang w:eastAsia="en-GB"/>
              </w:rPr>
            </w:pPr>
            <w:r w:rsidRPr="001D1C78">
              <w:rPr>
                <w:rFonts w:ascii="Calibri" w:eastAsia="Times New Roman" w:hAnsi="Calibri" w:cs="Calibri"/>
                <w:color w:val="000000"/>
                <w:lang w:eastAsia="en-GB"/>
              </w:rPr>
              <w:t>(</w:t>
            </w:r>
            <w:r w:rsidR="006B4FE4">
              <w:rPr>
                <w:rFonts w:ascii="Calibri" w:eastAsia="Times New Roman" w:hAnsi="Calibri" w:cs="Calibri"/>
                <w:color w:val="000000"/>
                <w:lang w:eastAsia="en-GB"/>
              </w:rPr>
              <w:t>192</w:t>
            </w:r>
            <w:r w:rsidRPr="001D1C78">
              <w:rPr>
                <w:rFonts w:ascii="Calibri" w:eastAsia="Times New Roman" w:hAnsi="Calibri" w:cs="Calibri"/>
                <w:color w:val="000000"/>
                <w:lang w:eastAsia="en-GB"/>
              </w:rPr>
              <w:t>)</w:t>
            </w:r>
          </w:p>
        </w:tc>
      </w:tr>
      <w:tr w:rsidR="001D1C78" w:rsidRPr="001D1C78" w14:paraId="0F7B1752" w14:textId="77777777" w:rsidTr="001D1C78">
        <w:trPr>
          <w:trHeight w:val="300"/>
        </w:trPr>
        <w:tc>
          <w:tcPr>
            <w:tcW w:w="1548" w:type="dxa"/>
            <w:tcBorders>
              <w:top w:val="single" w:sz="4" w:space="0" w:color="auto"/>
              <w:left w:val="single" w:sz="4" w:space="0" w:color="auto"/>
              <w:bottom w:val="single" w:sz="4" w:space="0" w:color="auto"/>
              <w:right w:val="nil"/>
            </w:tcBorders>
            <w:shd w:val="clear" w:color="000000" w:fill="C00000"/>
            <w:noWrap/>
            <w:vAlign w:val="bottom"/>
            <w:hideMark/>
          </w:tcPr>
          <w:p w14:paraId="26CABC73"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c>
          <w:tcPr>
            <w:tcW w:w="476" w:type="dxa"/>
            <w:tcBorders>
              <w:top w:val="single" w:sz="4" w:space="0" w:color="auto"/>
              <w:left w:val="nil"/>
              <w:bottom w:val="single" w:sz="4" w:space="0" w:color="auto"/>
              <w:right w:val="nil"/>
            </w:tcBorders>
            <w:shd w:val="clear" w:color="000000" w:fill="C00000"/>
            <w:noWrap/>
            <w:vAlign w:val="bottom"/>
            <w:hideMark/>
          </w:tcPr>
          <w:p w14:paraId="4AAC4585"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4676" w:type="dxa"/>
            <w:tcBorders>
              <w:top w:val="single" w:sz="4" w:space="0" w:color="auto"/>
              <w:left w:val="nil"/>
              <w:bottom w:val="single" w:sz="4" w:space="0" w:color="auto"/>
              <w:right w:val="nil"/>
            </w:tcBorders>
            <w:shd w:val="clear" w:color="000000" w:fill="C00000"/>
            <w:noWrap/>
            <w:vAlign w:val="bottom"/>
            <w:hideMark/>
          </w:tcPr>
          <w:p w14:paraId="4DF3CC91"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Total</w:t>
            </w:r>
          </w:p>
        </w:tc>
        <w:tc>
          <w:tcPr>
            <w:tcW w:w="936" w:type="dxa"/>
            <w:tcBorders>
              <w:top w:val="single" w:sz="4" w:space="0" w:color="auto"/>
              <w:left w:val="nil"/>
              <w:bottom w:val="single" w:sz="4" w:space="0" w:color="auto"/>
              <w:right w:val="nil"/>
            </w:tcBorders>
            <w:shd w:val="clear" w:color="000000" w:fill="C00000"/>
            <w:noWrap/>
            <w:vAlign w:val="bottom"/>
            <w:hideMark/>
          </w:tcPr>
          <w:p w14:paraId="1CFBBAEF" w14:textId="77777777" w:rsidR="001D1C78" w:rsidRPr="001D1C78" w:rsidRDefault="001D1C78" w:rsidP="001D1C78">
            <w:pPr>
              <w:spacing w:after="0" w:line="240" w:lineRule="auto"/>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 </w:t>
            </w:r>
          </w:p>
        </w:tc>
        <w:tc>
          <w:tcPr>
            <w:tcW w:w="1408" w:type="dxa"/>
            <w:tcBorders>
              <w:top w:val="single" w:sz="4" w:space="0" w:color="auto"/>
              <w:left w:val="nil"/>
              <w:bottom w:val="single" w:sz="4" w:space="0" w:color="auto"/>
              <w:right w:val="single" w:sz="4" w:space="0" w:color="auto"/>
            </w:tcBorders>
            <w:shd w:val="clear" w:color="000000" w:fill="C00000"/>
            <w:noWrap/>
            <w:vAlign w:val="bottom"/>
            <w:hideMark/>
          </w:tcPr>
          <w:p w14:paraId="003F17A7" w14:textId="77777777" w:rsidR="001D1C78" w:rsidRPr="001D1C78" w:rsidRDefault="001D1C78" w:rsidP="001D1C78">
            <w:pPr>
              <w:spacing w:after="0" w:line="240" w:lineRule="auto"/>
              <w:jc w:val="right"/>
              <w:rPr>
                <w:rFonts w:ascii="Calibri" w:eastAsia="Times New Roman" w:hAnsi="Calibri" w:cs="Calibri"/>
                <w:b/>
                <w:bCs/>
                <w:color w:val="FFFFFF"/>
                <w:lang w:eastAsia="en-GB"/>
              </w:rPr>
            </w:pPr>
            <w:r w:rsidRPr="001D1C78">
              <w:rPr>
                <w:rFonts w:ascii="Calibri" w:eastAsia="Times New Roman" w:hAnsi="Calibri" w:cs="Calibri"/>
                <w:b/>
                <w:bCs/>
                <w:color w:val="FFFFFF"/>
                <w:lang w:eastAsia="en-GB"/>
              </w:rPr>
              <w:t>-</w:t>
            </w:r>
          </w:p>
        </w:tc>
      </w:tr>
    </w:tbl>
    <w:p w14:paraId="30940E67" w14:textId="41F05759" w:rsidR="00DC3F49" w:rsidRPr="007F07C2" w:rsidRDefault="00DC3F49" w:rsidP="0079406E">
      <w:pPr>
        <w:autoSpaceDE w:val="0"/>
        <w:autoSpaceDN w:val="0"/>
        <w:adjustRightInd w:val="0"/>
        <w:spacing w:after="0" w:line="240" w:lineRule="auto"/>
      </w:pPr>
    </w:p>
    <w:p w14:paraId="03BEC368" w14:textId="77777777" w:rsidR="001E28F2" w:rsidRDefault="001E28F2">
      <w:pPr>
        <w:rPr>
          <w:rFonts w:cs="Arial"/>
          <w:b/>
          <w:bCs/>
          <w:sz w:val="28"/>
          <w:szCs w:val="28"/>
        </w:rPr>
      </w:pPr>
      <w:r>
        <w:rPr>
          <w:rFonts w:cs="Arial"/>
          <w:b/>
          <w:bCs/>
          <w:sz w:val="28"/>
          <w:szCs w:val="28"/>
        </w:rPr>
        <w:br w:type="page"/>
      </w:r>
    </w:p>
    <w:p w14:paraId="59B86A22" w14:textId="097FB7E7" w:rsidR="0079406E" w:rsidRPr="0041448C" w:rsidRDefault="0079406E" w:rsidP="0041448C">
      <w:pPr>
        <w:rPr>
          <w:rFonts w:cs="Arial"/>
          <w:b/>
          <w:bCs/>
          <w:sz w:val="28"/>
          <w:szCs w:val="28"/>
        </w:rPr>
      </w:pPr>
      <w:r w:rsidRPr="007F07C2">
        <w:rPr>
          <w:rFonts w:cs="Arial"/>
          <w:b/>
          <w:bCs/>
          <w:sz w:val="28"/>
          <w:szCs w:val="28"/>
        </w:rPr>
        <w:lastRenderedPageBreak/>
        <w:t xml:space="preserve">NOTES TO FIREFIGHTERS’ PENSION FUND ACCOUNT </w:t>
      </w:r>
    </w:p>
    <w:p w14:paraId="12CC8EB8" w14:textId="77777777" w:rsidR="00292E31" w:rsidRPr="00ED2A06" w:rsidRDefault="00292E31" w:rsidP="00292E31">
      <w:pPr>
        <w:rPr>
          <w:b/>
        </w:rPr>
      </w:pPr>
      <w:r w:rsidRPr="00ED2A06">
        <w:rPr>
          <w:b/>
        </w:rPr>
        <w:t>Notes to the Firefighters Pension Fund Statement</w:t>
      </w:r>
      <w:r w:rsidRPr="00ED2A06">
        <w:rPr>
          <w:b/>
        </w:rPr>
        <w:tab/>
      </w:r>
      <w:r w:rsidRPr="00ED2A06">
        <w:rPr>
          <w:b/>
        </w:rPr>
        <w:tab/>
      </w:r>
      <w:r w:rsidRPr="00ED2A06">
        <w:rPr>
          <w:b/>
        </w:rPr>
        <w:tab/>
      </w:r>
      <w:r w:rsidRPr="00ED2A06">
        <w:rPr>
          <w:b/>
        </w:rPr>
        <w:tab/>
      </w:r>
      <w:r w:rsidRPr="00ED2A06">
        <w:rPr>
          <w:b/>
        </w:rPr>
        <w:tab/>
      </w:r>
      <w:r w:rsidRPr="00ED2A06">
        <w:rPr>
          <w:b/>
        </w:rPr>
        <w:tab/>
      </w:r>
      <w:r w:rsidRPr="00ED2A06">
        <w:rPr>
          <w:b/>
        </w:rPr>
        <w:tab/>
      </w:r>
    </w:p>
    <w:p w14:paraId="4C8BDFB1" w14:textId="77777777" w:rsidR="00292E31" w:rsidRPr="00ED2A06" w:rsidRDefault="00292E31" w:rsidP="00292E31">
      <w:r w:rsidRPr="00ED2A06">
        <w:rPr>
          <w:b/>
        </w:rPr>
        <w:t>1.   </w:t>
      </w:r>
      <w:r w:rsidRPr="00ED2A06">
        <w:t>This statement has been prepared in accordance with the Code of Practice on Local Authority Accounting in Great Britain.</w:t>
      </w:r>
      <w:r w:rsidRPr="00ED2A06">
        <w:tab/>
      </w:r>
      <w:r w:rsidRPr="00ED2A06">
        <w:tab/>
      </w:r>
      <w:r w:rsidRPr="00ED2A06">
        <w:tab/>
      </w:r>
      <w:r w:rsidRPr="00ED2A06">
        <w:tab/>
      </w:r>
      <w:r w:rsidRPr="00ED2A06">
        <w:tab/>
      </w:r>
      <w:r w:rsidRPr="00ED2A06">
        <w:tab/>
      </w:r>
      <w:r w:rsidRPr="00ED2A06">
        <w:tab/>
      </w:r>
      <w:r w:rsidRPr="00ED2A06">
        <w:tab/>
      </w:r>
      <w:r w:rsidRPr="00ED2A06">
        <w:tab/>
      </w:r>
    </w:p>
    <w:p w14:paraId="2D1161A5" w14:textId="77777777" w:rsidR="00292E31" w:rsidRPr="00ED2A06" w:rsidRDefault="00292E31" w:rsidP="00292E31">
      <w:r w:rsidRPr="00ED2A06">
        <w:rPr>
          <w:b/>
        </w:rPr>
        <w:t>2.  </w:t>
      </w:r>
      <w:r w:rsidRPr="00ED2A06">
        <w:t>Three pension schemes operate within the Fund, the 1992 scheme, the 20</w:t>
      </w:r>
      <w:r w:rsidR="00272F4E" w:rsidRPr="00ED2A06">
        <w:t>06 scheme, and the 2015 scheme</w:t>
      </w:r>
      <w:r w:rsidRPr="00ED2A06">
        <w:tab/>
      </w:r>
    </w:p>
    <w:p w14:paraId="0EDBB057" w14:textId="77777777" w:rsidR="00292E31" w:rsidRPr="00ED2A06" w:rsidRDefault="00292E31" w:rsidP="00292E31">
      <w:r w:rsidRPr="00ED2A06">
        <w:rPr>
          <w:b/>
        </w:rPr>
        <w:t>3.   </w:t>
      </w:r>
      <w:r w:rsidRPr="00ED2A06">
        <w:t>The Fund is administered and managed according to the statutory requirements set out in the 1992, 2006, and 2015 scheme legislation.</w:t>
      </w:r>
      <w:r w:rsidRPr="00ED2A06">
        <w:tab/>
      </w:r>
      <w:r w:rsidRPr="00ED2A06">
        <w:tab/>
      </w:r>
      <w:r w:rsidRPr="00ED2A06">
        <w:tab/>
      </w:r>
      <w:r w:rsidRPr="00ED2A06">
        <w:tab/>
      </w:r>
      <w:r w:rsidRPr="00ED2A06">
        <w:tab/>
      </w:r>
    </w:p>
    <w:p w14:paraId="1D08B254" w14:textId="77777777" w:rsidR="00292E31" w:rsidRPr="00ED2A06" w:rsidRDefault="00292E31" w:rsidP="00292E31">
      <w:r w:rsidRPr="00ED2A06">
        <w:rPr>
          <w:b/>
        </w:rPr>
        <w:t>4.   </w:t>
      </w:r>
      <w:r w:rsidRPr="00ED2A06">
        <w:t>The Firefighters Pension Schemes are unfunded and as such have no investment assets. They are funded through employee and employer contributions and Government grant.</w:t>
      </w:r>
      <w:r w:rsidRPr="00ED2A06">
        <w:tab/>
      </w:r>
      <w:r w:rsidRPr="00ED2A06">
        <w:tab/>
      </w:r>
    </w:p>
    <w:p w14:paraId="71AE073F" w14:textId="77777777" w:rsidR="00292E31" w:rsidRPr="00ED2A06" w:rsidRDefault="00292E31" w:rsidP="00292E31">
      <w:r w:rsidRPr="00ED2A06">
        <w:rPr>
          <w:b/>
        </w:rPr>
        <w:t>5.   </w:t>
      </w:r>
      <w:r w:rsidRPr="00ED2A06">
        <w:t xml:space="preserve">All firefighter pension related benefits are charged to the Firefighters Pension Fund Account with the exception of costs relating to non-member retirement on ill health grounds and all costs relating to injury pensions, which are charged to the Fire Service Operating Account (revenue). </w:t>
      </w:r>
    </w:p>
    <w:p w14:paraId="3C58E7B6" w14:textId="77777777" w:rsidR="00292E31" w:rsidRPr="00ED2A06" w:rsidRDefault="00292E31" w:rsidP="00292E31">
      <w:r w:rsidRPr="00ED2A06">
        <w:rPr>
          <w:b/>
        </w:rPr>
        <w:t>6. </w:t>
      </w:r>
      <w:r w:rsidRPr="00ED2A06">
        <w:t> The Fund Account captures income and liabilities relevant to the period shown and therefore does not take account of liabilities to pay pensions and other benefits after the period end.</w:t>
      </w:r>
      <w:r w:rsidRPr="00ED2A06">
        <w:tab/>
      </w:r>
    </w:p>
    <w:p w14:paraId="39BDF348" w14:textId="77777777" w:rsidR="00292E31" w:rsidRPr="00ED2A06" w:rsidRDefault="00292E31" w:rsidP="00292E31">
      <w:r w:rsidRPr="00ED2A06">
        <w:rPr>
          <w:b/>
        </w:rPr>
        <w:t>7.</w:t>
      </w:r>
      <w:r w:rsidRPr="00ED2A06">
        <w:t>   Normal Employer contributions a</w:t>
      </w:r>
      <w:r w:rsidR="00272F4E" w:rsidRPr="00ED2A06">
        <w:t>re made as follows:</w:t>
      </w:r>
      <w:r w:rsidR="00272F4E" w:rsidRPr="00ED2A06">
        <w:tab/>
      </w:r>
      <w:r w:rsidR="00272F4E" w:rsidRPr="00ED2A06">
        <w:tab/>
      </w:r>
      <w:r w:rsidR="00272F4E" w:rsidRPr="00ED2A06">
        <w:tab/>
      </w:r>
      <w:r w:rsidR="00272F4E" w:rsidRPr="00ED2A06">
        <w:tab/>
      </w:r>
      <w:r w:rsidR="00272F4E" w:rsidRPr="00ED2A06">
        <w:tab/>
      </w:r>
      <w:r w:rsidR="00272F4E" w:rsidRPr="00ED2A06">
        <w:tab/>
      </w:r>
      <w:r w:rsidR="00272F4E" w:rsidRPr="00ED2A06">
        <w:tab/>
      </w:r>
    </w:p>
    <w:p w14:paraId="472AD38B" w14:textId="229FB064" w:rsidR="00292E31" w:rsidRPr="00ED2A06" w:rsidRDefault="00292E31" w:rsidP="001D1C78">
      <w:pPr>
        <w:pStyle w:val="ListParagraph"/>
        <w:numPr>
          <w:ilvl w:val="0"/>
          <w:numId w:val="30"/>
        </w:numPr>
      </w:pPr>
      <w:r w:rsidRPr="00ED2A06">
        <w:t xml:space="preserve">1992 scheme </w:t>
      </w:r>
      <w:r w:rsidR="00E86912" w:rsidRPr="00ED2A06">
        <w:t>37.3%</w:t>
      </w:r>
      <w:r w:rsidRPr="00ED2A06">
        <w:t xml:space="preserve"> of pensionable pay.</w:t>
      </w:r>
      <w:r w:rsidRPr="00ED2A06">
        <w:tab/>
      </w:r>
      <w:r w:rsidRPr="00ED2A06">
        <w:tab/>
      </w:r>
      <w:r w:rsidRPr="00ED2A06">
        <w:tab/>
      </w:r>
      <w:r w:rsidRPr="00ED2A06">
        <w:tab/>
      </w:r>
      <w:r w:rsidRPr="00ED2A06">
        <w:tab/>
      </w:r>
      <w:r w:rsidRPr="00ED2A06">
        <w:tab/>
      </w:r>
    </w:p>
    <w:p w14:paraId="510252C9" w14:textId="66859182" w:rsidR="00292E31" w:rsidRPr="00ED2A06" w:rsidRDefault="00292E31" w:rsidP="001D1C78">
      <w:pPr>
        <w:pStyle w:val="ListParagraph"/>
        <w:numPr>
          <w:ilvl w:val="0"/>
          <w:numId w:val="30"/>
        </w:numPr>
      </w:pPr>
      <w:r w:rsidRPr="00ED2A06">
        <w:t xml:space="preserve">2006 scheme </w:t>
      </w:r>
      <w:r w:rsidR="00E86912" w:rsidRPr="00ED2A06">
        <w:t>27.4</w:t>
      </w:r>
      <w:r w:rsidRPr="00ED2A06">
        <w:t>% of pensionable pay</w:t>
      </w:r>
      <w:r w:rsidRPr="00ED2A06">
        <w:tab/>
      </w:r>
      <w:r w:rsidRPr="00ED2A06">
        <w:tab/>
      </w:r>
      <w:r w:rsidRPr="00ED2A06">
        <w:tab/>
      </w:r>
      <w:r w:rsidRPr="00ED2A06">
        <w:tab/>
      </w:r>
      <w:r w:rsidRPr="00ED2A06">
        <w:tab/>
      </w:r>
      <w:r w:rsidRPr="00ED2A06">
        <w:tab/>
      </w:r>
    </w:p>
    <w:p w14:paraId="612EDA4F" w14:textId="362BD6D9" w:rsidR="00292E31" w:rsidRPr="00ED2A06" w:rsidRDefault="00E86912" w:rsidP="001D1C78">
      <w:pPr>
        <w:pStyle w:val="ListParagraph"/>
        <w:numPr>
          <w:ilvl w:val="0"/>
          <w:numId w:val="30"/>
        </w:numPr>
      </w:pPr>
      <w:r w:rsidRPr="00ED2A06">
        <w:t>2015 scheme 28.8%</w:t>
      </w:r>
      <w:r w:rsidR="00292E31" w:rsidRPr="00ED2A06">
        <w:t xml:space="preserve"> of pensionable pay</w:t>
      </w:r>
      <w:r w:rsidR="00292E31" w:rsidRPr="00ED2A06">
        <w:tab/>
      </w:r>
      <w:r w:rsidR="00292E31" w:rsidRPr="00ED2A06">
        <w:tab/>
      </w:r>
      <w:r w:rsidR="00292E31" w:rsidRPr="00ED2A06">
        <w:tab/>
      </w:r>
      <w:r w:rsidR="00292E31" w:rsidRPr="00ED2A06">
        <w:tab/>
      </w:r>
      <w:r w:rsidR="00292E31" w:rsidRPr="00ED2A06">
        <w:tab/>
      </w:r>
      <w:r w:rsidR="00292E31" w:rsidRPr="00ED2A06">
        <w:tab/>
      </w:r>
      <w:r w:rsidR="00292E31" w:rsidRPr="00ED2A06">
        <w:tab/>
      </w:r>
    </w:p>
    <w:p w14:paraId="5D79FB1D" w14:textId="77777777" w:rsidR="00292E31" w:rsidRPr="00ED2A06" w:rsidRDefault="00292E31" w:rsidP="00292E31">
      <w:r w:rsidRPr="00ED2A06">
        <w:rPr>
          <w:b/>
        </w:rPr>
        <w:t>8.</w:t>
      </w:r>
      <w:r w:rsidRPr="00ED2A06">
        <w:t>   For any retirement on ill health grounds the Fire Service is required to make a payment to the Pension Fund from its revenue account. This is payable over 3 years. There were 0 retirements of scheme members on ill health grounds</w:t>
      </w:r>
    </w:p>
    <w:p w14:paraId="2BA36F63" w14:textId="7C07810F" w:rsidR="00631EB1" w:rsidRPr="00ED2A06" w:rsidRDefault="00292E31" w:rsidP="00292E31">
      <w:r w:rsidRPr="00ED2A06">
        <w:rPr>
          <w:b/>
        </w:rPr>
        <w:t>9.</w:t>
      </w:r>
      <w:r w:rsidRPr="00ED2A06">
        <w:t>   Members contributions, for both the 1992 scheme and also the 2006 scheme, changed to having banded contributions in 2013</w:t>
      </w:r>
      <w:r w:rsidR="001A02CB">
        <w:t>/</w:t>
      </w:r>
      <w:r w:rsidRPr="00ED2A06">
        <w:t xml:space="preserve">14. The </w:t>
      </w:r>
      <w:r w:rsidR="00272F4E" w:rsidRPr="00ED2A06">
        <w:t>bandings are as follows:</w:t>
      </w:r>
      <w:r w:rsidR="00272F4E" w:rsidRPr="00ED2A06">
        <w:tab/>
      </w:r>
      <w:r w:rsidR="00272F4E" w:rsidRPr="00ED2A06">
        <w:tab/>
      </w:r>
    </w:p>
    <w:p w14:paraId="37F4F95D" w14:textId="77777777" w:rsidR="00E86912" w:rsidRPr="007F07C2" w:rsidRDefault="00E86912" w:rsidP="00292E31">
      <w:r w:rsidRPr="007F07C2">
        <w:rPr>
          <w:noProof/>
          <w:lang w:eastAsia="en-GB"/>
        </w:rPr>
        <w:drawing>
          <wp:inline distT="0" distB="0" distL="0" distR="0" wp14:anchorId="00557BEE" wp14:editId="30AB7088">
            <wp:extent cx="4581525" cy="2295525"/>
            <wp:effectExtent l="0" t="0" r="9525" b="9525"/>
            <wp:docPr id="9" name="Picture 9" descr="cid:image008.png@01D76458.B845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76458.B8457BA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295525"/>
                    </a:xfrm>
                    <a:prstGeom prst="rect">
                      <a:avLst/>
                    </a:prstGeom>
                    <a:noFill/>
                    <a:ln>
                      <a:noFill/>
                    </a:ln>
                  </pic:spPr>
                </pic:pic>
              </a:graphicData>
            </a:graphic>
          </wp:inline>
        </w:drawing>
      </w:r>
    </w:p>
    <w:p w14:paraId="4C0F3ACD" w14:textId="77777777" w:rsidR="00E86912" w:rsidRPr="001D1C78" w:rsidRDefault="00E86912" w:rsidP="00292E31">
      <w:pPr>
        <w:rPr>
          <w:b/>
          <w:bCs/>
        </w:rPr>
      </w:pPr>
      <w:r w:rsidRPr="001D1C78">
        <w:rPr>
          <w:b/>
          <w:bCs/>
        </w:rPr>
        <w:t>2015 scheme members</w:t>
      </w:r>
      <w:r w:rsidR="00272F4E" w:rsidRPr="001D1C78">
        <w:rPr>
          <w:b/>
          <w:bCs/>
        </w:rPr>
        <w:tab/>
      </w:r>
    </w:p>
    <w:p w14:paraId="7F4FB864" w14:textId="29B27878" w:rsidR="00292E31" w:rsidRPr="007F07C2" w:rsidRDefault="00E86912" w:rsidP="00292E31">
      <w:r w:rsidRPr="007F07C2">
        <w:rPr>
          <w:noProof/>
          <w:lang w:eastAsia="en-GB"/>
        </w:rPr>
        <w:drawing>
          <wp:inline distT="0" distB="0" distL="0" distR="0" wp14:anchorId="4D8B8437" wp14:editId="3C08CE53">
            <wp:extent cx="3790950" cy="962025"/>
            <wp:effectExtent l="0" t="0" r="0" b="9525"/>
            <wp:docPr id="10" name="Picture 10" descr="cid:image009.png@01D76458.B845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png@01D76458.B8457BA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950" cy="962025"/>
                    </a:xfrm>
                    <a:prstGeom prst="rect">
                      <a:avLst/>
                    </a:prstGeom>
                    <a:noFill/>
                    <a:ln>
                      <a:noFill/>
                    </a:ln>
                  </pic:spPr>
                </pic:pic>
              </a:graphicData>
            </a:graphic>
          </wp:inline>
        </w:drawing>
      </w:r>
      <w:r w:rsidR="00272F4E" w:rsidRPr="007F07C2">
        <w:tab/>
      </w:r>
      <w:r w:rsidR="00272F4E" w:rsidRPr="007F07C2">
        <w:tab/>
      </w:r>
      <w:r w:rsidR="00272F4E" w:rsidRPr="007F07C2">
        <w:tab/>
      </w:r>
      <w:r w:rsidR="00272F4E" w:rsidRPr="007F07C2">
        <w:tab/>
      </w:r>
      <w:r w:rsidR="00A73B5B" w:rsidRPr="007F07C2">
        <w:tab/>
      </w:r>
      <w:r w:rsidR="00292E31" w:rsidRPr="007F07C2">
        <w:tab/>
      </w:r>
    </w:p>
    <w:p w14:paraId="4742A54B" w14:textId="5764D268" w:rsidR="0041448C" w:rsidRDefault="00E86912" w:rsidP="0041448C">
      <w:pPr>
        <w:autoSpaceDE w:val="0"/>
        <w:autoSpaceDN w:val="0"/>
        <w:adjustRightInd w:val="0"/>
        <w:spacing w:after="0" w:line="240" w:lineRule="auto"/>
      </w:pPr>
      <w:r w:rsidRPr="007F07C2">
        <w:rPr>
          <w:b/>
        </w:rPr>
        <w:t>10</w:t>
      </w:r>
      <w:r w:rsidR="00292E31" w:rsidRPr="007F07C2">
        <w:t xml:space="preserve">. These accounts have been prepared on an accruals basis. </w:t>
      </w:r>
      <w:r w:rsidR="00292E31" w:rsidRPr="007F07C2">
        <w:tab/>
      </w:r>
      <w:r w:rsidR="00292E31" w:rsidRPr="007F07C2">
        <w:tab/>
      </w:r>
      <w:r w:rsidR="00292E31" w:rsidRPr="007F07C2">
        <w:tab/>
      </w:r>
    </w:p>
    <w:p w14:paraId="581FA550" w14:textId="77777777" w:rsidR="001D1C78" w:rsidRDefault="001D1C78" w:rsidP="0041448C">
      <w:pPr>
        <w:autoSpaceDE w:val="0"/>
        <w:autoSpaceDN w:val="0"/>
        <w:adjustRightInd w:val="0"/>
        <w:spacing w:after="0" w:line="240" w:lineRule="auto"/>
        <w:rPr>
          <w:rFonts w:cstheme="minorHAnsi"/>
          <w:b/>
          <w:bCs/>
        </w:rPr>
      </w:pPr>
    </w:p>
    <w:p w14:paraId="3E58FF16" w14:textId="0F840E27" w:rsidR="004F1D29" w:rsidRPr="003C3A4C" w:rsidRDefault="004F1D29" w:rsidP="0041448C">
      <w:pPr>
        <w:autoSpaceDE w:val="0"/>
        <w:autoSpaceDN w:val="0"/>
        <w:adjustRightInd w:val="0"/>
        <w:spacing w:after="0" w:line="240" w:lineRule="auto"/>
        <w:rPr>
          <w:sz w:val="28"/>
          <w:szCs w:val="28"/>
        </w:rPr>
      </w:pPr>
      <w:r w:rsidRPr="003C3A4C">
        <w:rPr>
          <w:rFonts w:cstheme="minorHAnsi"/>
          <w:b/>
          <w:bCs/>
          <w:sz w:val="28"/>
          <w:szCs w:val="28"/>
        </w:rPr>
        <w:lastRenderedPageBreak/>
        <w:t xml:space="preserve">GOVERNANCE STATEMENT </w:t>
      </w:r>
    </w:p>
    <w:p w14:paraId="773EB619" w14:textId="77777777" w:rsidR="004F1D29" w:rsidRPr="007F07C2" w:rsidRDefault="004F1D29" w:rsidP="004F1D29">
      <w:pPr>
        <w:pStyle w:val="Default"/>
        <w:rPr>
          <w:rFonts w:asciiTheme="minorHAnsi" w:hAnsiTheme="minorHAnsi" w:cstheme="minorHAnsi"/>
          <w:b/>
          <w:bCs/>
          <w:color w:val="auto"/>
          <w:sz w:val="22"/>
          <w:szCs w:val="22"/>
        </w:rPr>
      </w:pPr>
    </w:p>
    <w:p w14:paraId="3BDCC562" w14:textId="77777777" w:rsidR="004F1D29" w:rsidRPr="007F07C2" w:rsidRDefault="004F1D29" w:rsidP="004F1D29">
      <w:pPr>
        <w:tabs>
          <w:tab w:val="left" w:pos="2616"/>
        </w:tabs>
        <w:rPr>
          <w:rFonts w:cstheme="minorHAnsi"/>
        </w:rPr>
      </w:pPr>
      <w:r w:rsidRPr="007F07C2">
        <w:rPr>
          <w:rFonts w:cstheme="minorHAnsi"/>
        </w:rPr>
        <w:t>The Police and Crime Act 2017 enabled Police and Crime Commissioners to become responsible for the governance of fire and rescue authorities, subject to the approval of a business case by the Home Secretary. The aim of this legislation was to ‘enable fire and police services to work more closely together and develop the role of our elected and accountable Police and Crime Commissioners.’</w:t>
      </w:r>
    </w:p>
    <w:p w14:paraId="1F8D1473" w14:textId="77777777" w:rsidR="004F1D29" w:rsidRPr="007F07C2" w:rsidRDefault="004F1D29" w:rsidP="004F1D29">
      <w:pPr>
        <w:tabs>
          <w:tab w:val="left" w:pos="2616"/>
        </w:tabs>
        <w:rPr>
          <w:rFonts w:cstheme="minorHAnsi"/>
        </w:rPr>
      </w:pPr>
      <w:r w:rsidRPr="007F07C2">
        <w:rPr>
          <w:rFonts w:cstheme="minorHAnsi"/>
        </w:rPr>
        <w:t>Following consideration of the Northamptonshire Business Case by the Home Secretary, the Police and Crime Commissioner for Northamptonshire, Stephen Mold, became the first Police, Fire and Crime Commissioner for Northamptonshire (PFCC) on 1 January 2019.</w:t>
      </w:r>
    </w:p>
    <w:p w14:paraId="02563D13" w14:textId="77777777" w:rsidR="004F1D29" w:rsidRPr="007F07C2" w:rsidRDefault="004F1D29" w:rsidP="004F1D29">
      <w:pPr>
        <w:tabs>
          <w:tab w:val="left" w:pos="2616"/>
        </w:tabs>
        <w:rPr>
          <w:rFonts w:cstheme="minorHAnsi"/>
        </w:rPr>
      </w:pPr>
      <w:r w:rsidRPr="007F07C2">
        <w:rPr>
          <w:rFonts w:cstheme="minorHAnsi"/>
        </w:rPr>
        <w:t>Under these governance arrangements, a new corporation sole, Northamptonshire Commissioner Fire and Rescue Authority (NCFRA), was created on 1 January 2019. The Police, Fire and Crime Commissioner also acts as NCFRA.</w:t>
      </w:r>
    </w:p>
    <w:p w14:paraId="4171A558" w14:textId="77777777" w:rsidR="004F1D29" w:rsidRPr="007F07C2" w:rsidRDefault="004F1D29" w:rsidP="004F1D29">
      <w:pPr>
        <w:tabs>
          <w:tab w:val="left" w:pos="2616"/>
        </w:tabs>
        <w:rPr>
          <w:rFonts w:cstheme="minorHAnsi"/>
        </w:rPr>
      </w:pPr>
      <w:r w:rsidRPr="007F07C2">
        <w:rPr>
          <w:rFonts w:cstheme="minorHAnsi"/>
        </w:rPr>
        <w:t>The PFCC outlined the three year plan to build financial stability within the organisation which includes ensuring the establishment of effective internal controls.</w:t>
      </w:r>
      <w:r>
        <w:rPr>
          <w:rFonts w:cstheme="minorHAnsi"/>
        </w:rPr>
        <w:t xml:space="preserve"> This timeframe is now concluded and t</w:t>
      </w:r>
      <w:r w:rsidRPr="007F07C2">
        <w:rPr>
          <w:rFonts w:cstheme="minorHAnsi"/>
        </w:rPr>
        <w:t>he 202</w:t>
      </w:r>
      <w:r>
        <w:rPr>
          <w:rFonts w:cstheme="minorHAnsi"/>
        </w:rPr>
        <w:t>1</w:t>
      </w:r>
      <w:r w:rsidRPr="007F07C2">
        <w:rPr>
          <w:rFonts w:cstheme="minorHAnsi"/>
        </w:rPr>
        <w:t>/2</w:t>
      </w:r>
      <w:r>
        <w:rPr>
          <w:rFonts w:cstheme="minorHAnsi"/>
        </w:rPr>
        <w:t>2</w:t>
      </w:r>
      <w:r w:rsidRPr="007F07C2">
        <w:rPr>
          <w:rFonts w:cstheme="minorHAnsi"/>
        </w:rPr>
        <w:t xml:space="preserve"> governance statement is the </w:t>
      </w:r>
      <w:r>
        <w:rPr>
          <w:rFonts w:cstheme="minorHAnsi"/>
        </w:rPr>
        <w:t>third</w:t>
      </w:r>
      <w:r w:rsidRPr="007F07C2">
        <w:rPr>
          <w:rFonts w:cstheme="minorHAnsi"/>
        </w:rPr>
        <w:t xml:space="preserve"> full year governance statement for NCFRA as 2018/19 related to a three month period.</w:t>
      </w:r>
    </w:p>
    <w:p w14:paraId="3FE0F797" w14:textId="77777777" w:rsidR="004F1D29" w:rsidRPr="003D106E" w:rsidRDefault="004F1D29" w:rsidP="00410018">
      <w:pPr>
        <w:tabs>
          <w:tab w:val="left" w:pos="2616"/>
        </w:tabs>
        <w:spacing w:after="0"/>
        <w:rPr>
          <w:rFonts w:cstheme="minorHAnsi"/>
          <w:b/>
        </w:rPr>
      </w:pPr>
      <w:r w:rsidRPr="003D106E">
        <w:rPr>
          <w:rFonts w:cstheme="minorHAnsi"/>
          <w:b/>
        </w:rPr>
        <w:t xml:space="preserve">The CIPFA/SOLACE Framework of Good Governance </w:t>
      </w:r>
    </w:p>
    <w:p w14:paraId="34872570" w14:textId="77777777" w:rsidR="004F1D29" w:rsidRPr="003D106E" w:rsidRDefault="004F1D29" w:rsidP="004F1D29">
      <w:pPr>
        <w:tabs>
          <w:tab w:val="left" w:pos="2616"/>
        </w:tabs>
        <w:rPr>
          <w:rFonts w:cstheme="minorHAnsi"/>
        </w:rPr>
      </w:pPr>
      <w:r w:rsidRPr="003D106E">
        <w:rPr>
          <w:rFonts w:cstheme="minorHAnsi"/>
        </w:rPr>
        <w:t>In 2007, CIPFA developed with the Society of Local Authority Chief Executives (Solace) a framework – “</w:t>
      </w:r>
      <w:r w:rsidRPr="003D106E">
        <w:rPr>
          <w:rFonts w:cstheme="minorHAnsi"/>
          <w:i/>
        </w:rPr>
        <w:t xml:space="preserve">Delivering good governance in local government”. </w:t>
      </w:r>
      <w:r w:rsidRPr="003D106E">
        <w:rPr>
          <w:rFonts w:cstheme="minorHAnsi"/>
        </w:rPr>
        <w:t>This was subsequently reviewed in 2015 and an updated edition was published in April 2016.</w:t>
      </w:r>
    </w:p>
    <w:p w14:paraId="3FB3FB66" w14:textId="77777777" w:rsidR="004F1D29" w:rsidRPr="003D106E" w:rsidRDefault="004F1D29" w:rsidP="004F1D29">
      <w:pPr>
        <w:tabs>
          <w:tab w:val="left" w:pos="2616"/>
        </w:tabs>
        <w:rPr>
          <w:rFonts w:cstheme="minorHAnsi"/>
        </w:rPr>
      </w:pPr>
      <w:r w:rsidRPr="003D106E">
        <w:rPr>
          <w:rFonts w:cstheme="minorHAnsi"/>
        </w:rPr>
        <w:t>Governance as defined in the 2016 framework is:</w:t>
      </w:r>
    </w:p>
    <w:p w14:paraId="76C05D5B" w14:textId="77777777" w:rsidR="004F1D29" w:rsidRPr="003D106E" w:rsidRDefault="004F1D29" w:rsidP="004F1D29">
      <w:pPr>
        <w:tabs>
          <w:tab w:val="left" w:pos="2616"/>
        </w:tabs>
        <w:rPr>
          <w:rFonts w:cstheme="minorHAnsi"/>
          <w:i/>
        </w:rPr>
      </w:pPr>
      <w:r w:rsidRPr="003D106E">
        <w:rPr>
          <w:rFonts w:cstheme="minorHAnsi"/>
          <w:i/>
        </w:rPr>
        <w:t>“Governance comprises the arrangements put in place to ensure that the intended outcomes for stakeholders are defined and delivered.”</w:t>
      </w:r>
    </w:p>
    <w:p w14:paraId="4CCA5C13" w14:textId="77777777" w:rsidR="004F1D29" w:rsidRPr="003D106E" w:rsidRDefault="004F1D29" w:rsidP="004F1D29">
      <w:pPr>
        <w:tabs>
          <w:tab w:val="left" w:pos="2616"/>
        </w:tabs>
        <w:rPr>
          <w:rFonts w:cstheme="minorHAnsi"/>
        </w:rPr>
      </w:pPr>
      <w:r w:rsidRPr="003D106E">
        <w:rPr>
          <w:rFonts w:cstheme="minorHAnsi"/>
        </w:rPr>
        <w:t>Good governance is not only about rules, policies and procedures but should also incorporate a spirit of good governance as an integral part of the culture of the organisation, its values and the expected behaviours.</w:t>
      </w:r>
      <w:r>
        <w:rPr>
          <w:rFonts w:cstheme="minorHAnsi"/>
        </w:rPr>
        <w:t xml:space="preserve"> </w:t>
      </w:r>
      <w:r w:rsidRPr="003D106E">
        <w:rPr>
          <w:rFonts w:cstheme="minorHAnsi"/>
        </w:rPr>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0A3B3406" w14:textId="77777777" w:rsidR="004F1D29" w:rsidRPr="003D106E" w:rsidRDefault="004F1D29" w:rsidP="004F1D29">
      <w:pPr>
        <w:tabs>
          <w:tab w:val="left" w:pos="2616"/>
        </w:tabs>
        <w:rPr>
          <w:rFonts w:cstheme="minorHAnsi"/>
        </w:rPr>
      </w:pPr>
      <w:r w:rsidRPr="003D106E">
        <w:rPr>
          <w:rFonts w:cstheme="minorHAnsi"/>
        </w:rPr>
        <w:t xml:space="preserve">This framework recognises that no two organisations are the same and as such allows an organisation to test its governance structures against a set of principles which are: </w:t>
      </w:r>
    </w:p>
    <w:p w14:paraId="1C478BF8"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A:</w:t>
      </w:r>
      <w:r w:rsidRPr="003D106E">
        <w:rPr>
          <w:rFonts w:cstheme="minorHAnsi"/>
        </w:rPr>
        <w:t xml:space="preserve"> Behaving with integrity, demonstrating strong commitment to ethical values and respecting the rule of law: </w:t>
      </w:r>
    </w:p>
    <w:p w14:paraId="7FD16F00"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B</w:t>
      </w:r>
      <w:r w:rsidRPr="003D106E">
        <w:rPr>
          <w:rFonts w:cstheme="minorHAnsi"/>
        </w:rPr>
        <w:t xml:space="preserve">: Ensuring openness and comprehensive stakeholder engagement. </w:t>
      </w:r>
    </w:p>
    <w:p w14:paraId="209C3EE6"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C:</w:t>
      </w:r>
      <w:r w:rsidRPr="003D106E">
        <w:rPr>
          <w:rFonts w:cstheme="minorHAnsi"/>
        </w:rPr>
        <w:t xml:space="preserve"> Defining outcomes in terms of sustainable, economic, social and environmental outcomes.</w:t>
      </w:r>
    </w:p>
    <w:p w14:paraId="2525C69D"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D:</w:t>
      </w:r>
      <w:r w:rsidRPr="003D106E">
        <w:rPr>
          <w:rFonts w:cstheme="minorHAnsi"/>
        </w:rPr>
        <w:t xml:space="preserve"> Determining the interventions necessary to optimise the achievement of intended outcomes.</w:t>
      </w:r>
    </w:p>
    <w:p w14:paraId="35412C55" w14:textId="77777777" w:rsidR="004F1D29" w:rsidRPr="003D106E" w:rsidRDefault="004F1D29" w:rsidP="004F1D29">
      <w:pPr>
        <w:pStyle w:val="ListParagraph"/>
        <w:numPr>
          <w:ilvl w:val="0"/>
          <w:numId w:val="7"/>
        </w:numPr>
        <w:tabs>
          <w:tab w:val="left" w:pos="2616"/>
        </w:tabs>
        <w:spacing w:line="256" w:lineRule="auto"/>
        <w:rPr>
          <w:rFonts w:cstheme="minorHAnsi"/>
        </w:rPr>
      </w:pPr>
      <w:r w:rsidRPr="003D106E">
        <w:rPr>
          <w:rFonts w:cstheme="minorHAnsi"/>
          <w:b/>
        </w:rPr>
        <w:t>Principle E:</w:t>
      </w:r>
      <w:r w:rsidRPr="003D106E">
        <w:rPr>
          <w:rFonts w:cstheme="minorHAnsi"/>
        </w:rPr>
        <w:t xml:space="preserve"> Developing Capacity and Capability.</w:t>
      </w:r>
    </w:p>
    <w:p w14:paraId="204E94AB" w14:textId="77777777" w:rsidR="004F1D29" w:rsidRPr="003D106E" w:rsidRDefault="004F1D29" w:rsidP="004F1D29">
      <w:pPr>
        <w:pStyle w:val="ListParagraph"/>
        <w:numPr>
          <w:ilvl w:val="0"/>
          <w:numId w:val="7"/>
        </w:numPr>
        <w:tabs>
          <w:tab w:val="left" w:pos="2616"/>
        </w:tabs>
        <w:spacing w:line="256" w:lineRule="auto"/>
        <w:rPr>
          <w:rFonts w:cstheme="minorHAnsi"/>
          <w:b/>
        </w:rPr>
      </w:pPr>
      <w:r w:rsidRPr="003D106E">
        <w:rPr>
          <w:rFonts w:cstheme="minorHAnsi"/>
          <w:b/>
        </w:rPr>
        <w:t>Principle F:</w:t>
      </w:r>
      <w:r w:rsidRPr="003D106E">
        <w:rPr>
          <w:rFonts w:cstheme="minorHAnsi"/>
        </w:rPr>
        <w:t xml:space="preserve"> Managing Risks and Performance</w:t>
      </w:r>
    </w:p>
    <w:p w14:paraId="01AA2B28" w14:textId="77777777" w:rsidR="004F1D29" w:rsidRPr="003D106E" w:rsidRDefault="004F1D29" w:rsidP="004F1D29">
      <w:pPr>
        <w:pStyle w:val="ListParagraph"/>
        <w:numPr>
          <w:ilvl w:val="0"/>
          <w:numId w:val="7"/>
        </w:numPr>
        <w:tabs>
          <w:tab w:val="left" w:pos="2616"/>
        </w:tabs>
        <w:spacing w:line="256" w:lineRule="auto"/>
        <w:rPr>
          <w:rFonts w:cstheme="minorHAnsi"/>
          <w:b/>
        </w:rPr>
      </w:pPr>
      <w:r w:rsidRPr="003D106E">
        <w:rPr>
          <w:rFonts w:cstheme="minorHAnsi"/>
          <w:b/>
        </w:rPr>
        <w:t>Principle G:</w:t>
      </w:r>
      <w:r w:rsidRPr="003D106E">
        <w:rPr>
          <w:rFonts w:cstheme="minorHAnsi"/>
        </w:rPr>
        <w:t xml:space="preserve"> Implementing good practices in transparency, reporting and accountability. </w:t>
      </w:r>
    </w:p>
    <w:p w14:paraId="7846587F" w14:textId="77777777" w:rsidR="004F1D29" w:rsidRPr="003D106E" w:rsidRDefault="004F1D29" w:rsidP="004F1D29">
      <w:pPr>
        <w:tabs>
          <w:tab w:val="left" w:pos="2616"/>
        </w:tabs>
        <w:rPr>
          <w:rFonts w:cstheme="minorHAnsi"/>
        </w:rPr>
      </w:pPr>
      <w:r w:rsidRPr="003D106E">
        <w:rPr>
          <w:rFonts w:cstheme="minorHAnsi"/>
        </w:rPr>
        <w:t xml:space="preserve">This statement explains how </w:t>
      </w:r>
      <w:r>
        <w:rPr>
          <w:rFonts w:cstheme="minorHAnsi"/>
        </w:rPr>
        <w:t>NCFRA/PFCC</w:t>
      </w:r>
      <w:r w:rsidRPr="003D106E">
        <w:rPr>
          <w:rFonts w:cstheme="minorHAnsi"/>
        </w:rPr>
        <w:t xml:space="preserve"> has complied with the CIPFA/SOLACE framework and also meets the requirements of the Accounts and Audit Regulations in relation to the publication of an Annual Governance Statement</w:t>
      </w:r>
      <w:r>
        <w:rPr>
          <w:rFonts w:cstheme="minorHAnsi"/>
        </w:rPr>
        <w:t xml:space="preserve"> (AGS)</w:t>
      </w:r>
      <w:r w:rsidRPr="003D106E">
        <w:rPr>
          <w:rFonts w:cstheme="minorHAnsi"/>
        </w:rPr>
        <w:t>.</w:t>
      </w:r>
    </w:p>
    <w:p w14:paraId="3DBDFE78" w14:textId="77777777" w:rsidR="004F1D29" w:rsidRPr="003D106E" w:rsidRDefault="004F1D29" w:rsidP="004F1D29">
      <w:pPr>
        <w:tabs>
          <w:tab w:val="left" w:pos="2616"/>
        </w:tabs>
        <w:rPr>
          <w:rFonts w:cstheme="minorHAnsi"/>
        </w:rPr>
      </w:pPr>
      <w:r w:rsidRPr="003D106E">
        <w:rPr>
          <w:rFonts w:cstheme="minorHAnsi"/>
        </w:rPr>
        <w:t>Northamptonshire PFCC is responsible for ensuring that his business is conducted in accordance with the law and proper standards of conduct, probity and professional competence, and that public money is safeguarded and properly accounted for, and used economically, efficiently and effectively. He also has a duty to arrange to secure continuous improvement in the way in which his functions are exercised, having regard to a combination of economy, efficiency and effectiveness.</w:t>
      </w:r>
      <w:r>
        <w:rPr>
          <w:rFonts w:cstheme="minorHAnsi"/>
        </w:rPr>
        <w:t xml:space="preserve"> I</w:t>
      </w:r>
      <w:r w:rsidRPr="003D106E">
        <w:rPr>
          <w:rFonts w:cstheme="minorHAnsi"/>
        </w:rPr>
        <w:t>n discharging this overall responsibility, the PFCC is responsible for putting in place proper arrangements for the governance of his affairs and facilitating the effective exercise of his functions which includes arrangements for the management of risk.</w:t>
      </w:r>
    </w:p>
    <w:p w14:paraId="3CD80A0D" w14:textId="77777777" w:rsidR="004F1D29" w:rsidRPr="003D106E" w:rsidRDefault="004F1D29" w:rsidP="004F1D29">
      <w:pPr>
        <w:tabs>
          <w:tab w:val="left" w:pos="2616"/>
        </w:tabs>
        <w:rPr>
          <w:rFonts w:cstheme="minorHAnsi"/>
        </w:rPr>
      </w:pPr>
      <w:r w:rsidRPr="003D106E">
        <w:rPr>
          <w:rFonts w:cstheme="minorHAnsi"/>
        </w:rPr>
        <w:lastRenderedPageBreak/>
        <w:t>The PFCC has approved and adopted a Corporate Governance Framework which is consistent with the framework</w:t>
      </w:r>
      <w:r>
        <w:rPr>
          <w:rFonts w:cstheme="minorHAnsi"/>
        </w:rPr>
        <w:t xml:space="preserve">; </w:t>
      </w:r>
      <w:r w:rsidRPr="003D106E">
        <w:rPr>
          <w:rFonts w:cstheme="minorHAnsi"/>
        </w:rPr>
        <w:t>explains how the PFCC has complied with the code and meets the requirements of the Accounts and Audit Regulations in relation to the publication of an A</w:t>
      </w:r>
      <w:r>
        <w:rPr>
          <w:rFonts w:cstheme="minorHAnsi"/>
        </w:rPr>
        <w:t xml:space="preserve">GS. </w:t>
      </w:r>
    </w:p>
    <w:p w14:paraId="47066100" w14:textId="77777777" w:rsidR="004F1D29" w:rsidRPr="003D106E" w:rsidRDefault="004F1D29" w:rsidP="004F1D29">
      <w:pPr>
        <w:tabs>
          <w:tab w:val="left" w:pos="2616"/>
        </w:tabs>
        <w:rPr>
          <w:rFonts w:cstheme="minorHAnsi"/>
        </w:rPr>
      </w:pPr>
      <w:r w:rsidRPr="003D106E">
        <w:rPr>
          <w:rFonts w:cstheme="minorHAnsi"/>
        </w:rPr>
        <w:t xml:space="preserve">This governance statement provides a high level overview. It comments on the effectiveness of governance arrangements over the 12 month period </w:t>
      </w:r>
      <w:r>
        <w:rPr>
          <w:rFonts w:cstheme="minorHAnsi"/>
        </w:rPr>
        <w:t xml:space="preserve">from </w:t>
      </w:r>
      <w:r w:rsidRPr="003D106E">
        <w:rPr>
          <w:rFonts w:cstheme="minorHAnsi"/>
        </w:rPr>
        <w:t xml:space="preserve">1 April 2021 to 31 March 2022, and will be updated where required as at the date of signing of the </w:t>
      </w:r>
      <w:r>
        <w:rPr>
          <w:rFonts w:cstheme="minorHAnsi"/>
        </w:rPr>
        <w:t xml:space="preserve">statement of </w:t>
      </w:r>
      <w:r w:rsidRPr="003D106E">
        <w:rPr>
          <w:rFonts w:cstheme="minorHAnsi"/>
        </w:rPr>
        <w:t>accounts</w:t>
      </w:r>
      <w:r>
        <w:rPr>
          <w:rFonts w:cstheme="minorHAnsi"/>
        </w:rPr>
        <w:t xml:space="preserve"> for 2021/22</w:t>
      </w:r>
      <w:r w:rsidRPr="003D106E">
        <w:rPr>
          <w:rFonts w:cstheme="minorHAnsi"/>
        </w:rPr>
        <w:t xml:space="preserve">. </w:t>
      </w:r>
    </w:p>
    <w:p w14:paraId="5AC41364" w14:textId="77777777" w:rsidR="004F1D29" w:rsidRPr="003D106E" w:rsidRDefault="004F1D29" w:rsidP="00410018">
      <w:pPr>
        <w:tabs>
          <w:tab w:val="left" w:pos="2616"/>
        </w:tabs>
        <w:spacing w:after="0"/>
        <w:rPr>
          <w:rFonts w:cstheme="minorHAnsi"/>
          <w:b/>
        </w:rPr>
      </w:pPr>
      <w:r w:rsidRPr="003D106E">
        <w:rPr>
          <w:rFonts w:cstheme="minorHAnsi"/>
          <w:b/>
        </w:rPr>
        <w:t>The purpose of the Governance Framework</w:t>
      </w:r>
    </w:p>
    <w:p w14:paraId="2F28CDBA" w14:textId="77777777" w:rsidR="004F1D29" w:rsidRPr="003D106E" w:rsidRDefault="004F1D29" w:rsidP="004F1D29">
      <w:pPr>
        <w:tabs>
          <w:tab w:val="left" w:pos="2616"/>
        </w:tabs>
        <w:rPr>
          <w:rFonts w:cstheme="minorHAnsi"/>
        </w:rPr>
      </w:pPr>
      <w:r w:rsidRPr="003D106E">
        <w:rPr>
          <w:rFonts w:cstheme="minorHAnsi"/>
        </w:rPr>
        <w:t>The Corporate Governance Framework comprises the systems and processes, and culture and values, by which NCFRA is directed and controlled and its activities through which it accounts to, engages with, and leads the community. It enables the Authority (the PFCC) to monitor the achievement of its strategic objectives and to consider whether those objectives have led to the delivery of appropriate, value for money services.</w:t>
      </w:r>
    </w:p>
    <w:p w14:paraId="4B692FB6" w14:textId="77777777" w:rsidR="004F1D29" w:rsidRPr="003D106E" w:rsidRDefault="004F1D29" w:rsidP="004F1D29">
      <w:pPr>
        <w:tabs>
          <w:tab w:val="left" w:pos="2616"/>
        </w:tabs>
        <w:rPr>
          <w:rFonts w:cstheme="minorHAnsi"/>
        </w:rPr>
      </w:pPr>
      <w:r w:rsidRPr="003D106E">
        <w:rPr>
          <w:rFonts w:cstheme="minorHAnsi"/>
        </w:rPr>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and to manage them efficiently, effectively and economically.</w:t>
      </w:r>
    </w:p>
    <w:p w14:paraId="1D583C79" w14:textId="77777777" w:rsidR="004F1D29" w:rsidRPr="003D106E" w:rsidRDefault="004F1D29" w:rsidP="00410018">
      <w:pPr>
        <w:tabs>
          <w:tab w:val="left" w:pos="2616"/>
        </w:tabs>
        <w:spacing w:after="0"/>
        <w:rPr>
          <w:rFonts w:cstheme="minorHAnsi"/>
          <w:b/>
        </w:rPr>
      </w:pPr>
      <w:r w:rsidRPr="003D106E">
        <w:rPr>
          <w:rFonts w:cstheme="minorHAnsi"/>
          <w:b/>
        </w:rPr>
        <w:t>The Governance Framework</w:t>
      </w:r>
    </w:p>
    <w:p w14:paraId="5D14C240" w14:textId="77777777" w:rsidR="004F1D29" w:rsidRPr="003D106E" w:rsidRDefault="004F1D29" w:rsidP="004F1D29">
      <w:pPr>
        <w:tabs>
          <w:tab w:val="left" w:pos="2616"/>
        </w:tabs>
        <w:rPr>
          <w:rFonts w:cstheme="minorHAnsi"/>
        </w:rPr>
      </w:pPr>
      <w:r w:rsidRPr="003D106E">
        <w:rPr>
          <w:rFonts w:cstheme="minorHAnsi"/>
        </w:rPr>
        <w:t>The Police, Reform and Social Responsibility Act 2011 brought in the responsibility for local authorities to create a Police and Crime panel. This panel is made up of local elected councillors and independent members with the responsibility to scrutinise and support the work of the Police and Crime Commissioner.</w:t>
      </w:r>
    </w:p>
    <w:p w14:paraId="006CF85B" w14:textId="77777777" w:rsidR="004F1D29" w:rsidRPr="003D106E" w:rsidRDefault="004F1D29" w:rsidP="004F1D29">
      <w:pPr>
        <w:tabs>
          <w:tab w:val="left" w:pos="2616"/>
        </w:tabs>
        <w:rPr>
          <w:rFonts w:cstheme="minorHAnsi"/>
        </w:rPr>
      </w:pPr>
      <w:r w:rsidRPr="003D106E">
        <w:rPr>
          <w:rFonts w:cstheme="minorHAnsi"/>
        </w:rPr>
        <w:t>The Policing and Crime Act 2017 amended Section 28 (Powers of Police and Crime Panels) of the Police Reform and Social Responsibility Act 2011 to include the responsibilities of the new Fire and Rescue Authority.</w:t>
      </w:r>
    </w:p>
    <w:p w14:paraId="6F806C22" w14:textId="77777777" w:rsidR="004F1D29" w:rsidRPr="003D106E" w:rsidRDefault="004F1D29" w:rsidP="004F1D29">
      <w:pPr>
        <w:tabs>
          <w:tab w:val="left" w:pos="2616"/>
        </w:tabs>
        <w:rPr>
          <w:rFonts w:cstheme="minorHAnsi"/>
        </w:rPr>
      </w:pPr>
      <w:r w:rsidRPr="003D106E">
        <w:rPr>
          <w:rFonts w:cstheme="minorHAnsi"/>
        </w:rPr>
        <w:t>The functions of the panel are set out in legislation and the Panel must also review or scrutinise decisions made, or other actions taken by the PFCC in connection with the discharge of their functions in relation to Policing and Fire and Rescue.</w:t>
      </w:r>
      <w:r>
        <w:rPr>
          <w:rFonts w:cstheme="minorHAnsi"/>
        </w:rPr>
        <w:t xml:space="preserve"> The Panel is referred to as the Police, Fire and Crime Panel (PFCP).</w:t>
      </w:r>
    </w:p>
    <w:p w14:paraId="0FB04A7B" w14:textId="77777777" w:rsidR="004F1D29" w:rsidRPr="003D106E" w:rsidRDefault="004F1D29" w:rsidP="00410018">
      <w:pPr>
        <w:tabs>
          <w:tab w:val="left" w:pos="2616"/>
        </w:tabs>
        <w:spacing w:after="0"/>
        <w:rPr>
          <w:rFonts w:cstheme="minorHAnsi"/>
          <w:b/>
        </w:rPr>
      </w:pPr>
      <w:r w:rsidRPr="003D106E">
        <w:rPr>
          <w:rFonts w:cstheme="minorHAnsi"/>
          <w:b/>
        </w:rPr>
        <w:t>The PFCC’s Governance Arrangements</w:t>
      </w:r>
    </w:p>
    <w:p w14:paraId="792611DE" w14:textId="77777777" w:rsidR="004F1D29" w:rsidRPr="003D106E" w:rsidRDefault="004F1D29" w:rsidP="004F1D29">
      <w:pPr>
        <w:tabs>
          <w:tab w:val="left" w:pos="2616"/>
        </w:tabs>
        <w:rPr>
          <w:rFonts w:cstheme="minorHAnsi"/>
        </w:rPr>
      </w:pPr>
      <w:r w:rsidRPr="003D106E">
        <w:rPr>
          <w:rFonts w:cstheme="minorHAnsi"/>
        </w:rPr>
        <w:t>To ensure the effective administration of NCFRA, key meetings are as follows:</w:t>
      </w:r>
    </w:p>
    <w:p w14:paraId="448872E6"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The PFCC holds a monthly Accountability Board with the Chief Fire Officer, supported by statutory officers and senior fire and PFCC officers. Minutes are available on the PFCC website.</w:t>
      </w:r>
    </w:p>
    <w:p w14:paraId="41ACC822" w14:textId="77777777" w:rsidR="004F1D29" w:rsidRPr="003D106E" w:rsidRDefault="004F1D29" w:rsidP="004F1D29">
      <w:pPr>
        <w:pStyle w:val="ListParagraph"/>
        <w:tabs>
          <w:tab w:val="left" w:pos="2616"/>
        </w:tabs>
        <w:ind w:left="360"/>
        <w:rPr>
          <w:rFonts w:cstheme="minorHAnsi"/>
        </w:rPr>
      </w:pPr>
    </w:p>
    <w:p w14:paraId="1C868D61"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The PFCC meets regularly with the Chief Fire Officer and specific meetings are held between the Chief Fire Officer and key officers from the O</w:t>
      </w:r>
      <w:r>
        <w:rPr>
          <w:rFonts w:cstheme="minorHAnsi"/>
        </w:rPr>
        <w:t>ffice of the Police, Fire and Crime Commissioner (OPFCC)</w:t>
      </w:r>
      <w:r w:rsidRPr="003D106E">
        <w:rPr>
          <w:rFonts w:cstheme="minorHAnsi"/>
        </w:rPr>
        <w:t>.</w:t>
      </w:r>
    </w:p>
    <w:p w14:paraId="70EA9196" w14:textId="77777777" w:rsidR="004F1D29" w:rsidRPr="003D106E" w:rsidRDefault="004F1D29" w:rsidP="004F1D29">
      <w:pPr>
        <w:pStyle w:val="ListParagraph"/>
        <w:tabs>
          <w:tab w:val="left" w:pos="2616"/>
        </w:tabs>
        <w:ind w:left="360"/>
        <w:rPr>
          <w:rFonts w:cstheme="minorHAnsi"/>
        </w:rPr>
      </w:pPr>
    </w:p>
    <w:p w14:paraId="71E00F0A"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The terms of reference of the Joint Independent Audit Committee (JIAC) includes NCFRA. Four </w:t>
      </w:r>
      <w:r>
        <w:rPr>
          <w:rFonts w:cstheme="minorHAnsi"/>
        </w:rPr>
        <w:t xml:space="preserve">virtual </w:t>
      </w:r>
      <w:r w:rsidRPr="003D106E">
        <w:rPr>
          <w:rFonts w:cstheme="minorHAnsi"/>
        </w:rPr>
        <w:t xml:space="preserve">meetings of the Committee took place in 2021/22 </w:t>
      </w:r>
      <w:r>
        <w:rPr>
          <w:rFonts w:cstheme="minorHAnsi"/>
        </w:rPr>
        <w:t>and notes of the meetings are published on the OPFCC website.</w:t>
      </w:r>
      <w:r w:rsidRPr="003D106E">
        <w:rPr>
          <w:rFonts w:cstheme="minorHAnsi"/>
        </w:rPr>
        <w:t xml:space="preserve"> </w:t>
      </w:r>
      <w:r>
        <w:rPr>
          <w:rFonts w:cstheme="minorHAnsi"/>
        </w:rPr>
        <w:t xml:space="preserve">Additional  workshops with a specific focus were also held </w:t>
      </w:r>
      <w:r w:rsidRPr="003D106E">
        <w:rPr>
          <w:rFonts w:cstheme="minorHAnsi"/>
        </w:rPr>
        <w:t>.   The Committee provides independent assurance to the PFCC and individual reports are produced for NCFRA. This enables the internal controls and assurances for each corporation sole to be independently considered.</w:t>
      </w:r>
    </w:p>
    <w:p w14:paraId="3BADF409" w14:textId="77777777" w:rsidR="004F1D29" w:rsidRPr="003D106E" w:rsidRDefault="004F1D29" w:rsidP="004F1D29">
      <w:pPr>
        <w:pStyle w:val="ListParagraph"/>
        <w:rPr>
          <w:rFonts w:cstheme="minorHAnsi"/>
          <w:highlight w:val="yellow"/>
        </w:rPr>
      </w:pPr>
    </w:p>
    <w:p w14:paraId="1B77CB6C"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An Enabling Services Transformation </w:t>
      </w:r>
      <w:r>
        <w:rPr>
          <w:rFonts w:cstheme="minorHAnsi"/>
        </w:rPr>
        <w:t>B</w:t>
      </w:r>
      <w:r w:rsidRPr="003D106E">
        <w:rPr>
          <w:rFonts w:cstheme="minorHAnsi"/>
        </w:rPr>
        <w:t xml:space="preserve">oard provides a structured approach to managing and monitoring collaboration opportunities between Fire and Policing. </w:t>
      </w:r>
    </w:p>
    <w:p w14:paraId="5DC3B304" w14:textId="77777777" w:rsidR="004F1D29" w:rsidRPr="003D106E" w:rsidRDefault="004F1D29" w:rsidP="004F1D29">
      <w:pPr>
        <w:pStyle w:val="ListParagraph"/>
        <w:rPr>
          <w:rFonts w:cstheme="minorHAnsi"/>
        </w:rPr>
      </w:pPr>
    </w:p>
    <w:p w14:paraId="37B796EA"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t xml:space="preserve">A joint Assistant Chief Officer leads the Enabling Services Programme and provides strategic leadership of </w:t>
      </w:r>
      <w:r>
        <w:rPr>
          <w:rFonts w:cstheme="minorHAnsi"/>
        </w:rPr>
        <w:t>joint s</w:t>
      </w:r>
      <w:r w:rsidRPr="003D106E">
        <w:rPr>
          <w:rFonts w:cstheme="minorHAnsi"/>
        </w:rPr>
        <w:t>upport services across Fire and Policing.</w:t>
      </w:r>
    </w:p>
    <w:p w14:paraId="19256F85" w14:textId="77777777" w:rsidR="004F1D29" w:rsidRPr="003D106E" w:rsidRDefault="004F1D29" w:rsidP="004F1D29">
      <w:pPr>
        <w:pStyle w:val="ListParagraph"/>
        <w:rPr>
          <w:rFonts w:cstheme="minorHAnsi"/>
        </w:rPr>
      </w:pPr>
    </w:p>
    <w:p w14:paraId="4C33F2FE" w14:textId="77777777" w:rsidR="004F1D29" w:rsidRPr="003D106E" w:rsidRDefault="004F1D29" w:rsidP="004F1D29">
      <w:pPr>
        <w:pStyle w:val="ListParagraph"/>
        <w:numPr>
          <w:ilvl w:val="0"/>
          <w:numId w:val="8"/>
        </w:numPr>
        <w:tabs>
          <w:tab w:val="left" w:pos="2616"/>
        </w:tabs>
        <w:spacing w:line="256" w:lineRule="auto"/>
        <w:rPr>
          <w:rFonts w:cstheme="minorHAnsi"/>
        </w:rPr>
      </w:pPr>
      <w:r w:rsidRPr="003D106E">
        <w:rPr>
          <w:rFonts w:cstheme="minorHAnsi"/>
        </w:rPr>
        <w:lastRenderedPageBreak/>
        <w:t>A collaboration agreement is in place in line with the Home Office Financial Management Code of Practice. The agreement was reviewed in the year.</w:t>
      </w:r>
    </w:p>
    <w:p w14:paraId="7FFDE485" w14:textId="77777777" w:rsidR="004F1D29" w:rsidRPr="003D106E" w:rsidRDefault="004F1D29" w:rsidP="004F1D29">
      <w:pPr>
        <w:pStyle w:val="ListParagraph"/>
        <w:rPr>
          <w:rFonts w:cstheme="minorHAnsi"/>
        </w:rPr>
      </w:pPr>
    </w:p>
    <w:p w14:paraId="4A34B1E2" w14:textId="77777777" w:rsidR="004F1D29" w:rsidRDefault="004F1D29" w:rsidP="004F1D29">
      <w:pPr>
        <w:pStyle w:val="ListParagraph"/>
        <w:numPr>
          <w:ilvl w:val="0"/>
          <w:numId w:val="8"/>
        </w:numPr>
        <w:tabs>
          <w:tab w:val="left" w:pos="2616"/>
        </w:tabs>
        <w:spacing w:line="256" w:lineRule="auto"/>
        <w:rPr>
          <w:rFonts w:cstheme="minorHAnsi"/>
        </w:rPr>
      </w:pPr>
      <w:r w:rsidRPr="003D106E">
        <w:rPr>
          <w:rFonts w:cstheme="minorHAnsi"/>
        </w:rPr>
        <w:t>Fire and Rescue Service have a number of meetings established at strategic and operational levels. Where appropriate, members of the OPFCC attend these meetings and provide scrutiny, challenge and briefings.</w:t>
      </w:r>
    </w:p>
    <w:p w14:paraId="629916C6" w14:textId="77777777" w:rsidR="004F1D29" w:rsidRDefault="004F1D29" w:rsidP="004F1D29">
      <w:pPr>
        <w:pStyle w:val="ListParagraph"/>
        <w:tabs>
          <w:tab w:val="left" w:pos="2616"/>
        </w:tabs>
        <w:spacing w:line="256" w:lineRule="auto"/>
        <w:ind w:left="360"/>
        <w:rPr>
          <w:rFonts w:cstheme="minorHAnsi"/>
        </w:rPr>
      </w:pPr>
    </w:p>
    <w:p w14:paraId="260B8472" w14:textId="77777777" w:rsidR="004F1D29" w:rsidRPr="00F564A7" w:rsidRDefault="004F1D29" w:rsidP="004F1D29">
      <w:pPr>
        <w:pStyle w:val="ListParagraph"/>
        <w:numPr>
          <w:ilvl w:val="0"/>
          <w:numId w:val="8"/>
        </w:numPr>
        <w:tabs>
          <w:tab w:val="left" w:pos="2616"/>
        </w:tabs>
        <w:spacing w:line="256" w:lineRule="auto"/>
        <w:rPr>
          <w:rFonts w:cstheme="minorHAnsi"/>
        </w:rPr>
      </w:pPr>
      <w:r w:rsidRPr="00F564A7">
        <w:rPr>
          <w:rFonts w:cstheme="minorHAnsi"/>
        </w:rPr>
        <w:t xml:space="preserve">During 2021/22, Her Majesty’s Inspectorate of Constabulary and Fire and Rescue Services undertook their second inspection of Northamptonshire. The fieldwork on the inspection has now concluded and it is anticipated the report will be available </w:t>
      </w:r>
      <w:r>
        <w:rPr>
          <w:rFonts w:cstheme="minorHAnsi"/>
        </w:rPr>
        <w:t xml:space="preserve">during the summer of </w:t>
      </w:r>
      <w:r w:rsidRPr="00F564A7">
        <w:rPr>
          <w:rFonts w:cstheme="minorHAnsi"/>
        </w:rPr>
        <w:t>2022.</w:t>
      </w:r>
    </w:p>
    <w:p w14:paraId="22E4CD14" w14:textId="77777777" w:rsidR="004F1D29" w:rsidRPr="003D106E" w:rsidRDefault="004F1D29" w:rsidP="004F1D29">
      <w:pPr>
        <w:tabs>
          <w:tab w:val="left" w:pos="2616"/>
        </w:tabs>
        <w:rPr>
          <w:rFonts w:cstheme="minorHAnsi"/>
        </w:rPr>
      </w:pPr>
      <w:r w:rsidRPr="003D106E">
        <w:rPr>
          <w:rFonts w:cstheme="minorHAnsi"/>
        </w:rPr>
        <w:t xml:space="preserve">In the full year to 31 March 2022, the PFCC has sought to ensure that appropriate management and reporting arrangements are in place to enable him to be satisfied that the approach to corporate governance was both adequate and effective in practice. </w:t>
      </w:r>
    </w:p>
    <w:p w14:paraId="3E9C2C91" w14:textId="77777777" w:rsidR="004F1D29" w:rsidRPr="003D106E" w:rsidRDefault="004F1D29" w:rsidP="004F1D29">
      <w:pPr>
        <w:tabs>
          <w:tab w:val="left" w:pos="2616"/>
        </w:tabs>
        <w:rPr>
          <w:rFonts w:cstheme="minorHAnsi"/>
        </w:rPr>
      </w:pPr>
      <w:r w:rsidRPr="003D106E">
        <w:rPr>
          <w:rFonts w:cstheme="minorHAnsi"/>
        </w:rPr>
        <w:t xml:space="preserve">The system of internal control is based on a system of financial, contractual, management and administrative controls and is reviewed by both internal and external audit. </w:t>
      </w:r>
    </w:p>
    <w:p w14:paraId="08668847" w14:textId="77777777" w:rsidR="004F1D29" w:rsidRPr="003D106E" w:rsidRDefault="004F1D29" w:rsidP="004F1D29">
      <w:pPr>
        <w:pStyle w:val="ListParagraph"/>
        <w:tabs>
          <w:tab w:val="left" w:pos="2616"/>
        </w:tabs>
        <w:ind w:left="0"/>
        <w:rPr>
          <w:rFonts w:ascii="Calibri" w:hAnsi="Calibri" w:cs="Calibri"/>
          <w:b/>
        </w:rPr>
      </w:pPr>
      <w:r w:rsidRPr="003D106E">
        <w:rPr>
          <w:rFonts w:ascii="Calibri" w:hAnsi="Calibri" w:cs="Calibri"/>
          <w:b/>
        </w:rPr>
        <w:t>Compliance with the seven principles set out in the CIPFA/SOLACE Framework</w:t>
      </w:r>
    </w:p>
    <w:p w14:paraId="6086B7D9" w14:textId="77777777" w:rsidR="004F1D29" w:rsidRPr="003D106E" w:rsidRDefault="004F1D29" w:rsidP="00410018">
      <w:pPr>
        <w:tabs>
          <w:tab w:val="left" w:pos="2616"/>
        </w:tabs>
        <w:spacing w:after="0"/>
        <w:rPr>
          <w:rFonts w:ascii="Calibri" w:hAnsi="Calibri" w:cs="Calibri"/>
          <w:b/>
        </w:rPr>
      </w:pPr>
      <w:r w:rsidRPr="003D106E">
        <w:rPr>
          <w:rFonts w:ascii="Calibri" w:hAnsi="Calibri" w:cs="Calibri"/>
          <w:b/>
        </w:rPr>
        <w:t xml:space="preserve">Principle A: Behaving with integrity, demonstrating strong commitment to ethical values and respecting the rule of law: </w:t>
      </w:r>
    </w:p>
    <w:p w14:paraId="2B47F88B" w14:textId="77777777" w:rsidR="004F1D29" w:rsidRPr="003D106E" w:rsidRDefault="004F1D29" w:rsidP="004F1D29">
      <w:pPr>
        <w:tabs>
          <w:tab w:val="left" w:pos="2616"/>
        </w:tabs>
        <w:rPr>
          <w:rFonts w:ascii="Calibri" w:hAnsi="Calibri" w:cs="Calibri"/>
        </w:rPr>
      </w:pPr>
      <w:r w:rsidRPr="003D106E">
        <w:rPr>
          <w:rFonts w:ascii="Calibri" w:hAnsi="Calibri" w:cs="Calibri"/>
        </w:rPr>
        <w:t xml:space="preserve">The Corporate Governance Framework provides guidance on expected behaviours to ensure integrity and builds on the clear statements made by the PFCC and the Chief Fire Officer. </w:t>
      </w:r>
    </w:p>
    <w:p w14:paraId="0316B7E1" w14:textId="77777777" w:rsidR="004F1D29" w:rsidRPr="003D106E" w:rsidRDefault="004F1D29" w:rsidP="004F1D29">
      <w:pPr>
        <w:tabs>
          <w:tab w:val="left" w:pos="2616"/>
        </w:tabs>
        <w:rPr>
          <w:rFonts w:ascii="Calibri" w:hAnsi="Calibri" w:cs="Calibri"/>
        </w:rPr>
      </w:pPr>
      <w:r w:rsidRPr="003D106E">
        <w:rPr>
          <w:rFonts w:ascii="Calibri" w:hAnsi="Calibri" w:cs="Calibri"/>
        </w:rPr>
        <w:t xml:space="preserve">For the financial year 2021/22, related party disclosures have been </w:t>
      </w:r>
      <w:r>
        <w:rPr>
          <w:rFonts w:ascii="Calibri" w:hAnsi="Calibri" w:cs="Calibri"/>
        </w:rPr>
        <w:t xml:space="preserve">received for </w:t>
      </w:r>
      <w:r w:rsidRPr="003D106E">
        <w:rPr>
          <w:rFonts w:ascii="Calibri" w:hAnsi="Calibri" w:cs="Calibri"/>
        </w:rPr>
        <w:t xml:space="preserve"> all key staff in the OPFCC, JIAC members, and the Chief Fire Officer and Senior Officers</w:t>
      </w:r>
      <w:r>
        <w:rPr>
          <w:rFonts w:ascii="Calibri" w:hAnsi="Calibri" w:cs="Calibri"/>
        </w:rPr>
        <w:t xml:space="preserve"> . </w:t>
      </w:r>
    </w:p>
    <w:p w14:paraId="1998DBE0" w14:textId="77777777" w:rsidR="004F1D29" w:rsidRPr="003D106E" w:rsidRDefault="004F1D29" w:rsidP="004F1D29">
      <w:pPr>
        <w:tabs>
          <w:tab w:val="left" w:pos="2616"/>
        </w:tabs>
        <w:rPr>
          <w:rFonts w:ascii="Calibri" w:hAnsi="Calibri" w:cs="Calibri"/>
        </w:rPr>
      </w:pPr>
      <w:r w:rsidRPr="003D106E">
        <w:rPr>
          <w:rFonts w:ascii="Calibri" w:hAnsi="Calibri" w:cs="Calibri"/>
        </w:rPr>
        <w:t>The statutory roles of Monitoring Officer and Chief Finance Officer to NCFRA are held by the post holders in the OPFCC which provides consistency and continuity.</w:t>
      </w:r>
    </w:p>
    <w:p w14:paraId="1837EF81" w14:textId="75A7A9D6" w:rsidR="004F1D29" w:rsidRDefault="004F1D29" w:rsidP="004F1D29">
      <w:pPr>
        <w:tabs>
          <w:tab w:val="left" w:pos="2616"/>
        </w:tabs>
        <w:rPr>
          <w:rFonts w:ascii="Calibri" w:hAnsi="Calibri" w:cs="Calibri"/>
        </w:rPr>
      </w:pPr>
      <w:r w:rsidRPr="003D106E">
        <w:rPr>
          <w:rFonts w:ascii="Calibri" w:hAnsi="Calibri" w:cs="Calibri"/>
        </w:rPr>
        <w:t>The policies for Fire transferred across to NCFRA under the Governance arrangements. Some have been reviewed to date and regular reviews are now undertaken.</w:t>
      </w:r>
    </w:p>
    <w:p w14:paraId="34EBEB26" w14:textId="77777777" w:rsidR="004F1D29" w:rsidRPr="003D106E" w:rsidRDefault="004F1D29" w:rsidP="00410018">
      <w:pPr>
        <w:tabs>
          <w:tab w:val="left" w:pos="2616"/>
        </w:tabs>
        <w:spacing w:after="0"/>
        <w:rPr>
          <w:rFonts w:ascii="Calibri" w:hAnsi="Calibri" w:cs="Calibri"/>
          <w:b/>
        </w:rPr>
      </w:pPr>
      <w:r w:rsidRPr="003D106E">
        <w:rPr>
          <w:rFonts w:ascii="Calibri" w:hAnsi="Calibri" w:cs="Calibri"/>
          <w:b/>
        </w:rPr>
        <w:t xml:space="preserve">Principle B: Ensuring openness and comprehensive stakeholder engagement. </w:t>
      </w:r>
    </w:p>
    <w:p w14:paraId="59A8EEFD" w14:textId="77777777" w:rsidR="004F1D29" w:rsidRPr="00ED2A06" w:rsidRDefault="004F1D29" w:rsidP="004F1D29">
      <w:pPr>
        <w:rPr>
          <w:rFonts w:cstheme="minorHAnsi"/>
        </w:rPr>
      </w:pPr>
      <w:r w:rsidRPr="00ED2A06">
        <w:rPr>
          <w:rFonts w:cstheme="minorHAnsi"/>
        </w:rPr>
        <w:t>The Authority’s purpose is set out in statute. The vision for Northamptonshire is set out in Police, Fire and Rescue Plan which was produced in 2021/22 and revised the previous Fire and Rescue Plan and a Community Risk Management Plan (CRMP) will be published shortly.</w:t>
      </w:r>
    </w:p>
    <w:p w14:paraId="40E5461D" w14:textId="77777777" w:rsidR="004F1D29" w:rsidRPr="00ED2A06" w:rsidRDefault="004F1D29" w:rsidP="004F1D29">
      <w:pPr>
        <w:tabs>
          <w:tab w:val="left" w:pos="2616"/>
        </w:tabs>
        <w:rPr>
          <w:rFonts w:cstheme="minorHAnsi"/>
        </w:rPr>
      </w:pPr>
      <w:r w:rsidRPr="00ED2A06">
        <w:rPr>
          <w:rFonts w:cstheme="minorHAnsi"/>
        </w:rPr>
        <w:t xml:space="preserve">The OPFCC website is used to publish a wide range of policy and information, making this easily accessible to the public. The website includes key NCFRA governance information and the role of the PFCC in Fire Governance is set out. Furthermore, all agendas, public papers and meetings of the JIAC are open to the public and papers are available on the PFCC website, together with the minutes of the Accountability Board. </w:t>
      </w:r>
    </w:p>
    <w:p w14:paraId="36BF9715" w14:textId="77777777" w:rsidR="004F1D29" w:rsidRPr="00ED2A06" w:rsidRDefault="004F1D29" w:rsidP="004F1D29">
      <w:pPr>
        <w:tabs>
          <w:tab w:val="left" w:pos="2616"/>
        </w:tabs>
        <w:rPr>
          <w:rFonts w:cstheme="minorHAnsi"/>
        </w:rPr>
      </w:pPr>
      <w:r w:rsidRPr="00ED2A06">
        <w:rPr>
          <w:rFonts w:cstheme="minorHAnsi"/>
        </w:rPr>
        <w:t>Papers, reports and decisions made by the PFCC are published on the website, together with consultations and details of future public events. The PFCC undertook public consultation to inform setting the Northamptonshire Fire precept for 2021/22 and 2022/23. This consultation included wider public engagement on Fire and the report is available on the OPFCC website.</w:t>
      </w:r>
    </w:p>
    <w:p w14:paraId="6F13E495" w14:textId="77777777" w:rsidR="004F1D29" w:rsidRPr="00ED2A06" w:rsidRDefault="004F1D29" w:rsidP="004F1D29">
      <w:pPr>
        <w:rPr>
          <w:rFonts w:cstheme="minorHAnsi"/>
        </w:rPr>
      </w:pPr>
      <w:r w:rsidRPr="00ED2A06">
        <w:rPr>
          <w:rFonts w:cstheme="minorHAnsi"/>
        </w:rPr>
        <w:t>Significant stakeholder engagement was undertaken for the Police, Fire and Crime Plan and the Community Risk Management Plan in 2021. The report for the Police, Fire and Crime Plan is available on the PFCC website.</w:t>
      </w:r>
    </w:p>
    <w:p w14:paraId="69350DCE" w14:textId="77777777" w:rsidR="004F1D29" w:rsidRPr="00ED2A06" w:rsidRDefault="004F1D29" w:rsidP="004F1D29">
      <w:pPr>
        <w:rPr>
          <w:rFonts w:cstheme="minorHAnsi"/>
          <w:bCs/>
        </w:rPr>
      </w:pPr>
      <w:r w:rsidRPr="00ED2A06">
        <w:rPr>
          <w:rFonts w:cstheme="minorHAnsi"/>
          <w:bCs/>
        </w:rPr>
        <w:t>The Joint PFCC and Fire Communications Team was established in 2020/21 and is fully resourced and embedded within the service.</w:t>
      </w:r>
    </w:p>
    <w:p w14:paraId="335F8468" w14:textId="77777777" w:rsidR="004F1D29" w:rsidRPr="00ED2A06" w:rsidRDefault="004F1D29" w:rsidP="00410018">
      <w:pPr>
        <w:spacing w:after="0"/>
        <w:rPr>
          <w:rFonts w:cstheme="minorHAnsi"/>
          <w:b/>
        </w:rPr>
      </w:pPr>
      <w:r w:rsidRPr="00ED2A06">
        <w:rPr>
          <w:rFonts w:cstheme="minorHAnsi"/>
          <w:b/>
        </w:rPr>
        <w:t>Principle C: Defining outcomes in terms of sustainable, economic, social and environmental outcomes.</w:t>
      </w:r>
    </w:p>
    <w:p w14:paraId="72676B2F" w14:textId="77777777" w:rsidR="004F1D29" w:rsidRPr="00ED2A06" w:rsidRDefault="004F1D29" w:rsidP="004F1D29">
      <w:pPr>
        <w:tabs>
          <w:tab w:val="left" w:pos="2616"/>
        </w:tabs>
        <w:rPr>
          <w:rFonts w:cstheme="minorHAnsi"/>
        </w:rPr>
      </w:pPr>
      <w:r w:rsidRPr="00ED2A06">
        <w:rPr>
          <w:rFonts w:cstheme="minorHAnsi"/>
        </w:rPr>
        <w:t>For the 2021/22 budget and precept, the Fire and Rescue Plan was used to direct the resources of NCFRA through the Revenue and Capital budgets.</w:t>
      </w:r>
    </w:p>
    <w:p w14:paraId="0487EF60" w14:textId="77777777" w:rsidR="004F1D29" w:rsidRPr="00ED2A06" w:rsidRDefault="004F1D29" w:rsidP="004F1D29">
      <w:pPr>
        <w:tabs>
          <w:tab w:val="left" w:pos="2616"/>
        </w:tabs>
        <w:rPr>
          <w:rFonts w:cstheme="minorHAnsi"/>
        </w:rPr>
      </w:pPr>
      <w:r w:rsidRPr="00ED2A06">
        <w:rPr>
          <w:rFonts w:cstheme="minorHAnsi"/>
        </w:rPr>
        <w:lastRenderedPageBreak/>
        <w:t xml:space="preserve">The 2021/22 budget, precept and Medium Term Financial Plan (MTFP), alongside the Reserves, Capital and Treasury Management Strategies comprised the final year of the three year plan to achieve financial stability within three years. NCFRA have worked hard to manage within resources, seeking and obtaining additional financing where possible and ensuring a sufficient level of general and earmarked reserves. Following representation, NCFRA were given precept flexibility for 2022/23, together with a better than anticipated settlement. </w:t>
      </w:r>
    </w:p>
    <w:p w14:paraId="6DF6EEBE" w14:textId="77777777" w:rsidR="004F1D29" w:rsidRPr="00ED2A06" w:rsidRDefault="004F1D29" w:rsidP="004F1D29">
      <w:pPr>
        <w:tabs>
          <w:tab w:val="left" w:pos="2616"/>
        </w:tabs>
        <w:rPr>
          <w:rFonts w:cstheme="minorHAnsi"/>
        </w:rPr>
      </w:pPr>
      <w:r w:rsidRPr="00ED2A06">
        <w:rPr>
          <w:rFonts w:cstheme="minorHAnsi"/>
        </w:rPr>
        <w:t>As such, whilst still one of the lowest funded authorities, financial stability has been achieved and there is a three year balanced budget and an agreed and identified efficiency savings plan for the service. The Fire base budget has increased in cash terms by approximately 20% since the time of the governance transfer and reserves are deemed adequate.</w:t>
      </w:r>
    </w:p>
    <w:p w14:paraId="3531EA0F" w14:textId="77777777" w:rsidR="004F1D29" w:rsidRPr="00ED2A06" w:rsidRDefault="004F1D29" w:rsidP="004F1D29">
      <w:pPr>
        <w:tabs>
          <w:tab w:val="left" w:pos="2616"/>
        </w:tabs>
        <w:rPr>
          <w:rFonts w:cstheme="minorHAnsi"/>
        </w:rPr>
      </w:pPr>
      <w:r w:rsidRPr="00ED2A06">
        <w:rPr>
          <w:rFonts w:cstheme="minorHAnsi"/>
        </w:rPr>
        <w:t>As in previous years, the 2021/22 budget was prepared on zero-based budget principles, the Chief Fire Officer was fully involved in the preparation of the 2021/22 budgets and a number of targeted meetings took place with him to develop the detail of the budget and the capital programme, which were aligned to the priorities set out in the then Integrated Risk Management Plan (IRMP) and Fire and Rescue Plan.</w:t>
      </w:r>
    </w:p>
    <w:p w14:paraId="56ECFED0" w14:textId="77777777" w:rsidR="004F1D29" w:rsidRPr="00ED2A06" w:rsidRDefault="004F1D29" w:rsidP="004F1D29">
      <w:pPr>
        <w:tabs>
          <w:tab w:val="left" w:pos="2616"/>
        </w:tabs>
        <w:rPr>
          <w:rFonts w:cstheme="minorHAnsi"/>
        </w:rPr>
      </w:pPr>
      <w:r w:rsidRPr="00ED2A06">
        <w:rPr>
          <w:rFonts w:cstheme="minorHAnsi"/>
        </w:rPr>
        <w:t>Whilst overall volatility across Fire budgets has reduced in 2021/22, some volatility was still experienced in Estates and facilities, commercial, training and fleet. Whilst some of this is due to  increases in inflation and the timing of works which have been impacted by Brexit and Covid-19 the Joint Head of Finance did, and continues to, work with budget managers to improve monitoring and forecasting and minimise volatility in these areas.</w:t>
      </w:r>
    </w:p>
    <w:p w14:paraId="5CF868B2" w14:textId="67A7B474" w:rsidR="004F1D29" w:rsidRDefault="004F1D29" w:rsidP="004F1D29">
      <w:pPr>
        <w:tabs>
          <w:tab w:val="left" w:pos="2616"/>
        </w:tabs>
        <w:rPr>
          <w:rFonts w:cstheme="minorHAnsi"/>
        </w:rPr>
      </w:pPr>
      <w:r w:rsidRPr="00ED2A06">
        <w:rPr>
          <w:rFonts w:cstheme="minorHAnsi"/>
        </w:rPr>
        <w:t xml:space="preserve">Following earlier Internal Audit reviews, and alongside the now established Joint Heads of Support Services (described as Enabling Services), progress to ensure policies and procedures have continued and compliance has improved in most areas. However, in some teams further work is still required and work will continue with budget managers to ensure this is done. </w:t>
      </w:r>
    </w:p>
    <w:p w14:paraId="40D56D86" w14:textId="77777777" w:rsidR="004F1D29" w:rsidRPr="00ED2A06" w:rsidRDefault="004F1D29" w:rsidP="00410018">
      <w:pPr>
        <w:tabs>
          <w:tab w:val="left" w:pos="2616"/>
        </w:tabs>
        <w:spacing w:after="0"/>
        <w:rPr>
          <w:rFonts w:cstheme="minorHAnsi"/>
          <w:b/>
        </w:rPr>
      </w:pPr>
      <w:r w:rsidRPr="00ED2A06">
        <w:rPr>
          <w:rFonts w:cstheme="minorHAnsi"/>
          <w:b/>
        </w:rPr>
        <w:t>Principle D: Determining the interventions necessary to optimise the achievement of intended outcomes.</w:t>
      </w:r>
    </w:p>
    <w:p w14:paraId="56D786FE" w14:textId="77777777" w:rsidR="004F1D29" w:rsidRPr="00865A39" w:rsidRDefault="004F1D29" w:rsidP="004F1D29">
      <w:pPr>
        <w:tabs>
          <w:tab w:val="left" w:pos="2616"/>
        </w:tabs>
        <w:rPr>
          <w:rFonts w:cstheme="minorHAnsi"/>
        </w:rPr>
      </w:pPr>
      <w:r w:rsidRPr="00ED2A06">
        <w:rPr>
          <w:rFonts w:cstheme="minorHAnsi"/>
        </w:rPr>
        <w:t>The NCFRA Capital Programme has continued to develop since the governance change in January 2019 and has been further informed with the knowledge of the Joint Heads of Department and a Joint Assistant Chief Officer. The Chief Fire Officer’s view is that this now includes all the essential operational requirements, together with some transformative requirements for the service. A new joint garage workshop has been purchased by NCFRA which avoids costs from condition surveys, enables the sale of the previous HQ and workshops, utilises Home Office grants,</w:t>
      </w:r>
      <w:r w:rsidRPr="00865A39">
        <w:rPr>
          <w:rFonts w:cstheme="minorHAnsi"/>
        </w:rPr>
        <w:t xml:space="preserve"> meets operational and safety requirements, </w:t>
      </w:r>
      <w:r>
        <w:rPr>
          <w:rFonts w:cstheme="minorHAnsi"/>
        </w:rPr>
        <w:t xml:space="preserve">and will when operational, </w:t>
      </w:r>
      <w:r w:rsidRPr="00865A39">
        <w:rPr>
          <w:rFonts w:cstheme="minorHAnsi"/>
        </w:rPr>
        <w:t xml:space="preserve">enable the Joint Fleet team to be </w:t>
      </w:r>
      <w:r>
        <w:rPr>
          <w:rFonts w:cstheme="minorHAnsi"/>
        </w:rPr>
        <w:t xml:space="preserve">embedded </w:t>
      </w:r>
      <w:r w:rsidRPr="00865A39">
        <w:rPr>
          <w:rFonts w:cstheme="minorHAnsi"/>
        </w:rPr>
        <w:t>and provides an opportunity to generate additional income.</w:t>
      </w:r>
      <w:r>
        <w:rPr>
          <w:rFonts w:cstheme="minorHAnsi"/>
        </w:rPr>
        <w:t xml:space="preserve"> With the implementation of the new Police, Fire and Crime Plan and Community Risk Management Plan, the Authority has the strategies and plans in place to continue to evolve and change over time, and the Government’s White Paper “reforming our Fire and Rescue Service”, currently being consulted on will potentially bring further changes.</w:t>
      </w:r>
    </w:p>
    <w:p w14:paraId="2562ABE5" w14:textId="77777777" w:rsidR="004F1D29" w:rsidRPr="00865A39" w:rsidRDefault="004F1D29" w:rsidP="004F1D29">
      <w:pPr>
        <w:tabs>
          <w:tab w:val="left" w:pos="2616"/>
        </w:tabs>
        <w:rPr>
          <w:rFonts w:cstheme="minorHAnsi"/>
        </w:rPr>
      </w:pPr>
      <w:r w:rsidRPr="00865A39">
        <w:rPr>
          <w:rFonts w:cstheme="minorHAnsi"/>
        </w:rPr>
        <w:t>The capital programme is supported by asset strategies and these reflect the PFCC’s desired direction of travel for interoperability, building capacity or reducing costs to be reinvested in operational services.</w:t>
      </w:r>
      <w:r>
        <w:rPr>
          <w:rFonts w:cstheme="minorHAnsi"/>
        </w:rPr>
        <w:t xml:space="preserve"> Following representation, given the significant Capital Programme legacy requirements, the Home Office have provided £0.5m to help mitigate some of the costs. </w:t>
      </w:r>
    </w:p>
    <w:p w14:paraId="55694010" w14:textId="77777777" w:rsidR="004F1D29" w:rsidRDefault="004F1D29" w:rsidP="004F1D29">
      <w:pPr>
        <w:tabs>
          <w:tab w:val="left" w:pos="2616"/>
        </w:tabs>
        <w:rPr>
          <w:rFonts w:cstheme="minorHAnsi"/>
        </w:rPr>
      </w:pPr>
      <w:r>
        <w:rPr>
          <w:rFonts w:cstheme="minorHAnsi"/>
        </w:rPr>
        <w:t>Let by the Assistant Chief Officer, a</w:t>
      </w:r>
      <w:r w:rsidRPr="00865A39">
        <w:rPr>
          <w:rFonts w:cstheme="minorHAnsi"/>
        </w:rPr>
        <w:t xml:space="preserve"> more structured approach was put in place for business cases and investment requests, and this has continued to embed in 2021/22. </w:t>
      </w:r>
      <w:r>
        <w:rPr>
          <w:rFonts w:cstheme="minorHAnsi"/>
        </w:rPr>
        <w:t>D</w:t>
      </w:r>
      <w:r w:rsidRPr="00865A39">
        <w:rPr>
          <w:rFonts w:cstheme="minorHAnsi"/>
        </w:rPr>
        <w:t>uring the past eighteen months, proposals have been approved for joint teams with the Police of: Finance, Estates, Fleet, HR and Digital. Whilst some proposals require additional investment, others provide efficiencies and include</w:t>
      </w:r>
      <w:r>
        <w:rPr>
          <w:rFonts w:cstheme="minorHAnsi"/>
        </w:rPr>
        <w:t>s</w:t>
      </w:r>
      <w:r w:rsidRPr="00865A39">
        <w:rPr>
          <w:rFonts w:cstheme="minorHAnsi"/>
        </w:rPr>
        <w:t xml:space="preserve"> increased resilience and capacity for Fire. </w:t>
      </w:r>
    </w:p>
    <w:p w14:paraId="41CB97C7" w14:textId="77777777" w:rsidR="004F1D29" w:rsidRPr="00865A39" w:rsidRDefault="004F1D29" w:rsidP="004F1D29">
      <w:pPr>
        <w:tabs>
          <w:tab w:val="left" w:pos="2616"/>
        </w:tabs>
        <w:rPr>
          <w:rFonts w:cstheme="minorHAnsi"/>
        </w:rPr>
      </w:pPr>
      <w:r>
        <w:rPr>
          <w:rFonts w:cstheme="minorHAnsi"/>
        </w:rPr>
        <w:t xml:space="preserve">Joint Heads of Department are in place for all Support Services and NCFRA are starting to receive  the benefits of resilience and professional expertise. This has resulted in some staff transferring to Police employ with agreed charges to Fire as set out in individual Business cases. </w:t>
      </w:r>
    </w:p>
    <w:p w14:paraId="3A8A91B3" w14:textId="77777777" w:rsidR="004F1D29" w:rsidRPr="003D106E" w:rsidRDefault="004F1D29" w:rsidP="004F1D29">
      <w:pPr>
        <w:tabs>
          <w:tab w:val="left" w:pos="2616"/>
        </w:tabs>
        <w:rPr>
          <w:rFonts w:cstheme="minorHAnsi"/>
          <w:highlight w:val="yellow"/>
        </w:rPr>
      </w:pPr>
      <w:r w:rsidRPr="00865A39">
        <w:rPr>
          <w:rFonts w:cstheme="minorHAnsi"/>
        </w:rPr>
        <w:t xml:space="preserve">Her Majesty’s Inspector of Constabulary and Fire and Rescue Services undertook an inspection of Northamptonshire Fire and Rescue Service prior to the governance transfer and a number of recommendations were received. An improvement Plan was developed and monitored regularly through the FEG and scrutiny and challenge applied by the PFCC at the Accountability Board and the Police, Fire and Crime Panel. The JIAC received </w:t>
      </w:r>
      <w:r>
        <w:rPr>
          <w:rFonts w:cstheme="minorHAnsi"/>
        </w:rPr>
        <w:t>u</w:t>
      </w:r>
      <w:r w:rsidRPr="00865A39">
        <w:rPr>
          <w:rFonts w:cstheme="minorHAnsi"/>
        </w:rPr>
        <w:t xml:space="preserve">pdates on progress </w:t>
      </w:r>
      <w:r w:rsidRPr="00865A39">
        <w:rPr>
          <w:rFonts w:cstheme="minorHAnsi"/>
        </w:rPr>
        <w:lastRenderedPageBreak/>
        <w:t xml:space="preserve">throughout the year. A follow up visit by HMICFRS during 2020 identified that the </w:t>
      </w:r>
      <w:r>
        <w:rPr>
          <w:rFonts w:cstheme="minorHAnsi"/>
        </w:rPr>
        <w:t xml:space="preserve">then </w:t>
      </w:r>
      <w:r w:rsidRPr="00865A39">
        <w:rPr>
          <w:rFonts w:cstheme="minorHAnsi"/>
        </w:rPr>
        <w:t xml:space="preserve">causes of concern had been addressed. </w:t>
      </w:r>
      <w:r>
        <w:rPr>
          <w:rFonts w:cstheme="minorHAnsi"/>
        </w:rPr>
        <w:t xml:space="preserve">A </w:t>
      </w:r>
      <w:r w:rsidRPr="00F564A7">
        <w:rPr>
          <w:rFonts w:cstheme="minorHAnsi"/>
        </w:rPr>
        <w:t xml:space="preserve"> second HMICFRS Inspection took place in </w:t>
      </w:r>
      <w:r>
        <w:rPr>
          <w:rFonts w:cstheme="minorHAnsi"/>
        </w:rPr>
        <w:t>2021/22</w:t>
      </w:r>
      <w:r w:rsidRPr="00F564A7">
        <w:rPr>
          <w:rFonts w:cstheme="minorHAnsi"/>
        </w:rPr>
        <w:t xml:space="preserve"> </w:t>
      </w:r>
      <w:r>
        <w:rPr>
          <w:rFonts w:cstheme="minorHAnsi"/>
        </w:rPr>
        <w:t xml:space="preserve">which will be </w:t>
      </w:r>
      <w:r w:rsidRPr="00F564A7">
        <w:rPr>
          <w:rFonts w:cstheme="minorHAnsi"/>
        </w:rPr>
        <w:t xml:space="preserve">published in </w:t>
      </w:r>
      <w:r>
        <w:rPr>
          <w:rFonts w:cstheme="minorHAnsi"/>
        </w:rPr>
        <w:t>Summer</w:t>
      </w:r>
      <w:r w:rsidRPr="00F564A7">
        <w:rPr>
          <w:rFonts w:cstheme="minorHAnsi"/>
        </w:rPr>
        <w:t xml:space="preserve"> 2022.</w:t>
      </w:r>
    </w:p>
    <w:p w14:paraId="710442C9" w14:textId="77777777" w:rsidR="004F1D29" w:rsidRPr="00AD7E34" w:rsidRDefault="004F1D29" w:rsidP="004F1D29">
      <w:pPr>
        <w:tabs>
          <w:tab w:val="left" w:pos="2616"/>
        </w:tabs>
        <w:rPr>
          <w:rFonts w:cstheme="minorHAnsi"/>
        </w:rPr>
      </w:pPr>
      <w:r w:rsidRPr="00AD7E34">
        <w:rPr>
          <w:rFonts w:cstheme="minorHAnsi"/>
        </w:rPr>
        <w:t>Throughout 2021/22, NCFRA continued to play a key role in Northamptonshire’s partnership response to the COVID-19 pandemic</w:t>
      </w:r>
      <w:r>
        <w:rPr>
          <w:rFonts w:cstheme="minorHAnsi"/>
        </w:rPr>
        <w:t>, HMICFRS assessed that f</w:t>
      </w:r>
      <w:r w:rsidRPr="00AD7E34">
        <w:rPr>
          <w:rFonts w:cstheme="minorHAnsi"/>
        </w:rPr>
        <w:t xml:space="preserve">inancial controls and monitoring were </w:t>
      </w:r>
      <w:r>
        <w:rPr>
          <w:rFonts w:cstheme="minorHAnsi"/>
        </w:rPr>
        <w:t xml:space="preserve">effective in ensuring </w:t>
      </w:r>
      <w:r w:rsidRPr="00AD7E34">
        <w:rPr>
          <w:rFonts w:cstheme="minorHAnsi"/>
        </w:rPr>
        <w:t xml:space="preserve">that related expenditure </w:t>
      </w:r>
      <w:r>
        <w:rPr>
          <w:rFonts w:cstheme="minorHAnsi"/>
        </w:rPr>
        <w:t>wa</w:t>
      </w:r>
      <w:r w:rsidRPr="00AD7E34">
        <w:rPr>
          <w:rFonts w:cstheme="minorHAnsi"/>
        </w:rPr>
        <w:t>s captured appropriately and monitored regularly.</w:t>
      </w:r>
    </w:p>
    <w:p w14:paraId="4B831327" w14:textId="77777777" w:rsidR="004F1D29" w:rsidRPr="00AD7E34" w:rsidRDefault="004F1D29" w:rsidP="00410018">
      <w:pPr>
        <w:tabs>
          <w:tab w:val="left" w:pos="2616"/>
        </w:tabs>
        <w:spacing w:after="0"/>
        <w:rPr>
          <w:rFonts w:cstheme="minorHAnsi"/>
          <w:b/>
        </w:rPr>
      </w:pPr>
      <w:r w:rsidRPr="00AD7E34">
        <w:rPr>
          <w:rFonts w:cstheme="minorHAnsi"/>
          <w:b/>
        </w:rPr>
        <w:t>Principle E: Developing Capacity and Capability.</w:t>
      </w:r>
    </w:p>
    <w:p w14:paraId="7E829C00" w14:textId="77777777" w:rsidR="004F1D29" w:rsidRPr="00AD7E34" w:rsidRDefault="004F1D29" w:rsidP="004F1D29">
      <w:pPr>
        <w:tabs>
          <w:tab w:val="left" w:pos="2616"/>
        </w:tabs>
        <w:rPr>
          <w:rFonts w:cstheme="minorHAnsi"/>
        </w:rPr>
      </w:pPr>
      <w:r>
        <w:rPr>
          <w:rFonts w:cstheme="minorHAnsi"/>
        </w:rPr>
        <w:t>Following</w:t>
      </w:r>
      <w:r w:rsidRPr="00AD7E34">
        <w:rPr>
          <w:rFonts w:cstheme="minorHAnsi"/>
        </w:rPr>
        <w:t xml:space="preserve"> the governance transfer,</w:t>
      </w:r>
      <w:r>
        <w:rPr>
          <w:rFonts w:cstheme="minorHAnsi"/>
        </w:rPr>
        <w:t xml:space="preserve"> after many years of holding vacancies, </w:t>
      </w:r>
      <w:r w:rsidRPr="00AD7E34">
        <w:rPr>
          <w:rFonts w:cstheme="minorHAnsi"/>
        </w:rPr>
        <w:t xml:space="preserve"> </w:t>
      </w:r>
      <w:r>
        <w:rPr>
          <w:rFonts w:cstheme="minorHAnsi"/>
        </w:rPr>
        <w:t xml:space="preserve">work has taken place to recruit staff to build capacity and capability  - as such, </w:t>
      </w:r>
      <w:r w:rsidRPr="00AD7E34">
        <w:rPr>
          <w:rFonts w:cstheme="minorHAnsi"/>
        </w:rPr>
        <w:t xml:space="preserve">20 firefighters were recruited in February 2020 to ensure pre-governance transfer vacancies were filled and service strength increased up to budgeted establishment. </w:t>
      </w:r>
      <w:r>
        <w:rPr>
          <w:rFonts w:cstheme="minorHAnsi"/>
        </w:rPr>
        <w:t>Since that time, w</w:t>
      </w:r>
      <w:r w:rsidRPr="00AD7E34">
        <w:rPr>
          <w:rFonts w:cstheme="minorHAnsi"/>
        </w:rPr>
        <w:t xml:space="preserve">orkforce planning has identified timescales for recruitment to minimise vacancies, </w:t>
      </w:r>
      <w:r>
        <w:rPr>
          <w:rFonts w:cstheme="minorHAnsi"/>
        </w:rPr>
        <w:t xml:space="preserve">and has resulted in </w:t>
      </w:r>
      <w:r w:rsidRPr="00AD7E34">
        <w:rPr>
          <w:rFonts w:cstheme="minorHAnsi"/>
        </w:rPr>
        <w:t xml:space="preserve"> an additional 12 posts recruited in early 2021 and a further 1</w:t>
      </w:r>
      <w:r>
        <w:rPr>
          <w:rFonts w:cstheme="minorHAnsi"/>
        </w:rPr>
        <w:t>8</w:t>
      </w:r>
      <w:r w:rsidRPr="00AD7E34">
        <w:rPr>
          <w:rFonts w:cstheme="minorHAnsi"/>
        </w:rPr>
        <w:t xml:space="preserve"> in early 20</w:t>
      </w:r>
      <w:r>
        <w:rPr>
          <w:rFonts w:cstheme="minorHAnsi"/>
        </w:rPr>
        <w:t xml:space="preserve">22. Forecasting needs to be developed across the medium term to better align resources to demand. In addition, the recruitment, retention, training and availability of on-call staff is a local and national challenge and has an impact on the use of overtime and bank cover for wholetime staff. </w:t>
      </w:r>
      <w:r w:rsidRPr="00AD7E34">
        <w:rPr>
          <w:rFonts w:cstheme="minorHAnsi"/>
        </w:rPr>
        <w:t xml:space="preserve">This commitment </w:t>
      </w:r>
      <w:r>
        <w:rPr>
          <w:rFonts w:cstheme="minorHAnsi"/>
        </w:rPr>
        <w:t>to increasing wholetime firefighters supports</w:t>
      </w:r>
      <w:r w:rsidRPr="00AD7E34">
        <w:rPr>
          <w:rFonts w:cstheme="minorHAnsi"/>
        </w:rPr>
        <w:t xml:space="preserve"> wellbeing of the workforce whilst increasing capacity and resilience for the public of Northamptonshire. </w:t>
      </w:r>
      <w:r>
        <w:rPr>
          <w:rFonts w:cstheme="minorHAnsi"/>
        </w:rPr>
        <w:t xml:space="preserve">As such, </w:t>
      </w:r>
      <w:r w:rsidRPr="00AD7E34">
        <w:rPr>
          <w:rFonts w:cstheme="minorHAnsi"/>
        </w:rPr>
        <w:t xml:space="preserve">appliance availability above minimum standards now averages 19 appliances. Prior to the governance transfer availability was regularly below minimum standards and appliances available averaged 14. </w:t>
      </w:r>
    </w:p>
    <w:p w14:paraId="73A7AE39" w14:textId="77777777" w:rsidR="004F1D29" w:rsidRPr="00E17F8A" w:rsidRDefault="004F1D29" w:rsidP="004F1D29">
      <w:pPr>
        <w:tabs>
          <w:tab w:val="left" w:pos="2616"/>
        </w:tabs>
        <w:rPr>
          <w:rFonts w:cstheme="minorHAnsi"/>
        </w:rPr>
      </w:pPr>
      <w:r w:rsidRPr="00E17F8A">
        <w:rPr>
          <w:rFonts w:cstheme="minorHAnsi"/>
        </w:rPr>
        <w:t xml:space="preserve">Whilst significant strides have been made in managing staffing resources, development of </w:t>
      </w:r>
      <w:r>
        <w:rPr>
          <w:rFonts w:cstheme="minorHAnsi"/>
        </w:rPr>
        <w:t xml:space="preserve">the </w:t>
      </w:r>
      <w:r w:rsidRPr="00E17F8A">
        <w:rPr>
          <w:rFonts w:cstheme="minorHAnsi"/>
        </w:rPr>
        <w:t xml:space="preserve">workforce strategy </w:t>
      </w:r>
      <w:r>
        <w:rPr>
          <w:rFonts w:cstheme="minorHAnsi"/>
        </w:rPr>
        <w:t xml:space="preserve">which sets out </w:t>
      </w:r>
      <w:r w:rsidRPr="00E17F8A">
        <w:rPr>
          <w:rFonts w:cstheme="minorHAnsi"/>
        </w:rPr>
        <w:t>clear recruitment plans and forecasts is required to ensure that future staffing resources are targeted towards meeting future service needs and requirements over the longer term.</w:t>
      </w:r>
      <w:r>
        <w:rPr>
          <w:rFonts w:cstheme="minorHAnsi"/>
        </w:rPr>
        <w:t xml:space="preserve"> The changes to pension arrangements is making forecasting less predictable than previously and as such the strategy and plans will include scenarios or ranges where appropriate.</w:t>
      </w:r>
    </w:p>
    <w:p w14:paraId="02D3B539" w14:textId="77777777" w:rsidR="004F1D29" w:rsidRPr="00D60A6A" w:rsidRDefault="004F1D29" w:rsidP="004F1D29">
      <w:pPr>
        <w:tabs>
          <w:tab w:val="left" w:pos="2616"/>
        </w:tabs>
        <w:rPr>
          <w:rFonts w:cstheme="minorHAnsi"/>
        </w:rPr>
      </w:pPr>
      <w:r w:rsidRPr="00D60A6A">
        <w:rPr>
          <w:rFonts w:cstheme="minorHAnsi"/>
        </w:rPr>
        <w:t xml:space="preserve">Principle D set out that work on the Enabling Services Programme is well progressed and all joint Heads of Department and teams are implemented and becoming embedded. </w:t>
      </w:r>
    </w:p>
    <w:p w14:paraId="0EDC1092" w14:textId="77777777" w:rsidR="004F1D29" w:rsidRPr="00D60A6A" w:rsidRDefault="004F1D29" w:rsidP="004F1D29">
      <w:pPr>
        <w:tabs>
          <w:tab w:val="left" w:pos="2616"/>
        </w:tabs>
        <w:rPr>
          <w:rFonts w:cstheme="minorHAnsi"/>
        </w:rPr>
      </w:pPr>
      <w:r w:rsidRPr="00D60A6A">
        <w:rPr>
          <w:rFonts w:cstheme="minorHAnsi"/>
        </w:rPr>
        <w:t xml:space="preserve">NCFRA has training capacity, skills and knowledge based at Chelveston and there are options to review these to maximise the benefit from these resources of NCFRA. A joint Fire/Police business development/commercial manager is in place and in addition to improvements in procurement has developed a </w:t>
      </w:r>
      <w:r>
        <w:rPr>
          <w:rFonts w:cstheme="minorHAnsi"/>
        </w:rPr>
        <w:t xml:space="preserve">draft </w:t>
      </w:r>
      <w:r w:rsidRPr="00D60A6A">
        <w:rPr>
          <w:rFonts w:cstheme="minorHAnsi"/>
        </w:rPr>
        <w:t xml:space="preserve">commercial strategy which considers all opportunities available to both services. </w:t>
      </w:r>
    </w:p>
    <w:p w14:paraId="2B7461BF" w14:textId="77777777" w:rsidR="004F1D29" w:rsidRPr="00E17F8A" w:rsidRDefault="004F1D29" w:rsidP="004F1D29">
      <w:pPr>
        <w:tabs>
          <w:tab w:val="left" w:pos="2616"/>
        </w:tabs>
        <w:rPr>
          <w:rFonts w:cstheme="minorHAnsi"/>
        </w:rPr>
      </w:pPr>
      <w:r w:rsidRPr="00E17F8A">
        <w:rPr>
          <w:rFonts w:cstheme="minorHAnsi"/>
        </w:rPr>
        <w:t xml:space="preserve">The Assistant Chief Fire Officers continued in role during the year, as did the Joint Assistant Chief Officer for Enabling Services, the Chief Finance Officer and the Monitoring Officer. During the year, the Chief Fire Officer announced his intention to retire in October 2022 and recruitment for the role is currently underway. </w:t>
      </w:r>
    </w:p>
    <w:p w14:paraId="2AD6A96A" w14:textId="77777777" w:rsidR="004F1D29" w:rsidRPr="00D60A6A" w:rsidRDefault="004F1D29" w:rsidP="004F1D29">
      <w:pPr>
        <w:tabs>
          <w:tab w:val="left" w:pos="2616"/>
        </w:tabs>
        <w:rPr>
          <w:rFonts w:cstheme="minorHAnsi"/>
        </w:rPr>
      </w:pPr>
      <w:r w:rsidRPr="00D60A6A">
        <w:rPr>
          <w:rFonts w:cstheme="minorHAnsi"/>
        </w:rPr>
        <w:t>The statutory roles of Monitoring Officer and Chief Finance Officer are undertaken by the same advisers to the PFCC for policing</w:t>
      </w:r>
      <w:r>
        <w:rPr>
          <w:rFonts w:cstheme="minorHAnsi"/>
        </w:rPr>
        <w:t xml:space="preserve"> and </w:t>
      </w:r>
      <w:r w:rsidRPr="00D60A6A">
        <w:rPr>
          <w:rFonts w:cstheme="minorHAnsi"/>
        </w:rPr>
        <w:t xml:space="preserve">enables consistent advice to be provided across </w:t>
      </w:r>
      <w:r>
        <w:rPr>
          <w:rFonts w:cstheme="minorHAnsi"/>
        </w:rPr>
        <w:t xml:space="preserve">the services.  </w:t>
      </w:r>
    </w:p>
    <w:p w14:paraId="082E16DC" w14:textId="77777777" w:rsidR="004F1D29" w:rsidRPr="00D60A6A" w:rsidRDefault="004F1D29" w:rsidP="00410018">
      <w:pPr>
        <w:tabs>
          <w:tab w:val="left" w:pos="2616"/>
        </w:tabs>
        <w:spacing w:after="0"/>
        <w:rPr>
          <w:rFonts w:cstheme="minorHAnsi"/>
          <w:b/>
        </w:rPr>
      </w:pPr>
      <w:r w:rsidRPr="00D60A6A">
        <w:rPr>
          <w:rFonts w:cstheme="minorHAnsi"/>
          <w:b/>
        </w:rPr>
        <w:t>Principle F: Managing Risks and Performance</w:t>
      </w:r>
    </w:p>
    <w:p w14:paraId="6B2FB71B" w14:textId="77777777" w:rsidR="004F1D29" w:rsidRPr="00D60A6A" w:rsidRDefault="004F1D29" w:rsidP="004F1D29">
      <w:pPr>
        <w:tabs>
          <w:tab w:val="left" w:pos="2616"/>
        </w:tabs>
        <w:rPr>
          <w:rFonts w:cstheme="minorHAnsi"/>
        </w:rPr>
      </w:pPr>
      <w:r w:rsidRPr="00D60A6A">
        <w:rPr>
          <w:rFonts w:cstheme="minorHAnsi"/>
        </w:rPr>
        <w:t>NCFRA have a developed Risk Management system and the same system is being used following the governance transfer. The NCFRA risk register was considered at the March 2022 JIAC and an OPFCC Director attends the Fire Risk Management and Fire Executive Group (FEG) review meetings where risks are considered, as well as attending the Fire and Rescue Service quarterly strategic risk review meetings. During 2021/22 Internal Audit deliver</w:t>
      </w:r>
      <w:r>
        <w:rPr>
          <w:rFonts w:cstheme="minorHAnsi"/>
        </w:rPr>
        <w:t>ed</w:t>
      </w:r>
      <w:r w:rsidRPr="00D60A6A">
        <w:rPr>
          <w:rFonts w:cstheme="minorHAnsi"/>
        </w:rPr>
        <w:t xml:space="preserve"> risk management support and expertise. </w:t>
      </w:r>
    </w:p>
    <w:p w14:paraId="20908810" w14:textId="77777777" w:rsidR="004F1D29" w:rsidRPr="00D60A6A" w:rsidRDefault="004F1D29" w:rsidP="004F1D29">
      <w:pPr>
        <w:tabs>
          <w:tab w:val="left" w:pos="2616"/>
        </w:tabs>
        <w:rPr>
          <w:rFonts w:cstheme="minorHAnsi"/>
        </w:rPr>
      </w:pPr>
      <w:r w:rsidRPr="00D60A6A">
        <w:rPr>
          <w:rFonts w:cstheme="minorHAnsi"/>
        </w:rPr>
        <w:t xml:space="preserve">An operational performance framework is in place that aligns to the outcomes in the </w:t>
      </w:r>
      <w:r>
        <w:rPr>
          <w:rFonts w:cstheme="minorHAnsi"/>
        </w:rPr>
        <w:t xml:space="preserve">previous </w:t>
      </w:r>
      <w:r w:rsidRPr="00D60A6A">
        <w:rPr>
          <w:rFonts w:cstheme="minorHAnsi"/>
        </w:rPr>
        <w:t xml:space="preserve">Fire and Rescue Plan and IRMP (and </w:t>
      </w:r>
      <w:r>
        <w:rPr>
          <w:rFonts w:cstheme="minorHAnsi"/>
        </w:rPr>
        <w:t xml:space="preserve">updated with the </w:t>
      </w:r>
      <w:r w:rsidRPr="00D60A6A">
        <w:rPr>
          <w:rFonts w:cstheme="minorHAnsi"/>
        </w:rPr>
        <w:t>new Police, Fire and Rescue Plan and CRMP). This is a standing agenda item quarterly on the accountability board agenda, with monthly monitoring by Chief Fire Officer at Fire Executive Group.</w:t>
      </w:r>
    </w:p>
    <w:p w14:paraId="63C08E06" w14:textId="77777777" w:rsidR="004F1D29" w:rsidRPr="00D60A6A" w:rsidRDefault="004F1D29" w:rsidP="004F1D29">
      <w:pPr>
        <w:tabs>
          <w:tab w:val="left" w:pos="2616"/>
        </w:tabs>
        <w:rPr>
          <w:rFonts w:cstheme="minorHAnsi"/>
        </w:rPr>
      </w:pPr>
      <w:r w:rsidRPr="00D60A6A">
        <w:rPr>
          <w:rFonts w:cstheme="minorHAnsi"/>
        </w:rPr>
        <w:t>The agreed Internal Audit Plan for 2021/22, was informed by statutory officers during the year</w:t>
      </w:r>
      <w:r>
        <w:rPr>
          <w:rFonts w:cstheme="minorHAnsi"/>
        </w:rPr>
        <w:t xml:space="preserve"> and</w:t>
      </w:r>
      <w:r w:rsidRPr="00D60A6A">
        <w:rPr>
          <w:rFonts w:cstheme="minorHAnsi"/>
        </w:rPr>
        <w:t xml:space="preserve"> covered the significant areas of risk and internal control. Regular update</w:t>
      </w:r>
      <w:r>
        <w:rPr>
          <w:rFonts w:cstheme="minorHAnsi"/>
        </w:rPr>
        <w:t xml:space="preserve"> reports</w:t>
      </w:r>
      <w:r w:rsidRPr="00D60A6A">
        <w:rPr>
          <w:rFonts w:cstheme="minorHAnsi"/>
        </w:rPr>
        <w:t xml:space="preserve"> were provided to the JIAC</w:t>
      </w:r>
      <w:r>
        <w:rPr>
          <w:rFonts w:cstheme="minorHAnsi"/>
        </w:rPr>
        <w:t xml:space="preserve"> for discussion</w:t>
      </w:r>
      <w:r w:rsidRPr="00D60A6A">
        <w:rPr>
          <w:rFonts w:cstheme="minorHAnsi"/>
        </w:rPr>
        <w:t xml:space="preserve">. </w:t>
      </w:r>
    </w:p>
    <w:p w14:paraId="6D156F91" w14:textId="77777777" w:rsidR="004F1D29" w:rsidRDefault="004F1D29" w:rsidP="004F1D29">
      <w:pPr>
        <w:tabs>
          <w:tab w:val="left" w:pos="2616"/>
        </w:tabs>
        <w:rPr>
          <w:rFonts w:cstheme="minorHAnsi"/>
        </w:rPr>
      </w:pPr>
      <w:r w:rsidRPr="00D60A6A">
        <w:rPr>
          <w:rFonts w:cstheme="minorHAnsi"/>
        </w:rPr>
        <w:t xml:space="preserve">West Northamptonshire Council undertook the support services previously undertaken by Local Government Shared Services (LGSS). These provide system, financial and some support services (with the exception of management </w:t>
      </w:r>
      <w:r w:rsidRPr="00D60A6A">
        <w:rPr>
          <w:rFonts w:cstheme="minorHAnsi"/>
        </w:rPr>
        <w:lastRenderedPageBreak/>
        <w:t xml:space="preserve">accounting, procurement, estates and legal services) to NCFRA. Services such as Treasury Management and Tax were brought in house during the year as part of the planned direction of travel. </w:t>
      </w:r>
      <w:r>
        <w:rPr>
          <w:rFonts w:cstheme="minorHAnsi"/>
        </w:rPr>
        <w:t xml:space="preserve">The Chief Finance Officer had highlighted concerns in these areas in 2020/21 and these services were already </w:t>
      </w:r>
      <w:r w:rsidRPr="00D60A6A">
        <w:rPr>
          <w:rFonts w:cstheme="minorHAnsi"/>
        </w:rPr>
        <w:t>scheduled to move in-house from July 2021.</w:t>
      </w:r>
      <w:r>
        <w:rPr>
          <w:rFonts w:cstheme="minorHAnsi"/>
        </w:rPr>
        <w:t xml:space="preserve"> Internal Audit Review of this area in 2021/22 has provided assurance following transfer.</w:t>
      </w:r>
    </w:p>
    <w:p w14:paraId="6A660363" w14:textId="77777777" w:rsidR="004F1D29" w:rsidRPr="00F564A7" w:rsidRDefault="004F1D29" w:rsidP="004F1D29">
      <w:pPr>
        <w:tabs>
          <w:tab w:val="left" w:pos="2616"/>
        </w:tabs>
        <w:rPr>
          <w:rFonts w:cstheme="minorHAnsi"/>
        </w:rPr>
      </w:pPr>
      <w:r w:rsidRPr="00F564A7">
        <w:rPr>
          <w:rFonts w:cstheme="minorHAnsi"/>
        </w:rPr>
        <w:t xml:space="preserve">The internal audits, together with the assessment of statutory officers, </w:t>
      </w:r>
      <w:r>
        <w:rPr>
          <w:rFonts w:cstheme="minorHAnsi"/>
        </w:rPr>
        <w:t>considered</w:t>
      </w:r>
      <w:r w:rsidRPr="00F564A7">
        <w:rPr>
          <w:rFonts w:cstheme="minorHAnsi"/>
        </w:rPr>
        <w:t xml:space="preserve"> previously identified risks </w:t>
      </w:r>
      <w:r>
        <w:rPr>
          <w:rFonts w:cstheme="minorHAnsi"/>
        </w:rPr>
        <w:t xml:space="preserve">of </w:t>
      </w:r>
      <w:r w:rsidRPr="00F564A7">
        <w:rPr>
          <w:rFonts w:cstheme="minorHAnsi"/>
        </w:rPr>
        <w:t>budget holders</w:t>
      </w:r>
      <w:r>
        <w:rPr>
          <w:rFonts w:cstheme="minorHAnsi"/>
        </w:rPr>
        <w:t xml:space="preserve"> </w:t>
      </w:r>
      <w:r w:rsidRPr="00F564A7">
        <w:rPr>
          <w:rFonts w:cstheme="minorHAnsi"/>
        </w:rPr>
        <w:t>compliance with policies and procedures</w:t>
      </w:r>
      <w:r>
        <w:rPr>
          <w:rFonts w:cstheme="minorHAnsi"/>
        </w:rPr>
        <w:t xml:space="preserve">. The year-end Internal audit and </w:t>
      </w:r>
      <w:r w:rsidRPr="00F564A7">
        <w:rPr>
          <w:rFonts w:cstheme="minorHAnsi"/>
        </w:rPr>
        <w:t xml:space="preserve">provisional outturn report </w:t>
      </w:r>
      <w:r>
        <w:rPr>
          <w:rFonts w:cstheme="minorHAnsi"/>
        </w:rPr>
        <w:t xml:space="preserve">recognises </w:t>
      </w:r>
      <w:r w:rsidRPr="00F564A7">
        <w:rPr>
          <w:rFonts w:cstheme="minorHAnsi"/>
        </w:rPr>
        <w:t xml:space="preserve">improvements </w:t>
      </w:r>
      <w:r>
        <w:rPr>
          <w:rFonts w:cstheme="minorHAnsi"/>
        </w:rPr>
        <w:t xml:space="preserve">have been made </w:t>
      </w:r>
      <w:r w:rsidRPr="00F564A7">
        <w:rPr>
          <w:rFonts w:cstheme="minorHAnsi"/>
        </w:rPr>
        <w:t xml:space="preserve">and further targeted work is required with a small number of budget managers during 2022/23 to further embed this. </w:t>
      </w:r>
    </w:p>
    <w:p w14:paraId="669CD497" w14:textId="35E13806" w:rsidR="004F1D29" w:rsidRDefault="004F1D29" w:rsidP="004F1D29">
      <w:pPr>
        <w:tabs>
          <w:tab w:val="left" w:pos="2616"/>
        </w:tabs>
        <w:rPr>
          <w:rFonts w:cstheme="minorHAnsi"/>
        </w:rPr>
      </w:pPr>
      <w:r w:rsidRPr="00660E10">
        <w:rPr>
          <w:rFonts w:cstheme="minorHAnsi"/>
        </w:rPr>
        <w:t xml:space="preserve">The JIAC Chair </w:t>
      </w:r>
      <w:r>
        <w:rPr>
          <w:rFonts w:cstheme="minorHAnsi"/>
        </w:rPr>
        <w:t xml:space="preserve">and one JIAC member </w:t>
      </w:r>
      <w:r w:rsidRPr="00660E10">
        <w:rPr>
          <w:rFonts w:cstheme="minorHAnsi"/>
        </w:rPr>
        <w:t xml:space="preserve">completed </w:t>
      </w:r>
      <w:r>
        <w:rPr>
          <w:rFonts w:cstheme="minorHAnsi"/>
        </w:rPr>
        <w:t xml:space="preserve">their extended </w:t>
      </w:r>
      <w:r w:rsidRPr="00660E10">
        <w:rPr>
          <w:rFonts w:cstheme="minorHAnsi"/>
        </w:rPr>
        <w:t>second tenure</w:t>
      </w:r>
      <w:r>
        <w:rPr>
          <w:rFonts w:cstheme="minorHAnsi"/>
        </w:rPr>
        <w:t>s</w:t>
      </w:r>
      <w:r w:rsidRPr="00660E10">
        <w:rPr>
          <w:rFonts w:cstheme="minorHAnsi"/>
        </w:rPr>
        <w:t xml:space="preserve"> and retired during the year. The new JIAC Chair was appointed from the wider JIAC membership and recruitment for two new members took place during the </w:t>
      </w:r>
      <w:r w:rsidRPr="00E17F8A">
        <w:rPr>
          <w:rFonts w:cstheme="minorHAnsi"/>
        </w:rPr>
        <w:t>year. One member was appointed and commenced their role in May 2022. The JIAC has one vacancy f</w:t>
      </w:r>
      <w:r w:rsidRPr="00660E10">
        <w:rPr>
          <w:rFonts w:cstheme="minorHAnsi"/>
        </w:rPr>
        <w:t xml:space="preserve">or which further recruitment </w:t>
      </w:r>
      <w:r>
        <w:rPr>
          <w:rFonts w:cstheme="minorHAnsi"/>
        </w:rPr>
        <w:t xml:space="preserve">is anticipated to </w:t>
      </w:r>
      <w:r w:rsidRPr="00660E10">
        <w:rPr>
          <w:rFonts w:cstheme="minorHAnsi"/>
        </w:rPr>
        <w:t>take place in 2022/23. JIAC members were offered and some attended CIPFA, EY (the external auditors), Public Sector Audit Appointments (PSAA) or other events. Additionally EY and other circulars are shared with JIAC members and senior officers on a regular basis.</w:t>
      </w:r>
    </w:p>
    <w:p w14:paraId="299486B7" w14:textId="77777777" w:rsidR="004F1D29" w:rsidRPr="00571223" w:rsidRDefault="004F1D29" w:rsidP="00410018">
      <w:pPr>
        <w:tabs>
          <w:tab w:val="left" w:pos="2616"/>
        </w:tabs>
        <w:spacing w:after="0"/>
        <w:rPr>
          <w:rFonts w:ascii="Calibri" w:hAnsi="Calibri" w:cs="Calibri"/>
          <w:b/>
        </w:rPr>
      </w:pPr>
      <w:r w:rsidRPr="00571223">
        <w:rPr>
          <w:rFonts w:ascii="Calibri" w:hAnsi="Calibri" w:cs="Calibri"/>
          <w:b/>
        </w:rPr>
        <w:t xml:space="preserve">Principle G: Implementing good practices in transparency, reporting and accountability. </w:t>
      </w:r>
    </w:p>
    <w:p w14:paraId="4200D680" w14:textId="77777777" w:rsidR="004F1D29" w:rsidRPr="00571223" w:rsidRDefault="004F1D29" w:rsidP="004F1D29">
      <w:pPr>
        <w:tabs>
          <w:tab w:val="left" w:pos="2616"/>
        </w:tabs>
        <w:rPr>
          <w:rFonts w:ascii="Calibri" w:hAnsi="Calibri" w:cs="Calibri"/>
        </w:rPr>
      </w:pPr>
      <w:r w:rsidRPr="00571223">
        <w:rPr>
          <w:rFonts w:ascii="Calibri" w:hAnsi="Calibri" w:cs="Calibri"/>
        </w:rPr>
        <w:t>External governance is managed through a system of assurance that includes attendance at meetings by OPFCC staff to fully understand activities and associated risks. There is a monthly robust, formal Accountability Board meeting regularly between the PFCC and Chief Fire Officer and this is supported by regular informal meetings.</w:t>
      </w:r>
    </w:p>
    <w:p w14:paraId="3531B2EF" w14:textId="77777777" w:rsidR="004F1D29" w:rsidRPr="00571223" w:rsidRDefault="004F1D29" w:rsidP="004F1D29">
      <w:pPr>
        <w:tabs>
          <w:tab w:val="left" w:pos="2616"/>
        </w:tabs>
        <w:rPr>
          <w:rFonts w:ascii="Calibri" w:hAnsi="Calibri" w:cs="Calibri"/>
        </w:rPr>
      </w:pPr>
      <w:r w:rsidRPr="00571223">
        <w:rPr>
          <w:rFonts w:ascii="Calibri" w:hAnsi="Calibri" w:cs="Calibri"/>
        </w:rPr>
        <w:t>The PFCC provides regular updates to the Police, Fire and Crime Panel as well as to elected Members, officials and members of the local community and has recently instigated a regular newsletter to Northamptonshire Members of Parliament.</w:t>
      </w:r>
    </w:p>
    <w:p w14:paraId="4EAA4AC6" w14:textId="77777777" w:rsidR="004F1D29" w:rsidRDefault="004F1D29" w:rsidP="004F1D29">
      <w:pPr>
        <w:tabs>
          <w:tab w:val="left" w:pos="2616"/>
        </w:tabs>
        <w:rPr>
          <w:rFonts w:ascii="Calibri" w:hAnsi="Calibri" w:cs="Calibri"/>
        </w:rPr>
      </w:pPr>
      <w:r w:rsidRPr="00571223">
        <w:rPr>
          <w:rFonts w:ascii="Calibri" w:hAnsi="Calibri" w:cs="Calibri"/>
        </w:rPr>
        <w:t>The OPFCC website has been awarded the independent CoPa</w:t>
      </w:r>
      <w:r>
        <w:rPr>
          <w:rFonts w:ascii="Calibri" w:hAnsi="Calibri" w:cs="Calibri"/>
        </w:rPr>
        <w:t>CC</w:t>
      </w:r>
      <w:r w:rsidRPr="00571223">
        <w:rPr>
          <w:rFonts w:ascii="Calibri" w:hAnsi="Calibri" w:cs="Calibri"/>
        </w:rPr>
        <w:t xml:space="preserve"> transparency award in the last two years and the draft 2020/21 NCFRA statement of accounts were placed on the OPFCC website by the 31 July 2021. </w:t>
      </w:r>
    </w:p>
    <w:p w14:paraId="7603607F" w14:textId="77777777" w:rsidR="004F1D29" w:rsidRPr="00ED2A06" w:rsidRDefault="004F1D29" w:rsidP="004F1D29">
      <w:pPr>
        <w:tabs>
          <w:tab w:val="left" w:pos="2616"/>
        </w:tabs>
        <w:rPr>
          <w:rFonts w:cstheme="minorHAnsi"/>
        </w:rPr>
      </w:pPr>
      <w:r w:rsidRPr="00ED2A06">
        <w:rPr>
          <w:rFonts w:cstheme="minorHAnsi"/>
        </w:rPr>
        <w:t>As with every year since 2018/19, it was a major concern to the PFCC, the Panel, JIAC and statutory officers, that, due to factors outside of NCFRA’s and the PFCC’s control, the audit was not concluded until 28 February 2022. A letter has been received from DLUHC advising organisations of their responsibilities in publishing audited accounts in line with statutory timescales. Despite this, it is uncertain whether the 2021/22 Statement of Accounts will be audited in line with the statutory timescales and the Chief Finance Officer will continue to work closely with the auditor to ensure the audit is scheduled and concluded as soon as possible to ensure that public transparency and accountability is delivered for the public of Northamptonshire in a timely and effective manner. Any delays will continue to be reported on the PFCC website in line with the legislative requirements.</w:t>
      </w:r>
    </w:p>
    <w:p w14:paraId="7A99EEC8" w14:textId="77777777" w:rsidR="004F1D29" w:rsidRPr="00ED2A06" w:rsidRDefault="004F1D29" w:rsidP="003C3A4C">
      <w:pPr>
        <w:tabs>
          <w:tab w:val="left" w:pos="2616"/>
        </w:tabs>
        <w:spacing w:after="0"/>
        <w:rPr>
          <w:rFonts w:cstheme="minorHAnsi"/>
          <w:b/>
        </w:rPr>
      </w:pPr>
      <w:r w:rsidRPr="00ED2A06">
        <w:rPr>
          <w:rFonts w:cstheme="minorHAnsi"/>
          <w:b/>
        </w:rPr>
        <w:t>Internal Audit and Internal Audit Review of Effectiveness</w:t>
      </w:r>
    </w:p>
    <w:p w14:paraId="7E6A583A" w14:textId="77777777" w:rsidR="004F1D29" w:rsidRPr="00ED2A06" w:rsidRDefault="004F1D29" w:rsidP="004F1D29">
      <w:pPr>
        <w:tabs>
          <w:tab w:val="left" w:pos="2616"/>
        </w:tabs>
        <w:rPr>
          <w:rFonts w:cstheme="minorHAnsi"/>
        </w:rPr>
      </w:pPr>
      <w:r w:rsidRPr="00ED2A06">
        <w:rPr>
          <w:rFonts w:cstheme="minorHAnsi"/>
        </w:rPr>
        <w:t xml:space="preserve">The PFCC has the responsibility for conducting, at least annually, a review of the effectiveness of the governance framework, including the system of internal control. The review of effectiveness is informed by the work of the JIAC, internal and external auditors, HMICFRS, statutory officers and senior managers within the Authority who have responsibility for the development and maintenance of the governance environment. </w:t>
      </w:r>
    </w:p>
    <w:p w14:paraId="50C7A6B9" w14:textId="77777777" w:rsidR="004F1D29" w:rsidRPr="00ED2A06" w:rsidRDefault="004F1D29" w:rsidP="004F1D29">
      <w:pPr>
        <w:tabs>
          <w:tab w:val="left" w:pos="2616"/>
        </w:tabs>
        <w:rPr>
          <w:rFonts w:cstheme="minorHAnsi"/>
        </w:rPr>
      </w:pPr>
      <w:r w:rsidRPr="00ED2A06">
        <w:rPr>
          <w:rFonts w:cstheme="minorHAnsi"/>
        </w:rPr>
        <w:t>The 2021/22 Internal Audit Plan was approved by the PFCC and considered by JIAC in March 2021. At the date of the Annual Governance Statement (AGS) all but one audits had been concluded. The results of these audits were discussed with Fire Senior Officers and OPFCC statutory officers. Fire provide an annual update for the PFCC on the progress of audit recommendations with the last report considered in May 2022 Accountability Board. At this meeting the PFCC asked for follow up progress reports on Data Recovery and Data Quality later in the year.</w:t>
      </w:r>
    </w:p>
    <w:p w14:paraId="1653F894" w14:textId="77777777" w:rsidR="004F1D29" w:rsidRPr="00ED2A06" w:rsidRDefault="004F1D29" w:rsidP="004F1D29">
      <w:pPr>
        <w:tabs>
          <w:tab w:val="left" w:pos="2616"/>
        </w:tabs>
        <w:rPr>
          <w:rFonts w:cstheme="minorHAnsi"/>
          <w:noProof/>
          <w:highlight w:val="yellow"/>
          <w:lang w:eastAsia="en-GB"/>
        </w:rPr>
      </w:pPr>
      <w:r w:rsidRPr="00ED2A06">
        <w:rPr>
          <w:rFonts w:cstheme="minorHAnsi"/>
        </w:rPr>
        <w:t xml:space="preserve">The JIAC received updates on Internal Audit Reports and Management’s implementation of recommendations in June, October and December 2021 and March 2022. </w:t>
      </w:r>
    </w:p>
    <w:p w14:paraId="2E73F26D" w14:textId="77777777" w:rsidR="004F1D29" w:rsidRPr="00ED2A06" w:rsidRDefault="004F1D29" w:rsidP="004F1D29">
      <w:pPr>
        <w:tabs>
          <w:tab w:val="left" w:pos="2616"/>
        </w:tabs>
        <w:rPr>
          <w:rFonts w:cstheme="minorHAnsi"/>
        </w:rPr>
      </w:pPr>
      <w:r w:rsidRPr="00ED2A06">
        <w:rPr>
          <w:rFonts w:cstheme="minorHAnsi"/>
        </w:rPr>
        <w:t>Internal Audits undertaken are given two assurance ratings:</w:t>
      </w:r>
    </w:p>
    <w:p w14:paraId="3127FCF7" w14:textId="77777777" w:rsidR="004F1D29" w:rsidRPr="00ED2A06" w:rsidRDefault="004F1D29" w:rsidP="004F1D29">
      <w:pPr>
        <w:pStyle w:val="ListParagraph"/>
        <w:numPr>
          <w:ilvl w:val="0"/>
          <w:numId w:val="12"/>
        </w:numPr>
        <w:tabs>
          <w:tab w:val="left" w:pos="2616"/>
        </w:tabs>
        <w:spacing w:line="256" w:lineRule="auto"/>
        <w:rPr>
          <w:rFonts w:cstheme="minorHAnsi"/>
        </w:rPr>
      </w:pPr>
      <w:r w:rsidRPr="00ED2A06">
        <w:rPr>
          <w:rFonts w:cstheme="minorHAnsi"/>
        </w:rPr>
        <w:t xml:space="preserve">System: How the control environment is assessed and documented,  and </w:t>
      </w:r>
    </w:p>
    <w:p w14:paraId="66206080" w14:textId="77777777" w:rsidR="004F1D29" w:rsidRPr="00ED2A06" w:rsidRDefault="004F1D29" w:rsidP="004F1D29">
      <w:pPr>
        <w:pStyle w:val="ListParagraph"/>
        <w:numPr>
          <w:ilvl w:val="0"/>
          <w:numId w:val="12"/>
        </w:numPr>
        <w:tabs>
          <w:tab w:val="left" w:pos="2616"/>
        </w:tabs>
        <w:spacing w:line="256" w:lineRule="auto"/>
        <w:rPr>
          <w:rFonts w:cstheme="minorHAnsi"/>
        </w:rPr>
      </w:pPr>
      <w:r w:rsidRPr="00ED2A06">
        <w:rPr>
          <w:rFonts w:cstheme="minorHAnsi"/>
        </w:rPr>
        <w:t>Compliance: How well the system and environment is working in practice.</w:t>
      </w:r>
    </w:p>
    <w:p w14:paraId="0323075D" w14:textId="77777777" w:rsidR="004F1D29" w:rsidRPr="00ED2A06" w:rsidRDefault="004F1D29" w:rsidP="004F1D29">
      <w:pPr>
        <w:tabs>
          <w:tab w:val="left" w:pos="2616"/>
        </w:tabs>
        <w:rPr>
          <w:rFonts w:cstheme="minorHAnsi"/>
          <w:noProof/>
          <w:lang w:eastAsia="en-GB"/>
        </w:rPr>
      </w:pPr>
      <w:r w:rsidRPr="00ED2A06">
        <w:rPr>
          <w:rFonts w:cstheme="minorHAnsi"/>
        </w:rPr>
        <w:lastRenderedPageBreak/>
        <w:t xml:space="preserve">There are five assurance ratings as follows: Substantial, Good, Satisfactory, Limited and No Assurance. </w:t>
      </w:r>
      <w:r w:rsidRPr="00ED2A06">
        <w:rPr>
          <w:rFonts w:cstheme="minorHAnsi"/>
          <w:noProof/>
          <w:lang w:eastAsia="en-GB"/>
        </w:rPr>
        <w:t xml:space="preserve">During the three years since the governance transfer, the PFCC and statutory officers have prioritised the need for Fire to embed an effective internal control framework and have targeted the internal audit programme to consider these key areas and to monitor them until controls have improved. The outcomes of the audit programme and assurance received show demonstrable progress as follows: </w:t>
      </w:r>
    </w:p>
    <w:p w14:paraId="71DE2DBC" w14:textId="77777777" w:rsidR="004F1D29" w:rsidRPr="00782065" w:rsidRDefault="004F1D29" w:rsidP="004F1D29">
      <w:pPr>
        <w:tabs>
          <w:tab w:val="left" w:pos="2616"/>
        </w:tabs>
        <w:jc w:val="center"/>
        <w:rPr>
          <w:rFonts w:ascii="Calibri" w:hAnsi="Calibri" w:cs="Calibri"/>
        </w:rPr>
      </w:pPr>
      <w:r w:rsidRPr="0030362F">
        <w:rPr>
          <w:noProof/>
        </w:rPr>
        <w:drawing>
          <wp:inline distT="0" distB="0" distL="0" distR="0" wp14:anchorId="32F7FF70" wp14:editId="44C4E3A2">
            <wp:extent cx="4597400" cy="3088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0320" cy="3110307"/>
                    </a:xfrm>
                    <a:prstGeom prst="rect">
                      <a:avLst/>
                    </a:prstGeom>
                    <a:noFill/>
                    <a:ln>
                      <a:noFill/>
                    </a:ln>
                  </pic:spPr>
                </pic:pic>
              </a:graphicData>
            </a:graphic>
          </wp:inline>
        </w:drawing>
      </w:r>
    </w:p>
    <w:p w14:paraId="738D72EB" w14:textId="77777777" w:rsidR="004F1D29" w:rsidRPr="00ED2A06" w:rsidRDefault="004F1D29" w:rsidP="004F1D29">
      <w:pPr>
        <w:tabs>
          <w:tab w:val="left" w:pos="2616"/>
        </w:tabs>
        <w:rPr>
          <w:rFonts w:cstheme="minorHAnsi"/>
        </w:rPr>
      </w:pPr>
      <w:r w:rsidRPr="00ED2A06">
        <w:rPr>
          <w:rFonts w:cstheme="minorHAnsi"/>
        </w:rPr>
        <w:t>The audits reflect good progress since the governance transfer and whilst good policies and procedures are in place, work will continue to ensure compliance with them.</w:t>
      </w:r>
    </w:p>
    <w:p w14:paraId="147E8840" w14:textId="77777777" w:rsidR="004F1D29" w:rsidRPr="00ED2A06" w:rsidRDefault="004F1D29" w:rsidP="004F1D29">
      <w:pPr>
        <w:tabs>
          <w:tab w:val="left" w:pos="2616"/>
        </w:tabs>
        <w:rPr>
          <w:rFonts w:cstheme="minorHAnsi"/>
        </w:rPr>
      </w:pPr>
      <w:r w:rsidRPr="00ED2A06">
        <w:rPr>
          <w:rFonts w:cstheme="minorHAnsi"/>
        </w:rPr>
        <w:t>Significant gaps have been identified in the areas of ICT and audits have identified issues with both data recovery and security. This areas has been historically underinvested in and the new team has provided resilience and capacity to take forward and prioritise this work. In addition to the updates required by the PFCC and JIAC, follow up actions are scheduled in this area for 2022/23.</w:t>
      </w:r>
    </w:p>
    <w:p w14:paraId="553DC1DC" w14:textId="77777777" w:rsidR="004F1D29" w:rsidRPr="00ED2A06" w:rsidRDefault="004F1D29" w:rsidP="004F1D29">
      <w:pPr>
        <w:tabs>
          <w:tab w:val="left" w:pos="2616"/>
        </w:tabs>
        <w:rPr>
          <w:rFonts w:cstheme="minorHAnsi"/>
          <w:noProof/>
          <w:lang w:eastAsia="en-GB"/>
        </w:rPr>
      </w:pPr>
      <w:r w:rsidRPr="00ED2A06">
        <w:rPr>
          <w:rFonts w:cstheme="minorHAnsi"/>
          <w:noProof/>
          <w:lang w:eastAsia="en-GB"/>
        </w:rPr>
        <w:t>The PFCC, the S151 Officer and the Chief Fire Officer will continue to monitor these areas closely and will identify areas where further assurance is required and act accordingly.</w:t>
      </w:r>
    </w:p>
    <w:p w14:paraId="3D43011E" w14:textId="77777777" w:rsidR="004F1D29" w:rsidRPr="00ED2A06" w:rsidRDefault="004F1D29" w:rsidP="004F1D29">
      <w:pPr>
        <w:tabs>
          <w:tab w:val="left" w:pos="2616"/>
        </w:tabs>
        <w:rPr>
          <w:rFonts w:cstheme="minorHAnsi"/>
          <w:noProof/>
          <w:lang w:eastAsia="en-GB"/>
        </w:rPr>
      </w:pPr>
      <w:r w:rsidRPr="00ED2A06">
        <w:rPr>
          <w:rFonts w:cstheme="minorHAnsi"/>
          <w:noProof/>
          <w:lang w:eastAsia="en-GB"/>
        </w:rPr>
        <w:t>The Chief Internal Auditor has produced her draft annual report for NCFRA for 2021/22, as follows:</w:t>
      </w:r>
    </w:p>
    <w:p w14:paraId="4E8EC0D4" w14:textId="77777777" w:rsidR="004F1D29" w:rsidRPr="00782065" w:rsidRDefault="004F1D29" w:rsidP="004F1D29">
      <w:pPr>
        <w:tabs>
          <w:tab w:val="left" w:pos="2616"/>
        </w:tabs>
        <w:rPr>
          <w:rFonts w:ascii="Calibri" w:hAnsi="Calibri" w:cs="Calibri"/>
          <w:noProof/>
          <w:lang w:eastAsia="en-GB"/>
        </w:rPr>
      </w:pPr>
      <w:r w:rsidRPr="00782065">
        <w:rPr>
          <w:noProof/>
          <w:lang w:val="en-US"/>
        </w:rPr>
        <w:drawing>
          <wp:inline distT="0" distB="0" distL="0" distR="0" wp14:anchorId="374A24F5" wp14:editId="3278A525">
            <wp:extent cx="5731510" cy="2293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293620"/>
                    </a:xfrm>
                    <a:prstGeom prst="rect">
                      <a:avLst/>
                    </a:prstGeom>
                  </pic:spPr>
                </pic:pic>
              </a:graphicData>
            </a:graphic>
          </wp:inline>
        </w:drawing>
      </w:r>
    </w:p>
    <w:p w14:paraId="5ABD9357" w14:textId="77777777" w:rsidR="00201A18" w:rsidRDefault="00201A18">
      <w:pPr>
        <w:rPr>
          <w:rFonts w:cstheme="minorHAnsi"/>
          <w:color w:val="000000"/>
        </w:rPr>
      </w:pPr>
      <w:r>
        <w:rPr>
          <w:rFonts w:cstheme="minorHAnsi"/>
          <w:color w:val="000000"/>
        </w:rPr>
        <w:br w:type="page"/>
      </w:r>
    </w:p>
    <w:p w14:paraId="55885231" w14:textId="741813D4" w:rsidR="004F1D29" w:rsidRPr="00ED2A06" w:rsidRDefault="004F1D29" w:rsidP="004F1D29">
      <w:pPr>
        <w:spacing w:before="120" w:after="120"/>
        <w:rPr>
          <w:rFonts w:cstheme="minorHAnsi"/>
          <w:color w:val="000000"/>
        </w:rPr>
      </w:pPr>
      <w:r w:rsidRPr="00ED2A06">
        <w:rPr>
          <w:rFonts w:cstheme="minorHAnsi"/>
          <w:color w:val="000000"/>
        </w:rPr>
        <w:lastRenderedPageBreak/>
        <w:t>Furthermore, within the report, the Chief Internal Auditor has advised:</w:t>
      </w:r>
    </w:p>
    <w:p w14:paraId="69C5FF16" w14:textId="77777777" w:rsidR="004F1D29" w:rsidRPr="00ED2A06" w:rsidRDefault="004F1D29" w:rsidP="004F1D29">
      <w:pPr>
        <w:spacing w:before="120" w:after="120"/>
        <w:rPr>
          <w:rFonts w:cstheme="minorHAnsi"/>
          <w:i/>
          <w:iCs/>
          <w:color w:val="000000"/>
        </w:rPr>
      </w:pPr>
      <w:r w:rsidRPr="00ED2A06">
        <w:rPr>
          <w:rFonts w:cstheme="minorHAnsi"/>
          <w:i/>
          <w:iCs/>
          <w:color w:val="000000"/>
        </w:rPr>
        <w:t>“</w:t>
      </w:r>
      <w:r w:rsidRPr="00ED2A06">
        <w:rPr>
          <w:rFonts w:cstheme="minorHAnsi"/>
          <w:i/>
          <w:iCs/>
        </w:rPr>
        <w:t>The Satisfactory opinion for 2021/22 should be viewed positively. It reflects the maintenance of a sound controls environment despite several challenges, including the ongoing impact of the pandemic on the organisation’s capacity, as well as significant changes to processes in bringing key support service delivery back inhouse and the impact of work on the pending merger of key enabling services with the Police Force.”</w:t>
      </w:r>
    </w:p>
    <w:p w14:paraId="6BD7CE4C" w14:textId="77777777" w:rsidR="004F1D29" w:rsidRPr="00ED2A06" w:rsidRDefault="004F1D29" w:rsidP="004F1D29">
      <w:pPr>
        <w:tabs>
          <w:tab w:val="left" w:pos="2616"/>
        </w:tabs>
        <w:spacing w:after="0"/>
        <w:rPr>
          <w:rFonts w:cstheme="minorHAnsi"/>
          <w:noProof/>
          <w:lang w:eastAsia="en-GB"/>
        </w:rPr>
      </w:pPr>
      <w:r w:rsidRPr="00ED2A06">
        <w:rPr>
          <w:rFonts w:cstheme="minorHAnsi"/>
          <w:noProof/>
          <w:lang w:eastAsia="en-GB"/>
        </w:rPr>
        <w:t xml:space="preserve">The JIAC will consider the report of the Chief Internal Auditor at their meeting in July 2022. </w:t>
      </w:r>
    </w:p>
    <w:p w14:paraId="51123B9C" w14:textId="77777777" w:rsidR="004F1D29" w:rsidRPr="00ED2A06" w:rsidRDefault="004F1D29" w:rsidP="004F1D29">
      <w:pPr>
        <w:tabs>
          <w:tab w:val="left" w:pos="2616"/>
        </w:tabs>
        <w:spacing w:after="0"/>
        <w:rPr>
          <w:rFonts w:cstheme="minorHAnsi"/>
          <w:b/>
          <w:u w:val="single"/>
        </w:rPr>
      </w:pPr>
    </w:p>
    <w:p w14:paraId="4385AF35" w14:textId="527B0172" w:rsidR="004F1D29" w:rsidRPr="00ED2A06" w:rsidRDefault="004F1D29" w:rsidP="003C3A4C">
      <w:pPr>
        <w:spacing w:after="0"/>
        <w:rPr>
          <w:rFonts w:cstheme="minorHAnsi"/>
          <w:b/>
        </w:rPr>
      </w:pPr>
      <w:r w:rsidRPr="00ED2A06">
        <w:rPr>
          <w:rFonts w:cstheme="minorHAnsi"/>
          <w:b/>
        </w:rPr>
        <w:t>CIPFA Financial Management Code</w:t>
      </w:r>
    </w:p>
    <w:p w14:paraId="7A9F4E6E" w14:textId="77777777" w:rsidR="004F1D29" w:rsidRPr="00ED2A06" w:rsidRDefault="004F1D29" w:rsidP="004F1D29">
      <w:pPr>
        <w:rPr>
          <w:rFonts w:cstheme="minorHAnsi"/>
          <w:bCs/>
        </w:rPr>
      </w:pPr>
      <w:r w:rsidRPr="00ED2A06">
        <w:rPr>
          <w:rFonts w:cstheme="minorHAnsi"/>
          <w:bCs/>
        </w:rPr>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Taken together these financial management standards underpin the effective governance of the use and control of resources utilised by NCFRA in pursuance of its stated objectives. </w:t>
      </w:r>
    </w:p>
    <w:p w14:paraId="69D8B2A4" w14:textId="693F3F08" w:rsidR="004F1D29" w:rsidRDefault="004F1D29" w:rsidP="004F1D29">
      <w:pPr>
        <w:rPr>
          <w:rFonts w:cstheme="minorHAnsi"/>
          <w:b/>
        </w:rPr>
      </w:pPr>
      <w:r w:rsidRPr="00ED2A06">
        <w:rPr>
          <w:rFonts w:cstheme="minorHAnsi"/>
          <w:bCs/>
        </w:rPr>
        <w:t xml:space="preserve">The S151 Officer,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2022/23, and this is captured in the AGS action plan as a recommendation. </w:t>
      </w:r>
    </w:p>
    <w:p w14:paraId="394A3790" w14:textId="77777777" w:rsidR="004F1D29" w:rsidRPr="00ED2A06" w:rsidRDefault="004F1D29" w:rsidP="003C3A4C">
      <w:pPr>
        <w:spacing w:after="0"/>
        <w:rPr>
          <w:rFonts w:cstheme="minorHAnsi"/>
          <w:bCs/>
        </w:rPr>
      </w:pPr>
      <w:r w:rsidRPr="00ED2A06">
        <w:rPr>
          <w:rFonts w:cstheme="minorHAnsi"/>
          <w:b/>
        </w:rPr>
        <w:t>Review of Effectiveness</w:t>
      </w:r>
    </w:p>
    <w:p w14:paraId="6F425E0F" w14:textId="77777777" w:rsidR="004F1D29" w:rsidRPr="00ED2A06" w:rsidRDefault="004F1D29" w:rsidP="004F1D29">
      <w:pPr>
        <w:tabs>
          <w:tab w:val="left" w:pos="2616"/>
        </w:tabs>
        <w:rPr>
          <w:rFonts w:cstheme="minorHAnsi"/>
        </w:rPr>
      </w:pPr>
      <w:r w:rsidRPr="00ED2A06">
        <w:rPr>
          <w:rFonts w:cstheme="minorHAnsi"/>
        </w:rPr>
        <w:t>The Internal Audit Plan was in place in 2021/22 and good momentum was achieved. The results of the audits show good progress in key financials since the time of the governance transfer. Some audits, particularly for Data Recovery and Data Quality have identified a number of areas requiring focus. The PFCC is fully appraised of these and will continue to seek assurance through statutory officer updates and the Accountability Board.</w:t>
      </w:r>
    </w:p>
    <w:p w14:paraId="32C4C523" w14:textId="77777777" w:rsidR="003C3A4C" w:rsidRDefault="004F1D29" w:rsidP="004F1D29">
      <w:pPr>
        <w:tabs>
          <w:tab w:val="left" w:pos="2616"/>
        </w:tabs>
        <w:rPr>
          <w:rFonts w:cstheme="minorHAnsi"/>
        </w:rPr>
      </w:pPr>
      <w:r w:rsidRPr="00ED2A06">
        <w:rPr>
          <w:rFonts w:cstheme="minorHAnsi"/>
        </w:rPr>
        <w:t xml:space="preserve">There were four JIAC meetings during the year, a workshop in October 2021 on the draft 2020/21  Statement of Accounts and a workshop in February 2022 on the Joint Estates Strategy. The four meetings include as standard: Internal and External Audit updates and a review of the JIAC annual plan. </w:t>
      </w:r>
    </w:p>
    <w:p w14:paraId="601F61FA" w14:textId="41CB9626" w:rsidR="004F1D29" w:rsidRPr="00ED2A06" w:rsidRDefault="004F1D29" w:rsidP="004F1D29">
      <w:pPr>
        <w:tabs>
          <w:tab w:val="left" w:pos="2616"/>
        </w:tabs>
        <w:rPr>
          <w:rFonts w:cstheme="minorHAnsi"/>
        </w:rPr>
      </w:pPr>
      <w:r w:rsidRPr="00ED2A06">
        <w:rPr>
          <w:rFonts w:cstheme="minorHAnsi"/>
        </w:rPr>
        <w:t>Specific NCFRA additional areas considered were as follows:</w:t>
      </w:r>
    </w:p>
    <w:tbl>
      <w:tblPr>
        <w:tblStyle w:val="TableGrid"/>
        <w:tblW w:w="0" w:type="auto"/>
        <w:tblInd w:w="421" w:type="dxa"/>
        <w:tblLook w:val="04A0" w:firstRow="1" w:lastRow="0" w:firstColumn="1" w:lastColumn="0" w:noHBand="0" w:noVBand="1"/>
      </w:tblPr>
      <w:tblGrid>
        <w:gridCol w:w="1559"/>
        <w:gridCol w:w="6946"/>
      </w:tblGrid>
      <w:tr w:rsidR="004F1D29" w:rsidRPr="007515AC" w14:paraId="2E0BE470" w14:textId="77777777" w:rsidTr="00073950">
        <w:tc>
          <w:tcPr>
            <w:tcW w:w="1559" w:type="dxa"/>
            <w:shd w:val="clear" w:color="auto" w:fill="C00000"/>
          </w:tcPr>
          <w:p w14:paraId="2EFEAFD4" w14:textId="77777777" w:rsidR="004F1D29" w:rsidRPr="007515AC" w:rsidRDefault="004F1D29" w:rsidP="00073950">
            <w:pPr>
              <w:jc w:val="center"/>
              <w:rPr>
                <w:rFonts w:cstheme="minorHAnsi"/>
                <w:b/>
                <w:sz w:val="20"/>
              </w:rPr>
            </w:pPr>
            <w:r w:rsidRPr="007515AC">
              <w:rPr>
                <w:rFonts w:cstheme="minorHAnsi"/>
                <w:b/>
                <w:sz w:val="20"/>
              </w:rPr>
              <w:t>JIAC Meeting</w:t>
            </w:r>
          </w:p>
          <w:p w14:paraId="7BAC2317" w14:textId="77777777" w:rsidR="004F1D29" w:rsidRPr="007515AC" w:rsidRDefault="004F1D29" w:rsidP="00073950">
            <w:pPr>
              <w:jc w:val="center"/>
              <w:rPr>
                <w:rFonts w:cstheme="minorHAnsi"/>
                <w:b/>
                <w:sz w:val="20"/>
              </w:rPr>
            </w:pPr>
          </w:p>
        </w:tc>
        <w:tc>
          <w:tcPr>
            <w:tcW w:w="6946" w:type="dxa"/>
            <w:shd w:val="clear" w:color="auto" w:fill="C00000"/>
          </w:tcPr>
          <w:p w14:paraId="15CB29B6" w14:textId="77777777" w:rsidR="004F1D29" w:rsidRPr="007515AC" w:rsidRDefault="004F1D29" w:rsidP="00073950">
            <w:pPr>
              <w:jc w:val="center"/>
              <w:rPr>
                <w:rFonts w:cstheme="minorHAnsi"/>
                <w:b/>
                <w:sz w:val="20"/>
              </w:rPr>
            </w:pPr>
            <w:r w:rsidRPr="007515AC">
              <w:rPr>
                <w:rFonts w:cstheme="minorHAnsi"/>
                <w:b/>
                <w:sz w:val="20"/>
              </w:rPr>
              <w:t>Areas Covered</w:t>
            </w:r>
          </w:p>
        </w:tc>
      </w:tr>
      <w:tr w:rsidR="004F1D29" w:rsidRPr="007515AC" w14:paraId="47B0FDA9" w14:textId="77777777" w:rsidTr="00073950">
        <w:tc>
          <w:tcPr>
            <w:tcW w:w="1559" w:type="dxa"/>
          </w:tcPr>
          <w:p w14:paraId="194774CE" w14:textId="77777777" w:rsidR="004F1D29" w:rsidRPr="007515AC" w:rsidRDefault="004F1D29" w:rsidP="00073950">
            <w:pPr>
              <w:rPr>
                <w:rFonts w:cstheme="minorHAnsi"/>
                <w:sz w:val="20"/>
              </w:rPr>
            </w:pPr>
            <w:r w:rsidRPr="007515AC">
              <w:rPr>
                <w:rFonts w:cstheme="minorHAnsi"/>
                <w:sz w:val="20"/>
              </w:rPr>
              <w:t>July 202</w:t>
            </w:r>
            <w:r>
              <w:rPr>
                <w:rFonts w:cstheme="minorHAnsi"/>
                <w:sz w:val="20"/>
              </w:rPr>
              <w:t>1</w:t>
            </w:r>
          </w:p>
        </w:tc>
        <w:tc>
          <w:tcPr>
            <w:tcW w:w="6946" w:type="dxa"/>
          </w:tcPr>
          <w:p w14:paraId="6558CDB0" w14:textId="77777777" w:rsidR="004F1D29" w:rsidRDefault="004F1D29" w:rsidP="004F1D29">
            <w:pPr>
              <w:pStyle w:val="ListParagraph"/>
              <w:numPr>
                <w:ilvl w:val="0"/>
                <w:numId w:val="15"/>
              </w:numPr>
              <w:rPr>
                <w:rFonts w:cstheme="minorHAnsi"/>
                <w:sz w:val="20"/>
              </w:rPr>
            </w:pPr>
            <w:r>
              <w:rPr>
                <w:rFonts w:cstheme="minorHAnsi"/>
                <w:sz w:val="20"/>
              </w:rPr>
              <w:t>Meeting of members with auditors without officers present</w:t>
            </w:r>
          </w:p>
          <w:p w14:paraId="1AD7C463"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 xml:space="preserve">Annual Report of the JIAC and Terms of Reference Review </w:t>
            </w:r>
          </w:p>
          <w:p w14:paraId="6295CF92" w14:textId="77777777" w:rsidR="004F1D29" w:rsidRDefault="004F1D29" w:rsidP="004F1D29">
            <w:pPr>
              <w:pStyle w:val="ListParagraph"/>
              <w:numPr>
                <w:ilvl w:val="0"/>
                <w:numId w:val="15"/>
              </w:numPr>
              <w:rPr>
                <w:rFonts w:cstheme="minorHAnsi"/>
                <w:sz w:val="20"/>
              </w:rPr>
            </w:pPr>
            <w:r>
              <w:rPr>
                <w:rFonts w:cstheme="minorHAnsi"/>
                <w:sz w:val="20"/>
              </w:rPr>
              <w:t>External Audit Annual Audit letter 2019/20</w:t>
            </w:r>
          </w:p>
          <w:p w14:paraId="28490A6D" w14:textId="77777777" w:rsidR="004F1D29" w:rsidRDefault="004F1D29" w:rsidP="004F1D29">
            <w:pPr>
              <w:pStyle w:val="ListParagraph"/>
              <w:numPr>
                <w:ilvl w:val="0"/>
                <w:numId w:val="15"/>
              </w:numPr>
              <w:rPr>
                <w:rFonts w:cstheme="minorHAnsi"/>
                <w:sz w:val="20"/>
              </w:rPr>
            </w:pPr>
            <w:r>
              <w:rPr>
                <w:rFonts w:cstheme="minorHAnsi"/>
                <w:sz w:val="20"/>
              </w:rPr>
              <w:t>External Audit Plan 2020/21</w:t>
            </w:r>
          </w:p>
          <w:p w14:paraId="1521D124" w14:textId="77777777" w:rsidR="004F1D29" w:rsidRPr="00F92D7E" w:rsidRDefault="004F1D29" w:rsidP="004F1D29">
            <w:pPr>
              <w:pStyle w:val="ListParagraph"/>
              <w:numPr>
                <w:ilvl w:val="0"/>
                <w:numId w:val="15"/>
              </w:numPr>
              <w:rPr>
                <w:rFonts w:cstheme="minorHAnsi"/>
                <w:sz w:val="20"/>
              </w:rPr>
            </w:pPr>
            <w:r w:rsidRPr="007515AC">
              <w:rPr>
                <w:rFonts w:cstheme="minorHAnsi"/>
                <w:sz w:val="20"/>
              </w:rPr>
              <w:t>Internal Audit Annual Report</w:t>
            </w:r>
            <w:r>
              <w:rPr>
                <w:rFonts w:cstheme="minorHAnsi"/>
                <w:sz w:val="20"/>
              </w:rPr>
              <w:t xml:space="preserve"> 2020/21</w:t>
            </w:r>
          </w:p>
          <w:p w14:paraId="4D6107E0" w14:textId="77777777" w:rsidR="004F1D29" w:rsidRDefault="004F1D29" w:rsidP="004F1D29">
            <w:pPr>
              <w:pStyle w:val="ListParagraph"/>
              <w:numPr>
                <w:ilvl w:val="0"/>
                <w:numId w:val="15"/>
              </w:numPr>
              <w:rPr>
                <w:rFonts w:cstheme="minorHAnsi"/>
                <w:sz w:val="20"/>
              </w:rPr>
            </w:pPr>
            <w:r>
              <w:rPr>
                <w:rFonts w:cstheme="minorHAnsi"/>
                <w:sz w:val="20"/>
              </w:rPr>
              <w:t>2020/21 Treasury Management Outturn</w:t>
            </w:r>
          </w:p>
          <w:p w14:paraId="1E780640" w14:textId="77777777" w:rsidR="004F1D29" w:rsidRDefault="004F1D29" w:rsidP="004F1D29">
            <w:pPr>
              <w:pStyle w:val="ListParagraph"/>
              <w:numPr>
                <w:ilvl w:val="0"/>
                <w:numId w:val="15"/>
              </w:numPr>
              <w:rPr>
                <w:rFonts w:cstheme="minorHAnsi"/>
                <w:sz w:val="20"/>
              </w:rPr>
            </w:pPr>
            <w:r>
              <w:rPr>
                <w:rFonts w:cstheme="minorHAnsi"/>
                <w:sz w:val="20"/>
              </w:rPr>
              <w:t>NCFRA Risk Register Update</w:t>
            </w:r>
          </w:p>
          <w:p w14:paraId="7D9491F9" w14:textId="77777777" w:rsidR="004F1D29" w:rsidRPr="007515AC" w:rsidRDefault="004F1D29" w:rsidP="004F1D29">
            <w:pPr>
              <w:pStyle w:val="ListParagraph"/>
              <w:numPr>
                <w:ilvl w:val="0"/>
                <w:numId w:val="15"/>
              </w:numPr>
              <w:rPr>
                <w:rFonts w:cstheme="minorHAnsi"/>
                <w:sz w:val="20"/>
              </w:rPr>
            </w:pPr>
            <w:r>
              <w:rPr>
                <w:rFonts w:cstheme="minorHAnsi"/>
                <w:sz w:val="20"/>
              </w:rPr>
              <w:t>NCFRA Internal Audit progress against recommendations update</w:t>
            </w:r>
          </w:p>
        </w:tc>
      </w:tr>
      <w:tr w:rsidR="004F1D29" w:rsidRPr="007515AC" w14:paraId="241F6618" w14:textId="77777777" w:rsidTr="00073950">
        <w:tc>
          <w:tcPr>
            <w:tcW w:w="1559" w:type="dxa"/>
          </w:tcPr>
          <w:p w14:paraId="6C000E24" w14:textId="77777777" w:rsidR="004F1D29" w:rsidRPr="007515AC" w:rsidRDefault="004F1D29" w:rsidP="00073950">
            <w:pPr>
              <w:rPr>
                <w:rFonts w:cstheme="minorHAnsi"/>
                <w:sz w:val="20"/>
              </w:rPr>
            </w:pPr>
            <w:r w:rsidRPr="007515AC">
              <w:rPr>
                <w:rFonts w:cstheme="minorHAnsi"/>
                <w:sz w:val="20"/>
              </w:rPr>
              <w:t>October 202</w:t>
            </w:r>
            <w:r>
              <w:rPr>
                <w:rFonts w:cstheme="minorHAnsi"/>
                <w:sz w:val="20"/>
              </w:rPr>
              <w:t>1</w:t>
            </w:r>
          </w:p>
        </w:tc>
        <w:tc>
          <w:tcPr>
            <w:tcW w:w="6946" w:type="dxa"/>
          </w:tcPr>
          <w:p w14:paraId="592B5B6F"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 xml:space="preserve">Attendance of PFCC </w:t>
            </w:r>
          </w:p>
          <w:p w14:paraId="6F5FA1F0" w14:textId="77777777" w:rsidR="004F1D29" w:rsidRPr="007515AC" w:rsidRDefault="004F1D29" w:rsidP="004F1D29">
            <w:pPr>
              <w:pStyle w:val="ListParagraph"/>
              <w:numPr>
                <w:ilvl w:val="0"/>
                <w:numId w:val="15"/>
              </w:numPr>
              <w:rPr>
                <w:rFonts w:cstheme="minorHAnsi"/>
                <w:sz w:val="20"/>
              </w:rPr>
            </w:pPr>
            <w:r w:rsidRPr="007515AC">
              <w:rPr>
                <w:rFonts w:cstheme="minorHAnsi"/>
                <w:sz w:val="20"/>
              </w:rPr>
              <w:t>Budget and MTFP Processes, Plan and Timetable</w:t>
            </w:r>
          </w:p>
          <w:p w14:paraId="42D4749D" w14:textId="77777777" w:rsidR="004F1D29" w:rsidRDefault="004F1D29" w:rsidP="004F1D29">
            <w:pPr>
              <w:pStyle w:val="ListParagraph"/>
              <w:numPr>
                <w:ilvl w:val="0"/>
                <w:numId w:val="15"/>
              </w:numPr>
              <w:rPr>
                <w:rFonts w:cstheme="minorHAnsi"/>
                <w:sz w:val="20"/>
              </w:rPr>
            </w:pPr>
            <w:r>
              <w:rPr>
                <w:rFonts w:cstheme="minorHAnsi"/>
                <w:sz w:val="20"/>
              </w:rPr>
              <w:t>MINT and Procurement update</w:t>
            </w:r>
          </w:p>
          <w:p w14:paraId="6B8A91C2" w14:textId="77777777" w:rsidR="004F1D29" w:rsidRDefault="004F1D29" w:rsidP="004F1D29">
            <w:pPr>
              <w:pStyle w:val="ListParagraph"/>
              <w:numPr>
                <w:ilvl w:val="0"/>
                <w:numId w:val="15"/>
              </w:numPr>
              <w:rPr>
                <w:rFonts w:cstheme="minorHAnsi"/>
                <w:sz w:val="20"/>
              </w:rPr>
            </w:pPr>
            <w:r>
              <w:rPr>
                <w:rFonts w:cstheme="minorHAnsi"/>
                <w:sz w:val="20"/>
              </w:rPr>
              <w:t>Enabling Services update</w:t>
            </w:r>
          </w:p>
          <w:p w14:paraId="3E06C0CE" w14:textId="77777777" w:rsidR="004F1D29" w:rsidRPr="007515AC" w:rsidRDefault="004F1D29" w:rsidP="004F1D29">
            <w:pPr>
              <w:pStyle w:val="ListParagraph"/>
              <w:numPr>
                <w:ilvl w:val="0"/>
                <w:numId w:val="15"/>
              </w:numPr>
              <w:rPr>
                <w:rFonts w:cstheme="minorHAnsi"/>
                <w:sz w:val="20"/>
              </w:rPr>
            </w:pPr>
            <w:r>
              <w:rPr>
                <w:rFonts w:cstheme="minorHAnsi"/>
                <w:sz w:val="20"/>
              </w:rPr>
              <w:t>Future New Systems update</w:t>
            </w:r>
          </w:p>
        </w:tc>
      </w:tr>
      <w:tr w:rsidR="004F1D29" w:rsidRPr="007515AC" w14:paraId="7FE2CB6C" w14:textId="77777777" w:rsidTr="00073950">
        <w:tc>
          <w:tcPr>
            <w:tcW w:w="1559" w:type="dxa"/>
          </w:tcPr>
          <w:p w14:paraId="639C7697" w14:textId="77777777" w:rsidR="004F1D29" w:rsidRPr="007515AC" w:rsidRDefault="004F1D29" w:rsidP="00073950">
            <w:pPr>
              <w:rPr>
                <w:rFonts w:cstheme="minorHAnsi"/>
                <w:sz w:val="20"/>
              </w:rPr>
            </w:pPr>
            <w:r w:rsidRPr="007515AC">
              <w:rPr>
                <w:rFonts w:cstheme="minorHAnsi"/>
                <w:sz w:val="20"/>
              </w:rPr>
              <w:t>December 202</w:t>
            </w:r>
            <w:r>
              <w:rPr>
                <w:rFonts w:cstheme="minorHAnsi"/>
                <w:sz w:val="20"/>
              </w:rPr>
              <w:t>1</w:t>
            </w:r>
            <w:r w:rsidRPr="007515AC">
              <w:rPr>
                <w:rFonts w:cstheme="minorHAnsi"/>
                <w:sz w:val="20"/>
              </w:rPr>
              <w:t xml:space="preserve"> </w:t>
            </w:r>
          </w:p>
        </w:tc>
        <w:tc>
          <w:tcPr>
            <w:tcW w:w="6946" w:type="dxa"/>
          </w:tcPr>
          <w:p w14:paraId="047E70D3" w14:textId="77777777" w:rsidR="004F1D29" w:rsidRPr="00D5640C" w:rsidRDefault="004F1D29" w:rsidP="004F1D29">
            <w:pPr>
              <w:pStyle w:val="ListParagraph"/>
              <w:numPr>
                <w:ilvl w:val="0"/>
                <w:numId w:val="15"/>
              </w:numPr>
              <w:rPr>
                <w:rFonts w:cstheme="minorHAnsi"/>
                <w:sz w:val="20"/>
              </w:rPr>
            </w:pPr>
            <w:r w:rsidRPr="007515AC">
              <w:rPr>
                <w:rFonts w:cstheme="minorHAnsi"/>
                <w:sz w:val="20"/>
              </w:rPr>
              <w:t xml:space="preserve">Attendance of PFCC </w:t>
            </w:r>
          </w:p>
          <w:p w14:paraId="01BB0CB2" w14:textId="77777777" w:rsidR="004F1D29" w:rsidRPr="00D5640C" w:rsidRDefault="004F1D29" w:rsidP="004F1D29">
            <w:pPr>
              <w:pStyle w:val="ListParagraph"/>
              <w:numPr>
                <w:ilvl w:val="0"/>
                <w:numId w:val="15"/>
              </w:numPr>
              <w:rPr>
                <w:rFonts w:cstheme="minorHAnsi"/>
                <w:sz w:val="20"/>
              </w:rPr>
            </w:pPr>
            <w:r>
              <w:rPr>
                <w:rFonts w:cstheme="minorHAnsi"/>
                <w:sz w:val="20"/>
              </w:rPr>
              <w:t>Draft Annual Audit Results Report 2020/21</w:t>
            </w:r>
          </w:p>
        </w:tc>
      </w:tr>
      <w:tr w:rsidR="004F1D29" w:rsidRPr="007515AC" w14:paraId="723461B2" w14:textId="77777777" w:rsidTr="00073950">
        <w:tc>
          <w:tcPr>
            <w:tcW w:w="1559" w:type="dxa"/>
          </w:tcPr>
          <w:p w14:paraId="3AA2E85F" w14:textId="77777777" w:rsidR="004F1D29" w:rsidRPr="007515AC" w:rsidRDefault="004F1D29" w:rsidP="00073950">
            <w:pPr>
              <w:rPr>
                <w:rFonts w:cstheme="minorHAnsi"/>
                <w:sz w:val="20"/>
              </w:rPr>
            </w:pPr>
            <w:r w:rsidRPr="007515AC">
              <w:rPr>
                <w:rFonts w:cstheme="minorHAnsi"/>
                <w:sz w:val="20"/>
              </w:rPr>
              <w:t>March 202</w:t>
            </w:r>
            <w:r>
              <w:rPr>
                <w:rFonts w:cstheme="minorHAnsi"/>
                <w:sz w:val="20"/>
              </w:rPr>
              <w:t>2</w:t>
            </w:r>
          </w:p>
        </w:tc>
        <w:tc>
          <w:tcPr>
            <w:tcW w:w="6946" w:type="dxa"/>
          </w:tcPr>
          <w:p w14:paraId="16B951EA" w14:textId="77777777" w:rsidR="004F1D29" w:rsidRDefault="004F1D29" w:rsidP="004F1D29">
            <w:pPr>
              <w:pStyle w:val="ListParagraph"/>
              <w:numPr>
                <w:ilvl w:val="0"/>
                <w:numId w:val="15"/>
              </w:numPr>
              <w:rPr>
                <w:rFonts w:cstheme="minorHAnsi"/>
                <w:sz w:val="20"/>
              </w:rPr>
            </w:pPr>
            <w:r w:rsidRPr="007515AC">
              <w:rPr>
                <w:rFonts w:cstheme="minorHAnsi"/>
                <w:sz w:val="20"/>
              </w:rPr>
              <w:t>Internal Audit Plan 202</w:t>
            </w:r>
            <w:r>
              <w:rPr>
                <w:rFonts w:cstheme="minorHAnsi"/>
                <w:sz w:val="20"/>
              </w:rPr>
              <w:t>2</w:t>
            </w:r>
            <w:r w:rsidRPr="007515AC">
              <w:rPr>
                <w:rFonts w:cstheme="minorHAnsi"/>
                <w:sz w:val="20"/>
              </w:rPr>
              <w:t>/2</w:t>
            </w:r>
            <w:r>
              <w:rPr>
                <w:rFonts w:cstheme="minorHAnsi"/>
                <w:sz w:val="20"/>
              </w:rPr>
              <w:t>3</w:t>
            </w:r>
          </w:p>
          <w:p w14:paraId="5E8849D5" w14:textId="77777777" w:rsidR="004F1D29" w:rsidRPr="007515AC" w:rsidRDefault="004F1D29" w:rsidP="004F1D29">
            <w:pPr>
              <w:pStyle w:val="ListParagraph"/>
              <w:numPr>
                <w:ilvl w:val="0"/>
                <w:numId w:val="15"/>
              </w:numPr>
              <w:rPr>
                <w:rFonts w:cstheme="minorHAnsi"/>
                <w:sz w:val="20"/>
              </w:rPr>
            </w:pPr>
            <w:r>
              <w:rPr>
                <w:rFonts w:cstheme="minorHAnsi"/>
                <w:sz w:val="20"/>
              </w:rPr>
              <w:t>2022/23 Treasury Management Strategy and 2021/22 mid-year update</w:t>
            </w:r>
          </w:p>
          <w:p w14:paraId="2D8569B0" w14:textId="77777777" w:rsidR="004F1D29" w:rsidRPr="007515AC" w:rsidRDefault="004F1D29" w:rsidP="004F1D29">
            <w:pPr>
              <w:pStyle w:val="ListParagraph"/>
              <w:numPr>
                <w:ilvl w:val="0"/>
                <w:numId w:val="15"/>
              </w:numPr>
              <w:rPr>
                <w:rFonts w:cstheme="minorHAnsi"/>
                <w:sz w:val="20"/>
              </w:rPr>
            </w:pPr>
            <w:r>
              <w:rPr>
                <w:rFonts w:cstheme="minorHAnsi"/>
                <w:sz w:val="20"/>
              </w:rPr>
              <w:t>Risk Register update</w:t>
            </w:r>
            <w:r w:rsidRPr="007515AC">
              <w:rPr>
                <w:rFonts w:cstheme="minorHAnsi"/>
                <w:sz w:val="20"/>
              </w:rPr>
              <w:t xml:space="preserve"> </w:t>
            </w:r>
          </w:p>
        </w:tc>
      </w:tr>
    </w:tbl>
    <w:p w14:paraId="5B149A19" w14:textId="77777777" w:rsidR="001D1C78" w:rsidRPr="001D1C78" w:rsidRDefault="001D1C78" w:rsidP="004F1D29">
      <w:pPr>
        <w:tabs>
          <w:tab w:val="left" w:pos="2616"/>
        </w:tabs>
        <w:rPr>
          <w:rFonts w:cstheme="minorHAnsi"/>
          <w:b/>
          <w:sz w:val="10"/>
          <w:szCs w:val="10"/>
        </w:rPr>
      </w:pPr>
    </w:p>
    <w:p w14:paraId="111F03EF" w14:textId="3A61F584" w:rsidR="004F1D29" w:rsidRPr="008D7221" w:rsidRDefault="004F1D29" w:rsidP="003C3A4C">
      <w:pPr>
        <w:tabs>
          <w:tab w:val="left" w:pos="2616"/>
        </w:tabs>
        <w:spacing w:after="0"/>
        <w:rPr>
          <w:rFonts w:cstheme="minorHAnsi"/>
          <w:b/>
        </w:rPr>
      </w:pPr>
      <w:r w:rsidRPr="008D7221">
        <w:rPr>
          <w:rFonts w:cstheme="minorHAnsi"/>
          <w:b/>
        </w:rPr>
        <w:t>Significant Governance Issues</w:t>
      </w:r>
    </w:p>
    <w:p w14:paraId="6DE6A543" w14:textId="77777777" w:rsidR="004F1D29" w:rsidRPr="008D7221" w:rsidRDefault="004F1D29" w:rsidP="004F1D29">
      <w:pPr>
        <w:tabs>
          <w:tab w:val="left" w:pos="2616"/>
        </w:tabs>
        <w:rPr>
          <w:rFonts w:cstheme="minorHAnsi"/>
        </w:rPr>
      </w:pPr>
      <w:r w:rsidRPr="008D7221">
        <w:rPr>
          <w:rFonts w:cstheme="minorHAnsi"/>
        </w:rPr>
        <w:t xml:space="preserve">There were no formal reports issued by the S151 or Monitoring Officer during the year, outcomes of Monitoring Officer Investigations, objections from local electors or ombudsman referrals. The financial settlement and precept </w:t>
      </w:r>
      <w:r w:rsidRPr="008D7221">
        <w:rPr>
          <w:rFonts w:cstheme="minorHAnsi"/>
        </w:rPr>
        <w:lastRenderedPageBreak/>
        <w:t xml:space="preserve">flexibility for 2022/23 have enabled NCFRA to set a balanced budget for three years with an agreed </w:t>
      </w:r>
      <w:r>
        <w:rPr>
          <w:rFonts w:cstheme="minorHAnsi"/>
        </w:rPr>
        <w:t xml:space="preserve">realistic </w:t>
      </w:r>
      <w:r w:rsidRPr="008D7221">
        <w:rPr>
          <w:rFonts w:cstheme="minorHAnsi"/>
        </w:rPr>
        <w:t xml:space="preserve">efficiency plan which will be kept under close review. </w:t>
      </w:r>
    </w:p>
    <w:p w14:paraId="445EF972" w14:textId="77777777" w:rsidR="004F1D29" w:rsidRPr="008D7221" w:rsidRDefault="004F1D29" w:rsidP="004F1D29">
      <w:pPr>
        <w:tabs>
          <w:tab w:val="left" w:pos="2616"/>
        </w:tabs>
        <w:rPr>
          <w:rFonts w:cstheme="minorHAnsi"/>
          <w:b/>
          <w:u w:val="single"/>
        </w:rPr>
      </w:pPr>
      <w:r w:rsidRPr="008D7221">
        <w:rPr>
          <w:rFonts w:cstheme="minorHAnsi"/>
        </w:rPr>
        <w:t xml:space="preserve">Fixed Asset Strategies, Reserves, Treasury Management Strategies and a Capital Programme are in place, and the Capital Programme is regularly reviewed to ensure deliverability and affordability. Representation will continue to be made for funding to mitigate this impact. It remains essential that opportunities to build resilience and capacity and maximise efficiencies continue to be taken forward with Policing. The internal control framework continues to develop and it is important that this momentum is maintained. </w:t>
      </w:r>
    </w:p>
    <w:p w14:paraId="6978F9B3" w14:textId="5A5B935D" w:rsidR="003C3A4C" w:rsidRDefault="004F1D29" w:rsidP="00410018">
      <w:pPr>
        <w:spacing w:after="0"/>
        <w:rPr>
          <w:rFonts w:cstheme="minorHAnsi"/>
          <w:b/>
        </w:rPr>
      </w:pPr>
      <w:r w:rsidRPr="008D7221">
        <w:rPr>
          <w:rFonts w:cstheme="minorHAnsi"/>
          <w:b/>
        </w:rPr>
        <w:t>Progress on the 2021/22 Recommendations</w:t>
      </w:r>
    </w:p>
    <w:p w14:paraId="4A0B6187" w14:textId="307A937D" w:rsidR="004F1D29" w:rsidRDefault="004F1D29" w:rsidP="003C3A4C">
      <w:pPr>
        <w:rPr>
          <w:rFonts w:cstheme="minorHAnsi"/>
        </w:rPr>
      </w:pPr>
      <w:r w:rsidRPr="008D7221">
        <w:rPr>
          <w:rFonts w:cstheme="minorHAnsi"/>
        </w:rPr>
        <w:t>Good progress has been made on the 2021/22 recommendations identified in the governance statement as follows:</w:t>
      </w:r>
    </w:p>
    <w:tbl>
      <w:tblPr>
        <w:tblStyle w:val="TableGrid"/>
        <w:tblW w:w="10065" w:type="dxa"/>
        <w:tblInd w:w="-5" w:type="dxa"/>
        <w:tblLayout w:type="fixed"/>
        <w:tblLook w:val="04A0" w:firstRow="1" w:lastRow="0" w:firstColumn="1" w:lastColumn="0" w:noHBand="0" w:noVBand="1"/>
      </w:tblPr>
      <w:tblGrid>
        <w:gridCol w:w="2694"/>
        <w:gridCol w:w="3119"/>
        <w:gridCol w:w="4252"/>
      </w:tblGrid>
      <w:tr w:rsidR="004F1D29" w:rsidRPr="0096370B" w14:paraId="3919314B" w14:textId="77777777" w:rsidTr="004F1D29">
        <w:tc>
          <w:tcPr>
            <w:tcW w:w="10065" w:type="dxa"/>
            <w:gridSpan w:val="3"/>
            <w:shd w:val="clear" w:color="auto" w:fill="C00000"/>
          </w:tcPr>
          <w:p w14:paraId="31A95A20" w14:textId="77777777" w:rsidR="004F1D29" w:rsidRDefault="004F1D29" w:rsidP="00073950">
            <w:pPr>
              <w:tabs>
                <w:tab w:val="left" w:pos="2616"/>
              </w:tabs>
              <w:jc w:val="center"/>
              <w:rPr>
                <w:rFonts w:cstheme="minorHAnsi"/>
                <w:b/>
                <w:sz w:val="20"/>
              </w:rPr>
            </w:pPr>
            <w:bookmarkStart w:id="2" w:name="_Hlk75616600"/>
            <w:r>
              <w:rPr>
                <w:rFonts w:cstheme="minorHAnsi"/>
                <w:b/>
                <w:sz w:val="20"/>
              </w:rPr>
              <w:t>Progress on 2021/22 Internal Control Actions</w:t>
            </w:r>
          </w:p>
          <w:p w14:paraId="48F34E8C" w14:textId="77777777" w:rsidR="004F1D29" w:rsidRPr="00CB6D9F" w:rsidRDefault="004F1D29" w:rsidP="00073950">
            <w:pPr>
              <w:tabs>
                <w:tab w:val="left" w:pos="2616"/>
              </w:tabs>
              <w:rPr>
                <w:rFonts w:cstheme="minorHAnsi"/>
                <w:b/>
                <w:sz w:val="20"/>
              </w:rPr>
            </w:pPr>
          </w:p>
        </w:tc>
      </w:tr>
      <w:tr w:rsidR="004F1D29" w:rsidRPr="0096370B" w14:paraId="5D8258C1" w14:textId="77777777" w:rsidTr="004F1D29">
        <w:tc>
          <w:tcPr>
            <w:tcW w:w="2694" w:type="dxa"/>
          </w:tcPr>
          <w:p w14:paraId="1684DB52" w14:textId="77777777" w:rsidR="004F1D29" w:rsidRPr="00ED2A06" w:rsidRDefault="004F1D29" w:rsidP="00073950">
            <w:pPr>
              <w:tabs>
                <w:tab w:val="left" w:pos="2616"/>
              </w:tabs>
              <w:rPr>
                <w:rFonts w:cstheme="minorHAnsi"/>
                <w:b/>
                <w:sz w:val="20"/>
                <w:szCs w:val="20"/>
              </w:rPr>
            </w:pPr>
            <w:bookmarkStart w:id="3" w:name="_Hlk75614118"/>
            <w:r w:rsidRPr="00ED2A06">
              <w:rPr>
                <w:rFonts w:cstheme="minorHAnsi"/>
                <w:b/>
                <w:sz w:val="20"/>
                <w:szCs w:val="20"/>
              </w:rPr>
              <w:t>Principle D: Determining the interventions necessary to optimise the achievement of intended outcomes.</w:t>
            </w:r>
          </w:p>
          <w:p w14:paraId="01DEA0CD" w14:textId="77777777" w:rsidR="004F1D29" w:rsidRPr="00ED2A06" w:rsidRDefault="004F1D29" w:rsidP="00073950">
            <w:pPr>
              <w:tabs>
                <w:tab w:val="left" w:pos="2616"/>
              </w:tabs>
              <w:rPr>
                <w:rFonts w:cstheme="minorHAnsi"/>
                <w:sz w:val="20"/>
                <w:szCs w:val="20"/>
              </w:rPr>
            </w:pPr>
          </w:p>
        </w:tc>
        <w:tc>
          <w:tcPr>
            <w:tcW w:w="3119" w:type="dxa"/>
          </w:tcPr>
          <w:p w14:paraId="54CB7AF0" w14:textId="77777777" w:rsidR="004F1D29" w:rsidRPr="00ED2A06" w:rsidRDefault="004F1D29" w:rsidP="00073950">
            <w:pPr>
              <w:rPr>
                <w:rFonts w:cstheme="minorHAnsi"/>
                <w:sz w:val="20"/>
                <w:szCs w:val="20"/>
              </w:rPr>
            </w:pPr>
            <w:r w:rsidRPr="00ED2A06">
              <w:rPr>
                <w:rFonts w:cstheme="minorHAnsi"/>
                <w:b/>
                <w:sz w:val="20"/>
                <w:szCs w:val="20"/>
              </w:rPr>
              <w:t>Recommendation 1:</w:t>
            </w:r>
            <w:r w:rsidRPr="00ED2A06">
              <w:rPr>
                <w:rFonts w:cstheme="minorHAnsi"/>
                <w:sz w:val="20"/>
                <w:szCs w:val="20"/>
              </w:rPr>
              <w:t xml:space="preserve"> To continue to progress the HMICFRS Improvement Plan and monitor updates regularly through the Accountability Board.</w:t>
            </w:r>
          </w:p>
        </w:tc>
        <w:tc>
          <w:tcPr>
            <w:tcW w:w="4252" w:type="dxa"/>
          </w:tcPr>
          <w:p w14:paraId="1D383850" w14:textId="77777777" w:rsidR="004F1D29" w:rsidRPr="00ED2A06" w:rsidRDefault="004F1D29" w:rsidP="00073950">
            <w:pPr>
              <w:rPr>
                <w:rFonts w:cstheme="minorHAnsi"/>
                <w:bCs/>
                <w:sz w:val="20"/>
                <w:szCs w:val="20"/>
              </w:rPr>
            </w:pPr>
            <w:r w:rsidRPr="00ED2A06">
              <w:rPr>
                <w:rFonts w:cstheme="minorHAnsi"/>
                <w:b/>
                <w:sz w:val="20"/>
                <w:szCs w:val="20"/>
              </w:rPr>
              <w:t xml:space="preserve">Completed – </w:t>
            </w:r>
            <w:r w:rsidRPr="00ED2A06">
              <w:rPr>
                <w:rFonts w:cstheme="minorHAnsi"/>
                <w:bCs/>
                <w:sz w:val="20"/>
                <w:szCs w:val="20"/>
              </w:rPr>
              <w:t>new inspection undertaken Autumn 2021 – report due Spring 2022.</w:t>
            </w:r>
          </w:p>
          <w:p w14:paraId="10D5077E" w14:textId="77777777" w:rsidR="004F1D29" w:rsidRPr="00ED2A06" w:rsidRDefault="004F1D29" w:rsidP="00073950">
            <w:pPr>
              <w:rPr>
                <w:rFonts w:cstheme="minorHAnsi"/>
                <w:bCs/>
                <w:sz w:val="20"/>
                <w:szCs w:val="20"/>
              </w:rPr>
            </w:pPr>
          </w:p>
          <w:p w14:paraId="578D299D" w14:textId="77777777" w:rsidR="004F1D29" w:rsidRPr="00ED2A06" w:rsidRDefault="004F1D29" w:rsidP="00073950">
            <w:pPr>
              <w:rPr>
                <w:rFonts w:cstheme="minorHAnsi"/>
                <w:b/>
                <w:sz w:val="20"/>
                <w:szCs w:val="20"/>
              </w:rPr>
            </w:pPr>
            <w:r w:rsidRPr="00ED2A06">
              <w:rPr>
                <w:rFonts w:cstheme="minorHAnsi"/>
                <w:b/>
                <w:sz w:val="20"/>
                <w:szCs w:val="20"/>
              </w:rPr>
              <w:t>New recommendation for 2022/23 to take forward any recommendations.</w:t>
            </w:r>
          </w:p>
        </w:tc>
      </w:tr>
      <w:tr w:rsidR="004F1D29" w:rsidRPr="0096370B" w14:paraId="768B68F9" w14:textId="77777777" w:rsidTr="004F1D29">
        <w:tc>
          <w:tcPr>
            <w:tcW w:w="2694" w:type="dxa"/>
            <w:vMerge w:val="restart"/>
          </w:tcPr>
          <w:p w14:paraId="6C93D374" w14:textId="77777777" w:rsidR="004F1D29" w:rsidRPr="00ED2A06" w:rsidRDefault="004F1D29" w:rsidP="00073950">
            <w:pPr>
              <w:rPr>
                <w:rFonts w:cstheme="minorHAnsi"/>
                <w:b/>
                <w:sz w:val="20"/>
                <w:szCs w:val="20"/>
              </w:rPr>
            </w:pPr>
            <w:r w:rsidRPr="00ED2A06">
              <w:rPr>
                <w:rFonts w:cstheme="minorHAnsi"/>
                <w:b/>
                <w:sz w:val="20"/>
                <w:szCs w:val="20"/>
              </w:rPr>
              <w:t>Principle E: Developing Capacity and Capability.</w:t>
            </w:r>
          </w:p>
        </w:tc>
        <w:tc>
          <w:tcPr>
            <w:tcW w:w="3119" w:type="dxa"/>
          </w:tcPr>
          <w:p w14:paraId="7E240631" w14:textId="77777777" w:rsidR="004F1D29" w:rsidRPr="00ED2A06" w:rsidRDefault="004F1D29" w:rsidP="00073950">
            <w:pPr>
              <w:rPr>
                <w:rFonts w:cstheme="minorHAnsi"/>
                <w:sz w:val="20"/>
                <w:szCs w:val="20"/>
              </w:rPr>
            </w:pPr>
            <w:r w:rsidRPr="00ED2A06">
              <w:rPr>
                <w:rFonts w:cstheme="minorHAnsi"/>
                <w:b/>
                <w:sz w:val="20"/>
                <w:szCs w:val="20"/>
              </w:rPr>
              <w:t>Recommendation2:</w:t>
            </w:r>
            <w:r w:rsidRPr="00ED2A06">
              <w:rPr>
                <w:rFonts w:cstheme="minorHAnsi"/>
                <w:sz w:val="20"/>
                <w:szCs w:val="20"/>
              </w:rPr>
              <w:t xml:space="preserve">  Further develop the work of the Establishment Board including the development of a Workforce Strategy.</w:t>
            </w:r>
          </w:p>
          <w:p w14:paraId="470E8C26" w14:textId="77777777" w:rsidR="004F1D29" w:rsidRPr="00ED2A06" w:rsidRDefault="004F1D29" w:rsidP="00073950">
            <w:pPr>
              <w:rPr>
                <w:rFonts w:cstheme="minorHAnsi"/>
                <w:sz w:val="20"/>
                <w:szCs w:val="20"/>
              </w:rPr>
            </w:pPr>
          </w:p>
        </w:tc>
        <w:tc>
          <w:tcPr>
            <w:tcW w:w="4252" w:type="dxa"/>
          </w:tcPr>
          <w:p w14:paraId="14235B82" w14:textId="77777777" w:rsidR="004F1D29" w:rsidRPr="00ED2A06" w:rsidRDefault="004F1D29" w:rsidP="00073950">
            <w:pPr>
              <w:rPr>
                <w:rFonts w:cstheme="minorHAnsi"/>
                <w:sz w:val="20"/>
                <w:szCs w:val="20"/>
              </w:rPr>
            </w:pPr>
            <w:r w:rsidRPr="00ED2A06">
              <w:rPr>
                <w:rFonts w:cstheme="minorHAnsi"/>
                <w:b/>
                <w:sz w:val="20"/>
                <w:szCs w:val="20"/>
              </w:rPr>
              <w:t xml:space="preserve">Completed </w:t>
            </w:r>
            <w:r w:rsidRPr="00ED2A06">
              <w:rPr>
                <w:rFonts w:cstheme="minorHAnsi"/>
                <w:sz w:val="20"/>
                <w:szCs w:val="20"/>
              </w:rPr>
              <w:t>–the Joint HR team has been established and this work will continue a Workforce Strategy has been developed but work to take forward establishment plans and monitoring is required.</w:t>
            </w:r>
          </w:p>
          <w:p w14:paraId="2B7A4B91" w14:textId="77777777" w:rsidR="004F1D29" w:rsidRPr="00ED2A06" w:rsidRDefault="004F1D29" w:rsidP="00073950">
            <w:pPr>
              <w:rPr>
                <w:rFonts w:cstheme="minorHAnsi"/>
                <w:sz w:val="20"/>
                <w:szCs w:val="20"/>
              </w:rPr>
            </w:pPr>
          </w:p>
          <w:p w14:paraId="0DB1BC24" w14:textId="77777777" w:rsidR="004F1D29" w:rsidRPr="00ED2A06" w:rsidRDefault="004F1D29" w:rsidP="00073950">
            <w:pPr>
              <w:rPr>
                <w:rFonts w:cstheme="minorHAnsi"/>
                <w:b/>
                <w:sz w:val="20"/>
                <w:szCs w:val="20"/>
              </w:rPr>
            </w:pPr>
            <w:r w:rsidRPr="00ED2A06">
              <w:rPr>
                <w:rFonts w:cstheme="minorHAnsi"/>
                <w:b/>
                <w:sz w:val="20"/>
                <w:szCs w:val="20"/>
              </w:rPr>
              <w:t>New recommendation for 2022/23 to take forward establishment plans.</w:t>
            </w:r>
          </w:p>
        </w:tc>
      </w:tr>
      <w:tr w:rsidR="004F1D29" w:rsidRPr="0096370B" w14:paraId="13A21027" w14:textId="77777777" w:rsidTr="004F1D29">
        <w:tc>
          <w:tcPr>
            <w:tcW w:w="2694" w:type="dxa"/>
            <w:vMerge/>
          </w:tcPr>
          <w:p w14:paraId="5D4705A0" w14:textId="77777777" w:rsidR="004F1D29" w:rsidRPr="00ED2A06" w:rsidRDefault="004F1D29" w:rsidP="00073950">
            <w:pPr>
              <w:rPr>
                <w:rFonts w:cstheme="minorHAnsi"/>
                <w:b/>
                <w:sz w:val="20"/>
                <w:szCs w:val="20"/>
              </w:rPr>
            </w:pPr>
          </w:p>
        </w:tc>
        <w:tc>
          <w:tcPr>
            <w:tcW w:w="3119" w:type="dxa"/>
          </w:tcPr>
          <w:p w14:paraId="08AFBDFE" w14:textId="77777777" w:rsidR="004F1D29" w:rsidRPr="00ED2A06" w:rsidRDefault="004F1D29" w:rsidP="00073950">
            <w:pPr>
              <w:rPr>
                <w:rFonts w:cstheme="minorHAnsi"/>
                <w:sz w:val="20"/>
                <w:szCs w:val="20"/>
              </w:rPr>
            </w:pPr>
            <w:r w:rsidRPr="00ED2A06">
              <w:rPr>
                <w:rFonts w:cstheme="minorHAnsi"/>
                <w:b/>
                <w:sz w:val="20"/>
                <w:szCs w:val="20"/>
              </w:rPr>
              <w:t>Recommendation 3:</w:t>
            </w:r>
            <w:r w:rsidRPr="00ED2A06">
              <w:rPr>
                <w:rFonts w:cstheme="minorHAnsi"/>
                <w:sz w:val="20"/>
                <w:szCs w:val="20"/>
              </w:rPr>
              <w:t xml:space="preserve"> To continue to inform, develop and implement proposals for Enabling Services together with Policing.</w:t>
            </w:r>
          </w:p>
        </w:tc>
        <w:tc>
          <w:tcPr>
            <w:tcW w:w="4252" w:type="dxa"/>
          </w:tcPr>
          <w:p w14:paraId="59187E35" w14:textId="77777777" w:rsidR="004F1D29" w:rsidRPr="00ED2A06" w:rsidRDefault="004F1D29" w:rsidP="00073950">
            <w:pPr>
              <w:rPr>
                <w:rFonts w:cstheme="minorHAnsi"/>
                <w:bCs/>
                <w:sz w:val="20"/>
                <w:szCs w:val="20"/>
              </w:rPr>
            </w:pPr>
            <w:r w:rsidRPr="00ED2A06">
              <w:rPr>
                <w:rFonts w:cstheme="minorHAnsi"/>
                <w:b/>
                <w:sz w:val="20"/>
                <w:szCs w:val="20"/>
              </w:rPr>
              <w:t xml:space="preserve">Completed/Incorporated into Business as Usual </w:t>
            </w:r>
            <w:r w:rsidRPr="00ED2A06">
              <w:rPr>
                <w:rFonts w:cstheme="minorHAnsi"/>
                <w:bCs/>
                <w:sz w:val="20"/>
                <w:szCs w:val="20"/>
              </w:rPr>
              <w:t>– all Joint Heads of Department are in place and Joint Teams established.</w:t>
            </w:r>
          </w:p>
          <w:p w14:paraId="1BAE954B" w14:textId="77777777" w:rsidR="004F1D29" w:rsidRPr="00ED2A06" w:rsidRDefault="004F1D29" w:rsidP="00073950">
            <w:pPr>
              <w:rPr>
                <w:rFonts w:cstheme="minorHAnsi"/>
                <w:b/>
                <w:sz w:val="20"/>
                <w:szCs w:val="20"/>
              </w:rPr>
            </w:pPr>
          </w:p>
        </w:tc>
      </w:tr>
      <w:tr w:rsidR="004F1D29" w:rsidRPr="0096370B" w14:paraId="3D348AFC" w14:textId="77777777" w:rsidTr="004F1D29">
        <w:tc>
          <w:tcPr>
            <w:tcW w:w="2694" w:type="dxa"/>
            <w:vMerge/>
          </w:tcPr>
          <w:p w14:paraId="4B525A98" w14:textId="77777777" w:rsidR="004F1D29" w:rsidRPr="00ED2A06" w:rsidRDefault="004F1D29" w:rsidP="00073950">
            <w:pPr>
              <w:rPr>
                <w:rFonts w:cstheme="minorHAnsi"/>
                <w:b/>
                <w:sz w:val="20"/>
                <w:szCs w:val="20"/>
              </w:rPr>
            </w:pPr>
          </w:p>
        </w:tc>
        <w:tc>
          <w:tcPr>
            <w:tcW w:w="3119" w:type="dxa"/>
          </w:tcPr>
          <w:p w14:paraId="316A5C6D" w14:textId="77777777" w:rsidR="004F1D29" w:rsidRPr="00ED2A06" w:rsidRDefault="004F1D29" w:rsidP="00073950">
            <w:pPr>
              <w:rPr>
                <w:rFonts w:cstheme="minorHAnsi"/>
                <w:sz w:val="20"/>
                <w:szCs w:val="20"/>
              </w:rPr>
            </w:pPr>
            <w:r w:rsidRPr="00ED2A06">
              <w:rPr>
                <w:rFonts w:cstheme="minorHAnsi"/>
                <w:b/>
                <w:sz w:val="20"/>
                <w:szCs w:val="20"/>
              </w:rPr>
              <w:t>Recommendation 4:</w:t>
            </w:r>
            <w:r w:rsidRPr="00ED2A06">
              <w:rPr>
                <w:rFonts w:cstheme="minorHAnsi"/>
                <w:sz w:val="20"/>
                <w:szCs w:val="20"/>
              </w:rPr>
              <w:t xml:space="preserve"> To assess the feasibility of and where appropriate, develop a commercial strategy in conjunction with Policing.</w:t>
            </w:r>
          </w:p>
        </w:tc>
        <w:tc>
          <w:tcPr>
            <w:tcW w:w="4252" w:type="dxa"/>
          </w:tcPr>
          <w:p w14:paraId="586887F4" w14:textId="77777777" w:rsidR="004F1D29" w:rsidRPr="00ED2A06" w:rsidRDefault="004F1D29" w:rsidP="00073950">
            <w:pPr>
              <w:rPr>
                <w:rFonts w:cstheme="minorHAnsi"/>
                <w:b/>
                <w:sz w:val="20"/>
                <w:szCs w:val="20"/>
              </w:rPr>
            </w:pPr>
            <w:r w:rsidRPr="00ED2A06">
              <w:rPr>
                <w:rFonts w:cstheme="minorHAnsi"/>
                <w:b/>
                <w:sz w:val="20"/>
                <w:szCs w:val="20"/>
              </w:rPr>
              <w:t xml:space="preserve">Completed </w:t>
            </w:r>
            <w:r w:rsidRPr="00ED2A06">
              <w:rPr>
                <w:rFonts w:cstheme="minorHAnsi"/>
                <w:bCs/>
                <w:sz w:val="20"/>
                <w:szCs w:val="20"/>
              </w:rPr>
              <w:t xml:space="preserve">– a joint post is in place and a commercial strategy has been approved. </w:t>
            </w:r>
          </w:p>
        </w:tc>
      </w:tr>
      <w:tr w:rsidR="004F1D29" w:rsidRPr="0096370B" w14:paraId="4E90DD96" w14:textId="77777777" w:rsidTr="004F1D29">
        <w:trPr>
          <w:trHeight w:val="1963"/>
        </w:trPr>
        <w:tc>
          <w:tcPr>
            <w:tcW w:w="2694" w:type="dxa"/>
          </w:tcPr>
          <w:p w14:paraId="23C4BC3E" w14:textId="77777777" w:rsidR="004F1D29" w:rsidRPr="00ED2A06" w:rsidRDefault="004F1D29" w:rsidP="00073950">
            <w:pPr>
              <w:tabs>
                <w:tab w:val="left" w:pos="2616"/>
              </w:tabs>
              <w:rPr>
                <w:rFonts w:cstheme="minorHAnsi"/>
                <w:b/>
                <w:sz w:val="20"/>
                <w:szCs w:val="20"/>
              </w:rPr>
            </w:pPr>
            <w:r w:rsidRPr="00ED2A06">
              <w:rPr>
                <w:rFonts w:cstheme="minorHAnsi"/>
                <w:b/>
                <w:sz w:val="20"/>
                <w:szCs w:val="20"/>
              </w:rPr>
              <w:t>Principle F: Managing Risks and Performance.</w:t>
            </w:r>
          </w:p>
          <w:p w14:paraId="4D765011" w14:textId="77777777" w:rsidR="004F1D29" w:rsidRPr="00ED2A06" w:rsidRDefault="004F1D29" w:rsidP="00073950">
            <w:pPr>
              <w:tabs>
                <w:tab w:val="left" w:pos="2616"/>
              </w:tabs>
              <w:rPr>
                <w:rFonts w:cstheme="minorHAnsi"/>
                <w:sz w:val="20"/>
                <w:szCs w:val="20"/>
              </w:rPr>
            </w:pPr>
          </w:p>
        </w:tc>
        <w:tc>
          <w:tcPr>
            <w:tcW w:w="3119" w:type="dxa"/>
          </w:tcPr>
          <w:p w14:paraId="4EEA8932" w14:textId="77777777" w:rsidR="004F1D29" w:rsidRPr="00ED2A06" w:rsidRDefault="004F1D29" w:rsidP="00073950">
            <w:pPr>
              <w:rPr>
                <w:rFonts w:cstheme="minorHAnsi"/>
                <w:sz w:val="20"/>
                <w:szCs w:val="20"/>
              </w:rPr>
            </w:pPr>
            <w:r w:rsidRPr="00ED2A06">
              <w:rPr>
                <w:rFonts w:cstheme="minorHAnsi"/>
                <w:b/>
                <w:sz w:val="20"/>
                <w:szCs w:val="20"/>
              </w:rPr>
              <w:t xml:space="preserve">Recommendation 5: </w:t>
            </w:r>
            <w:r w:rsidRPr="00ED2A06">
              <w:rPr>
                <w:rFonts w:cstheme="minorHAnsi"/>
                <w:bCs/>
                <w:sz w:val="20"/>
                <w:szCs w:val="20"/>
              </w:rPr>
              <w:t>To continue to maximise all funding opportunities for NCFRA, ensuring the MTFP reflects the position, that savings plans are prepared and reviewed and lobbying to continue to seek a fairer funding settlement for NCFRA.</w:t>
            </w:r>
          </w:p>
          <w:p w14:paraId="169E2805" w14:textId="77777777" w:rsidR="004F1D29" w:rsidRPr="00ED2A06" w:rsidRDefault="004F1D29" w:rsidP="00073950">
            <w:pPr>
              <w:rPr>
                <w:rFonts w:cstheme="minorHAnsi"/>
                <w:b/>
                <w:sz w:val="20"/>
                <w:szCs w:val="20"/>
              </w:rPr>
            </w:pPr>
          </w:p>
        </w:tc>
        <w:tc>
          <w:tcPr>
            <w:tcW w:w="4252" w:type="dxa"/>
          </w:tcPr>
          <w:p w14:paraId="4C720E06" w14:textId="77777777" w:rsidR="004F1D29" w:rsidRPr="00ED2A06" w:rsidRDefault="004F1D29" w:rsidP="00073950">
            <w:pPr>
              <w:rPr>
                <w:rFonts w:cstheme="minorHAnsi"/>
                <w:b/>
                <w:sz w:val="20"/>
                <w:szCs w:val="20"/>
              </w:rPr>
            </w:pPr>
            <w:r w:rsidRPr="00ED2A06">
              <w:rPr>
                <w:rFonts w:cstheme="minorHAnsi"/>
                <w:b/>
                <w:sz w:val="20"/>
                <w:szCs w:val="20"/>
              </w:rPr>
              <w:t xml:space="preserve">Completed/Incorporated into Business as Usual </w:t>
            </w:r>
            <w:r w:rsidRPr="00ED2A06">
              <w:rPr>
                <w:rFonts w:cstheme="minorHAnsi"/>
                <w:bCs/>
                <w:sz w:val="20"/>
                <w:szCs w:val="20"/>
              </w:rPr>
              <w:t>– the 2022/23 budget and precept has enabled NCFRA to balance the budget over three years and to put in place an agreed efficiency plan – this is now Business as usual</w:t>
            </w:r>
          </w:p>
        </w:tc>
      </w:tr>
      <w:tr w:rsidR="004F1D29" w:rsidRPr="001A489B" w14:paraId="435C292F" w14:textId="77777777" w:rsidTr="004F1D29">
        <w:tc>
          <w:tcPr>
            <w:tcW w:w="2694" w:type="dxa"/>
            <w:vMerge w:val="restart"/>
          </w:tcPr>
          <w:p w14:paraId="2691A26E" w14:textId="77777777" w:rsidR="004F1D29" w:rsidRPr="00ED2A06" w:rsidRDefault="004F1D29" w:rsidP="00073950">
            <w:pPr>
              <w:tabs>
                <w:tab w:val="left" w:pos="2616"/>
              </w:tabs>
              <w:rPr>
                <w:rFonts w:cstheme="minorHAnsi"/>
                <w:b/>
                <w:sz w:val="20"/>
                <w:szCs w:val="20"/>
              </w:rPr>
            </w:pPr>
            <w:r w:rsidRPr="00ED2A06">
              <w:rPr>
                <w:rFonts w:cstheme="minorHAnsi"/>
                <w:b/>
                <w:sz w:val="20"/>
                <w:szCs w:val="20"/>
              </w:rPr>
              <w:t xml:space="preserve">Principle G: Implementing good practices in transparency, reporting and accountability. </w:t>
            </w:r>
          </w:p>
          <w:p w14:paraId="3C110EC2" w14:textId="77777777" w:rsidR="004F1D29" w:rsidRPr="00ED2A06" w:rsidRDefault="004F1D29" w:rsidP="00073950">
            <w:pPr>
              <w:rPr>
                <w:rFonts w:cstheme="minorHAnsi"/>
                <w:b/>
                <w:sz w:val="20"/>
                <w:szCs w:val="20"/>
              </w:rPr>
            </w:pPr>
          </w:p>
        </w:tc>
        <w:tc>
          <w:tcPr>
            <w:tcW w:w="3119" w:type="dxa"/>
          </w:tcPr>
          <w:p w14:paraId="756FF62D" w14:textId="77777777" w:rsidR="004F1D29" w:rsidRPr="00ED2A06" w:rsidRDefault="004F1D29" w:rsidP="00073950">
            <w:pPr>
              <w:rPr>
                <w:rFonts w:cstheme="minorHAnsi"/>
                <w:sz w:val="20"/>
                <w:szCs w:val="20"/>
              </w:rPr>
            </w:pPr>
            <w:r w:rsidRPr="00ED2A06">
              <w:rPr>
                <w:rFonts w:cstheme="minorHAnsi"/>
                <w:b/>
                <w:sz w:val="20"/>
                <w:szCs w:val="20"/>
              </w:rPr>
              <w:t>Recommendation 6:</w:t>
            </w:r>
            <w:r w:rsidRPr="00ED2A06">
              <w:rPr>
                <w:rFonts w:cstheme="minorHAnsi"/>
                <w:sz w:val="20"/>
                <w:szCs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tc>
        <w:tc>
          <w:tcPr>
            <w:tcW w:w="4252" w:type="dxa"/>
          </w:tcPr>
          <w:p w14:paraId="6344040C" w14:textId="1B20F6D8" w:rsidR="004F1D29" w:rsidRPr="00ED2A06" w:rsidRDefault="004F1D29" w:rsidP="00073950">
            <w:pPr>
              <w:rPr>
                <w:rFonts w:cstheme="minorHAnsi"/>
                <w:b/>
                <w:sz w:val="20"/>
                <w:szCs w:val="20"/>
              </w:rPr>
            </w:pPr>
            <w:r w:rsidRPr="00ED2A06">
              <w:rPr>
                <w:rFonts w:cstheme="minorHAnsi"/>
                <w:b/>
                <w:sz w:val="20"/>
                <w:szCs w:val="20"/>
              </w:rPr>
              <w:t xml:space="preserve">Ongoing and carried forward to 2022/23 </w:t>
            </w:r>
            <w:r w:rsidRPr="00ED2A06">
              <w:rPr>
                <w:rFonts w:cstheme="minorHAnsi"/>
                <w:bCs/>
                <w:sz w:val="20"/>
                <w:szCs w:val="20"/>
              </w:rPr>
              <w:t>– whilst there has been improvements in many areas, further targeted work will take place particularly with Training, Commercial , Fleet and Estates  during 2022/2</w:t>
            </w:r>
            <w:r w:rsidR="00147737">
              <w:rPr>
                <w:rFonts w:cstheme="minorHAnsi"/>
                <w:bCs/>
                <w:sz w:val="20"/>
                <w:szCs w:val="20"/>
              </w:rPr>
              <w:t>3</w:t>
            </w:r>
            <w:r w:rsidRPr="00ED2A06">
              <w:rPr>
                <w:rFonts w:cstheme="minorHAnsi"/>
                <w:bCs/>
                <w:sz w:val="20"/>
                <w:szCs w:val="20"/>
              </w:rPr>
              <w:t xml:space="preserve"> to minimise volatility and improve compliance with policies and procedures.</w:t>
            </w:r>
          </w:p>
        </w:tc>
      </w:tr>
      <w:tr w:rsidR="004F1D29" w:rsidRPr="001A489B" w14:paraId="2E6BEF82" w14:textId="77777777" w:rsidTr="004F1D29">
        <w:tc>
          <w:tcPr>
            <w:tcW w:w="2694" w:type="dxa"/>
            <w:vMerge/>
          </w:tcPr>
          <w:p w14:paraId="41A4CE56" w14:textId="77777777" w:rsidR="004F1D29" w:rsidRPr="00ED2A06" w:rsidRDefault="004F1D29" w:rsidP="00073950">
            <w:pPr>
              <w:tabs>
                <w:tab w:val="left" w:pos="2616"/>
              </w:tabs>
              <w:rPr>
                <w:rFonts w:cstheme="minorHAnsi"/>
                <w:b/>
                <w:sz w:val="20"/>
                <w:szCs w:val="20"/>
              </w:rPr>
            </w:pPr>
          </w:p>
        </w:tc>
        <w:tc>
          <w:tcPr>
            <w:tcW w:w="3119" w:type="dxa"/>
          </w:tcPr>
          <w:p w14:paraId="6A8C800C" w14:textId="77777777" w:rsidR="004F1D29" w:rsidRPr="00ED2A06" w:rsidRDefault="004F1D29" w:rsidP="00073950">
            <w:pPr>
              <w:rPr>
                <w:rFonts w:cstheme="minorHAnsi"/>
                <w:bCs/>
                <w:sz w:val="20"/>
                <w:szCs w:val="20"/>
              </w:rPr>
            </w:pPr>
            <w:r w:rsidRPr="00ED2A06">
              <w:rPr>
                <w:rFonts w:cstheme="minorHAnsi"/>
                <w:b/>
                <w:sz w:val="20"/>
                <w:szCs w:val="20"/>
              </w:rPr>
              <w:t>Recommendation 7:</w:t>
            </w:r>
            <w:r w:rsidRPr="00ED2A06">
              <w:rPr>
                <w:rFonts w:cstheme="minorHAnsi"/>
                <w:sz w:val="20"/>
                <w:szCs w:val="20"/>
              </w:rPr>
              <w:t xml:space="preserve"> </w:t>
            </w:r>
            <w:r w:rsidRPr="00ED2A06">
              <w:rPr>
                <w:rFonts w:cstheme="minorHAnsi"/>
                <w:bCs/>
                <w:sz w:val="20"/>
                <w:szCs w:val="20"/>
              </w:rPr>
              <w:t xml:space="preserve">To take forward the recommendations of the Asset Management and Stock control internal audits. </w:t>
            </w:r>
          </w:p>
          <w:p w14:paraId="2B193F27" w14:textId="77777777" w:rsidR="004F1D29" w:rsidRPr="00ED2A06" w:rsidRDefault="004F1D29" w:rsidP="00073950">
            <w:pPr>
              <w:rPr>
                <w:rFonts w:cstheme="minorHAnsi"/>
                <w:b/>
                <w:sz w:val="20"/>
                <w:szCs w:val="20"/>
              </w:rPr>
            </w:pPr>
          </w:p>
        </w:tc>
        <w:tc>
          <w:tcPr>
            <w:tcW w:w="4252" w:type="dxa"/>
          </w:tcPr>
          <w:p w14:paraId="02987923" w14:textId="77777777" w:rsidR="004F1D29" w:rsidRPr="00ED2A06" w:rsidRDefault="004F1D29" w:rsidP="00073950">
            <w:pPr>
              <w:rPr>
                <w:rFonts w:cstheme="minorHAnsi"/>
                <w:b/>
                <w:sz w:val="20"/>
                <w:szCs w:val="20"/>
              </w:rPr>
            </w:pPr>
            <w:r w:rsidRPr="00ED2A06">
              <w:rPr>
                <w:rFonts w:cstheme="minorHAnsi"/>
                <w:b/>
                <w:sz w:val="20"/>
                <w:szCs w:val="20"/>
              </w:rPr>
              <w:t xml:space="preserve">Ongoing and carried forward to 2022/23 </w:t>
            </w:r>
            <w:r w:rsidRPr="00ED2A06">
              <w:rPr>
                <w:rFonts w:cstheme="minorHAnsi"/>
                <w:bCs/>
                <w:sz w:val="20"/>
                <w:szCs w:val="20"/>
              </w:rPr>
              <w:t>– good progress has been made, however, some of the recommendations will take longer to implement than first envisaged as they were impacted by COVID and social distancing.</w:t>
            </w:r>
          </w:p>
        </w:tc>
      </w:tr>
      <w:bookmarkEnd w:id="2"/>
      <w:bookmarkEnd w:id="3"/>
    </w:tbl>
    <w:p w14:paraId="7DD0261E" w14:textId="77777777" w:rsidR="004F1D29" w:rsidRDefault="004F1D29" w:rsidP="004F1D29">
      <w:pPr>
        <w:tabs>
          <w:tab w:val="left" w:pos="2616"/>
        </w:tabs>
        <w:rPr>
          <w:rFonts w:cs="Arial"/>
          <w:b/>
          <w:szCs w:val="24"/>
          <w:highlight w:val="yellow"/>
          <w:u w:val="single"/>
        </w:rPr>
      </w:pPr>
    </w:p>
    <w:p w14:paraId="2491B918" w14:textId="77777777" w:rsidR="003C3A4C" w:rsidRDefault="004F1D29" w:rsidP="00410018">
      <w:pPr>
        <w:tabs>
          <w:tab w:val="left" w:pos="2616"/>
        </w:tabs>
        <w:spacing w:after="0"/>
        <w:rPr>
          <w:rFonts w:cstheme="minorHAnsi"/>
          <w:b/>
        </w:rPr>
      </w:pPr>
      <w:r w:rsidRPr="008D7221">
        <w:rPr>
          <w:rFonts w:cstheme="minorHAnsi"/>
          <w:b/>
        </w:rPr>
        <w:lastRenderedPageBreak/>
        <w:t xml:space="preserve">Recommendations for 2022/23 </w:t>
      </w:r>
    </w:p>
    <w:p w14:paraId="7078941F" w14:textId="2D1BF4F9" w:rsidR="004F1D29" w:rsidRDefault="004F1D29" w:rsidP="004F1D29">
      <w:pPr>
        <w:tabs>
          <w:tab w:val="left" w:pos="2616"/>
        </w:tabs>
        <w:rPr>
          <w:rFonts w:cstheme="minorHAnsi"/>
        </w:rPr>
      </w:pPr>
      <w:r w:rsidRPr="008D7221">
        <w:rPr>
          <w:rFonts w:cstheme="minorHAnsi"/>
        </w:rPr>
        <w:t>Following the assessment of internal controls, the following areas have been recommended to embed and improve internal controls for 2022/23:</w:t>
      </w:r>
      <w:bookmarkStart w:id="4" w:name="_Hlk75614136"/>
    </w:p>
    <w:tbl>
      <w:tblPr>
        <w:tblStyle w:val="TableGrid"/>
        <w:tblW w:w="10207" w:type="dxa"/>
        <w:tblInd w:w="-5" w:type="dxa"/>
        <w:tblLayout w:type="fixed"/>
        <w:tblLook w:val="04A0" w:firstRow="1" w:lastRow="0" w:firstColumn="1" w:lastColumn="0" w:noHBand="0" w:noVBand="1"/>
      </w:tblPr>
      <w:tblGrid>
        <w:gridCol w:w="2694"/>
        <w:gridCol w:w="7513"/>
      </w:tblGrid>
      <w:tr w:rsidR="004F1D29" w:rsidRPr="00CB6D9F" w14:paraId="6C91D81F" w14:textId="77777777" w:rsidTr="004F1D29">
        <w:tc>
          <w:tcPr>
            <w:tcW w:w="10207" w:type="dxa"/>
            <w:gridSpan w:val="2"/>
            <w:shd w:val="clear" w:color="auto" w:fill="C00000"/>
          </w:tcPr>
          <w:p w14:paraId="5CD753A9" w14:textId="77777777" w:rsidR="004F1D29" w:rsidRDefault="004F1D29" w:rsidP="00073950">
            <w:pPr>
              <w:jc w:val="center"/>
              <w:rPr>
                <w:rFonts w:cstheme="minorHAnsi"/>
                <w:b/>
                <w:sz w:val="20"/>
              </w:rPr>
            </w:pPr>
            <w:bookmarkStart w:id="5" w:name="_Hlk75616523"/>
            <w:r>
              <w:rPr>
                <w:rFonts w:cstheme="minorHAnsi"/>
                <w:b/>
                <w:sz w:val="20"/>
              </w:rPr>
              <w:t>2022/23 Internal Control Action Plan</w:t>
            </w:r>
          </w:p>
          <w:p w14:paraId="4BB15189" w14:textId="77777777" w:rsidR="004F1D29" w:rsidRPr="001F64B3" w:rsidRDefault="004F1D29" w:rsidP="00073950">
            <w:pPr>
              <w:jc w:val="center"/>
              <w:rPr>
                <w:rFonts w:cstheme="minorHAnsi"/>
                <w:b/>
                <w:sz w:val="20"/>
              </w:rPr>
            </w:pPr>
          </w:p>
        </w:tc>
      </w:tr>
      <w:tr w:rsidR="004F1D29" w:rsidRPr="00CB6D9F" w14:paraId="671001CF" w14:textId="77777777" w:rsidTr="004F1D29">
        <w:tc>
          <w:tcPr>
            <w:tcW w:w="2694" w:type="dxa"/>
          </w:tcPr>
          <w:p w14:paraId="321D17EC" w14:textId="77777777" w:rsidR="004F1D29" w:rsidRPr="00CB6D9F" w:rsidRDefault="004F1D29" w:rsidP="00073950">
            <w:pPr>
              <w:tabs>
                <w:tab w:val="left" w:pos="2616"/>
              </w:tabs>
              <w:rPr>
                <w:rFonts w:cstheme="minorHAnsi"/>
                <w:b/>
                <w:sz w:val="20"/>
              </w:rPr>
            </w:pPr>
            <w:r w:rsidRPr="00CB6D9F">
              <w:rPr>
                <w:rFonts w:cstheme="minorHAnsi"/>
                <w:b/>
                <w:sz w:val="20"/>
              </w:rPr>
              <w:t>Principle D: Determining the interventions necessary to optimise the achievement of intended outcomes.</w:t>
            </w:r>
          </w:p>
          <w:p w14:paraId="212B798D" w14:textId="77777777" w:rsidR="004F1D29" w:rsidRPr="001F64B3" w:rsidRDefault="004F1D29" w:rsidP="00073950">
            <w:pPr>
              <w:tabs>
                <w:tab w:val="left" w:pos="2616"/>
              </w:tabs>
              <w:rPr>
                <w:rFonts w:cstheme="minorHAnsi"/>
                <w:b/>
                <w:sz w:val="20"/>
              </w:rPr>
            </w:pPr>
          </w:p>
        </w:tc>
        <w:tc>
          <w:tcPr>
            <w:tcW w:w="7513" w:type="dxa"/>
          </w:tcPr>
          <w:p w14:paraId="1BE2CE46" w14:textId="77777777" w:rsidR="004F1D29" w:rsidRDefault="004F1D29" w:rsidP="00073950">
            <w:pPr>
              <w:rPr>
                <w:rFonts w:cstheme="minorHAnsi"/>
                <w:b/>
                <w:sz w:val="20"/>
              </w:rPr>
            </w:pPr>
            <w:r w:rsidRPr="00CB6D9F">
              <w:rPr>
                <w:rFonts w:cstheme="minorHAnsi"/>
                <w:b/>
                <w:sz w:val="20"/>
              </w:rPr>
              <w:t xml:space="preserve">Recommendation </w:t>
            </w:r>
            <w:r>
              <w:rPr>
                <w:rFonts w:cstheme="minorHAnsi"/>
                <w:b/>
                <w:sz w:val="20"/>
              </w:rPr>
              <w:t>1</w:t>
            </w:r>
            <w:r w:rsidRPr="00CB6D9F">
              <w:rPr>
                <w:rFonts w:cstheme="minorHAnsi"/>
                <w:b/>
                <w:sz w:val="20"/>
              </w:rPr>
              <w:t>:</w:t>
            </w:r>
            <w:r w:rsidRPr="00CB6D9F">
              <w:rPr>
                <w:rFonts w:cstheme="minorHAnsi"/>
                <w:sz w:val="20"/>
              </w:rPr>
              <w:t xml:space="preserve"> </w:t>
            </w:r>
            <w:r>
              <w:rPr>
                <w:rFonts w:cstheme="minorHAnsi"/>
                <w:sz w:val="20"/>
              </w:rPr>
              <w:t>On receipt of the HMICFRS report, take forward recommendations and areas for improvement an</w:t>
            </w:r>
            <w:r w:rsidRPr="00CB6D9F">
              <w:rPr>
                <w:rFonts w:cstheme="minorHAnsi"/>
                <w:sz w:val="20"/>
              </w:rPr>
              <w:t>d monitor updates regularly through the Accountability Board</w:t>
            </w:r>
            <w:r>
              <w:rPr>
                <w:rFonts w:cstheme="minorHAnsi"/>
                <w:sz w:val="20"/>
              </w:rPr>
              <w:t xml:space="preserve"> and JIAC</w:t>
            </w:r>
            <w:r w:rsidRPr="00CB6D9F">
              <w:rPr>
                <w:rFonts w:cstheme="minorHAnsi"/>
                <w:sz w:val="20"/>
              </w:rPr>
              <w:t>.</w:t>
            </w:r>
          </w:p>
        </w:tc>
      </w:tr>
      <w:tr w:rsidR="004F1D29" w:rsidRPr="00CB6D9F" w14:paraId="057AF4F6" w14:textId="77777777" w:rsidTr="004F1D29">
        <w:tc>
          <w:tcPr>
            <w:tcW w:w="2694" w:type="dxa"/>
          </w:tcPr>
          <w:p w14:paraId="6C224CBF" w14:textId="77777777" w:rsidR="004F1D29" w:rsidRPr="001F64B3" w:rsidRDefault="004F1D29" w:rsidP="00073950">
            <w:pPr>
              <w:tabs>
                <w:tab w:val="left" w:pos="2616"/>
              </w:tabs>
              <w:rPr>
                <w:rFonts w:cstheme="minorHAnsi"/>
                <w:b/>
                <w:sz w:val="20"/>
              </w:rPr>
            </w:pPr>
            <w:r w:rsidRPr="00CB6D9F">
              <w:rPr>
                <w:rFonts w:cstheme="minorHAnsi"/>
                <w:b/>
                <w:sz w:val="20"/>
              </w:rPr>
              <w:t>Principle E: Developing Capacity and Capability.</w:t>
            </w:r>
          </w:p>
        </w:tc>
        <w:tc>
          <w:tcPr>
            <w:tcW w:w="7513" w:type="dxa"/>
          </w:tcPr>
          <w:p w14:paraId="7AE72076" w14:textId="77777777" w:rsidR="004F1D29" w:rsidRPr="00CB6D9F" w:rsidRDefault="004F1D29" w:rsidP="00073950">
            <w:pPr>
              <w:rPr>
                <w:rFonts w:cstheme="minorHAnsi"/>
                <w:sz w:val="20"/>
              </w:rPr>
            </w:pPr>
            <w:r w:rsidRPr="00CB6D9F">
              <w:rPr>
                <w:rFonts w:cstheme="minorHAnsi"/>
                <w:b/>
                <w:sz w:val="20"/>
              </w:rPr>
              <w:t>Recommendation</w:t>
            </w:r>
            <w:r>
              <w:rPr>
                <w:rFonts w:cstheme="minorHAnsi"/>
                <w:b/>
                <w:sz w:val="20"/>
              </w:rPr>
              <w:t xml:space="preserve"> 2</w:t>
            </w:r>
            <w:r w:rsidRPr="00CB6D9F">
              <w:rPr>
                <w:rFonts w:cstheme="minorHAnsi"/>
                <w:b/>
                <w:sz w:val="20"/>
              </w:rPr>
              <w:t>:</w:t>
            </w:r>
            <w:r w:rsidRPr="00CB6D9F">
              <w:rPr>
                <w:rFonts w:cstheme="minorHAnsi"/>
                <w:sz w:val="20"/>
              </w:rPr>
              <w:t xml:space="preserve">  Further develop the work of the Establishment Board including the development of </w:t>
            </w:r>
            <w:r>
              <w:rPr>
                <w:rFonts w:cstheme="minorHAnsi"/>
                <w:sz w:val="20"/>
              </w:rPr>
              <w:t>Recruitment plans and forecasts</w:t>
            </w:r>
            <w:r w:rsidRPr="00CB6D9F">
              <w:rPr>
                <w:rFonts w:cstheme="minorHAnsi"/>
                <w:sz w:val="20"/>
              </w:rPr>
              <w:t>.</w:t>
            </w:r>
          </w:p>
          <w:p w14:paraId="0FD5506C" w14:textId="77777777" w:rsidR="004F1D29" w:rsidRDefault="004F1D29" w:rsidP="00073950">
            <w:pPr>
              <w:rPr>
                <w:rFonts w:cstheme="minorHAnsi"/>
                <w:b/>
                <w:sz w:val="20"/>
              </w:rPr>
            </w:pPr>
          </w:p>
        </w:tc>
      </w:tr>
      <w:tr w:rsidR="004F1D29" w:rsidRPr="00CB6D9F" w14:paraId="6421E681" w14:textId="77777777" w:rsidTr="004F1D29">
        <w:tc>
          <w:tcPr>
            <w:tcW w:w="2694" w:type="dxa"/>
            <w:vMerge w:val="restart"/>
          </w:tcPr>
          <w:p w14:paraId="59143DE8" w14:textId="77777777" w:rsidR="004F1D29" w:rsidRPr="001F64B3" w:rsidRDefault="004F1D29" w:rsidP="00073950">
            <w:pPr>
              <w:tabs>
                <w:tab w:val="left" w:pos="2616"/>
              </w:tabs>
              <w:rPr>
                <w:rFonts w:cstheme="minorHAnsi"/>
                <w:b/>
                <w:sz w:val="20"/>
              </w:rPr>
            </w:pPr>
            <w:r w:rsidRPr="001F64B3">
              <w:rPr>
                <w:rFonts w:cstheme="minorHAnsi"/>
                <w:b/>
                <w:sz w:val="20"/>
              </w:rPr>
              <w:t>Principle F: Managing Risks and Performance.</w:t>
            </w:r>
          </w:p>
          <w:p w14:paraId="7897E47D" w14:textId="77777777" w:rsidR="004F1D29" w:rsidRPr="001F64B3" w:rsidRDefault="004F1D29" w:rsidP="00073950">
            <w:pPr>
              <w:tabs>
                <w:tab w:val="left" w:pos="2616"/>
              </w:tabs>
              <w:rPr>
                <w:rFonts w:cstheme="minorHAnsi"/>
                <w:sz w:val="20"/>
              </w:rPr>
            </w:pPr>
          </w:p>
        </w:tc>
        <w:tc>
          <w:tcPr>
            <w:tcW w:w="7513" w:type="dxa"/>
          </w:tcPr>
          <w:p w14:paraId="76258F3C" w14:textId="20D3FF78" w:rsidR="004F1D29" w:rsidRPr="00AD2870" w:rsidRDefault="004F1D29" w:rsidP="00073950">
            <w:pPr>
              <w:rPr>
                <w:rFonts w:cstheme="minorHAnsi"/>
                <w:bCs/>
                <w:sz w:val="20"/>
              </w:rPr>
            </w:pPr>
            <w:r>
              <w:rPr>
                <w:rFonts w:cstheme="minorHAnsi"/>
                <w:b/>
                <w:sz w:val="20"/>
              </w:rPr>
              <w:t xml:space="preserve">Recommendation 3: </w:t>
            </w:r>
            <w:r w:rsidRPr="00AD2870">
              <w:rPr>
                <w:rFonts w:cstheme="minorHAnsi"/>
                <w:bCs/>
                <w:sz w:val="20"/>
              </w:rPr>
              <w:t>T</w:t>
            </w:r>
            <w:r w:rsidR="00BA5315">
              <w:rPr>
                <w:rFonts w:cstheme="minorHAnsi"/>
                <w:bCs/>
                <w:sz w:val="20"/>
              </w:rPr>
              <w:t>o t</w:t>
            </w:r>
            <w:r w:rsidRPr="00AD2870">
              <w:rPr>
                <w:rFonts w:cstheme="minorHAnsi"/>
                <w:bCs/>
                <w:sz w:val="20"/>
              </w:rPr>
              <w:t>ake forward the recommendation from the Target Operating Model Performance Data audit</w:t>
            </w:r>
            <w:r>
              <w:rPr>
                <w:rFonts w:cstheme="minorHAnsi"/>
                <w:bCs/>
                <w:sz w:val="20"/>
              </w:rPr>
              <w:t>.</w:t>
            </w:r>
          </w:p>
          <w:p w14:paraId="19F4EC82" w14:textId="77777777" w:rsidR="004F1D29" w:rsidRPr="001F64B3" w:rsidRDefault="004F1D29" w:rsidP="00073950">
            <w:pPr>
              <w:rPr>
                <w:rFonts w:cstheme="minorHAnsi"/>
                <w:b/>
                <w:sz w:val="20"/>
              </w:rPr>
            </w:pPr>
          </w:p>
        </w:tc>
      </w:tr>
      <w:tr w:rsidR="004F1D29" w:rsidRPr="00CB6D9F" w14:paraId="73DDE5C2" w14:textId="77777777" w:rsidTr="004F1D29">
        <w:tc>
          <w:tcPr>
            <w:tcW w:w="2694" w:type="dxa"/>
            <w:vMerge/>
          </w:tcPr>
          <w:p w14:paraId="0394D44F" w14:textId="77777777" w:rsidR="004F1D29" w:rsidRPr="001F64B3" w:rsidRDefault="004F1D29" w:rsidP="00073950">
            <w:pPr>
              <w:rPr>
                <w:rFonts w:cstheme="minorHAnsi"/>
                <w:b/>
                <w:sz w:val="20"/>
              </w:rPr>
            </w:pPr>
          </w:p>
        </w:tc>
        <w:tc>
          <w:tcPr>
            <w:tcW w:w="7513" w:type="dxa"/>
          </w:tcPr>
          <w:p w14:paraId="7FA18E52" w14:textId="636A5F2C" w:rsidR="004F1D29" w:rsidRPr="001F64B3" w:rsidRDefault="004F1D29" w:rsidP="00073950">
            <w:pPr>
              <w:rPr>
                <w:rFonts w:cstheme="minorHAnsi"/>
                <w:sz w:val="20"/>
              </w:rPr>
            </w:pPr>
            <w:r w:rsidRPr="00B74F70">
              <w:rPr>
                <w:rFonts w:cstheme="minorHAnsi"/>
                <w:b/>
                <w:bCs/>
                <w:sz w:val="20"/>
              </w:rPr>
              <w:t>Recommendation 4:</w:t>
            </w:r>
            <w:r>
              <w:rPr>
                <w:rFonts w:cstheme="minorHAnsi"/>
                <w:sz w:val="20"/>
              </w:rPr>
              <w:t xml:space="preserve"> </w:t>
            </w:r>
            <w:r w:rsidR="00BA5315">
              <w:rPr>
                <w:rFonts w:cstheme="minorHAnsi"/>
                <w:sz w:val="20"/>
              </w:rPr>
              <w:t>To t</w:t>
            </w:r>
            <w:r>
              <w:rPr>
                <w:rFonts w:cstheme="minorHAnsi"/>
                <w:sz w:val="20"/>
              </w:rPr>
              <w:t>ake forward the recommendation from the ICT Disaster Recovery audit.</w:t>
            </w:r>
          </w:p>
        </w:tc>
      </w:tr>
      <w:bookmarkEnd w:id="5"/>
      <w:tr w:rsidR="004F1D29" w:rsidRPr="00CB6D9F" w14:paraId="38FE905E" w14:textId="77777777" w:rsidTr="004F1D29">
        <w:tc>
          <w:tcPr>
            <w:tcW w:w="2694" w:type="dxa"/>
            <w:vMerge w:val="restart"/>
          </w:tcPr>
          <w:p w14:paraId="22C43AFD" w14:textId="77777777" w:rsidR="004F1D29" w:rsidRPr="00CB6D9F" w:rsidRDefault="004F1D29" w:rsidP="00073950">
            <w:pPr>
              <w:tabs>
                <w:tab w:val="left" w:pos="2616"/>
              </w:tabs>
              <w:rPr>
                <w:rFonts w:cstheme="minorHAnsi"/>
                <w:b/>
                <w:sz w:val="20"/>
              </w:rPr>
            </w:pPr>
            <w:r w:rsidRPr="00CB6D9F">
              <w:rPr>
                <w:rFonts w:cstheme="minorHAnsi"/>
                <w:b/>
                <w:sz w:val="20"/>
              </w:rPr>
              <w:t xml:space="preserve">Principle G: Implementing good practices in transparency, reporting and accountability. </w:t>
            </w:r>
          </w:p>
          <w:p w14:paraId="5D17CAF5" w14:textId="77777777" w:rsidR="004F1D29" w:rsidRPr="00CB6D9F" w:rsidRDefault="004F1D29" w:rsidP="00073950">
            <w:pPr>
              <w:rPr>
                <w:rFonts w:cstheme="minorHAnsi"/>
                <w:b/>
                <w:sz w:val="20"/>
              </w:rPr>
            </w:pPr>
          </w:p>
        </w:tc>
        <w:tc>
          <w:tcPr>
            <w:tcW w:w="7513" w:type="dxa"/>
          </w:tcPr>
          <w:p w14:paraId="74D20B0B" w14:textId="77777777" w:rsidR="004F1D29" w:rsidRPr="00CB6D9F" w:rsidRDefault="004F1D29" w:rsidP="00073950">
            <w:pPr>
              <w:rPr>
                <w:rFonts w:cstheme="minorHAnsi"/>
                <w:b/>
                <w:sz w:val="20"/>
              </w:rPr>
            </w:pPr>
            <w:r w:rsidRPr="00CB6D9F">
              <w:rPr>
                <w:rFonts w:cstheme="minorHAnsi"/>
                <w:b/>
                <w:sz w:val="20"/>
              </w:rPr>
              <w:t xml:space="preserve">Recommendation </w:t>
            </w:r>
            <w:r>
              <w:rPr>
                <w:rFonts w:cstheme="minorHAnsi"/>
                <w:b/>
                <w:sz w:val="20"/>
              </w:rPr>
              <w:t>5</w:t>
            </w:r>
            <w:r w:rsidRPr="00CB6D9F">
              <w:rPr>
                <w:rFonts w:cstheme="minorHAnsi"/>
                <w:b/>
                <w:sz w:val="20"/>
              </w:rPr>
              <w:t>:</w:t>
            </w:r>
            <w:r w:rsidRPr="00CB6D9F">
              <w:rPr>
                <w:rFonts w:cstheme="minorHAnsi"/>
                <w:sz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tc>
      </w:tr>
      <w:tr w:rsidR="004F1D29" w:rsidRPr="00CB6D9F" w14:paraId="753321F4" w14:textId="77777777" w:rsidTr="004F1D29">
        <w:tc>
          <w:tcPr>
            <w:tcW w:w="2694" w:type="dxa"/>
            <w:vMerge/>
          </w:tcPr>
          <w:p w14:paraId="18F54B3B" w14:textId="77777777" w:rsidR="004F1D29" w:rsidRPr="00CB6D9F" w:rsidRDefault="004F1D29" w:rsidP="00073950">
            <w:pPr>
              <w:tabs>
                <w:tab w:val="left" w:pos="2616"/>
              </w:tabs>
              <w:rPr>
                <w:rFonts w:cstheme="minorHAnsi"/>
                <w:b/>
                <w:sz w:val="20"/>
              </w:rPr>
            </w:pPr>
          </w:p>
        </w:tc>
        <w:tc>
          <w:tcPr>
            <w:tcW w:w="7513" w:type="dxa"/>
          </w:tcPr>
          <w:p w14:paraId="1553CB30" w14:textId="77777777" w:rsidR="004F1D29" w:rsidRPr="001F64B3" w:rsidRDefault="004F1D29" w:rsidP="00073950">
            <w:pPr>
              <w:rPr>
                <w:rFonts w:cstheme="minorHAnsi"/>
                <w:bCs/>
                <w:sz w:val="20"/>
              </w:rPr>
            </w:pPr>
            <w:r w:rsidRPr="001F64B3">
              <w:rPr>
                <w:rFonts w:cstheme="minorHAnsi"/>
                <w:b/>
                <w:sz w:val="20"/>
              </w:rPr>
              <w:t xml:space="preserve">Recommendation </w:t>
            </w:r>
            <w:r>
              <w:rPr>
                <w:rFonts w:cstheme="minorHAnsi"/>
                <w:b/>
                <w:sz w:val="20"/>
              </w:rPr>
              <w:t>6</w:t>
            </w:r>
            <w:r w:rsidRPr="001F64B3">
              <w:rPr>
                <w:rFonts w:cstheme="minorHAnsi"/>
                <w:b/>
                <w:sz w:val="20"/>
              </w:rPr>
              <w:t>:</w:t>
            </w:r>
            <w:r w:rsidRPr="001F64B3">
              <w:rPr>
                <w:rFonts w:cstheme="minorHAnsi"/>
                <w:sz w:val="20"/>
              </w:rPr>
              <w:t xml:space="preserve"> </w:t>
            </w:r>
            <w:r w:rsidRPr="001F64B3">
              <w:rPr>
                <w:rFonts w:cstheme="minorHAnsi"/>
                <w:bCs/>
                <w:sz w:val="20"/>
              </w:rPr>
              <w:t xml:space="preserve">To take forward the recommendations of the Asset Management and Stock control internal audits. </w:t>
            </w:r>
          </w:p>
          <w:p w14:paraId="4AA69F1E" w14:textId="77777777" w:rsidR="004F1D29" w:rsidRPr="00CB6D9F" w:rsidRDefault="004F1D29" w:rsidP="00073950">
            <w:pPr>
              <w:rPr>
                <w:rFonts w:cstheme="minorHAnsi"/>
                <w:b/>
                <w:sz w:val="20"/>
              </w:rPr>
            </w:pPr>
          </w:p>
        </w:tc>
      </w:tr>
      <w:tr w:rsidR="004F1D29" w:rsidRPr="00CB6D9F" w14:paraId="58604EFE" w14:textId="77777777" w:rsidTr="004F1D29">
        <w:tc>
          <w:tcPr>
            <w:tcW w:w="2694" w:type="dxa"/>
            <w:vMerge/>
          </w:tcPr>
          <w:p w14:paraId="45AA8899" w14:textId="77777777" w:rsidR="004F1D29" w:rsidRPr="00CB6D9F" w:rsidRDefault="004F1D29" w:rsidP="00073950">
            <w:pPr>
              <w:tabs>
                <w:tab w:val="left" w:pos="2616"/>
              </w:tabs>
              <w:rPr>
                <w:rFonts w:cstheme="minorHAnsi"/>
                <w:b/>
                <w:sz w:val="20"/>
              </w:rPr>
            </w:pPr>
          </w:p>
        </w:tc>
        <w:tc>
          <w:tcPr>
            <w:tcW w:w="7513" w:type="dxa"/>
          </w:tcPr>
          <w:p w14:paraId="3A473245" w14:textId="77777777" w:rsidR="004F1D29" w:rsidRPr="001F64B3" w:rsidRDefault="004F1D29" w:rsidP="00073950">
            <w:pPr>
              <w:rPr>
                <w:rFonts w:cstheme="minorHAnsi"/>
                <w:b/>
                <w:sz w:val="20"/>
              </w:rPr>
            </w:pPr>
            <w:r>
              <w:rPr>
                <w:rFonts w:cstheme="minorHAnsi"/>
                <w:b/>
                <w:sz w:val="20"/>
              </w:rPr>
              <w:t xml:space="preserve">Recommendation 7 </w:t>
            </w:r>
            <w:r w:rsidRPr="00775B96">
              <w:rPr>
                <w:rFonts w:cstheme="minorHAnsi"/>
                <w:bCs/>
                <w:sz w:val="20"/>
              </w:rPr>
              <w:t xml:space="preserve">– To take forward </w:t>
            </w:r>
            <w:r>
              <w:rPr>
                <w:rFonts w:cstheme="minorHAnsi"/>
                <w:bCs/>
                <w:sz w:val="20"/>
              </w:rPr>
              <w:t>a</w:t>
            </w:r>
            <w:r w:rsidRPr="00775B96">
              <w:rPr>
                <w:rFonts w:cstheme="minorHAnsi"/>
                <w:bCs/>
                <w:sz w:val="20"/>
              </w:rPr>
              <w:t xml:space="preserve">ctions Identified </w:t>
            </w:r>
            <w:r>
              <w:rPr>
                <w:rFonts w:cstheme="minorHAnsi"/>
                <w:bCs/>
                <w:sz w:val="20"/>
              </w:rPr>
              <w:t xml:space="preserve">in </w:t>
            </w:r>
            <w:r w:rsidRPr="00775B96">
              <w:rPr>
                <w:rFonts w:cstheme="minorHAnsi"/>
                <w:bCs/>
                <w:sz w:val="20"/>
              </w:rPr>
              <w:t>the self</w:t>
            </w:r>
            <w:r>
              <w:rPr>
                <w:rFonts w:cstheme="minorHAnsi"/>
                <w:bCs/>
                <w:sz w:val="20"/>
              </w:rPr>
              <w:t>-</w:t>
            </w:r>
            <w:r w:rsidRPr="00775B96">
              <w:rPr>
                <w:rFonts w:cstheme="minorHAnsi"/>
                <w:bCs/>
                <w:sz w:val="20"/>
              </w:rPr>
              <w:t>assessment of the CIPFA Financial Management Code.</w:t>
            </w:r>
            <w:r>
              <w:rPr>
                <w:rFonts w:cstheme="minorHAnsi"/>
                <w:b/>
                <w:sz w:val="20"/>
              </w:rPr>
              <w:t xml:space="preserve"> </w:t>
            </w:r>
          </w:p>
        </w:tc>
      </w:tr>
      <w:bookmarkEnd w:id="4"/>
    </w:tbl>
    <w:p w14:paraId="647A84B2" w14:textId="77777777" w:rsidR="003C3A4C" w:rsidRDefault="003C3A4C" w:rsidP="004F1D29">
      <w:pPr>
        <w:tabs>
          <w:tab w:val="left" w:pos="2616"/>
        </w:tabs>
        <w:spacing w:after="0"/>
        <w:rPr>
          <w:rFonts w:cstheme="minorHAnsi"/>
          <w:b/>
        </w:rPr>
      </w:pPr>
    </w:p>
    <w:p w14:paraId="39F5706A" w14:textId="5CD7F90E" w:rsidR="004F1D29" w:rsidRPr="003D106E" w:rsidRDefault="004F1D29" w:rsidP="004F1D29">
      <w:pPr>
        <w:tabs>
          <w:tab w:val="left" w:pos="2616"/>
        </w:tabs>
        <w:spacing w:after="0"/>
        <w:rPr>
          <w:rFonts w:cstheme="minorHAnsi"/>
          <w:b/>
        </w:rPr>
      </w:pPr>
      <w:r w:rsidRPr="003D106E">
        <w:rPr>
          <w:rFonts w:cstheme="minorHAnsi"/>
          <w:b/>
        </w:rPr>
        <w:t>CONCLUSION</w:t>
      </w:r>
    </w:p>
    <w:p w14:paraId="17E671E6" w14:textId="77777777" w:rsidR="004F1D29" w:rsidRPr="003D106E" w:rsidRDefault="004F1D29" w:rsidP="004F1D29">
      <w:pPr>
        <w:spacing w:after="0"/>
        <w:rPr>
          <w:rFonts w:cstheme="minorHAnsi"/>
        </w:rPr>
      </w:pPr>
      <w:r w:rsidRPr="003D106E">
        <w:rPr>
          <w:rFonts w:cstheme="minorHAnsi"/>
        </w:rPr>
        <w:t>The PFCC has highlighted the actions identified within this statement to take steps to address the above matters and further enhance the NCFRA  governance arrangements and will monitor their implementation and operation during the year and as part of the next annual review.</w:t>
      </w:r>
    </w:p>
    <w:p w14:paraId="7EAC316F" w14:textId="77777777" w:rsidR="004F1D29" w:rsidRPr="003D106E" w:rsidRDefault="004F1D29" w:rsidP="004F1D29">
      <w:pPr>
        <w:pStyle w:val="Default"/>
        <w:rPr>
          <w:rFonts w:asciiTheme="minorHAnsi" w:hAnsiTheme="minorHAnsi" w:cstheme="minorHAnsi"/>
          <w:b/>
          <w:color w:val="auto"/>
          <w:sz w:val="22"/>
          <w:szCs w:val="22"/>
        </w:rPr>
      </w:pPr>
    </w:p>
    <w:p w14:paraId="2EF167F6" w14:textId="2C1FA3D7" w:rsidR="004F1D29" w:rsidRPr="003D106E" w:rsidRDefault="00F46954" w:rsidP="004F1D29">
      <w:pPr>
        <w:pStyle w:val="Default"/>
        <w:rPr>
          <w:rFonts w:asciiTheme="minorHAnsi" w:hAnsiTheme="minorHAnsi" w:cstheme="minorHAnsi"/>
          <w:b/>
          <w:color w:val="auto"/>
          <w:sz w:val="22"/>
          <w:szCs w:val="22"/>
        </w:rPr>
      </w:pPr>
      <w:r w:rsidRPr="00770360">
        <w:rPr>
          <w:rFonts w:asciiTheme="minorHAnsi" w:hAnsiTheme="minorHAnsi"/>
          <w:noProof/>
          <w:color w:val="auto"/>
          <w:sz w:val="22"/>
          <w:szCs w:val="22"/>
        </w:rPr>
        <w:drawing>
          <wp:inline distT="0" distB="0" distL="0" distR="0" wp14:anchorId="54DD4306" wp14:editId="476127CD">
            <wp:extent cx="1308100" cy="777050"/>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0496" cy="790354"/>
                    </a:xfrm>
                    <a:prstGeom prst="rect">
                      <a:avLst/>
                    </a:prstGeom>
                    <a:noFill/>
                    <a:ln>
                      <a:noFill/>
                    </a:ln>
                  </pic:spPr>
                </pic:pic>
              </a:graphicData>
            </a:graphic>
          </wp:inline>
        </w:drawing>
      </w:r>
    </w:p>
    <w:p w14:paraId="7E2E0CEC" w14:textId="77777777" w:rsidR="004F1D29" w:rsidRPr="003D106E" w:rsidRDefault="004F1D29" w:rsidP="004F1D29">
      <w:pPr>
        <w:pStyle w:val="Default"/>
        <w:rPr>
          <w:rFonts w:asciiTheme="minorHAnsi" w:hAnsiTheme="minorHAnsi" w:cstheme="minorHAnsi"/>
          <w:b/>
          <w:color w:val="auto"/>
          <w:sz w:val="22"/>
          <w:szCs w:val="22"/>
        </w:rPr>
      </w:pPr>
    </w:p>
    <w:p w14:paraId="5CD914CA"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Signed: Stephen Mold</w:t>
      </w:r>
      <w:r>
        <w:rPr>
          <w:rFonts w:asciiTheme="minorHAnsi" w:hAnsiTheme="minorHAnsi" w:cstheme="minorHAnsi"/>
          <w:b/>
          <w:color w:val="auto"/>
          <w:sz w:val="22"/>
          <w:szCs w:val="22"/>
        </w:rPr>
        <w:t>,</w:t>
      </w:r>
      <w:r w:rsidRPr="003D106E">
        <w:rPr>
          <w:rFonts w:asciiTheme="minorHAnsi" w:hAnsiTheme="minorHAnsi" w:cstheme="minorHAnsi"/>
          <w:b/>
          <w:color w:val="auto"/>
          <w:sz w:val="22"/>
          <w:szCs w:val="22"/>
        </w:rPr>
        <w:t xml:space="preserve"> Police Fire and Crime Commissioner </w:t>
      </w:r>
    </w:p>
    <w:p w14:paraId="0EFF75F5" w14:textId="77777777" w:rsidR="004F1D29" w:rsidRPr="003D106E" w:rsidRDefault="004F1D29" w:rsidP="004F1D29">
      <w:pPr>
        <w:pStyle w:val="Default"/>
        <w:rPr>
          <w:rFonts w:asciiTheme="minorHAnsi" w:hAnsiTheme="minorHAnsi" w:cstheme="minorHAnsi"/>
          <w:b/>
          <w:color w:val="auto"/>
          <w:sz w:val="22"/>
          <w:szCs w:val="22"/>
        </w:rPr>
      </w:pPr>
    </w:p>
    <w:p w14:paraId="795CF30B" w14:textId="5E05E29D"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Date:     </w:t>
      </w:r>
      <w:r w:rsidR="00F46954">
        <w:rPr>
          <w:rFonts w:asciiTheme="minorHAnsi" w:hAnsiTheme="minorHAnsi" w:cstheme="minorHAnsi"/>
          <w:b/>
          <w:color w:val="auto"/>
          <w:sz w:val="22"/>
          <w:szCs w:val="22"/>
        </w:rPr>
        <w:t>1</w:t>
      </w:r>
      <w:r w:rsidR="00F46954" w:rsidRPr="00F46954">
        <w:rPr>
          <w:rFonts w:asciiTheme="minorHAnsi" w:hAnsiTheme="minorHAnsi" w:cstheme="minorHAnsi"/>
          <w:b/>
          <w:color w:val="auto"/>
          <w:sz w:val="22"/>
          <w:szCs w:val="22"/>
          <w:vertAlign w:val="superscript"/>
        </w:rPr>
        <w:t>st</w:t>
      </w:r>
      <w:r w:rsidR="00F46954">
        <w:rPr>
          <w:rFonts w:asciiTheme="minorHAnsi" w:hAnsiTheme="minorHAnsi" w:cstheme="minorHAnsi"/>
          <w:b/>
          <w:color w:val="auto"/>
          <w:sz w:val="22"/>
          <w:szCs w:val="22"/>
        </w:rPr>
        <w:t xml:space="preserve"> June 2023</w:t>
      </w:r>
    </w:p>
    <w:p w14:paraId="7DE4F24A" w14:textId="77777777" w:rsidR="004F1D29" w:rsidRPr="003D106E" w:rsidRDefault="004F1D29" w:rsidP="004F1D29">
      <w:pPr>
        <w:pStyle w:val="Default"/>
        <w:rPr>
          <w:rFonts w:asciiTheme="minorHAnsi" w:hAnsiTheme="minorHAnsi" w:cstheme="minorHAnsi"/>
          <w:b/>
          <w:color w:val="auto"/>
          <w:sz w:val="22"/>
          <w:szCs w:val="22"/>
        </w:rPr>
      </w:pPr>
    </w:p>
    <w:p w14:paraId="5330067B" w14:textId="029953B1" w:rsidR="004F1D29" w:rsidRPr="003D106E" w:rsidRDefault="00F46954" w:rsidP="004F1D29">
      <w:pPr>
        <w:pStyle w:val="Default"/>
        <w:rPr>
          <w:rFonts w:asciiTheme="minorHAnsi" w:hAnsiTheme="minorHAnsi" w:cstheme="minorHAnsi"/>
          <w:b/>
          <w:color w:val="auto"/>
          <w:sz w:val="22"/>
          <w:szCs w:val="22"/>
        </w:rPr>
      </w:pPr>
      <w:r>
        <w:rPr>
          <w:noProof/>
        </w:rPr>
        <w:drawing>
          <wp:inline distT="0" distB="0" distL="0" distR="0" wp14:anchorId="4F2C6E0A" wp14:editId="76864D13">
            <wp:extent cx="1406525" cy="44608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2801" cy="448072"/>
                    </a:xfrm>
                    <a:prstGeom prst="rect">
                      <a:avLst/>
                    </a:prstGeom>
                  </pic:spPr>
                </pic:pic>
              </a:graphicData>
            </a:graphic>
          </wp:inline>
        </w:drawing>
      </w:r>
    </w:p>
    <w:p w14:paraId="588D4D25" w14:textId="77777777" w:rsidR="004F1D29" w:rsidRPr="003D106E" w:rsidRDefault="004F1D29" w:rsidP="004F1D29">
      <w:pPr>
        <w:pStyle w:val="Default"/>
        <w:rPr>
          <w:rFonts w:asciiTheme="minorHAnsi" w:hAnsiTheme="minorHAnsi" w:cstheme="minorHAnsi"/>
          <w:b/>
          <w:color w:val="auto"/>
          <w:sz w:val="22"/>
          <w:szCs w:val="22"/>
        </w:rPr>
      </w:pPr>
    </w:p>
    <w:p w14:paraId="3FD569AB"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Helen King, </w:t>
      </w:r>
    </w:p>
    <w:p w14:paraId="7943AE2B" w14:textId="77777777" w:rsidR="004F1D29" w:rsidRPr="003D106E"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Chief Finance Officer &amp; S151 Officer, </w:t>
      </w:r>
      <w:r w:rsidRPr="003D106E">
        <w:rPr>
          <w:rFonts w:asciiTheme="minorHAnsi" w:hAnsiTheme="minorHAnsi"/>
          <w:b/>
          <w:color w:val="auto"/>
          <w:sz w:val="22"/>
          <w:szCs w:val="22"/>
        </w:rPr>
        <w:t>Northamptonshire Commissioner Fire and Rescue Authority</w:t>
      </w:r>
    </w:p>
    <w:p w14:paraId="347D9AC9" w14:textId="77777777" w:rsidR="004F1D29" w:rsidRPr="003D106E" w:rsidRDefault="004F1D29" w:rsidP="004F1D29">
      <w:pPr>
        <w:pStyle w:val="Default"/>
        <w:rPr>
          <w:rFonts w:asciiTheme="minorHAnsi" w:hAnsiTheme="minorHAnsi" w:cstheme="minorHAnsi"/>
          <w:b/>
          <w:color w:val="auto"/>
          <w:sz w:val="22"/>
          <w:szCs w:val="22"/>
        </w:rPr>
      </w:pPr>
    </w:p>
    <w:p w14:paraId="51A7F1E7" w14:textId="0DBEF649" w:rsidR="004F1D29" w:rsidRPr="007F07C2" w:rsidRDefault="004F1D29" w:rsidP="004F1D29">
      <w:pPr>
        <w:pStyle w:val="Default"/>
        <w:rPr>
          <w:rFonts w:asciiTheme="minorHAnsi" w:hAnsiTheme="minorHAnsi" w:cstheme="minorHAnsi"/>
          <w:b/>
          <w:color w:val="auto"/>
          <w:sz w:val="22"/>
          <w:szCs w:val="22"/>
        </w:rPr>
      </w:pPr>
      <w:r w:rsidRPr="003D106E">
        <w:rPr>
          <w:rFonts w:asciiTheme="minorHAnsi" w:hAnsiTheme="minorHAnsi" w:cstheme="minorHAnsi"/>
          <w:b/>
          <w:color w:val="auto"/>
          <w:sz w:val="22"/>
          <w:szCs w:val="22"/>
        </w:rPr>
        <w:t xml:space="preserve">Date:     </w:t>
      </w:r>
      <w:r w:rsidR="00F46954">
        <w:rPr>
          <w:rFonts w:asciiTheme="minorHAnsi" w:hAnsiTheme="minorHAnsi" w:cstheme="minorHAnsi"/>
          <w:b/>
          <w:color w:val="auto"/>
          <w:sz w:val="22"/>
          <w:szCs w:val="22"/>
        </w:rPr>
        <w:t>1</w:t>
      </w:r>
      <w:r w:rsidR="00F46954" w:rsidRPr="00F46954">
        <w:rPr>
          <w:rFonts w:asciiTheme="minorHAnsi" w:hAnsiTheme="minorHAnsi" w:cstheme="minorHAnsi"/>
          <w:b/>
          <w:color w:val="auto"/>
          <w:sz w:val="22"/>
          <w:szCs w:val="22"/>
          <w:vertAlign w:val="superscript"/>
        </w:rPr>
        <w:t>st</w:t>
      </w:r>
      <w:r w:rsidR="00F46954">
        <w:rPr>
          <w:rFonts w:asciiTheme="minorHAnsi" w:hAnsiTheme="minorHAnsi" w:cstheme="minorHAnsi"/>
          <w:b/>
          <w:color w:val="auto"/>
          <w:sz w:val="22"/>
          <w:szCs w:val="22"/>
        </w:rPr>
        <w:t xml:space="preserve"> June 2023</w:t>
      </w:r>
    </w:p>
    <w:p w14:paraId="195D693F" w14:textId="77777777" w:rsidR="00D30819" w:rsidRDefault="00D30819" w:rsidP="00F77539">
      <w:pPr>
        <w:pStyle w:val="Default"/>
        <w:rPr>
          <w:rFonts w:asciiTheme="minorHAnsi" w:hAnsiTheme="minorHAnsi"/>
          <w:b/>
          <w:bCs/>
          <w:color w:val="auto"/>
          <w:sz w:val="28"/>
          <w:szCs w:val="28"/>
        </w:rPr>
      </w:pPr>
    </w:p>
    <w:p w14:paraId="7798D592" w14:textId="2F050B8F" w:rsidR="00D30819" w:rsidRDefault="00D30819" w:rsidP="00F77539">
      <w:pPr>
        <w:pStyle w:val="Default"/>
        <w:rPr>
          <w:rFonts w:asciiTheme="minorHAnsi" w:hAnsiTheme="minorHAnsi"/>
          <w:b/>
          <w:bCs/>
          <w:color w:val="auto"/>
          <w:sz w:val="28"/>
          <w:szCs w:val="28"/>
        </w:rPr>
      </w:pPr>
    </w:p>
    <w:p w14:paraId="6F9929DD" w14:textId="61E7F6F9" w:rsidR="004F1D29" w:rsidRDefault="004F1D29" w:rsidP="00F77539">
      <w:pPr>
        <w:pStyle w:val="Default"/>
        <w:rPr>
          <w:rFonts w:asciiTheme="minorHAnsi" w:hAnsiTheme="minorHAnsi"/>
          <w:b/>
          <w:bCs/>
          <w:color w:val="auto"/>
          <w:sz w:val="28"/>
          <w:szCs w:val="28"/>
        </w:rPr>
      </w:pPr>
    </w:p>
    <w:p w14:paraId="1AFA99AF" w14:textId="1AE67F48" w:rsidR="004F1D29" w:rsidRDefault="004F1D29" w:rsidP="00F77539">
      <w:pPr>
        <w:pStyle w:val="Default"/>
        <w:rPr>
          <w:rFonts w:asciiTheme="minorHAnsi" w:hAnsiTheme="minorHAnsi"/>
          <w:b/>
          <w:bCs/>
          <w:color w:val="auto"/>
          <w:sz w:val="28"/>
          <w:szCs w:val="28"/>
        </w:rPr>
      </w:pPr>
    </w:p>
    <w:p w14:paraId="17ADA32F" w14:textId="77777777" w:rsidR="004F1D29" w:rsidRDefault="004F1D29" w:rsidP="00F77539">
      <w:pPr>
        <w:pStyle w:val="Default"/>
        <w:rPr>
          <w:rFonts w:asciiTheme="minorHAnsi" w:hAnsiTheme="minorHAnsi"/>
          <w:b/>
          <w:bCs/>
          <w:color w:val="auto"/>
          <w:sz w:val="28"/>
          <w:szCs w:val="28"/>
        </w:rPr>
      </w:pPr>
    </w:p>
    <w:p w14:paraId="1DA6D4EF" w14:textId="456EDFB0" w:rsidR="00A52772" w:rsidRPr="003C0AE1" w:rsidRDefault="00410018" w:rsidP="00F46954">
      <w:r>
        <w:rPr>
          <w:b/>
          <w:bCs/>
          <w:sz w:val="28"/>
          <w:szCs w:val="28"/>
        </w:rPr>
        <w:br w:type="page"/>
      </w:r>
      <w:r w:rsidR="00A52772" w:rsidRPr="00267106">
        <w:rPr>
          <w:rFonts w:cs="Arial"/>
          <w:b/>
          <w:bCs/>
          <w:sz w:val="28"/>
          <w:szCs w:val="28"/>
        </w:rPr>
        <w:lastRenderedPageBreak/>
        <w:t xml:space="preserve">GLOSSARY OF TERMS </w:t>
      </w:r>
    </w:p>
    <w:p w14:paraId="08A4E615" w14:textId="77777777" w:rsidR="00F46954" w:rsidRDefault="00F46954" w:rsidP="00A52772">
      <w:pPr>
        <w:autoSpaceDE w:val="0"/>
        <w:autoSpaceDN w:val="0"/>
        <w:adjustRightInd w:val="0"/>
        <w:spacing w:after="0" w:line="240" w:lineRule="auto"/>
        <w:rPr>
          <w:rFonts w:cs="Arial"/>
          <w:b/>
          <w:bCs/>
          <w:sz w:val="28"/>
          <w:szCs w:val="28"/>
        </w:rPr>
      </w:pPr>
    </w:p>
    <w:p w14:paraId="4FF2EB12" w14:textId="49882FF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 Accounting period </w:t>
      </w:r>
    </w:p>
    <w:p w14:paraId="341593A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length of time covered by the accounts, normally a period of twelve months commencing on 1 April. The end of the accounting period is the Balance Sheet date. </w:t>
      </w:r>
    </w:p>
    <w:p w14:paraId="3ACD68AC" w14:textId="77777777" w:rsidR="00A52772" w:rsidRPr="00267106" w:rsidRDefault="00A52772" w:rsidP="00A52772">
      <w:pPr>
        <w:autoSpaceDE w:val="0"/>
        <w:autoSpaceDN w:val="0"/>
        <w:adjustRightInd w:val="0"/>
        <w:spacing w:after="0" w:line="240" w:lineRule="auto"/>
        <w:rPr>
          <w:rFonts w:cs="Arial"/>
        </w:rPr>
      </w:pPr>
    </w:p>
    <w:p w14:paraId="7535588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 Accruals </w:t>
      </w:r>
    </w:p>
    <w:p w14:paraId="5BAC762F"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Sums included in the final accounts to recognise revenue and capital income and expenditure earned or incurred in the financial year, but for which actual payment had not been received or made as at 31 March. </w:t>
      </w:r>
    </w:p>
    <w:p w14:paraId="023EE250" w14:textId="77777777" w:rsidR="00A52772" w:rsidRPr="00267106" w:rsidRDefault="00A52772" w:rsidP="00A52772">
      <w:pPr>
        <w:autoSpaceDE w:val="0"/>
        <w:autoSpaceDN w:val="0"/>
        <w:adjustRightInd w:val="0"/>
        <w:spacing w:after="0" w:line="240" w:lineRule="auto"/>
        <w:rPr>
          <w:rFonts w:cs="Arial"/>
        </w:rPr>
      </w:pPr>
    </w:p>
    <w:p w14:paraId="417CC67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 Actuarial gains and losses </w:t>
      </w:r>
    </w:p>
    <w:p w14:paraId="6E73362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defined benefit schemes, the changes in actuarial deficits or surpluses arise because: </w:t>
      </w:r>
    </w:p>
    <w:p w14:paraId="54F08DC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events have not coincided with the actuarial assumptions made for the last valuation (experience gains or losses) or the actuarial assumptions have changed. </w:t>
      </w:r>
    </w:p>
    <w:p w14:paraId="2B7C7DB0" w14:textId="77777777" w:rsidR="00A52772" w:rsidRPr="00267106" w:rsidRDefault="00A52772" w:rsidP="00A52772">
      <w:pPr>
        <w:autoSpaceDE w:val="0"/>
        <w:autoSpaceDN w:val="0"/>
        <w:adjustRightInd w:val="0"/>
        <w:spacing w:after="0" w:line="240" w:lineRule="auto"/>
        <w:rPr>
          <w:rFonts w:cs="Arial"/>
        </w:rPr>
      </w:pPr>
    </w:p>
    <w:p w14:paraId="61EE93B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 Asset </w:t>
      </w:r>
    </w:p>
    <w:p w14:paraId="288F221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An item having value to the authority in monetary terms. Assets are categorised as either current or fixed: </w:t>
      </w:r>
    </w:p>
    <w:p w14:paraId="161BE8B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current asset will be consumed or cease to have material value within the next financial year (e.g. cash and stock); </w:t>
      </w:r>
    </w:p>
    <w:p w14:paraId="47BC2AFF" w14:textId="77777777" w:rsidR="00A52772" w:rsidRPr="00267106" w:rsidRDefault="00A52772" w:rsidP="00A52772">
      <w:pPr>
        <w:autoSpaceDE w:val="0"/>
        <w:autoSpaceDN w:val="0"/>
        <w:adjustRightInd w:val="0"/>
        <w:spacing w:after="0" w:line="240" w:lineRule="auto"/>
        <w:rPr>
          <w:rFonts w:cs="Arial"/>
        </w:rPr>
      </w:pPr>
    </w:p>
    <w:p w14:paraId="18CA430B" w14:textId="77777777" w:rsidR="00A52772" w:rsidRPr="00267106" w:rsidRDefault="00A52772" w:rsidP="00A52772">
      <w:pPr>
        <w:autoSpaceDE w:val="0"/>
        <w:autoSpaceDN w:val="0"/>
        <w:adjustRightInd w:val="0"/>
        <w:spacing w:after="0" w:line="240" w:lineRule="auto"/>
        <w:rPr>
          <w:rFonts w:cs="Arial"/>
        </w:rPr>
      </w:pPr>
      <w:r w:rsidRPr="00267106">
        <w:rPr>
          <w:rFonts w:cs="Arial"/>
        </w:rPr>
        <w:t>A fixed asset provides benefits to the Authority and to the services it provides for a period of more than one year and may be tangible e.g. a community building, or intangible, e.g. computer software licences.</w:t>
      </w:r>
    </w:p>
    <w:p w14:paraId="227ABEA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59F02B2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 Audit of accounts </w:t>
      </w:r>
    </w:p>
    <w:p w14:paraId="6B836C49" w14:textId="77777777" w:rsidR="00A52772" w:rsidRPr="00B40348" w:rsidRDefault="00A52772" w:rsidP="00A52772">
      <w:pPr>
        <w:autoSpaceDE w:val="0"/>
        <w:autoSpaceDN w:val="0"/>
        <w:adjustRightInd w:val="0"/>
        <w:spacing w:after="0" w:line="240" w:lineRule="auto"/>
        <w:rPr>
          <w:rFonts w:cs="Arial"/>
        </w:rPr>
      </w:pPr>
      <w:r w:rsidRPr="00B40348">
        <w:rPr>
          <w:rFonts w:cs="Arial"/>
        </w:rPr>
        <w:t>An external audit is an independent examination of the financial records prepared by an organisation. The main objective of an external audit is to verify that the accounting records for a company provide a true and accurate picture of the organisation’s finances and that statements are prepared in accordance to the set laws and accounting standards. External audits also add value by identifying areas where efficiency in the business can be improved and where controls and processes may be made more effectiv</w:t>
      </w:r>
      <w:r>
        <w:rPr>
          <w:rFonts w:cs="Arial"/>
        </w:rPr>
        <w:t>e.</w:t>
      </w:r>
    </w:p>
    <w:p w14:paraId="2BDE114D" w14:textId="77777777" w:rsidR="00A52772" w:rsidRPr="00267106" w:rsidRDefault="00A52772" w:rsidP="00A52772">
      <w:pPr>
        <w:autoSpaceDE w:val="0"/>
        <w:autoSpaceDN w:val="0"/>
        <w:adjustRightInd w:val="0"/>
        <w:spacing w:after="0" w:line="240" w:lineRule="auto"/>
        <w:rPr>
          <w:rFonts w:cs="Arial"/>
        </w:rPr>
      </w:pPr>
    </w:p>
    <w:p w14:paraId="014A764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 Balance sheet </w:t>
      </w:r>
    </w:p>
    <w:p w14:paraId="041B62E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statement of the recorded assets, liabilities and other balances at the end of the accounting period. </w:t>
      </w:r>
    </w:p>
    <w:p w14:paraId="29ADB363" w14:textId="77777777" w:rsidR="00A52772" w:rsidRPr="00267106" w:rsidRDefault="00A52772" w:rsidP="00A52772">
      <w:pPr>
        <w:autoSpaceDE w:val="0"/>
        <w:autoSpaceDN w:val="0"/>
        <w:adjustRightInd w:val="0"/>
        <w:spacing w:after="0" w:line="240" w:lineRule="auto"/>
        <w:rPr>
          <w:rFonts w:cs="Arial"/>
        </w:rPr>
      </w:pPr>
    </w:p>
    <w:p w14:paraId="07C7A40A"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7 Budget </w:t>
      </w:r>
    </w:p>
    <w:p w14:paraId="65648D0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forecast of net revenue and capital expenditure over the accounting period. </w:t>
      </w:r>
    </w:p>
    <w:p w14:paraId="5D8242D4" w14:textId="77777777" w:rsidR="00A52772" w:rsidRPr="00267106" w:rsidRDefault="00A52772" w:rsidP="00A52772">
      <w:pPr>
        <w:autoSpaceDE w:val="0"/>
        <w:autoSpaceDN w:val="0"/>
        <w:adjustRightInd w:val="0"/>
        <w:spacing w:after="0" w:line="240" w:lineRule="auto"/>
        <w:rPr>
          <w:rFonts w:cs="Arial"/>
        </w:rPr>
      </w:pPr>
    </w:p>
    <w:p w14:paraId="67BC05E7" w14:textId="77777777" w:rsidR="001D1C78"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8 Capital expenditure</w:t>
      </w:r>
    </w:p>
    <w:p w14:paraId="717191B7"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Expenditure on the acquisition of a fixed asset, which will be used in providing services beyond the current accounting period, or expenditure which adds to and not merely maintains the value of an existing fixed asset.</w:t>
      </w:r>
    </w:p>
    <w:p w14:paraId="2CF006BA" w14:textId="333B55DF" w:rsidR="00A52772" w:rsidRDefault="00A52772" w:rsidP="00A52772">
      <w:pPr>
        <w:autoSpaceDE w:val="0"/>
        <w:autoSpaceDN w:val="0"/>
        <w:adjustRightInd w:val="0"/>
        <w:spacing w:after="0" w:line="240" w:lineRule="auto"/>
        <w:rPr>
          <w:rFonts w:cs="Arial"/>
          <w:sz w:val="24"/>
          <w:szCs w:val="24"/>
        </w:rPr>
      </w:pPr>
    </w:p>
    <w:p w14:paraId="0F3EE11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9 Capital financing </w:t>
      </w:r>
    </w:p>
    <w:p w14:paraId="444D0480" w14:textId="7F3367E8" w:rsidR="00A52772" w:rsidRDefault="00A52772" w:rsidP="00A52772">
      <w:pPr>
        <w:autoSpaceDE w:val="0"/>
        <w:autoSpaceDN w:val="0"/>
        <w:adjustRightInd w:val="0"/>
        <w:spacing w:after="0" w:line="240" w:lineRule="auto"/>
        <w:rPr>
          <w:rFonts w:cs="Arial"/>
        </w:rPr>
      </w:pPr>
      <w:r w:rsidRPr="00267106">
        <w:rPr>
          <w:rFonts w:cs="Arial"/>
        </w:rPr>
        <w:t xml:space="preserve">Funds raised to pay for capital expenditure. There are various methods of financing capital expenditure including borrowing, leasing, direct revenue financing, usable capital receipts, capital grants, capital contributions, revenue reserves and earmarked reserves. </w:t>
      </w:r>
    </w:p>
    <w:p w14:paraId="72262969" w14:textId="77777777" w:rsidR="00ED2A06" w:rsidRPr="00267106" w:rsidRDefault="00ED2A06" w:rsidP="00A52772">
      <w:pPr>
        <w:autoSpaceDE w:val="0"/>
        <w:autoSpaceDN w:val="0"/>
        <w:adjustRightInd w:val="0"/>
        <w:spacing w:after="0" w:line="240" w:lineRule="auto"/>
        <w:rPr>
          <w:rFonts w:cs="Arial"/>
        </w:rPr>
      </w:pPr>
    </w:p>
    <w:p w14:paraId="59B277B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10 Capital programme </w:t>
      </w:r>
    </w:p>
    <w:p w14:paraId="4B9FC2F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capital schemes the Authority intends to carry out over a specific period of time. </w:t>
      </w:r>
    </w:p>
    <w:p w14:paraId="4B0734BA" w14:textId="77777777" w:rsidR="00A52772" w:rsidRPr="00267106" w:rsidRDefault="00A52772" w:rsidP="00A52772">
      <w:pPr>
        <w:autoSpaceDE w:val="0"/>
        <w:autoSpaceDN w:val="0"/>
        <w:adjustRightInd w:val="0"/>
        <w:spacing w:after="0" w:line="240" w:lineRule="auto"/>
        <w:rPr>
          <w:rFonts w:cs="Arial"/>
        </w:rPr>
      </w:pPr>
    </w:p>
    <w:p w14:paraId="6E7EA9D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11 Capital receipt </w:t>
      </w:r>
    </w:p>
    <w:p w14:paraId="1174532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proceeds from the disposal of land or other fixed assets. Proportions of capital receipts can be used to finance new capital expenditure, within rules set down by the government but they cannot be used to finance revenue expenditure. </w:t>
      </w:r>
    </w:p>
    <w:p w14:paraId="36A75850" w14:textId="77777777" w:rsidR="00A52772" w:rsidRPr="00267106" w:rsidRDefault="00A52772" w:rsidP="00A52772">
      <w:pPr>
        <w:autoSpaceDE w:val="0"/>
        <w:autoSpaceDN w:val="0"/>
        <w:adjustRightInd w:val="0"/>
        <w:spacing w:after="0" w:line="240" w:lineRule="auto"/>
        <w:rPr>
          <w:rFonts w:cs="Arial"/>
        </w:rPr>
      </w:pPr>
    </w:p>
    <w:p w14:paraId="3CDA2DAE" w14:textId="78FDC56C" w:rsidR="00A52772" w:rsidRPr="00267106" w:rsidRDefault="00A52772" w:rsidP="00A52772">
      <w:pPr>
        <w:autoSpaceDE w:val="0"/>
        <w:autoSpaceDN w:val="0"/>
        <w:adjustRightInd w:val="0"/>
        <w:spacing w:after="0" w:line="240" w:lineRule="auto"/>
        <w:rPr>
          <w:rFonts w:cs="Arial"/>
          <w:sz w:val="28"/>
          <w:szCs w:val="28"/>
        </w:rPr>
      </w:pPr>
      <w:r w:rsidRPr="00267106">
        <w:rPr>
          <w:rFonts w:cs="Arial"/>
          <w:b/>
          <w:bCs/>
          <w:sz w:val="28"/>
          <w:szCs w:val="28"/>
        </w:rPr>
        <w:lastRenderedPageBreak/>
        <w:t xml:space="preserve">12 CIPFA </w:t>
      </w:r>
    </w:p>
    <w:p w14:paraId="19175124"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Chartered Institute of Public Finance and Accountancy. </w:t>
      </w:r>
    </w:p>
    <w:p w14:paraId="2E909F41" w14:textId="77777777" w:rsidR="00A52772" w:rsidRPr="00267106" w:rsidRDefault="00A52772" w:rsidP="00A52772">
      <w:pPr>
        <w:autoSpaceDE w:val="0"/>
        <w:autoSpaceDN w:val="0"/>
        <w:adjustRightInd w:val="0"/>
        <w:spacing w:after="0" w:line="240" w:lineRule="auto"/>
        <w:rPr>
          <w:rFonts w:cs="Arial"/>
        </w:rPr>
      </w:pPr>
    </w:p>
    <w:p w14:paraId="7D3A5DE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13 Collection fund </w:t>
      </w:r>
    </w:p>
    <w:p w14:paraId="4EA03CEC" w14:textId="77777777" w:rsidR="00A52772" w:rsidRPr="00267106" w:rsidRDefault="00A52772" w:rsidP="00A52772">
      <w:pPr>
        <w:autoSpaceDE w:val="0"/>
        <w:autoSpaceDN w:val="0"/>
        <w:adjustRightInd w:val="0"/>
        <w:spacing w:after="0" w:line="240" w:lineRule="auto"/>
        <w:rPr>
          <w:rFonts w:cs="Arial"/>
        </w:rPr>
      </w:pPr>
      <w:r w:rsidRPr="00267106">
        <w:rPr>
          <w:rFonts w:cs="Arial"/>
        </w:rPr>
        <w:t>A separate fund that records the income and expenditure relating to Council Tax and non-domestic rates.</w:t>
      </w:r>
    </w:p>
    <w:p w14:paraId="744E0931"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70C386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14 Consistency </w:t>
      </w:r>
    </w:p>
    <w:p w14:paraId="5C05849F"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concept that the accounting treatment of like items within an accounting period and from one period to the next is the same. </w:t>
      </w:r>
    </w:p>
    <w:p w14:paraId="5ABDC125" w14:textId="77777777" w:rsidR="00A52772" w:rsidRPr="00267106" w:rsidRDefault="00A52772" w:rsidP="00A52772">
      <w:pPr>
        <w:autoSpaceDE w:val="0"/>
        <w:autoSpaceDN w:val="0"/>
        <w:adjustRightInd w:val="0"/>
        <w:spacing w:after="0" w:line="240" w:lineRule="auto"/>
        <w:rPr>
          <w:rFonts w:cs="Arial"/>
        </w:rPr>
      </w:pPr>
    </w:p>
    <w:p w14:paraId="3CA78C2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15 Contingent asset </w:t>
      </w:r>
    </w:p>
    <w:p w14:paraId="188F98F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contingent asset is a possible asset arising from past events whose existence will be confirmed only by the occurrence of one or more uncertain future events not wholly within the Authority’s accounts. </w:t>
      </w:r>
    </w:p>
    <w:p w14:paraId="57EC61C6" w14:textId="77777777" w:rsidR="00A52772" w:rsidRPr="00267106" w:rsidRDefault="00A52772" w:rsidP="00A52772">
      <w:pPr>
        <w:autoSpaceDE w:val="0"/>
        <w:autoSpaceDN w:val="0"/>
        <w:adjustRightInd w:val="0"/>
        <w:spacing w:after="0" w:line="240" w:lineRule="auto"/>
        <w:rPr>
          <w:rFonts w:cs="Arial"/>
        </w:rPr>
      </w:pPr>
    </w:p>
    <w:p w14:paraId="226FC73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16 Contingent liability </w:t>
      </w:r>
    </w:p>
    <w:p w14:paraId="7695521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contingent liability is either: a possible obligation arising from past events whose existence will be confirmed only by the occurrence of one or more uncertain future events not wholly within the Authority’s control; or a present obligation arising from past events where it is not probable that a transfer of economic benefits will be required, or the amount of the obligation cannot be measured with sufficient reliability. </w:t>
      </w:r>
    </w:p>
    <w:p w14:paraId="597B6D69" w14:textId="77777777" w:rsidR="00A52772" w:rsidRPr="00267106" w:rsidRDefault="00A52772" w:rsidP="00A52772">
      <w:pPr>
        <w:autoSpaceDE w:val="0"/>
        <w:autoSpaceDN w:val="0"/>
        <w:adjustRightInd w:val="0"/>
        <w:spacing w:after="0" w:line="240" w:lineRule="auto"/>
        <w:rPr>
          <w:rFonts w:cs="Arial"/>
        </w:rPr>
      </w:pPr>
    </w:p>
    <w:p w14:paraId="6F2137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17 Creditor </w:t>
      </w:r>
    </w:p>
    <w:p w14:paraId="5816DC57" w14:textId="7F97D26F" w:rsidR="00ED2A06" w:rsidRPr="00ED2A06" w:rsidRDefault="00A52772" w:rsidP="00A52772">
      <w:pPr>
        <w:autoSpaceDE w:val="0"/>
        <w:autoSpaceDN w:val="0"/>
        <w:adjustRightInd w:val="0"/>
        <w:spacing w:after="0" w:line="240" w:lineRule="auto"/>
        <w:rPr>
          <w:rFonts w:cs="Arial"/>
          <w:sz w:val="18"/>
          <w:szCs w:val="18"/>
        </w:rPr>
      </w:pPr>
      <w:r w:rsidRPr="00267106">
        <w:rPr>
          <w:rFonts w:cs="Arial"/>
        </w:rPr>
        <w:t>Amount owed by the Authority for work done, goods received or services rendered within the accounting period, but for which payment has not been made by the end of that accounting period.</w:t>
      </w:r>
    </w:p>
    <w:p w14:paraId="796AFC06" w14:textId="77777777" w:rsidR="00ED2A06" w:rsidRPr="00267106" w:rsidRDefault="00ED2A06" w:rsidP="00A52772">
      <w:pPr>
        <w:autoSpaceDE w:val="0"/>
        <w:autoSpaceDN w:val="0"/>
        <w:adjustRightInd w:val="0"/>
        <w:spacing w:after="0" w:line="240" w:lineRule="auto"/>
        <w:rPr>
          <w:rFonts w:cs="Arial"/>
          <w:sz w:val="24"/>
          <w:szCs w:val="24"/>
        </w:rPr>
      </w:pPr>
    </w:p>
    <w:p w14:paraId="74BE1B8A"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18 Current service cost (pensions) </w:t>
      </w:r>
    </w:p>
    <w:p w14:paraId="76D0F946" w14:textId="5FB9DE09" w:rsidR="00A52772" w:rsidRPr="00267106" w:rsidRDefault="00A52772" w:rsidP="00A52772">
      <w:pPr>
        <w:autoSpaceDE w:val="0"/>
        <w:autoSpaceDN w:val="0"/>
        <w:adjustRightInd w:val="0"/>
        <w:spacing w:after="0" w:line="240" w:lineRule="auto"/>
        <w:rPr>
          <w:rFonts w:cs="Arial"/>
        </w:rPr>
      </w:pPr>
      <w:r w:rsidRPr="00267106">
        <w:rPr>
          <w:rFonts w:cs="Arial"/>
        </w:rPr>
        <w:t xml:space="preserve">The increase in the present value of a defined benefits pension scheme’s liabilities, expected to arise from employee service in the current period. </w:t>
      </w:r>
    </w:p>
    <w:p w14:paraId="1AB664A7" w14:textId="77777777" w:rsidR="006671E1" w:rsidRDefault="006671E1" w:rsidP="00A52772">
      <w:pPr>
        <w:autoSpaceDE w:val="0"/>
        <w:autoSpaceDN w:val="0"/>
        <w:adjustRightInd w:val="0"/>
        <w:spacing w:after="0" w:line="240" w:lineRule="auto"/>
        <w:rPr>
          <w:rFonts w:cs="Arial"/>
          <w:b/>
          <w:bCs/>
          <w:sz w:val="28"/>
          <w:szCs w:val="28"/>
        </w:rPr>
      </w:pPr>
    </w:p>
    <w:p w14:paraId="49F7FA93" w14:textId="3A8BA7F0"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19 Debtor </w:t>
      </w:r>
    </w:p>
    <w:p w14:paraId="14F2E9C1" w14:textId="7887EC83" w:rsidR="00ED2A06" w:rsidRDefault="00A52772" w:rsidP="00A52772">
      <w:pPr>
        <w:autoSpaceDE w:val="0"/>
        <w:autoSpaceDN w:val="0"/>
        <w:adjustRightInd w:val="0"/>
        <w:spacing w:after="0" w:line="240" w:lineRule="auto"/>
        <w:rPr>
          <w:rFonts w:cs="Arial"/>
        </w:rPr>
      </w:pPr>
      <w:r w:rsidRPr="00267106">
        <w:rPr>
          <w:rFonts w:cs="Arial"/>
        </w:rPr>
        <w:t xml:space="preserve">Amount owed to the Authority for works done, goods received or services rendered within the accounting period, but for which payment has not been received by the end of that accounting period. </w:t>
      </w:r>
    </w:p>
    <w:p w14:paraId="1189575A" w14:textId="77777777" w:rsidR="001D1C78" w:rsidRDefault="001D1C78" w:rsidP="00A52772">
      <w:pPr>
        <w:autoSpaceDE w:val="0"/>
        <w:autoSpaceDN w:val="0"/>
        <w:adjustRightInd w:val="0"/>
        <w:spacing w:after="0" w:line="240" w:lineRule="auto"/>
        <w:rPr>
          <w:rFonts w:cs="Arial"/>
        </w:rPr>
      </w:pPr>
    </w:p>
    <w:p w14:paraId="7B2B186E" w14:textId="4CC74D72" w:rsidR="00A52772" w:rsidRPr="00ED2A06" w:rsidRDefault="00A52772" w:rsidP="00A52772">
      <w:pPr>
        <w:autoSpaceDE w:val="0"/>
        <w:autoSpaceDN w:val="0"/>
        <w:adjustRightInd w:val="0"/>
        <w:spacing w:after="0" w:line="240" w:lineRule="auto"/>
        <w:rPr>
          <w:rFonts w:cs="Arial"/>
        </w:rPr>
      </w:pPr>
      <w:r w:rsidRPr="00267106">
        <w:rPr>
          <w:rFonts w:cs="Arial"/>
          <w:b/>
          <w:bCs/>
          <w:sz w:val="28"/>
          <w:szCs w:val="28"/>
        </w:rPr>
        <w:t xml:space="preserve">20 Deferred charges </w:t>
      </w:r>
    </w:p>
    <w:p w14:paraId="41B96CB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Expenditure which can be properly deferred (i.e. treated as capital in nature), but which does not result in, or remain matched with, a tangible asset. Examples of deferred charges are grants of a capital nature to voluntary organisations. </w:t>
      </w:r>
    </w:p>
    <w:p w14:paraId="018BDFCE" w14:textId="77777777" w:rsidR="00A52772" w:rsidRPr="00267106" w:rsidRDefault="00A52772" w:rsidP="00A52772">
      <w:pPr>
        <w:autoSpaceDE w:val="0"/>
        <w:autoSpaceDN w:val="0"/>
        <w:adjustRightInd w:val="0"/>
        <w:spacing w:after="0" w:line="240" w:lineRule="auto"/>
        <w:rPr>
          <w:rFonts w:cs="Arial"/>
        </w:rPr>
      </w:pPr>
    </w:p>
    <w:p w14:paraId="6E158DF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21 Defined benefit pension scheme </w:t>
      </w:r>
    </w:p>
    <w:p w14:paraId="73BE5AF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Pension schemes in which the benefits received by the participants are independent of the contributions paid and are not directly related to the investments of the scheme. </w:t>
      </w:r>
    </w:p>
    <w:p w14:paraId="68B39E60" w14:textId="77777777" w:rsidR="00A52772" w:rsidRPr="00267106" w:rsidRDefault="00A52772" w:rsidP="00A52772">
      <w:pPr>
        <w:autoSpaceDE w:val="0"/>
        <w:autoSpaceDN w:val="0"/>
        <w:adjustRightInd w:val="0"/>
        <w:spacing w:after="0" w:line="240" w:lineRule="auto"/>
        <w:rPr>
          <w:rFonts w:cs="Arial"/>
        </w:rPr>
      </w:pPr>
    </w:p>
    <w:p w14:paraId="4DCFA60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22 Depreciation </w:t>
      </w:r>
    </w:p>
    <w:p w14:paraId="269F9CC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measure of the cost of wearing out, consumption, or other reduction, in the useful economic life of the Authority’s fixed assets during the accounting period, whether from use, the passage of time or obsolescence through technical or other changes. </w:t>
      </w:r>
    </w:p>
    <w:p w14:paraId="544D2A18" w14:textId="77777777" w:rsidR="00A52772" w:rsidRPr="00267106" w:rsidRDefault="00A52772" w:rsidP="00A52772">
      <w:pPr>
        <w:autoSpaceDE w:val="0"/>
        <w:autoSpaceDN w:val="0"/>
        <w:adjustRightInd w:val="0"/>
        <w:spacing w:after="0" w:line="240" w:lineRule="auto"/>
        <w:rPr>
          <w:rFonts w:cs="Arial"/>
        </w:rPr>
      </w:pPr>
    </w:p>
    <w:p w14:paraId="2F54CB56"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23 Discretionary benefits (pensions) </w:t>
      </w:r>
    </w:p>
    <w:p w14:paraId="7DF2A2E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Retirement benefits which the employer has no legal, contractual or constructive obligation to award and are awarded under the Authority’s discretionary powers such as the Local Government (Discretionary Payments) Regulations 1996. </w:t>
      </w:r>
    </w:p>
    <w:p w14:paraId="6060B808" w14:textId="77777777" w:rsidR="00A52772" w:rsidRPr="00267106" w:rsidRDefault="00A52772" w:rsidP="00A52772">
      <w:pPr>
        <w:autoSpaceDE w:val="0"/>
        <w:autoSpaceDN w:val="0"/>
        <w:adjustRightInd w:val="0"/>
        <w:spacing w:after="0" w:line="240" w:lineRule="auto"/>
        <w:rPr>
          <w:rFonts w:cs="Arial"/>
        </w:rPr>
      </w:pPr>
    </w:p>
    <w:p w14:paraId="4F150B7C" w14:textId="77777777" w:rsidR="006671E1" w:rsidRDefault="006671E1">
      <w:pPr>
        <w:rPr>
          <w:rFonts w:cs="Arial"/>
          <w:b/>
          <w:bCs/>
          <w:sz w:val="28"/>
          <w:szCs w:val="28"/>
        </w:rPr>
      </w:pPr>
      <w:r>
        <w:rPr>
          <w:rFonts w:cs="Arial"/>
          <w:b/>
          <w:bCs/>
          <w:sz w:val="28"/>
          <w:szCs w:val="28"/>
        </w:rPr>
        <w:br w:type="page"/>
      </w:r>
    </w:p>
    <w:p w14:paraId="7981009E" w14:textId="62401290"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lastRenderedPageBreak/>
        <w:t xml:space="preserve">24 Equity </w:t>
      </w:r>
    </w:p>
    <w:p w14:paraId="650194F3"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Authority’s value of total assets less total liabilities. </w:t>
      </w:r>
    </w:p>
    <w:p w14:paraId="08BC0952" w14:textId="77777777" w:rsidR="00A52772" w:rsidRPr="00267106" w:rsidRDefault="00A52772" w:rsidP="00A52772">
      <w:pPr>
        <w:autoSpaceDE w:val="0"/>
        <w:autoSpaceDN w:val="0"/>
        <w:adjustRightInd w:val="0"/>
        <w:spacing w:after="0" w:line="240" w:lineRule="auto"/>
        <w:rPr>
          <w:rFonts w:cs="Arial"/>
        </w:rPr>
      </w:pPr>
    </w:p>
    <w:p w14:paraId="30BE368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25 Events after the balance sheet date </w:t>
      </w:r>
    </w:p>
    <w:p w14:paraId="35AFD76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Events after the Balance Sheet date are those events, favourable or unfavourable, that occur between the Balance Sheet date and the date when the Statement of Accounts is authorised for issue. </w:t>
      </w:r>
    </w:p>
    <w:p w14:paraId="35E87718" w14:textId="77777777" w:rsidR="00A52772" w:rsidRPr="00267106" w:rsidRDefault="00A52772" w:rsidP="00A52772">
      <w:pPr>
        <w:autoSpaceDE w:val="0"/>
        <w:autoSpaceDN w:val="0"/>
        <w:adjustRightInd w:val="0"/>
        <w:spacing w:after="0" w:line="240" w:lineRule="auto"/>
        <w:rPr>
          <w:rFonts w:cs="Arial"/>
        </w:rPr>
      </w:pPr>
    </w:p>
    <w:p w14:paraId="322DAF4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26 Exceptional items </w:t>
      </w:r>
    </w:p>
    <w:p w14:paraId="25D8E8A3"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Material items which derive from events or transactions that fall within the ordinary activities of the Authority and which need to be disclosed separately by virtue of their size or incidence to give fair presentation of the accounts.</w:t>
      </w:r>
    </w:p>
    <w:p w14:paraId="0D618C0F" w14:textId="77777777" w:rsidR="00A52772" w:rsidRPr="00267106" w:rsidRDefault="00A52772" w:rsidP="00A52772">
      <w:pPr>
        <w:autoSpaceDE w:val="0"/>
        <w:autoSpaceDN w:val="0"/>
        <w:adjustRightInd w:val="0"/>
        <w:spacing w:after="0" w:line="240" w:lineRule="auto"/>
        <w:rPr>
          <w:rFonts w:cs="Arial"/>
          <w:sz w:val="24"/>
          <w:szCs w:val="24"/>
        </w:rPr>
      </w:pPr>
    </w:p>
    <w:p w14:paraId="7246E2E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27 Expected return on pension assets </w:t>
      </w:r>
    </w:p>
    <w:p w14:paraId="5D756ED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funded defined benefit scheme, this is the average rate of return, including both income and changes in fair value but net of scheme expenses, which is expected over the remaining life of the related obligation on the actual assets held by the scheme. </w:t>
      </w:r>
    </w:p>
    <w:p w14:paraId="28FF837B" w14:textId="77777777" w:rsidR="001D1C78" w:rsidRPr="00267106" w:rsidRDefault="001D1C78" w:rsidP="00A52772">
      <w:pPr>
        <w:autoSpaceDE w:val="0"/>
        <w:autoSpaceDN w:val="0"/>
        <w:adjustRightInd w:val="0"/>
        <w:spacing w:after="0" w:line="240" w:lineRule="auto"/>
        <w:rPr>
          <w:rFonts w:cs="Arial"/>
        </w:rPr>
      </w:pPr>
    </w:p>
    <w:p w14:paraId="4D8BA29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28 Extraordinary items </w:t>
      </w:r>
    </w:p>
    <w:p w14:paraId="1F46EDDF" w14:textId="77777777" w:rsidR="00A52772" w:rsidRPr="00267106" w:rsidRDefault="00A52772" w:rsidP="00A52772">
      <w:pPr>
        <w:autoSpaceDE w:val="0"/>
        <w:autoSpaceDN w:val="0"/>
        <w:adjustRightInd w:val="0"/>
        <w:spacing w:after="0" w:line="240" w:lineRule="auto"/>
        <w:rPr>
          <w:rFonts w:cs="Arial"/>
        </w:rPr>
      </w:pPr>
      <w:r w:rsidRPr="00267106">
        <w:rPr>
          <w:rFonts w:cs="Arial"/>
        </w:rPr>
        <w:t>Material items, possessing a high degree of abnormality, which derive from events or transactions that fall outside the ordinary activities of the Authority and which are not expected to recur. They do not include exceptional items, nor do they include prior period items merely because they relate to a prior period.</w:t>
      </w:r>
    </w:p>
    <w:p w14:paraId="7F20511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15D4A75B" w14:textId="6D63BD94"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29 Fair value </w:t>
      </w:r>
    </w:p>
    <w:p w14:paraId="1A2519D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fair value of an asset is the price at which it could be exchanged in an arm’s length transaction less, where applicable, any grants receivable towards the purchase or use of the asset. </w:t>
      </w:r>
    </w:p>
    <w:p w14:paraId="1C5C0C8B" w14:textId="77777777" w:rsidR="00A52772" w:rsidRPr="00267106" w:rsidRDefault="00A52772" w:rsidP="00A52772">
      <w:pPr>
        <w:autoSpaceDE w:val="0"/>
        <w:autoSpaceDN w:val="0"/>
        <w:adjustRightInd w:val="0"/>
        <w:spacing w:after="0" w:line="240" w:lineRule="auto"/>
        <w:rPr>
          <w:rFonts w:cs="Arial"/>
        </w:rPr>
      </w:pPr>
    </w:p>
    <w:p w14:paraId="1259EB0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30 Government grants </w:t>
      </w:r>
    </w:p>
    <w:p w14:paraId="0D59421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Grants made by the government towards either revenue or capital expenditure in return for past or future compliance with certain conditions relating to the activities of the Authority. These grants may be specific to a particular scheme or may support the revenue spend of the Authority in general. </w:t>
      </w:r>
    </w:p>
    <w:p w14:paraId="3449AA86" w14:textId="77777777" w:rsidR="00A52772" w:rsidRPr="00267106" w:rsidRDefault="00A52772" w:rsidP="00A52772">
      <w:pPr>
        <w:autoSpaceDE w:val="0"/>
        <w:autoSpaceDN w:val="0"/>
        <w:adjustRightInd w:val="0"/>
        <w:spacing w:after="0" w:line="240" w:lineRule="auto"/>
        <w:rPr>
          <w:rFonts w:cs="Arial"/>
        </w:rPr>
      </w:pPr>
    </w:p>
    <w:p w14:paraId="091FB0A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31 Impairment </w:t>
      </w:r>
    </w:p>
    <w:p w14:paraId="0DD02A1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reduction in the value of a fixed asset to below its carrying amount on the Balance Sheet. </w:t>
      </w:r>
    </w:p>
    <w:p w14:paraId="05EB369B" w14:textId="77777777" w:rsidR="00A52772" w:rsidRPr="00267106" w:rsidRDefault="00A52772" w:rsidP="00A52772">
      <w:pPr>
        <w:autoSpaceDE w:val="0"/>
        <w:autoSpaceDN w:val="0"/>
        <w:adjustRightInd w:val="0"/>
        <w:spacing w:after="0" w:line="240" w:lineRule="auto"/>
        <w:rPr>
          <w:rFonts w:cs="Arial"/>
        </w:rPr>
      </w:pPr>
    </w:p>
    <w:p w14:paraId="2B9A9D05"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32 Income and expenditure account </w:t>
      </w:r>
    </w:p>
    <w:p w14:paraId="7699D58A"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revenue account of the Authority that reports the net cost for the year of the functions for which it is responsible and demonstrates how that cost has been financed from precepts, grants and other income. </w:t>
      </w:r>
    </w:p>
    <w:p w14:paraId="06A20D2B" w14:textId="77777777" w:rsidR="00A52772" w:rsidRPr="00267106" w:rsidRDefault="00A52772" w:rsidP="00A52772">
      <w:pPr>
        <w:autoSpaceDE w:val="0"/>
        <w:autoSpaceDN w:val="0"/>
        <w:adjustRightInd w:val="0"/>
        <w:spacing w:after="0" w:line="240" w:lineRule="auto"/>
        <w:rPr>
          <w:rFonts w:cs="Arial"/>
        </w:rPr>
      </w:pPr>
    </w:p>
    <w:p w14:paraId="11DFCBD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33 Interest cost (pensions) </w:t>
      </w:r>
    </w:p>
    <w:p w14:paraId="3C1C762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defined benefit scheme, the expected increase during the period of the present value of the scheme liabilities because the benefits are one period closer to settlement. </w:t>
      </w:r>
    </w:p>
    <w:p w14:paraId="2AEEA89D" w14:textId="77777777" w:rsidR="00A52772" w:rsidRPr="00267106" w:rsidRDefault="00A52772" w:rsidP="00A52772">
      <w:pPr>
        <w:autoSpaceDE w:val="0"/>
        <w:autoSpaceDN w:val="0"/>
        <w:adjustRightInd w:val="0"/>
        <w:spacing w:after="0" w:line="240" w:lineRule="auto"/>
        <w:rPr>
          <w:rFonts w:cs="Arial"/>
        </w:rPr>
      </w:pPr>
    </w:p>
    <w:p w14:paraId="20C76A13"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34 Investments (pension fund) </w:t>
      </w:r>
    </w:p>
    <w:p w14:paraId="4E59E30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 </w:t>
      </w:r>
    </w:p>
    <w:p w14:paraId="69664B38" w14:textId="77777777" w:rsidR="00A52772" w:rsidRPr="00267106" w:rsidRDefault="00A52772" w:rsidP="00A52772">
      <w:pPr>
        <w:autoSpaceDE w:val="0"/>
        <w:autoSpaceDN w:val="0"/>
        <w:adjustRightInd w:val="0"/>
        <w:spacing w:after="0" w:line="240" w:lineRule="auto"/>
        <w:rPr>
          <w:rFonts w:cs="Arial"/>
        </w:rPr>
      </w:pPr>
    </w:p>
    <w:p w14:paraId="1460837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35 Liability </w:t>
      </w:r>
    </w:p>
    <w:p w14:paraId="122E4898" w14:textId="75666079" w:rsidR="00A52772" w:rsidRDefault="00A52772" w:rsidP="00A52772">
      <w:pPr>
        <w:autoSpaceDE w:val="0"/>
        <w:autoSpaceDN w:val="0"/>
        <w:adjustRightInd w:val="0"/>
        <w:spacing w:after="0" w:line="240" w:lineRule="auto"/>
        <w:rPr>
          <w:rFonts w:cs="Arial"/>
        </w:rPr>
      </w:pPr>
      <w:r w:rsidRPr="00267106">
        <w:rPr>
          <w:rFonts w:cs="Arial"/>
        </w:rPr>
        <w:t xml:space="preserve">A liability is where the Authority owes payment to an individual or another organisation.  A current liability is an amount which will become payable or could be called in within the next accounting period, e.g. creditors or cash overdrawn. </w:t>
      </w:r>
    </w:p>
    <w:p w14:paraId="738FE648" w14:textId="77777777" w:rsidR="006671E1" w:rsidRPr="00267106" w:rsidRDefault="006671E1" w:rsidP="00A52772">
      <w:pPr>
        <w:autoSpaceDE w:val="0"/>
        <w:autoSpaceDN w:val="0"/>
        <w:adjustRightInd w:val="0"/>
        <w:spacing w:after="0" w:line="240" w:lineRule="auto"/>
        <w:rPr>
          <w:rFonts w:cs="Arial"/>
        </w:rPr>
      </w:pPr>
    </w:p>
    <w:p w14:paraId="14A3B68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deferred liability is an amount which by arrangement is payable beyond the next year at some point in the future or to be paid off by an annual sum over a period of time. </w:t>
      </w:r>
    </w:p>
    <w:p w14:paraId="5D1E51A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lastRenderedPageBreak/>
        <w:t xml:space="preserve">36 Liquid resources </w:t>
      </w:r>
    </w:p>
    <w:p w14:paraId="0C20B0CE" w14:textId="35A59AB1" w:rsidR="00A52772" w:rsidRDefault="00A52772" w:rsidP="00A52772">
      <w:pPr>
        <w:autoSpaceDE w:val="0"/>
        <w:autoSpaceDN w:val="0"/>
        <w:adjustRightInd w:val="0"/>
        <w:spacing w:after="0" w:line="240" w:lineRule="auto"/>
        <w:rPr>
          <w:rFonts w:cs="Arial"/>
        </w:rPr>
      </w:pPr>
      <w:r w:rsidRPr="00267106">
        <w:rPr>
          <w:rFonts w:cs="Arial"/>
        </w:rPr>
        <w:t xml:space="preserve">Current asset investments that are readily disposable by the Authority without disrupting its business and are either: readily convertible to known amounts of cash at or close to the carrying amount; or traded in an active market. </w:t>
      </w:r>
    </w:p>
    <w:p w14:paraId="5D2B8E00" w14:textId="77777777" w:rsidR="00A52772" w:rsidRPr="00267106" w:rsidRDefault="00A52772" w:rsidP="00A52772">
      <w:pPr>
        <w:autoSpaceDE w:val="0"/>
        <w:autoSpaceDN w:val="0"/>
        <w:adjustRightInd w:val="0"/>
        <w:spacing w:after="0" w:line="240" w:lineRule="auto"/>
        <w:rPr>
          <w:rFonts w:cs="Arial"/>
        </w:rPr>
      </w:pPr>
    </w:p>
    <w:p w14:paraId="6AF3748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37 Long term contract </w:t>
      </w:r>
    </w:p>
    <w:p w14:paraId="504626D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contract entered into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 </w:t>
      </w:r>
    </w:p>
    <w:p w14:paraId="2E4DFF72" w14:textId="77777777" w:rsidR="00A52772" w:rsidRPr="00267106" w:rsidRDefault="00A52772" w:rsidP="00A52772">
      <w:pPr>
        <w:autoSpaceDE w:val="0"/>
        <w:autoSpaceDN w:val="0"/>
        <w:adjustRightInd w:val="0"/>
        <w:spacing w:after="0" w:line="240" w:lineRule="auto"/>
        <w:rPr>
          <w:rFonts w:cs="Arial"/>
        </w:rPr>
      </w:pPr>
    </w:p>
    <w:p w14:paraId="014D885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38 Materiality </w:t>
      </w:r>
    </w:p>
    <w:p w14:paraId="27E6C558"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concept that the Statement of Accounts should include all amounts which, if omitted, or mis-stated, could be expected to lead to a distortion of the financial statements and ultimately mislead a user of the accounts. </w:t>
      </w:r>
    </w:p>
    <w:p w14:paraId="7DEB0C34" w14:textId="77777777" w:rsidR="00A52772" w:rsidRDefault="00A52772" w:rsidP="00A52772">
      <w:pPr>
        <w:autoSpaceDE w:val="0"/>
        <w:autoSpaceDN w:val="0"/>
        <w:adjustRightInd w:val="0"/>
        <w:spacing w:after="0" w:line="240" w:lineRule="auto"/>
        <w:rPr>
          <w:rFonts w:cs="Arial"/>
          <w:b/>
          <w:bCs/>
          <w:sz w:val="28"/>
          <w:szCs w:val="28"/>
        </w:rPr>
      </w:pPr>
    </w:p>
    <w:p w14:paraId="3D4015C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39 Minimum Revenue Provision (MRP) </w:t>
      </w:r>
    </w:p>
    <w:p w14:paraId="6B6E69F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minimum amount which must be charged to the revenue account each year in order to provide for the repayment of loans and other amounts borrowed by the Authority. </w:t>
      </w:r>
    </w:p>
    <w:p w14:paraId="05E4603C" w14:textId="77777777" w:rsidR="00A52772" w:rsidRPr="00267106" w:rsidRDefault="00A52772" w:rsidP="00A52772">
      <w:pPr>
        <w:autoSpaceDE w:val="0"/>
        <w:autoSpaceDN w:val="0"/>
        <w:adjustRightInd w:val="0"/>
        <w:spacing w:after="0" w:line="240" w:lineRule="auto"/>
        <w:rPr>
          <w:rFonts w:cs="Arial"/>
        </w:rPr>
      </w:pPr>
    </w:p>
    <w:p w14:paraId="254C8B2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40 Net book value </w:t>
      </w:r>
    </w:p>
    <w:p w14:paraId="14DF5FC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amount at which fixed assets are included in the Balance Sheet, i.e. their historical costs or </w:t>
      </w:r>
      <w:r>
        <w:rPr>
          <w:rFonts w:cs="Arial"/>
        </w:rPr>
        <w:t xml:space="preserve">fair </w:t>
      </w:r>
      <w:r w:rsidRPr="00267106">
        <w:rPr>
          <w:rFonts w:cs="Arial"/>
        </w:rPr>
        <w:t xml:space="preserve">value less the cumulative amounts provided for depreciation. </w:t>
      </w:r>
    </w:p>
    <w:p w14:paraId="586B1157" w14:textId="77777777" w:rsidR="00A52772" w:rsidRPr="00267106" w:rsidRDefault="00A52772" w:rsidP="00A52772">
      <w:pPr>
        <w:autoSpaceDE w:val="0"/>
        <w:autoSpaceDN w:val="0"/>
        <w:adjustRightInd w:val="0"/>
        <w:spacing w:after="0" w:line="240" w:lineRule="auto"/>
        <w:rPr>
          <w:rFonts w:cs="Arial"/>
        </w:rPr>
      </w:pPr>
    </w:p>
    <w:p w14:paraId="1E85169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41 Net debt </w:t>
      </w:r>
    </w:p>
    <w:p w14:paraId="5B0E8B6A" w14:textId="77777777" w:rsidR="00A52772" w:rsidRPr="00267106" w:rsidRDefault="00A52772" w:rsidP="00A52772">
      <w:pPr>
        <w:autoSpaceDE w:val="0"/>
        <w:autoSpaceDN w:val="0"/>
        <w:adjustRightInd w:val="0"/>
        <w:spacing w:after="0" w:line="240" w:lineRule="auto"/>
        <w:rPr>
          <w:rFonts w:cs="Arial"/>
        </w:rPr>
      </w:pPr>
      <w:r w:rsidRPr="00267106">
        <w:rPr>
          <w:rFonts w:cs="Arial"/>
        </w:rPr>
        <w:t>The Authority’s borrowings less cash and liquid resources.</w:t>
      </w:r>
    </w:p>
    <w:p w14:paraId="58074E87"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 </w:t>
      </w:r>
    </w:p>
    <w:p w14:paraId="2B5C75E6" w14:textId="153604D6"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42 Non-domestic rates (NDR) </w:t>
      </w:r>
    </w:p>
    <w:p w14:paraId="1523BEC4"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Non-Domestic Rate is a levy on businesses, based on a national rate in the pound set by the government and multiplied by the assessed rateable value of the premises they occupy. </w:t>
      </w:r>
    </w:p>
    <w:p w14:paraId="175A2040" w14:textId="77777777" w:rsidR="00A52772" w:rsidRPr="00267106" w:rsidRDefault="00A52772" w:rsidP="00A52772">
      <w:pPr>
        <w:autoSpaceDE w:val="0"/>
        <w:autoSpaceDN w:val="0"/>
        <w:adjustRightInd w:val="0"/>
        <w:spacing w:after="0" w:line="240" w:lineRule="auto"/>
        <w:rPr>
          <w:rFonts w:cs="Arial"/>
        </w:rPr>
      </w:pPr>
    </w:p>
    <w:p w14:paraId="7793EFD1"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43 Non-operational assets </w:t>
      </w:r>
    </w:p>
    <w:p w14:paraId="7ABD4BA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Fixed assets held by the Authority but not directly occupied, used or consumed in the delivery of services. Examples are investment properties, assets under construction or assets surplus to requirements pending sale or redevelopment. </w:t>
      </w:r>
    </w:p>
    <w:p w14:paraId="4B0B2EC3" w14:textId="77777777" w:rsidR="00A52772" w:rsidRPr="00267106" w:rsidRDefault="00A52772" w:rsidP="00A52772">
      <w:pPr>
        <w:autoSpaceDE w:val="0"/>
        <w:autoSpaceDN w:val="0"/>
        <w:adjustRightInd w:val="0"/>
        <w:spacing w:after="0" w:line="240" w:lineRule="auto"/>
        <w:rPr>
          <w:rFonts w:cs="Arial"/>
        </w:rPr>
      </w:pPr>
    </w:p>
    <w:p w14:paraId="070DDAF7" w14:textId="23B78DBC"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44 Operating lease </w:t>
      </w:r>
    </w:p>
    <w:p w14:paraId="3995ED54"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A lease where the ownership of the fixed</w:t>
      </w:r>
      <w:r>
        <w:rPr>
          <w:rFonts w:cs="Arial"/>
        </w:rPr>
        <w:t xml:space="preserve"> asset remains with the lessor.</w:t>
      </w:r>
    </w:p>
    <w:p w14:paraId="47BE80D0" w14:textId="77777777" w:rsidR="00A52772" w:rsidRPr="00267106" w:rsidRDefault="00A52772" w:rsidP="00A52772">
      <w:pPr>
        <w:autoSpaceDE w:val="0"/>
        <w:autoSpaceDN w:val="0"/>
        <w:adjustRightInd w:val="0"/>
        <w:spacing w:after="0" w:line="240" w:lineRule="auto"/>
        <w:rPr>
          <w:rFonts w:cs="Arial"/>
          <w:sz w:val="24"/>
          <w:szCs w:val="24"/>
        </w:rPr>
      </w:pPr>
    </w:p>
    <w:p w14:paraId="72608879" w14:textId="4CBB856F" w:rsidR="00A52772"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45 Operational assets </w:t>
      </w:r>
    </w:p>
    <w:p w14:paraId="7C606CC9"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Fixed assets held and occupied, used or consumed by the Authority in the pursuit of its strategy and in the direct delivery of those services for which it has either a statutory or discretionary responsibility. </w:t>
      </w:r>
    </w:p>
    <w:p w14:paraId="1A3A4B57" w14:textId="77777777" w:rsidR="00A52772" w:rsidRPr="00267106" w:rsidRDefault="00A52772" w:rsidP="00A52772">
      <w:pPr>
        <w:autoSpaceDE w:val="0"/>
        <w:autoSpaceDN w:val="0"/>
        <w:adjustRightInd w:val="0"/>
        <w:spacing w:after="0" w:line="240" w:lineRule="auto"/>
        <w:rPr>
          <w:rFonts w:cs="Arial"/>
        </w:rPr>
      </w:pPr>
    </w:p>
    <w:p w14:paraId="496906D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46 Past service cost (pensions) </w:t>
      </w:r>
    </w:p>
    <w:p w14:paraId="7FA48A9D"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For a defined benefit pension scheme, the increase in the present value of the scheme liabilities related to employee service in prior periods arising in the current period as a result of the introduction of, or improvement to retirement benefits. </w:t>
      </w:r>
    </w:p>
    <w:p w14:paraId="6666AD35" w14:textId="77777777" w:rsidR="00A52772" w:rsidRPr="00267106" w:rsidRDefault="00A52772" w:rsidP="00A52772">
      <w:pPr>
        <w:autoSpaceDE w:val="0"/>
        <w:autoSpaceDN w:val="0"/>
        <w:adjustRightInd w:val="0"/>
        <w:spacing w:after="0" w:line="240" w:lineRule="auto"/>
        <w:rPr>
          <w:rFonts w:cs="Arial"/>
        </w:rPr>
      </w:pPr>
    </w:p>
    <w:p w14:paraId="0C0FB3F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47 Pension scheme liabilities </w:t>
      </w:r>
    </w:p>
    <w:p w14:paraId="1279CC8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liabilities of a defined benefit pension scheme for outgoings due after the valuation date. Scheme liabilities measured during the projected unit method reflect the benefits that the employer is committed to provide for service up to the valuation date. </w:t>
      </w:r>
    </w:p>
    <w:p w14:paraId="65A89B0E" w14:textId="77777777" w:rsidR="00A52772" w:rsidRPr="00267106" w:rsidRDefault="00A52772" w:rsidP="00A52772">
      <w:pPr>
        <w:autoSpaceDE w:val="0"/>
        <w:autoSpaceDN w:val="0"/>
        <w:adjustRightInd w:val="0"/>
        <w:spacing w:after="0" w:line="240" w:lineRule="auto"/>
        <w:rPr>
          <w:rFonts w:cs="Arial"/>
        </w:rPr>
      </w:pPr>
    </w:p>
    <w:p w14:paraId="0EC684B0" w14:textId="77777777" w:rsidR="006671E1" w:rsidRDefault="006671E1">
      <w:pPr>
        <w:rPr>
          <w:rFonts w:cs="Arial"/>
          <w:b/>
          <w:bCs/>
          <w:sz w:val="28"/>
          <w:szCs w:val="28"/>
        </w:rPr>
      </w:pPr>
      <w:r>
        <w:rPr>
          <w:rFonts w:cs="Arial"/>
          <w:b/>
          <w:bCs/>
          <w:sz w:val="28"/>
          <w:szCs w:val="28"/>
        </w:rPr>
        <w:br w:type="page"/>
      </w:r>
    </w:p>
    <w:p w14:paraId="10514886" w14:textId="728260BF"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lastRenderedPageBreak/>
        <w:t xml:space="preserve">48 Precept </w:t>
      </w:r>
    </w:p>
    <w:p w14:paraId="5C54AF5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levy made by precepting authorities to billing authorities, requiring the latter to collect income from Council Tax on their behalf. </w:t>
      </w:r>
    </w:p>
    <w:p w14:paraId="7CD62A14" w14:textId="77777777" w:rsidR="00A52772" w:rsidRPr="00267106" w:rsidRDefault="00A52772" w:rsidP="00A52772">
      <w:pPr>
        <w:autoSpaceDE w:val="0"/>
        <w:autoSpaceDN w:val="0"/>
        <w:adjustRightInd w:val="0"/>
        <w:spacing w:after="0" w:line="240" w:lineRule="auto"/>
        <w:rPr>
          <w:rFonts w:cs="Arial"/>
        </w:rPr>
      </w:pPr>
    </w:p>
    <w:p w14:paraId="3F1930A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49 Prior year adjustment </w:t>
      </w:r>
    </w:p>
    <w:p w14:paraId="38ECC47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Material adjustments applicable to previous years arising from changes in accounting </w:t>
      </w:r>
      <w:r w:rsidR="007F07C2" w:rsidRPr="00267106">
        <w:rPr>
          <w:rFonts w:cs="Arial"/>
        </w:rPr>
        <w:t>policies</w:t>
      </w:r>
      <w:r w:rsidRPr="00267106">
        <w:rPr>
          <w:rFonts w:cs="Arial"/>
        </w:rPr>
        <w:t xml:space="preserve"> or from the correction of fundamental errors. This does not include normal recurring corrections or adjustments of accounting estimates made in prior years. </w:t>
      </w:r>
    </w:p>
    <w:p w14:paraId="6E397F6A" w14:textId="77777777" w:rsidR="00A52772" w:rsidRPr="00267106" w:rsidRDefault="00A52772" w:rsidP="00A52772">
      <w:pPr>
        <w:autoSpaceDE w:val="0"/>
        <w:autoSpaceDN w:val="0"/>
        <w:adjustRightInd w:val="0"/>
        <w:spacing w:after="0" w:line="240" w:lineRule="auto"/>
        <w:rPr>
          <w:rFonts w:cs="Arial"/>
        </w:rPr>
      </w:pPr>
    </w:p>
    <w:p w14:paraId="2ED9E737"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50 Provision </w:t>
      </w:r>
    </w:p>
    <w:p w14:paraId="14120D46"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An amount put aside in the accounts for future liabilities or losses which are certain or very likely to occur but the amounts or dates of when they will arise are uncertain. </w:t>
      </w:r>
    </w:p>
    <w:p w14:paraId="139405C8" w14:textId="77777777" w:rsidR="00A52772" w:rsidRPr="00267106" w:rsidRDefault="00A52772" w:rsidP="00A52772">
      <w:pPr>
        <w:autoSpaceDE w:val="0"/>
        <w:autoSpaceDN w:val="0"/>
        <w:adjustRightInd w:val="0"/>
        <w:spacing w:after="0" w:line="240" w:lineRule="auto"/>
        <w:rPr>
          <w:rFonts w:cs="Arial"/>
        </w:rPr>
      </w:pPr>
    </w:p>
    <w:p w14:paraId="30AE8AD8"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51 Public Works Loan Board (PWLB) </w:t>
      </w:r>
    </w:p>
    <w:p w14:paraId="3BEA9890"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Central Government Agency, which provides loans for one year and above to authorities at interest rates only slightly higher than those at which the government can borrow itself. </w:t>
      </w:r>
    </w:p>
    <w:p w14:paraId="31EB925F" w14:textId="77777777" w:rsidR="00A52772" w:rsidRPr="00267106" w:rsidRDefault="00A52772" w:rsidP="00A52772">
      <w:pPr>
        <w:autoSpaceDE w:val="0"/>
        <w:autoSpaceDN w:val="0"/>
        <w:adjustRightInd w:val="0"/>
        <w:spacing w:after="0" w:line="240" w:lineRule="auto"/>
        <w:rPr>
          <w:rFonts w:cs="Arial"/>
        </w:rPr>
      </w:pPr>
    </w:p>
    <w:p w14:paraId="355B19FC"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52 Rateable value </w:t>
      </w:r>
    </w:p>
    <w:p w14:paraId="49083CD5"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annual assumed rental of a hereditament, which is used for NDR purposes. </w:t>
      </w:r>
    </w:p>
    <w:p w14:paraId="5C128C20" w14:textId="77777777" w:rsidR="00A52772" w:rsidRPr="00267106" w:rsidRDefault="00A52772" w:rsidP="00A52772">
      <w:pPr>
        <w:autoSpaceDE w:val="0"/>
        <w:autoSpaceDN w:val="0"/>
        <w:adjustRightInd w:val="0"/>
        <w:spacing w:after="0" w:line="240" w:lineRule="auto"/>
        <w:rPr>
          <w:rFonts w:cs="Arial"/>
        </w:rPr>
      </w:pPr>
    </w:p>
    <w:p w14:paraId="4E9682D0"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53 Related parties </w:t>
      </w:r>
    </w:p>
    <w:p w14:paraId="53518057" w14:textId="77777777" w:rsidR="00A52772" w:rsidRPr="00267106" w:rsidRDefault="00A52772" w:rsidP="00A52772">
      <w:pPr>
        <w:autoSpaceDE w:val="0"/>
        <w:autoSpaceDN w:val="0"/>
        <w:adjustRightInd w:val="0"/>
        <w:spacing w:after="0" w:line="240" w:lineRule="auto"/>
        <w:rPr>
          <w:rFonts w:cs="Arial"/>
          <w:sz w:val="18"/>
          <w:szCs w:val="18"/>
        </w:rPr>
      </w:pPr>
      <w:r w:rsidRPr="00267106">
        <w:rPr>
          <w:rFonts w:cs="Arial"/>
        </w:rPr>
        <w:t>There is a detailed definition of related parties in IAS 24. For the Authority’s purposes related parties are deemed to include the Authority’s members, the Chief Executive, its Directors and their close family and household members.</w:t>
      </w:r>
    </w:p>
    <w:p w14:paraId="78B55EA5" w14:textId="77777777" w:rsidR="00A52772" w:rsidRPr="00267106" w:rsidRDefault="00A52772" w:rsidP="00A52772">
      <w:pPr>
        <w:autoSpaceDE w:val="0"/>
        <w:autoSpaceDN w:val="0"/>
        <w:adjustRightInd w:val="0"/>
        <w:spacing w:after="0" w:line="240" w:lineRule="auto"/>
        <w:rPr>
          <w:rFonts w:cs="Arial"/>
          <w:sz w:val="24"/>
          <w:szCs w:val="24"/>
        </w:rPr>
      </w:pPr>
    </w:p>
    <w:p w14:paraId="60FCE65C" w14:textId="77777777" w:rsidR="00A52772" w:rsidRPr="00267106" w:rsidRDefault="00A52772" w:rsidP="00A52772">
      <w:pPr>
        <w:autoSpaceDE w:val="0"/>
        <w:autoSpaceDN w:val="0"/>
        <w:adjustRightInd w:val="0"/>
        <w:spacing w:after="0" w:line="240" w:lineRule="auto"/>
        <w:rPr>
          <w:rFonts w:cs="Arial"/>
          <w:sz w:val="28"/>
          <w:szCs w:val="28"/>
        </w:rPr>
      </w:pPr>
      <w:r w:rsidRPr="00267106">
        <w:rPr>
          <w:rFonts w:cs="Arial"/>
          <w:b/>
          <w:bCs/>
          <w:sz w:val="28"/>
          <w:szCs w:val="28"/>
        </w:rPr>
        <w:t xml:space="preserve">54 Related party transactions </w:t>
      </w:r>
    </w:p>
    <w:p w14:paraId="611E5287"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Code requires the disclosure of any material transactions between the Authority and related parties to ensure that stakeholders are aware when these transactions occur and the amount and implications of such. </w:t>
      </w:r>
    </w:p>
    <w:p w14:paraId="6350EF97" w14:textId="77777777" w:rsidR="00A52772" w:rsidRPr="00267106" w:rsidRDefault="00A52772" w:rsidP="00A52772">
      <w:pPr>
        <w:autoSpaceDE w:val="0"/>
        <w:autoSpaceDN w:val="0"/>
        <w:adjustRightInd w:val="0"/>
        <w:spacing w:after="0" w:line="240" w:lineRule="auto"/>
        <w:rPr>
          <w:rFonts w:cs="Arial"/>
        </w:rPr>
      </w:pPr>
    </w:p>
    <w:p w14:paraId="330458E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55 Remuneration </w:t>
      </w:r>
    </w:p>
    <w:p w14:paraId="20A2033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All sums paid to or receivable by an employee and sums due by way of expenses allowances (as far as those sums are chargeable to UK income tax) and the money value of any other benefits. Received other than in cash. Pension contributions payable by the employer are excluded. </w:t>
      </w:r>
    </w:p>
    <w:p w14:paraId="0262CE7F" w14:textId="43D690D0" w:rsidR="00A52772" w:rsidRDefault="00A52772" w:rsidP="00A52772">
      <w:pPr>
        <w:autoSpaceDE w:val="0"/>
        <w:autoSpaceDN w:val="0"/>
        <w:adjustRightInd w:val="0"/>
        <w:spacing w:after="0" w:line="240" w:lineRule="auto"/>
        <w:rPr>
          <w:rFonts w:cs="Arial"/>
        </w:rPr>
      </w:pPr>
    </w:p>
    <w:p w14:paraId="23988C5F"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56 Reserves </w:t>
      </w:r>
    </w:p>
    <w:p w14:paraId="7A01ECCC"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accumulation of surpluses, deficits and appropriations over past years. Reserves of a revenue nature are available and can be spent or earmarked at the discretion of the Authority. Some capital reserves such as the fixed asset restatement account cannot be used to meet current expenditure. </w:t>
      </w:r>
    </w:p>
    <w:p w14:paraId="36E645C5" w14:textId="77777777" w:rsidR="00A52772" w:rsidRPr="00267106" w:rsidRDefault="00A52772" w:rsidP="00A52772">
      <w:pPr>
        <w:autoSpaceDE w:val="0"/>
        <w:autoSpaceDN w:val="0"/>
        <w:adjustRightInd w:val="0"/>
        <w:spacing w:after="0" w:line="240" w:lineRule="auto"/>
        <w:rPr>
          <w:rFonts w:cs="Arial"/>
        </w:rPr>
      </w:pPr>
    </w:p>
    <w:p w14:paraId="3B0F738E"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57 Residual value </w:t>
      </w:r>
    </w:p>
    <w:p w14:paraId="1815F5F1" w14:textId="77777777" w:rsidR="00A52772" w:rsidRDefault="00A52772" w:rsidP="00A52772">
      <w:pPr>
        <w:autoSpaceDE w:val="0"/>
        <w:autoSpaceDN w:val="0"/>
        <w:adjustRightInd w:val="0"/>
        <w:spacing w:after="0" w:line="240" w:lineRule="auto"/>
        <w:rPr>
          <w:rFonts w:cs="Arial"/>
        </w:rPr>
      </w:pPr>
      <w:r w:rsidRPr="00267106">
        <w:rPr>
          <w:rFonts w:cs="Arial"/>
        </w:rPr>
        <w:t xml:space="preserve">The net realisable value of an asset at the end of its useful life. </w:t>
      </w:r>
    </w:p>
    <w:p w14:paraId="1D88D626" w14:textId="77777777" w:rsidR="00A52772" w:rsidRPr="00267106" w:rsidRDefault="00A52772" w:rsidP="00A52772">
      <w:pPr>
        <w:autoSpaceDE w:val="0"/>
        <w:autoSpaceDN w:val="0"/>
        <w:adjustRightInd w:val="0"/>
        <w:spacing w:after="0" w:line="240" w:lineRule="auto"/>
        <w:rPr>
          <w:rFonts w:cs="Arial"/>
        </w:rPr>
      </w:pPr>
    </w:p>
    <w:p w14:paraId="258C411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58 Retirement benefits </w:t>
      </w:r>
    </w:p>
    <w:p w14:paraId="44FDE97D" w14:textId="6DC117D3" w:rsidR="00A52772" w:rsidRDefault="00A52772" w:rsidP="00A52772">
      <w:pPr>
        <w:autoSpaceDE w:val="0"/>
        <w:autoSpaceDN w:val="0"/>
        <w:adjustRightInd w:val="0"/>
        <w:spacing w:after="0" w:line="240" w:lineRule="auto"/>
        <w:rPr>
          <w:rFonts w:cs="Arial"/>
        </w:rPr>
      </w:pPr>
      <w:r w:rsidRPr="00267106">
        <w:rPr>
          <w:rFonts w:cs="Arial"/>
        </w:rPr>
        <w:t xml:space="preserve">All forms of consideration given by an employer in exchange for services rendered by employees that are payable after the completion of employment. </w:t>
      </w:r>
    </w:p>
    <w:p w14:paraId="5BF3432A" w14:textId="77777777" w:rsidR="00A52772" w:rsidRPr="00267106" w:rsidRDefault="00A52772" w:rsidP="00A52772">
      <w:pPr>
        <w:autoSpaceDE w:val="0"/>
        <w:autoSpaceDN w:val="0"/>
        <w:adjustRightInd w:val="0"/>
        <w:spacing w:after="0" w:line="240" w:lineRule="auto"/>
        <w:rPr>
          <w:rFonts w:cs="Arial"/>
        </w:rPr>
      </w:pPr>
    </w:p>
    <w:p w14:paraId="1E648B89"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59 Revenue expenditure </w:t>
      </w:r>
    </w:p>
    <w:p w14:paraId="32A8A6FB"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The day-to-day expenses of providing services. </w:t>
      </w:r>
    </w:p>
    <w:p w14:paraId="0B1AB9DD" w14:textId="77777777" w:rsidR="00A52772" w:rsidRPr="00267106" w:rsidRDefault="00A52772" w:rsidP="00A52772">
      <w:pPr>
        <w:autoSpaceDE w:val="0"/>
        <w:autoSpaceDN w:val="0"/>
        <w:adjustRightInd w:val="0"/>
        <w:spacing w:after="0" w:line="240" w:lineRule="auto"/>
        <w:rPr>
          <w:rFonts w:cs="Arial"/>
        </w:rPr>
      </w:pPr>
    </w:p>
    <w:p w14:paraId="1B58FC20"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60 Revenue support grant </w:t>
      </w:r>
    </w:p>
    <w:p w14:paraId="38271682"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A grant paid by Central Government to authorities, contributing towards the general costs of their services. </w:t>
      </w:r>
    </w:p>
    <w:p w14:paraId="4E97389E" w14:textId="77777777" w:rsidR="00A52772" w:rsidRDefault="00A52772" w:rsidP="00A52772">
      <w:pPr>
        <w:autoSpaceDE w:val="0"/>
        <w:autoSpaceDN w:val="0"/>
        <w:adjustRightInd w:val="0"/>
        <w:spacing w:after="0" w:line="240" w:lineRule="auto"/>
        <w:rPr>
          <w:rFonts w:cs="Arial"/>
          <w:b/>
          <w:bCs/>
          <w:sz w:val="28"/>
          <w:szCs w:val="28"/>
        </w:rPr>
      </w:pPr>
    </w:p>
    <w:p w14:paraId="6B4135DE" w14:textId="77777777" w:rsidR="006671E1" w:rsidRDefault="006671E1">
      <w:pPr>
        <w:rPr>
          <w:rFonts w:cs="Arial"/>
          <w:b/>
          <w:bCs/>
          <w:sz w:val="28"/>
          <w:szCs w:val="28"/>
        </w:rPr>
      </w:pPr>
      <w:r>
        <w:rPr>
          <w:rFonts w:cs="Arial"/>
          <w:b/>
          <w:bCs/>
          <w:sz w:val="28"/>
          <w:szCs w:val="28"/>
        </w:rPr>
        <w:br w:type="page"/>
      </w:r>
    </w:p>
    <w:p w14:paraId="1A63D281" w14:textId="70DD0CCE"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lastRenderedPageBreak/>
        <w:t xml:space="preserve">61 Stocks </w:t>
      </w:r>
    </w:p>
    <w:p w14:paraId="4ECF8B5B" w14:textId="23BBE27B" w:rsidR="00A52772" w:rsidRDefault="00A52772" w:rsidP="00A52772">
      <w:pPr>
        <w:autoSpaceDE w:val="0"/>
        <w:autoSpaceDN w:val="0"/>
        <w:adjustRightInd w:val="0"/>
        <w:spacing w:after="0" w:line="240" w:lineRule="auto"/>
        <w:rPr>
          <w:rFonts w:cs="Arial"/>
        </w:rPr>
      </w:pPr>
      <w:r w:rsidRPr="00267106">
        <w:rPr>
          <w:rFonts w:cs="Arial"/>
        </w:rPr>
        <w:t xml:space="preserve">Items of raw materials and stores an authority has procured and holds in expectation of future use. Examples are consumable stores, raw materials and products and services in intermediate stages of completion. </w:t>
      </w:r>
    </w:p>
    <w:p w14:paraId="79EC40A7" w14:textId="77777777" w:rsidR="001D1C78" w:rsidRPr="00267106" w:rsidRDefault="001D1C78" w:rsidP="00A52772">
      <w:pPr>
        <w:autoSpaceDE w:val="0"/>
        <w:autoSpaceDN w:val="0"/>
        <w:adjustRightInd w:val="0"/>
        <w:spacing w:after="0" w:line="240" w:lineRule="auto"/>
        <w:rPr>
          <w:rFonts w:cs="Arial"/>
        </w:rPr>
      </w:pPr>
    </w:p>
    <w:p w14:paraId="0B21FD54"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62 Temporary borrowing </w:t>
      </w:r>
    </w:p>
    <w:p w14:paraId="4BC276AE" w14:textId="77777777" w:rsidR="00A52772" w:rsidRPr="00267106" w:rsidRDefault="00A52772" w:rsidP="00A52772">
      <w:pPr>
        <w:autoSpaceDE w:val="0"/>
        <w:autoSpaceDN w:val="0"/>
        <w:adjustRightInd w:val="0"/>
        <w:spacing w:after="0" w:line="240" w:lineRule="auto"/>
        <w:rPr>
          <w:rFonts w:cs="Arial"/>
        </w:rPr>
      </w:pPr>
      <w:r w:rsidRPr="00267106">
        <w:rPr>
          <w:rFonts w:cs="Arial"/>
        </w:rPr>
        <w:t xml:space="preserve">Money borrowed for a period of less than one year. </w:t>
      </w:r>
    </w:p>
    <w:p w14:paraId="7E4FC760" w14:textId="77777777" w:rsidR="00A52772" w:rsidRPr="00267106" w:rsidRDefault="00A52772" w:rsidP="00A52772">
      <w:pPr>
        <w:autoSpaceDE w:val="0"/>
        <w:autoSpaceDN w:val="0"/>
        <w:adjustRightInd w:val="0"/>
        <w:spacing w:after="0" w:line="240" w:lineRule="auto"/>
        <w:rPr>
          <w:rFonts w:cs="Arial"/>
        </w:rPr>
      </w:pPr>
    </w:p>
    <w:p w14:paraId="55A0A9BB" w14:textId="77777777" w:rsidR="00A52772" w:rsidRPr="00267106" w:rsidRDefault="00A52772" w:rsidP="00A52772">
      <w:pPr>
        <w:autoSpaceDE w:val="0"/>
        <w:autoSpaceDN w:val="0"/>
        <w:adjustRightInd w:val="0"/>
        <w:spacing w:after="0" w:line="240" w:lineRule="auto"/>
        <w:rPr>
          <w:rFonts w:cs="Arial"/>
          <w:b/>
          <w:bCs/>
          <w:sz w:val="28"/>
          <w:szCs w:val="28"/>
        </w:rPr>
      </w:pPr>
      <w:r w:rsidRPr="00267106">
        <w:rPr>
          <w:rFonts w:cs="Arial"/>
          <w:b/>
          <w:bCs/>
          <w:sz w:val="28"/>
          <w:szCs w:val="28"/>
        </w:rPr>
        <w:t xml:space="preserve">63 Useful economic life (UEL) </w:t>
      </w:r>
    </w:p>
    <w:p w14:paraId="7A7CE0C9" w14:textId="77777777" w:rsidR="00A52772" w:rsidRDefault="00A52772" w:rsidP="00A52772">
      <w:pPr>
        <w:rPr>
          <w:rFonts w:cs="Arial"/>
        </w:rPr>
      </w:pPr>
      <w:r w:rsidRPr="00267106">
        <w:rPr>
          <w:rFonts w:cs="Arial"/>
        </w:rPr>
        <w:t>The period over which the Authority will derive benefits form the use of a fixed asset</w:t>
      </w:r>
    </w:p>
    <w:p w14:paraId="23C8801F" w14:textId="63F55F66" w:rsidR="00B4212F" w:rsidRDefault="00B4212F">
      <w:r>
        <w:br w:type="page"/>
      </w:r>
    </w:p>
    <w:p w14:paraId="5759B3AE" w14:textId="0F3B41C9" w:rsidR="00013032" w:rsidRDefault="00013032" w:rsidP="0079406E">
      <w:r w:rsidRPr="00013032">
        <w:lastRenderedPageBreak/>
        <w:drawing>
          <wp:inline distT="0" distB="0" distL="0" distR="0" wp14:anchorId="23F8F8A6" wp14:editId="63EFA101">
            <wp:extent cx="5429250" cy="86423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0" cy="8642350"/>
                    </a:xfrm>
                    <a:prstGeom prst="rect">
                      <a:avLst/>
                    </a:prstGeom>
                    <a:noFill/>
                    <a:ln>
                      <a:noFill/>
                    </a:ln>
                  </pic:spPr>
                </pic:pic>
              </a:graphicData>
            </a:graphic>
          </wp:inline>
        </w:drawing>
      </w:r>
    </w:p>
    <w:p w14:paraId="4EAE4934" w14:textId="0D87414E" w:rsidR="00013032" w:rsidRDefault="00013032">
      <w:r>
        <w:br w:type="page"/>
      </w:r>
      <w:r w:rsidRPr="00013032">
        <w:lastRenderedPageBreak/>
        <w:drawing>
          <wp:inline distT="0" distB="0" distL="0" distR="0" wp14:anchorId="2E2264F7" wp14:editId="78D34F4E">
            <wp:extent cx="5429250" cy="8883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0" cy="8883650"/>
                    </a:xfrm>
                    <a:prstGeom prst="rect">
                      <a:avLst/>
                    </a:prstGeom>
                    <a:noFill/>
                    <a:ln>
                      <a:noFill/>
                    </a:ln>
                  </pic:spPr>
                </pic:pic>
              </a:graphicData>
            </a:graphic>
          </wp:inline>
        </w:drawing>
      </w:r>
    </w:p>
    <w:p w14:paraId="66A7A3DF" w14:textId="64FB94FC" w:rsidR="00013032" w:rsidRDefault="00013032">
      <w:r>
        <w:br w:type="page"/>
      </w:r>
      <w:r w:rsidRPr="00013032">
        <w:lastRenderedPageBreak/>
        <w:drawing>
          <wp:inline distT="0" distB="0" distL="0" distR="0" wp14:anchorId="0EE7D722" wp14:editId="390CBDF3">
            <wp:extent cx="5429250" cy="8807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8807450"/>
                    </a:xfrm>
                    <a:prstGeom prst="rect">
                      <a:avLst/>
                    </a:prstGeom>
                    <a:noFill/>
                    <a:ln>
                      <a:noFill/>
                    </a:ln>
                  </pic:spPr>
                </pic:pic>
              </a:graphicData>
            </a:graphic>
          </wp:inline>
        </w:drawing>
      </w:r>
    </w:p>
    <w:p w14:paraId="5814D1CC" w14:textId="31C175F2" w:rsidR="00013032" w:rsidRDefault="00013032">
      <w:r>
        <w:br w:type="page"/>
      </w:r>
    </w:p>
    <w:p w14:paraId="65D6A1E6" w14:textId="6397AE22" w:rsidR="00013032" w:rsidRDefault="00013032">
      <w:r w:rsidRPr="00013032">
        <w:lastRenderedPageBreak/>
        <w:drawing>
          <wp:inline distT="0" distB="0" distL="0" distR="0" wp14:anchorId="350EEE6B" wp14:editId="6D976201">
            <wp:extent cx="5429250" cy="8528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0" cy="8528050"/>
                    </a:xfrm>
                    <a:prstGeom prst="rect">
                      <a:avLst/>
                    </a:prstGeom>
                    <a:noFill/>
                    <a:ln>
                      <a:noFill/>
                    </a:ln>
                  </pic:spPr>
                </pic:pic>
              </a:graphicData>
            </a:graphic>
          </wp:inline>
        </w:drawing>
      </w:r>
      <w:r>
        <w:br w:type="page"/>
      </w:r>
    </w:p>
    <w:p w14:paraId="0D180ED2" w14:textId="267A5A7F" w:rsidR="00A52772" w:rsidRPr="00267106" w:rsidRDefault="00013032" w:rsidP="0079406E">
      <w:r w:rsidRPr="00013032">
        <w:lastRenderedPageBreak/>
        <w:drawing>
          <wp:inline distT="0" distB="0" distL="0" distR="0" wp14:anchorId="432C2163" wp14:editId="2F172886">
            <wp:extent cx="5429250" cy="4749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0" cy="4749800"/>
                    </a:xfrm>
                    <a:prstGeom prst="rect">
                      <a:avLst/>
                    </a:prstGeom>
                    <a:noFill/>
                    <a:ln>
                      <a:noFill/>
                    </a:ln>
                  </pic:spPr>
                </pic:pic>
              </a:graphicData>
            </a:graphic>
          </wp:inline>
        </w:drawing>
      </w:r>
    </w:p>
    <w:sectPr w:rsidR="00A52772" w:rsidRPr="00267106" w:rsidSect="00627D41">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A568" w14:textId="77777777" w:rsidR="00236DD7" w:rsidRDefault="00236DD7" w:rsidP="002E48DD">
      <w:pPr>
        <w:spacing w:after="0" w:line="240" w:lineRule="auto"/>
      </w:pPr>
      <w:r>
        <w:separator/>
      </w:r>
    </w:p>
  </w:endnote>
  <w:endnote w:type="continuationSeparator" w:id="0">
    <w:p w14:paraId="3E7A128E" w14:textId="77777777" w:rsidR="00236DD7" w:rsidRDefault="00236DD7" w:rsidP="002E48DD">
      <w:pPr>
        <w:spacing w:after="0" w:line="240" w:lineRule="auto"/>
      </w:pPr>
      <w:r>
        <w:continuationSeparator/>
      </w:r>
    </w:p>
  </w:endnote>
  <w:endnote w:type="continuationNotice" w:id="1">
    <w:p w14:paraId="21AB105C" w14:textId="77777777" w:rsidR="00236DD7" w:rsidRDefault="00236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AvenirNextLTW02-Regula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Microsoft New Tai Lue">
    <w:panose1 w:val="020B0502040204020203"/>
    <w:charset w:val="00"/>
    <w:family w:val="swiss"/>
    <w:pitch w:val="variable"/>
    <w:sig w:usb0="00000003" w:usb1="00000000" w:usb2="80000000" w:usb3="00000000" w:csb0="00000001" w:csb1="00000000"/>
  </w:font>
  <w:font w:name="MV Boli">
    <w:panose1 w:val="02000500030200090000"/>
    <w:charset w:val="00"/>
    <w:family w:val="auto"/>
    <w:pitch w:val="variable"/>
    <w:sig w:usb0="00000003" w:usb1="00000000" w:usb2="00000100" w:usb3="00000000" w:csb0="00000001"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B623" w14:textId="77777777" w:rsidR="00B27D23" w:rsidRDefault="00B27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06"/>
      <w:gridCol w:w="275"/>
    </w:tblGrid>
    <w:tr w:rsidR="00B2570E" w14:paraId="69F54763" w14:textId="77777777" w:rsidTr="004E6AB2">
      <w:trPr>
        <w:trHeight w:val="362"/>
      </w:trPr>
      <w:tc>
        <w:tcPr>
          <w:tcW w:w="10806" w:type="dxa"/>
          <w:tcBorders>
            <w:top w:val="single" w:sz="18" w:space="0" w:color="C00000"/>
            <w:right w:val="single" w:sz="18" w:space="0" w:color="FFFFFF" w:themeColor="background1"/>
          </w:tcBorders>
        </w:tcPr>
        <w:p w14:paraId="2FB5BED1" w14:textId="74D2FA27" w:rsidR="00B2570E" w:rsidRDefault="00B2570E" w:rsidP="004E6AB2">
          <w:pPr>
            <w:pStyle w:val="Footer"/>
            <w:jc w:val="right"/>
            <w:rPr>
              <w:b/>
              <w:color w:val="5B9BD5" w:themeColor="accent1"/>
              <w:sz w:val="32"/>
              <w:szCs w:val="32"/>
            </w:rPr>
          </w:pPr>
          <w:r>
            <w:rPr>
              <w:sz w:val="18"/>
            </w:rPr>
            <w:t xml:space="preserve">                                                                                                               </w:t>
          </w:r>
          <w:r w:rsidRPr="004E6AB2">
            <w:rPr>
              <w:sz w:val="18"/>
            </w:rPr>
            <w:fldChar w:fldCharType="begin"/>
          </w:r>
          <w:r w:rsidRPr="004E6AB2">
            <w:rPr>
              <w:sz w:val="18"/>
            </w:rPr>
            <w:instrText xml:space="preserve"> PAGE   \* MERGEFORMAT </w:instrText>
          </w:r>
          <w:r w:rsidRPr="004E6AB2">
            <w:rPr>
              <w:sz w:val="18"/>
            </w:rPr>
            <w:fldChar w:fldCharType="separate"/>
          </w:r>
          <w:r w:rsidRPr="00871BE8">
            <w:rPr>
              <w:b/>
              <w:noProof/>
              <w:sz w:val="24"/>
              <w:szCs w:val="32"/>
            </w:rPr>
            <w:t>21</w:t>
          </w:r>
          <w:r w:rsidRPr="004E6AB2">
            <w:rPr>
              <w:b/>
              <w:noProof/>
              <w:sz w:val="24"/>
              <w:szCs w:val="32"/>
            </w:rPr>
            <w:fldChar w:fldCharType="end"/>
          </w:r>
        </w:p>
      </w:tc>
      <w:tc>
        <w:tcPr>
          <w:tcW w:w="275" w:type="dxa"/>
          <w:tcBorders>
            <w:top w:val="single" w:sz="18" w:space="0" w:color="C00000"/>
            <w:left w:val="single" w:sz="18" w:space="0" w:color="FFFFFF" w:themeColor="background1"/>
          </w:tcBorders>
        </w:tcPr>
        <w:p w14:paraId="6A6619B6" w14:textId="77777777" w:rsidR="00B2570E" w:rsidRDefault="00B2570E">
          <w:pPr>
            <w:pStyle w:val="Footer"/>
          </w:pPr>
        </w:p>
      </w:tc>
    </w:tr>
  </w:tbl>
  <w:p w14:paraId="01C08CDE" w14:textId="77777777" w:rsidR="00B2570E" w:rsidRDefault="00B25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B8AB" w14:textId="77777777" w:rsidR="00B27D23" w:rsidRDefault="00B2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68DD" w14:textId="77777777" w:rsidR="00236DD7" w:rsidRDefault="00236DD7" w:rsidP="002E48DD">
      <w:pPr>
        <w:spacing w:after="0" w:line="240" w:lineRule="auto"/>
      </w:pPr>
      <w:r>
        <w:separator/>
      </w:r>
    </w:p>
  </w:footnote>
  <w:footnote w:type="continuationSeparator" w:id="0">
    <w:p w14:paraId="06381DF7" w14:textId="77777777" w:rsidR="00236DD7" w:rsidRDefault="00236DD7" w:rsidP="002E48DD">
      <w:pPr>
        <w:spacing w:after="0" w:line="240" w:lineRule="auto"/>
      </w:pPr>
      <w:r>
        <w:continuationSeparator/>
      </w:r>
    </w:p>
  </w:footnote>
  <w:footnote w:type="continuationNotice" w:id="1">
    <w:p w14:paraId="4E0B56D7" w14:textId="77777777" w:rsidR="00236DD7" w:rsidRDefault="00236D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7326" w14:textId="77777777" w:rsidR="00B27D23" w:rsidRDefault="00B27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6303" w14:textId="77777777" w:rsidR="00810A45" w:rsidRDefault="00810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9C30" w14:textId="77777777" w:rsidR="00B27D23" w:rsidRDefault="00B27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517"/>
    <w:multiLevelType w:val="hybridMultilevel"/>
    <w:tmpl w:val="EF4E1094"/>
    <w:lvl w:ilvl="0" w:tplc="FADC58C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B5E0E"/>
    <w:multiLevelType w:val="hybridMultilevel"/>
    <w:tmpl w:val="22C2B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383989"/>
    <w:multiLevelType w:val="hybridMultilevel"/>
    <w:tmpl w:val="609C9D32"/>
    <w:lvl w:ilvl="0" w:tplc="FADC58CE">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992A98"/>
    <w:multiLevelType w:val="hybridMultilevel"/>
    <w:tmpl w:val="95A0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E5881"/>
    <w:multiLevelType w:val="hybridMultilevel"/>
    <w:tmpl w:val="30DE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9B415F"/>
    <w:multiLevelType w:val="hybridMultilevel"/>
    <w:tmpl w:val="BCC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655C8"/>
    <w:multiLevelType w:val="hybridMultilevel"/>
    <w:tmpl w:val="2C54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3F0ACF"/>
    <w:multiLevelType w:val="hybridMultilevel"/>
    <w:tmpl w:val="A53C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76C9B"/>
    <w:multiLevelType w:val="hybridMultilevel"/>
    <w:tmpl w:val="2FCE55EC"/>
    <w:lvl w:ilvl="0" w:tplc="C3565146">
      <w:start w:val="1"/>
      <w:numFmt w:val="bullet"/>
      <w:pStyle w:val="Bullet"/>
      <w:lvlText w:val=""/>
      <w:lvlJc w:val="left"/>
      <w:pPr>
        <w:ind w:left="1788" w:hanging="360"/>
      </w:pPr>
      <w:rPr>
        <w:rFonts w:ascii="Symbol" w:hAnsi="Symbol" w:hint="default"/>
        <w:color w:val="auto"/>
      </w:rPr>
    </w:lvl>
    <w:lvl w:ilvl="1" w:tplc="08090003">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9"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116BA"/>
    <w:multiLevelType w:val="hybridMultilevel"/>
    <w:tmpl w:val="2B781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DA6022"/>
    <w:multiLevelType w:val="hybridMultilevel"/>
    <w:tmpl w:val="96EE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D297A"/>
    <w:multiLevelType w:val="multilevel"/>
    <w:tmpl w:val="CA8836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62832FD"/>
    <w:multiLevelType w:val="hybridMultilevel"/>
    <w:tmpl w:val="313AE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0610F1"/>
    <w:multiLevelType w:val="hybridMultilevel"/>
    <w:tmpl w:val="282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C3249"/>
    <w:multiLevelType w:val="hybridMultilevel"/>
    <w:tmpl w:val="D29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375153"/>
    <w:multiLevelType w:val="hybridMultilevel"/>
    <w:tmpl w:val="618A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42F25"/>
    <w:multiLevelType w:val="hybridMultilevel"/>
    <w:tmpl w:val="A75C0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316F2"/>
    <w:multiLevelType w:val="hybridMultilevel"/>
    <w:tmpl w:val="CCF6B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1C12DB"/>
    <w:multiLevelType w:val="hybridMultilevel"/>
    <w:tmpl w:val="17B62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8B3A72"/>
    <w:multiLevelType w:val="hybridMultilevel"/>
    <w:tmpl w:val="C618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7229B0"/>
    <w:multiLevelType w:val="hybridMultilevel"/>
    <w:tmpl w:val="4EDC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F7A40"/>
    <w:multiLevelType w:val="hybridMultilevel"/>
    <w:tmpl w:val="906E4D18"/>
    <w:lvl w:ilvl="0" w:tplc="DFCAF9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EA2195"/>
    <w:multiLevelType w:val="hybridMultilevel"/>
    <w:tmpl w:val="1DEC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620E3"/>
    <w:multiLevelType w:val="hybridMultilevel"/>
    <w:tmpl w:val="A6C0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F7D98"/>
    <w:multiLevelType w:val="hybridMultilevel"/>
    <w:tmpl w:val="A43E6A96"/>
    <w:lvl w:ilvl="0" w:tplc="135863A4">
      <w:start w:val="1"/>
      <w:numFmt w:val="bullet"/>
      <w:lvlText w:val=""/>
      <w:lvlJc w:val="left"/>
      <w:pPr>
        <w:ind w:left="720" w:hanging="360"/>
      </w:pPr>
      <w:rPr>
        <w:rFonts w:ascii="Symbol" w:hAnsi="Symbol" w:hint="default"/>
      </w:rPr>
    </w:lvl>
    <w:lvl w:ilvl="1" w:tplc="E5F46122" w:tentative="1">
      <w:start w:val="1"/>
      <w:numFmt w:val="bullet"/>
      <w:lvlText w:val="o"/>
      <w:lvlJc w:val="left"/>
      <w:pPr>
        <w:ind w:left="1440" w:hanging="360"/>
      </w:pPr>
      <w:rPr>
        <w:rFonts w:ascii="Courier New" w:hAnsi="Courier New" w:cs="Courier New" w:hint="default"/>
      </w:rPr>
    </w:lvl>
    <w:lvl w:ilvl="2" w:tplc="E3282F12" w:tentative="1">
      <w:start w:val="1"/>
      <w:numFmt w:val="bullet"/>
      <w:lvlText w:val=""/>
      <w:lvlJc w:val="left"/>
      <w:pPr>
        <w:ind w:left="2160" w:hanging="360"/>
      </w:pPr>
      <w:rPr>
        <w:rFonts w:ascii="Wingdings" w:hAnsi="Wingdings" w:hint="default"/>
      </w:rPr>
    </w:lvl>
    <w:lvl w:ilvl="3" w:tplc="3F5AD4A8" w:tentative="1">
      <w:start w:val="1"/>
      <w:numFmt w:val="bullet"/>
      <w:lvlText w:val=""/>
      <w:lvlJc w:val="left"/>
      <w:pPr>
        <w:ind w:left="2880" w:hanging="360"/>
      </w:pPr>
      <w:rPr>
        <w:rFonts w:ascii="Symbol" w:hAnsi="Symbol" w:hint="default"/>
      </w:rPr>
    </w:lvl>
    <w:lvl w:ilvl="4" w:tplc="B3A4298C" w:tentative="1">
      <w:start w:val="1"/>
      <w:numFmt w:val="bullet"/>
      <w:lvlText w:val="o"/>
      <w:lvlJc w:val="left"/>
      <w:pPr>
        <w:ind w:left="3600" w:hanging="360"/>
      </w:pPr>
      <w:rPr>
        <w:rFonts w:ascii="Courier New" w:hAnsi="Courier New" w:cs="Courier New" w:hint="default"/>
      </w:rPr>
    </w:lvl>
    <w:lvl w:ilvl="5" w:tplc="4B043C66" w:tentative="1">
      <w:start w:val="1"/>
      <w:numFmt w:val="bullet"/>
      <w:lvlText w:val=""/>
      <w:lvlJc w:val="left"/>
      <w:pPr>
        <w:ind w:left="4320" w:hanging="360"/>
      </w:pPr>
      <w:rPr>
        <w:rFonts w:ascii="Wingdings" w:hAnsi="Wingdings" w:hint="default"/>
      </w:rPr>
    </w:lvl>
    <w:lvl w:ilvl="6" w:tplc="8C2867B6" w:tentative="1">
      <w:start w:val="1"/>
      <w:numFmt w:val="bullet"/>
      <w:lvlText w:val=""/>
      <w:lvlJc w:val="left"/>
      <w:pPr>
        <w:ind w:left="5040" w:hanging="360"/>
      </w:pPr>
      <w:rPr>
        <w:rFonts w:ascii="Symbol" w:hAnsi="Symbol" w:hint="default"/>
      </w:rPr>
    </w:lvl>
    <w:lvl w:ilvl="7" w:tplc="170201CE" w:tentative="1">
      <w:start w:val="1"/>
      <w:numFmt w:val="bullet"/>
      <w:lvlText w:val="o"/>
      <w:lvlJc w:val="left"/>
      <w:pPr>
        <w:ind w:left="5760" w:hanging="360"/>
      </w:pPr>
      <w:rPr>
        <w:rFonts w:ascii="Courier New" w:hAnsi="Courier New" w:cs="Courier New" w:hint="default"/>
      </w:rPr>
    </w:lvl>
    <w:lvl w:ilvl="8" w:tplc="B6382B02" w:tentative="1">
      <w:start w:val="1"/>
      <w:numFmt w:val="bullet"/>
      <w:lvlText w:val=""/>
      <w:lvlJc w:val="left"/>
      <w:pPr>
        <w:ind w:left="6480" w:hanging="360"/>
      </w:pPr>
      <w:rPr>
        <w:rFonts w:ascii="Wingdings" w:hAnsi="Wingdings" w:hint="default"/>
      </w:rPr>
    </w:lvl>
  </w:abstractNum>
  <w:abstractNum w:abstractNumId="26" w15:restartNumberingAfterBreak="0">
    <w:nsid w:val="79824DD0"/>
    <w:multiLevelType w:val="hybridMultilevel"/>
    <w:tmpl w:val="B608F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63314068">
    <w:abstractNumId w:val="23"/>
  </w:num>
  <w:num w:numId="2" w16cid:durableId="1857840009">
    <w:abstractNumId w:val="15"/>
  </w:num>
  <w:num w:numId="3" w16cid:durableId="32385234">
    <w:abstractNumId w:val="21"/>
  </w:num>
  <w:num w:numId="4" w16cid:durableId="1110466486">
    <w:abstractNumId w:val="26"/>
  </w:num>
  <w:num w:numId="5" w16cid:durableId="2090690372">
    <w:abstractNumId w:val="1"/>
  </w:num>
  <w:num w:numId="6" w16cid:durableId="726761025">
    <w:abstractNumId w:val="18"/>
  </w:num>
  <w:num w:numId="7" w16cid:durableId="1948350680">
    <w:abstractNumId w:val="10"/>
  </w:num>
  <w:num w:numId="8" w16cid:durableId="630987155">
    <w:abstractNumId w:val="13"/>
  </w:num>
  <w:num w:numId="9" w16cid:durableId="280771754">
    <w:abstractNumId w:val="25"/>
  </w:num>
  <w:num w:numId="10" w16cid:durableId="2367590">
    <w:abstractNumId w:val="4"/>
  </w:num>
  <w:num w:numId="11" w16cid:durableId="1202940654">
    <w:abstractNumId w:val="6"/>
  </w:num>
  <w:num w:numId="12" w16cid:durableId="1870753419">
    <w:abstractNumId w:val="24"/>
  </w:num>
  <w:num w:numId="13" w16cid:durableId="1112360651">
    <w:abstractNumId w:val="17"/>
  </w:num>
  <w:num w:numId="14" w16cid:durableId="2130009707">
    <w:abstractNumId w:val="12"/>
  </w:num>
  <w:num w:numId="15" w16cid:durableId="1766002696">
    <w:abstractNumId w:val="9"/>
  </w:num>
  <w:num w:numId="16" w16cid:durableId="1635133331">
    <w:abstractNumId w:val="2"/>
  </w:num>
  <w:num w:numId="17" w16cid:durableId="1329946811">
    <w:abstractNumId w:val="0"/>
  </w:num>
  <w:num w:numId="18" w16cid:durableId="517349681">
    <w:abstractNumId w:val="8"/>
  </w:num>
  <w:num w:numId="19" w16cid:durableId="1689213152">
    <w:abstractNumId w:val="14"/>
  </w:num>
  <w:num w:numId="20" w16cid:durableId="1750152475">
    <w:abstractNumId w:val="19"/>
  </w:num>
  <w:num w:numId="21" w16cid:durableId="1284071674">
    <w:abstractNumId w:val="3"/>
  </w:num>
  <w:num w:numId="22" w16cid:durableId="21901855">
    <w:abstractNumId w:val="5"/>
  </w:num>
  <w:num w:numId="23" w16cid:durableId="692419471">
    <w:abstractNumId w:val="10"/>
  </w:num>
  <w:num w:numId="24" w16cid:durableId="1064990262">
    <w:abstractNumId w:val="13"/>
  </w:num>
  <w:num w:numId="25" w16cid:durableId="653991850">
    <w:abstractNumId w:val="24"/>
  </w:num>
  <w:num w:numId="26" w16cid:durableId="704909584">
    <w:abstractNumId w:val="9"/>
  </w:num>
  <w:num w:numId="27" w16cid:durableId="861550094">
    <w:abstractNumId w:val="20"/>
  </w:num>
  <w:num w:numId="28" w16cid:durableId="770469759">
    <w:abstractNumId w:val="7"/>
  </w:num>
  <w:num w:numId="29" w16cid:durableId="2070838995">
    <w:abstractNumId w:val="11"/>
  </w:num>
  <w:num w:numId="30" w16cid:durableId="238488838">
    <w:abstractNumId w:val="16"/>
  </w:num>
  <w:num w:numId="31" w16cid:durableId="147340565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26"/>
    <w:rsid w:val="00000332"/>
    <w:rsid w:val="00000F80"/>
    <w:rsid w:val="00001071"/>
    <w:rsid w:val="0000141A"/>
    <w:rsid w:val="0000218F"/>
    <w:rsid w:val="00007142"/>
    <w:rsid w:val="00007ED7"/>
    <w:rsid w:val="00013032"/>
    <w:rsid w:val="00014AAD"/>
    <w:rsid w:val="000168E9"/>
    <w:rsid w:val="00021050"/>
    <w:rsid w:val="00021203"/>
    <w:rsid w:val="00023720"/>
    <w:rsid w:val="00023955"/>
    <w:rsid w:val="000246EE"/>
    <w:rsid w:val="00024878"/>
    <w:rsid w:val="00026A06"/>
    <w:rsid w:val="00026D70"/>
    <w:rsid w:val="0003243E"/>
    <w:rsid w:val="00032649"/>
    <w:rsid w:val="0003639C"/>
    <w:rsid w:val="00036921"/>
    <w:rsid w:val="00037268"/>
    <w:rsid w:val="00042421"/>
    <w:rsid w:val="00043133"/>
    <w:rsid w:val="00044316"/>
    <w:rsid w:val="00045474"/>
    <w:rsid w:val="000458E1"/>
    <w:rsid w:val="0004630A"/>
    <w:rsid w:val="00055D53"/>
    <w:rsid w:val="00057E73"/>
    <w:rsid w:val="00060912"/>
    <w:rsid w:val="00061607"/>
    <w:rsid w:val="00062F19"/>
    <w:rsid w:val="00065200"/>
    <w:rsid w:val="000652C8"/>
    <w:rsid w:val="0006618E"/>
    <w:rsid w:val="00066441"/>
    <w:rsid w:val="000673F9"/>
    <w:rsid w:val="00067AEA"/>
    <w:rsid w:val="00071FFE"/>
    <w:rsid w:val="000723D2"/>
    <w:rsid w:val="00072C9E"/>
    <w:rsid w:val="000731E1"/>
    <w:rsid w:val="00073FDE"/>
    <w:rsid w:val="00074C6A"/>
    <w:rsid w:val="00074EAD"/>
    <w:rsid w:val="00076920"/>
    <w:rsid w:val="00077465"/>
    <w:rsid w:val="0007786F"/>
    <w:rsid w:val="0008065B"/>
    <w:rsid w:val="00082CD8"/>
    <w:rsid w:val="00084B6F"/>
    <w:rsid w:val="0008694C"/>
    <w:rsid w:val="000869DE"/>
    <w:rsid w:val="00086AC8"/>
    <w:rsid w:val="0008747E"/>
    <w:rsid w:val="000914F7"/>
    <w:rsid w:val="00092984"/>
    <w:rsid w:val="00092FCC"/>
    <w:rsid w:val="000934CB"/>
    <w:rsid w:val="00093C60"/>
    <w:rsid w:val="00093F8C"/>
    <w:rsid w:val="00096508"/>
    <w:rsid w:val="000A1076"/>
    <w:rsid w:val="000A2EB7"/>
    <w:rsid w:val="000A4338"/>
    <w:rsid w:val="000A5D94"/>
    <w:rsid w:val="000A78FC"/>
    <w:rsid w:val="000A7A0B"/>
    <w:rsid w:val="000B06B7"/>
    <w:rsid w:val="000B1581"/>
    <w:rsid w:val="000B2A43"/>
    <w:rsid w:val="000B3B66"/>
    <w:rsid w:val="000B41CA"/>
    <w:rsid w:val="000B421D"/>
    <w:rsid w:val="000B4315"/>
    <w:rsid w:val="000B50F2"/>
    <w:rsid w:val="000B7152"/>
    <w:rsid w:val="000B77A2"/>
    <w:rsid w:val="000C09D6"/>
    <w:rsid w:val="000C0A57"/>
    <w:rsid w:val="000C11BC"/>
    <w:rsid w:val="000C1F91"/>
    <w:rsid w:val="000C452E"/>
    <w:rsid w:val="000C5F4C"/>
    <w:rsid w:val="000C696C"/>
    <w:rsid w:val="000D0497"/>
    <w:rsid w:val="000D256E"/>
    <w:rsid w:val="000E0E5A"/>
    <w:rsid w:val="000E3E81"/>
    <w:rsid w:val="000E5A35"/>
    <w:rsid w:val="000E6E01"/>
    <w:rsid w:val="000E73EE"/>
    <w:rsid w:val="000F0B86"/>
    <w:rsid w:val="000F2091"/>
    <w:rsid w:val="000F2345"/>
    <w:rsid w:val="000F234A"/>
    <w:rsid w:val="000F3172"/>
    <w:rsid w:val="0010172E"/>
    <w:rsid w:val="00102C11"/>
    <w:rsid w:val="00102C5C"/>
    <w:rsid w:val="00102F10"/>
    <w:rsid w:val="0010310F"/>
    <w:rsid w:val="00103626"/>
    <w:rsid w:val="00103AC5"/>
    <w:rsid w:val="001058E9"/>
    <w:rsid w:val="0010634B"/>
    <w:rsid w:val="00106CFE"/>
    <w:rsid w:val="00107E32"/>
    <w:rsid w:val="00111043"/>
    <w:rsid w:val="00112717"/>
    <w:rsid w:val="001128C2"/>
    <w:rsid w:val="001134A3"/>
    <w:rsid w:val="0011490F"/>
    <w:rsid w:val="00114F2A"/>
    <w:rsid w:val="0011658B"/>
    <w:rsid w:val="00117162"/>
    <w:rsid w:val="001174C5"/>
    <w:rsid w:val="00121E72"/>
    <w:rsid w:val="00124C7C"/>
    <w:rsid w:val="00125684"/>
    <w:rsid w:val="0012570C"/>
    <w:rsid w:val="00125881"/>
    <w:rsid w:val="00126C70"/>
    <w:rsid w:val="00132964"/>
    <w:rsid w:val="00133276"/>
    <w:rsid w:val="00134F76"/>
    <w:rsid w:val="0013583C"/>
    <w:rsid w:val="00135FA5"/>
    <w:rsid w:val="00136416"/>
    <w:rsid w:val="00136B73"/>
    <w:rsid w:val="001415BE"/>
    <w:rsid w:val="00141C47"/>
    <w:rsid w:val="0014323A"/>
    <w:rsid w:val="00145092"/>
    <w:rsid w:val="001455EF"/>
    <w:rsid w:val="001463D6"/>
    <w:rsid w:val="00147737"/>
    <w:rsid w:val="00150A19"/>
    <w:rsid w:val="00151605"/>
    <w:rsid w:val="00152F9F"/>
    <w:rsid w:val="00153157"/>
    <w:rsid w:val="00153A32"/>
    <w:rsid w:val="00155509"/>
    <w:rsid w:val="001564B7"/>
    <w:rsid w:val="00156A14"/>
    <w:rsid w:val="00161890"/>
    <w:rsid w:val="00162C9D"/>
    <w:rsid w:val="00166DA6"/>
    <w:rsid w:val="00172A67"/>
    <w:rsid w:val="00173827"/>
    <w:rsid w:val="001764B0"/>
    <w:rsid w:val="001764C9"/>
    <w:rsid w:val="00176E55"/>
    <w:rsid w:val="0017732C"/>
    <w:rsid w:val="00177B1F"/>
    <w:rsid w:val="00182093"/>
    <w:rsid w:val="0018345D"/>
    <w:rsid w:val="00186ECA"/>
    <w:rsid w:val="00190D57"/>
    <w:rsid w:val="00194A17"/>
    <w:rsid w:val="00196ECF"/>
    <w:rsid w:val="001A00BB"/>
    <w:rsid w:val="001A02CB"/>
    <w:rsid w:val="001A080A"/>
    <w:rsid w:val="001A095F"/>
    <w:rsid w:val="001A0C61"/>
    <w:rsid w:val="001A17CE"/>
    <w:rsid w:val="001A291A"/>
    <w:rsid w:val="001A2A77"/>
    <w:rsid w:val="001A31B1"/>
    <w:rsid w:val="001A445B"/>
    <w:rsid w:val="001A643B"/>
    <w:rsid w:val="001A7B31"/>
    <w:rsid w:val="001B0A21"/>
    <w:rsid w:val="001B0E25"/>
    <w:rsid w:val="001B221B"/>
    <w:rsid w:val="001B56CA"/>
    <w:rsid w:val="001C152D"/>
    <w:rsid w:val="001C18A4"/>
    <w:rsid w:val="001C42AD"/>
    <w:rsid w:val="001C5D41"/>
    <w:rsid w:val="001D03D4"/>
    <w:rsid w:val="001D0EC3"/>
    <w:rsid w:val="001D18EA"/>
    <w:rsid w:val="001D1952"/>
    <w:rsid w:val="001D1C78"/>
    <w:rsid w:val="001D3287"/>
    <w:rsid w:val="001D351D"/>
    <w:rsid w:val="001D3B3C"/>
    <w:rsid w:val="001D3BDA"/>
    <w:rsid w:val="001D425E"/>
    <w:rsid w:val="001D4DC8"/>
    <w:rsid w:val="001D71ED"/>
    <w:rsid w:val="001D7FE7"/>
    <w:rsid w:val="001E28F2"/>
    <w:rsid w:val="001E48EC"/>
    <w:rsid w:val="001E5540"/>
    <w:rsid w:val="001E5D73"/>
    <w:rsid w:val="001E61B3"/>
    <w:rsid w:val="001E6668"/>
    <w:rsid w:val="001E7724"/>
    <w:rsid w:val="001E77DA"/>
    <w:rsid w:val="001E7948"/>
    <w:rsid w:val="001E7FAA"/>
    <w:rsid w:val="001F06EC"/>
    <w:rsid w:val="001F0F92"/>
    <w:rsid w:val="001F45D7"/>
    <w:rsid w:val="001F5798"/>
    <w:rsid w:val="001F5EA1"/>
    <w:rsid w:val="002012D6"/>
    <w:rsid w:val="0020166C"/>
    <w:rsid w:val="00201743"/>
    <w:rsid w:val="00201A18"/>
    <w:rsid w:val="00201CB0"/>
    <w:rsid w:val="00204862"/>
    <w:rsid w:val="00204876"/>
    <w:rsid w:val="002049B6"/>
    <w:rsid w:val="00204D76"/>
    <w:rsid w:val="0020717D"/>
    <w:rsid w:val="00207F3A"/>
    <w:rsid w:val="00210595"/>
    <w:rsid w:val="002105E0"/>
    <w:rsid w:val="00215161"/>
    <w:rsid w:val="002162FB"/>
    <w:rsid w:val="00216D24"/>
    <w:rsid w:val="002205CC"/>
    <w:rsid w:val="00222FF0"/>
    <w:rsid w:val="002230E4"/>
    <w:rsid w:val="00225742"/>
    <w:rsid w:val="002275E9"/>
    <w:rsid w:val="00227DE2"/>
    <w:rsid w:val="0023205A"/>
    <w:rsid w:val="0023506F"/>
    <w:rsid w:val="00236DD7"/>
    <w:rsid w:val="0024019F"/>
    <w:rsid w:val="00240A40"/>
    <w:rsid w:val="00242629"/>
    <w:rsid w:val="00243CBC"/>
    <w:rsid w:val="00245428"/>
    <w:rsid w:val="00245A59"/>
    <w:rsid w:val="002477CD"/>
    <w:rsid w:val="00247A75"/>
    <w:rsid w:val="00247F01"/>
    <w:rsid w:val="00247FE8"/>
    <w:rsid w:val="00253DB7"/>
    <w:rsid w:val="00254FA5"/>
    <w:rsid w:val="0025681B"/>
    <w:rsid w:val="00256D09"/>
    <w:rsid w:val="00261166"/>
    <w:rsid w:val="0026190D"/>
    <w:rsid w:val="00263CA7"/>
    <w:rsid w:val="002647A0"/>
    <w:rsid w:val="00264D76"/>
    <w:rsid w:val="00266501"/>
    <w:rsid w:val="00267106"/>
    <w:rsid w:val="002679C3"/>
    <w:rsid w:val="00270ABF"/>
    <w:rsid w:val="00270FC8"/>
    <w:rsid w:val="002717FE"/>
    <w:rsid w:val="00272258"/>
    <w:rsid w:val="00272F4E"/>
    <w:rsid w:val="0027434D"/>
    <w:rsid w:val="00276F96"/>
    <w:rsid w:val="0028441B"/>
    <w:rsid w:val="002857E7"/>
    <w:rsid w:val="00285987"/>
    <w:rsid w:val="00286F8A"/>
    <w:rsid w:val="002876EF"/>
    <w:rsid w:val="00291433"/>
    <w:rsid w:val="002918AC"/>
    <w:rsid w:val="002924B0"/>
    <w:rsid w:val="00292E31"/>
    <w:rsid w:val="002957C5"/>
    <w:rsid w:val="0029614C"/>
    <w:rsid w:val="00296329"/>
    <w:rsid w:val="00297AFA"/>
    <w:rsid w:val="00297D48"/>
    <w:rsid w:val="002A056A"/>
    <w:rsid w:val="002A3078"/>
    <w:rsid w:val="002A497D"/>
    <w:rsid w:val="002A5C90"/>
    <w:rsid w:val="002B0CE6"/>
    <w:rsid w:val="002B1554"/>
    <w:rsid w:val="002B2DB3"/>
    <w:rsid w:val="002B2E0D"/>
    <w:rsid w:val="002C0176"/>
    <w:rsid w:val="002C0244"/>
    <w:rsid w:val="002C1A5E"/>
    <w:rsid w:val="002C3A17"/>
    <w:rsid w:val="002C3C5B"/>
    <w:rsid w:val="002C52A4"/>
    <w:rsid w:val="002C6243"/>
    <w:rsid w:val="002D03F2"/>
    <w:rsid w:val="002D08EB"/>
    <w:rsid w:val="002D10B0"/>
    <w:rsid w:val="002D1769"/>
    <w:rsid w:val="002D1B07"/>
    <w:rsid w:val="002D3249"/>
    <w:rsid w:val="002D5031"/>
    <w:rsid w:val="002D5C7F"/>
    <w:rsid w:val="002D61E5"/>
    <w:rsid w:val="002D7485"/>
    <w:rsid w:val="002E0912"/>
    <w:rsid w:val="002E138F"/>
    <w:rsid w:val="002E1ECA"/>
    <w:rsid w:val="002E2BD6"/>
    <w:rsid w:val="002E3D13"/>
    <w:rsid w:val="002E41C0"/>
    <w:rsid w:val="002E48DD"/>
    <w:rsid w:val="002E4A34"/>
    <w:rsid w:val="002E7C63"/>
    <w:rsid w:val="002F000B"/>
    <w:rsid w:val="002F2BBB"/>
    <w:rsid w:val="002F36BC"/>
    <w:rsid w:val="002F43EA"/>
    <w:rsid w:val="003004AA"/>
    <w:rsid w:val="00303BF2"/>
    <w:rsid w:val="003042FE"/>
    <w:rsid w:val="00305D96"/>
    <w:rsid w:val="003072E5"/>
    <w:rsid w:val="00314850"/>
    <w:rsid w:val="003157CC"/>
    <w:rsid w:val="00317B85"/>
    <w:rsid w:val="0032018A"/>
    <w:rsid w:val="003219E1"/>
    <w:rsid w:val="00321BF7"/>
    <w:rsid w:val="00322873"/>
    <w:rsid w:val="00327A49"/>
    <w:rsid w:val="003311CB"/>
    <w:rsid w:val="00331599"/>
    <w:rsid w:val="00336C48"/>
    <w:rsid w:val="00336E9B"/>
    <w:rsid w:val="003376A5"/>
    <w:rsid w:val="00340862"/>
    <w:rsid w:val="00342162"/>
    <w:rsid w:val="00344264"/>
    <w:rsid w:val="00344F5E"/>
    <w:rsid w:val="0034533E"/>
    <w:rsid w:val="0034605D"/>
    <w:rsid w:val="003504B8"/>
    <w:rsid w:val="00350FD0"/>
    <w:rsid w:val="0035138D"/>
    <w:rsid w:val="00352DB4"/>
    <w:rsid w:val="00353C4A"/>
    <w:rsid w:val="00354CD3"/>
    <w:rsid w:val="00355804"/>
    <w:rsid w:val="00357401"/>
    <w:rsid w:val="003577E0"/>
    <w:rsid w:val="0036017F"/>
    <w:rsid w:val="00360E5B"/>
    <w:rsid w:val="00361A01"/>
    <w:rsid w:val="00364D11"/>
    <w:rsid w:val="003661D4"/>
    <w:rsid w:val="003661F6"/>
    <w:rsid w:val="003668A3"/>
    <w:rsid w:val="00371AA6"/>
    <w:rsid w:val="00372BD0"/>
    <w:rsid w:val="00373C19"/>
    <w:rsid w:val="00374C37"/>
    <w:rsid w:val="00374C9E"/>
    <w:rsid w:val="00375779"/>
    <w:rsid w:val="003760DF"/>
    <w:rsid w:val="0037665E"/>
    <w:rsid w:val="0037701B"/>
    <w:rsid w:val="00377B9F"/>
    <w:rsid w:val="00377CDB"/>
    <w:rsid w:val="00380787"/>
    <w:rsid w:val="00380A48"/>
    <w:rsid w:val="003814B4"/>
    <w:rsid w:val="00381D80"/>
    <w:rsid w:val="00383006"/>
    <w:rsid w:val="003834C6"/>
    <w:rsid w:val="0038506D"/>
    <w:rsid w:val="00386C7C"/>
    <w:rsid w:val="00387AAA"/>
    <w:rsid w:val="00390342"/>
    <w:rsid w:val="003905C3"/>
    <w:rsid w:val="00390ED8"/>
    <w:rsid w:val="00391065"/>
    <w:rsid w:val="003913D1"/>
    <w:rsid w:val="0039276D"/>
    <w:rsid w:val="003927CB"/>
    <w:rsid w:val="00392A85"/>
    <w:rsid w:val="00392FF1"/>
    <w:rsid w:val="0039367F"/>
    <w:rsid w:val="0039494D"/>
    <w:rsid w:val="00396383"/>
    <w:rsid w:val="003973BB"/>
    <w:rsid w:val="00397937"/>
    <w:rsid w:val="003A0560"/>
    <w:rsid w:val="003A1422"/>
    <w:rsid w:val="003A39B4"/>
    <w:rsid w:val="003A4A28"/>
    <w:rsid w:val="003A5055"/>
    <w:rsid w:val="003A505E"/>
    <w:rsid w:val="003A50B8"/>
    <w:rsid w:val="003A53F0"/>
    <w:rsid w:val="003A7CA3"/>
    <w:rsid w:val="003B085D"/>
    <w:rsid w:val="003B311A"/>
    <w:rsid w:val="003B34BB"/>
    <w:rsid w:val="003B35D7"/>
    <w:rsid w:val="003B36B2"/>
    <w:rsid w:val="003B6893"/>
    <w:rsid w:val="003B73E4"/>
    <w:rsid w:val="003B78CA"/>
    <w:rsid w:val="003C0216"/>
    <w:rsid w:val="003C0AE1"/>
    <w:rsid w:val="003C0DF9"/>
    <w:rsid w:val="003C159F"/>
    <w:rsid w:val="003C29E1"/>
    <w:rsid w:val="003C3A4C"/>
    <w:rsid w:val="003C4058"/>
    <w:rsid w:val="003C5111"/>
    <w:rsid w:val="003C5D29"/>
    <w:rsid w:val="003C6BC3"/>
    <w:rsid w:val="003C74E5"/>
    <w:rsid w:val="003D1435"/>
    <w:rsid w:val="003D233C"/>
    <w:rsid w:val="003D2984"/>
    <w:rsid w:val="003D2F28"/>
    <w:rsid w:val="003D6304"/>
    <w:rsid w:val="003D680F"/>
    <w:rsid w:val="003D7B78"/>
    <w:rsid w:val="003E32D3"/>
    <w:rsid w:val="003E4E74"/>
    <w:rsid w:val="003E5560"/>
    <w:rsid w:val="003E6E6E"/>
    <w:rsid w:val="003E7047"/>
    <w:rsid w:val="003E7623"/>
    <w:rsid w:val="003E7760"/>
    <w:rsid w:val="003E7855"/>
    <w:rsid w:val="003E7D88"/>
    <w:rsid w:val="003F4B22"/>
    <w:rsid w:val="003F55C5"/>
    <w:rsid w:val="003F7A01"/>
    <w:rsid w:val="004007FC"/>
    <w:rsid w:val="00401C25"/>
    <w:rsid w:val="0040292B"/>
    <w:rsid w:val="004042C7"/>
    <w:rsid w:val="00405D87"/>
    <w:rsid w:val="00410018"/>
    <w:rsid w:val="00412D14"/>
    <w:rsid w:val="00413CCF"/>
    <w:rsid w:val="0041448C"/>
    <w:rsid w:val="00414A0E"/>
    <w:rsid w:val="00417A34"/>
    <w:rsid w:val="004201E2"/>
    <w:rsid w:val="004203AA"/>
    <w:rsid w:val="004218F7"/>
    <w:rsid w:val="00424439"/>
    <w:rsid w:val="004249DD"/>
    <w:rsid w:val="004266A6"/>
    <w:rsid w:val="00427576"/>
    <w:rsid w:val="00430B95"/>
    <w:rsid w:val="004330A4"/>
    <w:rsid w:val="00434733"/>
    <w:rsid w:val="00434B4A"/>
    <w:rsid w:val="00437F1C"/>
    <w:rsid w:val="0044396A"/>
    <w:rsid w:val="00444139"/>
    <w:rsid w:val="0045077C"/>
    <w:rsid w:val="00452968"/>
    <w:rsid w:val="00452A1F"/>
    <w:rsid w:val="00453BBC"/>
    <w:rsid w:val="00454720"/>
    <w:rsid w:val="00454E18"/>
    <w:rsid w:val="0045505D"/>
    <w:rsid w:val="00455B41"/>
    <w:rsid w:val="0045726A"/>
    <w:rsid w:val="004619A1"/>
    <w:rsid w:val="004624A5"/>
    <w:rsid w:val="00462AF1"/>
    <w:rsid w:val="004636B4"/>
    <w:rsid w:val="0046463F"/>
    <w:rsid w:val="00465CCF"/>
    <w:rsid w:val="004661AF"/>
    <w:rsid w:val="00467B15"/>
    <w:rsid w:val="00472102"/>
    <w:rsid w:val="00475106"/>
    <w:rsid w:val="0047586E"/>
    <w:rsid w:val="00476A5F"/>
    <w:rsid w:val="0047720F"/>
    <w:rsid w:val="00477DC3"/>
    <w:rsid w:val="004806A8"/>
    <w:rsid w:val="00481C4F"/>
    <w:rsid w:val="0048544B"/>
    <w:rsid w:val="0048549D"/>
    <w:rsid w:val="004864B5"/>
    <w:rsid w:val="0049043C"/>
    <w:rsid w:val="00490BDE"/>
    <w:rsid w:val="00492D30"/>
    <w:rsid w:val="00492E82"/>
    <w:rsid w:val="004930B1"/>
    <w:rsid w:val="00493F30"/>
    <w:rsid w:val="004953C2"/>
    <w:rsid w:val="004960C4"/>
    <w:rsid w:val="00496866"/>
    <w:rsid w:val="00496ED2"/>
    <w:rsid w:val="00496EFC"/>
    <w:rsid w:val="00497247"/>
    <w:rsid w:val="004A2C62"/>
    <w:rsid w:val="004A31EE"/>
    <w:rsid w:val="004A387B"/>
    <w:rsid w:val="004A4748"/>
    <w:rsid w:val="004A70CD"/>
    <w:rsid w:val="004B0876"/>
    <w:rsid w:val="004B10D6"/>
    <w:rsid w:val="004B258D"/>
    <w:rsid w:val="004B2FC5"/>
    <w:rsid w:val="004B48FD"/>
    <w:rsid w:val="004C05F2"/>
    <w:rsid w:val="004C2316"/>
    <w:rsid w:val="004C3AA7"/>
    <w:rsid w:val="004C4303"/>
    <w:rsid w:val="004D04F0"/>
    <w:rsid w:val="004D1175"/>
    <w:rsid w:val="004D3E3E"/>
    <w:rsid w:val="004D4088"/>
    <w:rsid w:val="004D4A03"/>
    <w:rsid w:val="004D4BDA"/>
    <w:rsid w:val="004D56AD"/>
    <w:rsid w:val="004D5D86"/>
    <w:rsid w:val="004D6E8E"/>
    <w:rsid w:val="004D7BE0"/>
    <w:rsid w:val="004E24F2"/>
    <w:rsid w:val="004E447D"/>
    <w:rsid w:val="004E49F4"/>
    <w:rsid w:val="004E5356"/>
    <w:rsid w:val="004E543C"/>
    <w:rsid w:val="004E609C"/>
    <w:rsid w:val="004E611A"/>
    <w:rsid w:val="004E6898"/>
    <w:rsid w:val="004E6AB2"/>
    <w:rsid w:val="004E7215"/>
    <w:rsid w:val="004F097C"/>
    <w:rsid w:val="004F1253"/>
    <w:rsid w:val="004F1D29"/>
    <w:rsid w:val="004F2DA3"/>
    <w:rsid w:val="004F5593"/>
    <w:rsid w:val="004F5BD2"/>
    <w:rsid w:val="004F5C75"/>
    <w:rsid w:val="005050E8"/>
    <w:rsid w:val="00505C4B"/>
    <w:rsid w:val="00505D23"/>
    <w:rsid w:val="00505D59"/>
    <w:rsid w:val="005064C1"/>
    <w:rsid w:val="005072B4"/>
    <w:rsid w:val="00507FB7"/>
    <w:rsid w:val="00514630"/>
    <w:rsid w:val="005149C5"/>
    <w:rsid w:val="0051560D"/>
    <w:rsid w:val="005167D5"/>
    <w:rsid w:val="00516D1D"/>
    <w:rsid w:val="00516D8E"/>
    <w:rsid w:val="0052157B"/>
    <w:rsid w:val="005223BF"/>
    <w:rsid w:val="00523B9B"/>
    <w:rsid w:val="00526BDD"/>
    <w:rsid w:val="005303F2"/>
    <w:rsid w:val="00531835"/>
    <w:rsid w:val="00531921"/>
    <w:rsid w:val="00532B59"/>
    <w:rsid w:val="00532DB3"/>
    <w:rsid w:val="00533C64"/>
    <w:rsid w:val="00534EDF"/>
    <w:rsid w:val="00535035"/>
    <w:rsid w:val="0053514A"/>
    <w:rsid w:val="00537BB2"/>
    <w:rsid w:val="00541557"/>
    <w:rsid w:val="00545919"/>
    <w:rsid w:val="00546D6F"/>
    <w:rsid w:val="00550A26"/>
    <w:rsid w:val="00552BD9"/>
    <w:rsid w:val="00553226"/>
    <w:rsid w:val="00554732"/>
    <w:rsid w:val="005556C6"/>
    <w:rsid w:val="00556F1F"/>
    <w:rsid w:val="00557029"/>
    <w:rsid w:val="005573D1"/>
    <w:rsid w:val="00561702"/>
    <w:rsid w:val="00561ADB"/>
    <w:rsid w:val="0056349B"/>
    <w:rsid w:val="00563A4A"/>
    <w:rsid w:val="00572201"/>
    <w:rsid w:val="00572734"/>
    <w:rsid w:val="005737A1"/>
    <w:rsid w:val="00573AEA"/>
    <w:rsid w:val="0057791B"/>
    <w:rsid w:val="005808F6"/>
    <w:rsid w:val="00581A44"/>
    <w:rsid w:val="00581DEA"/>
    <w:rsid w:val="005834EF"/>
    <w:rsid w:val="00585283"/>
    <w:rsid w:val="0058630A"/>
    <w:rsid w:val="00590822"/>
    <w:rsid w:val="00590DDB"/>
    <w:rsid w:val="0059115C"/>
    <w:rsid w:val="00592829"/>
    <w:rsid w:val="00594149"/>
    <w:rsid w:val="005944C0"/>
    <w:rsid w:val="00595A94"/>
    <w:rsid w:val="00595A97"/>
    <w:rsid w:val="00596D13"/>
    <w:rsid w:val="0059735F"/>
    <w:rsid w:val="00597A11"/>
    <w:rsid w:val="005A184D"/>
    <w:rsid w:val="005A2D66"/>
    <w:rsid w:val="005A4F0F"/>
    <w:rsid w:val="005A5513"/>
    <w:rsid w:val="005A582A"/>
    <w:rsid w:val="005A735C"/>
    <w:rsid w:val="005B04E9"/>
    <w:rsid w:val="005B13BC"/>
    <w:rsid w:val="005B1455"/>
    <w:rsid w:val="005B4755"/>
    <w:rsid w:val="005B6007"/>
    <w:rsid w:val="005B65E2"/>
    <w:rsid w:val="005B66CA"/>
    <w:rsid w:val="005B6959"/>
    <w:rsid w:val="005C0AA9"/>
    <w:rsid w:val="005C1478"/>
    <w:rsid w:val="005C1908"/>
    <w:rsid w:val="005C3D23"/>
    <w:rsid w:val="005C3DBF"/>
    <w:rsid w:val="005C4182"/>
    <w:rsid w:val="005C5BAB"/>
    <w:rsid w:val="005C7BDA"/>
    <w:rsid w:val="005C7EBB"/>
    <w:rsid w:val="005D08FC"/>
    <w:rsid w:val="005D1FC8"/>
    <w:rsid w:val="005D28FD"/>
    <w:rsid w:val="005D5DB0"/>
    <w:rsid w:val="005D66EE"/>
    <w:rsid w:val="005D747F"/>
    <w:rsid w:val="005E0435"/>
    <w:rsid w:val="005E0A8A"/>
    <w:rsid w:val="005E1074"/>
    <w:rsid w:val="005E2348"/>
    <w:rsid w:val="005E6999"/>
    <w:rsid w:val="005E79E5"/>
    <w:rsid w:val="005E7DFF"/>
    <w:rsid w:val="005F2ED2"/>
    <w:rsid w:val="005F3A58"/>
    <w:rsid w:val="005F480F"/>
    <w:rsid w:val="005F4AFB"/>
    <w:rsid w:val="005F6F95"/>
    <w:rsid w:val="00600102"/>
    <w:rsid w:val="0060149C"/>
    <w:rsid w:val="00601756"/>
    <w:rsid w:val="00604B63"/>
    <w:rsid w:val="006060D9"/>
    <w:rsid w:val="00606E62"/>
    <w:rsid w:val="00606EE0"/>
    <w:rsid w:val="00612639"/>
    <w:rsid w:val="00612FC0"/>
    <w:rsid w:val="00613B15"/>
    <w:rsid w:val="00613E1C"/>
    <w:rsid w:val="00615079"/>
    <w:rsid w:val="006150A9"/>
    <w:rsid w:val="00617B4E"/>
    <w:rsid w:val="0062025C"/>
    <w:rsid w:val="006206F1"/>
    <w:rsid w:val="0062103D"/>
    <w:rsid w:val="00622D12"/>
    <w:rsid w:val="00623C3A"/>
    <w:rsid w:val="00623F5D"/>
    <w:rsid w:val="00625A0D"/>
    <w:rsid w:val="00627D41"/>
    <w:rsid w:val="00631E3D"/>
    <w:rsid w:val="00631EB1"/>
    <w:rsid w:val="00632625"/>
    <w:rsid w:val="006328DB"/>
    <w:rsid w:val="006332A6"/>
    <w:rsid w:val="006333B2"/>
    <w:rsid w:val="006352B4"/>
    <w:rsid w:val="0063585E"/>
    <w:rsid w:val="0063597A"/>
    <w:rsid w:val="00635F47"/>
    <w:rsid w:val="00636147"/>
    <w:rsid w:val="006408FD"/>
    <w:rsid w:val="006414CF"/>
    <w:rsid w:val="00641B18"/>
    <w:rsid w:val="006423C6"/>
    <w:rsid w:val="0064288B"/>
    <w:rsid w:val="00642B12"/>
    <w:rsid w:val="00644026"/>
    <w:rsid w:val="00646667"/>
    <w:rsid w:val="00647A9D"/>
    <w:rsid w:val="0065190C"/>
    <w:rsid w:val="006524A1"/>
    <w:rsid w:val="006536F9"/>
    <w:rsid w:val="00653742"/>
    <w:rsid w:val="00653DFB"/>
    <w:rsid w:val="00653E3A"/>
    <w:rsid w:val="00656DB2"/>
    <w:rsid w:val="006626AC"/>
    <w:rsid w:val="00665F18"/>
    <w:rsid w:val="00666B0F"/>
    <w:rsid w:val="006671E1"/>
    <w:rsid w:val="006677DD"/>
    <w:rsid w:val="00667FAF"/>
    <w:rsid w:val="00670FC3"/>
    <w:rsid w:val="00675B7C"/>
    <w:rsid w:val="00676A09"/>
    <w:rsid w:val="00676A8B"/>
    <w:rsid w:val="00676C02"/>
    <w:rsid w:val="00680B28"/>
    <w:rsid w:val="006836C1"/>
    <w:rsid w:val="0068371B"/>
    <w:rsid w:val="00684195"/>
    <w:rsid w:val="0068606A"/>
    <w:rsid w:val="00686569"/>
    <w:rsid w:val="00687998"/>
    <w:rsid w:val="00690669"/>
    <w:rsid w:val="006906FB"/>
    <w:rsid w:val="006914CC"/>
    <w:rsid w:val="00692F46"/>
    <w:rsid w:val="006933CE"/>
    <w:rsid w:val="0069435D"/>
    <w:rsid w:val="00694D10"/>
    <w:rsid w:val="00694E48"/>
    <w:rsid w:val="0069630D"/>
    <w:rsid w:val="0069660D"/>
    <w:rsid w:val="006A1DF9"/>
    <w:rsid w:val="006A2F39"/>
    <w:rsid w:val="006A6EDB"/>
    <w:rsid w:val="006A7DE7"/>
    <w:rsid w:val="006B0260"/>
    <w:rsid w:val="006B0EA4"/>
    <w:rsid w:val="006B3CF5"/>
    <w:rsid w:val="006B3DA3"/>
    <w:rsid w:val="006B4FE4"/>
    <w:rsid w:val="006B5B6A"/>
    <w:rsid w:val="006C000A"/>
    <w:rsid w:val="006C1654"/>
    <w:rsid w:val="006C2EB4"/>
    <w:rsid w:val="006C6690"/>
    <w:rsid w:val="006D0C7E"/>
    <w:rsid w:val="006D50D2"/>
    <w:rsid w:val="006D69FC"/>
    <w:rsid w:val="006E1BD8"/>
    <w:rsid w:val="006E2D1E"/>
    <w:rsid w:val="006E2FD4"/>
    <w:rsid w:val="006E43A4"/>
    <w:rsid w:val="006E50A9"/>
    <w:rsid w:val="006E56D6"/>
    <w:rsid w:val="006E5B46"/>
    <w:rsid w:val="006E5D6C"/>
    <w:rsid w:val="006E68BC"/>
    <w:rsid w:val="006F0F4A"/>
    <w:rsid w:val="006F2850"/>
    <w:rsid w:val="006F3715"/>
    <w:rsid w:val="006F48D5"/>
    <w:rsid w:val="006F57BF"/>
    <w:rsid w:val="006F5A6E"/>
    <w:rsid w:val="006F5D94"/>
    <w:rsid w:val="006F6B4D"/>
    <w:rsid w:val="006F7F90"/>
    <w:rsid w:val="00702372"/>
    <w:rsid w:val="00702928"/>
    <w:rsid w:val="00703CD9"/>
    <w:rsid w:val="007078DC"/>
    <w:rsid w:val="007127F9"/>
    <w:rsid w:val="0071298D"/>
    <w:rsid w:val="007134F5"/>
    <w:rsid w:val="007138B3"/>
    <w:rsid w:val="0071420C"/>
    <w:rsid w:val="00715C65"/>
    <w:rsid w:val="00716F27"/>
    <w:rsid w:val="00721F37"/>
    <w:rsid w:val="007220F7"/>
    <w:rsid w:val="00722CDE"/>
    <w:rsid w:val="00723544"/>
    <w:rsid w:val="00724078"/>
    <w:rsid w:val="007242A4"/>
    <w:rsid w:val="007250DB"/>
    <w:rsid w:val="00725911"/>
    <w:rsid w:val="00725D8D"/>
    <w:rsid w:val="007263AC"/>
    <w:rsid w:val="0072700E"/>
    <w:rsid w:val="00727C47"/>
    <w:rsid w:val="007307E6"/>
    <w:rsid w:val="0073122A"/>
    <w:rsid w:val="00731249"/>
    <w:rsid w:val="00732B1D"/>
    <w:rsid w:val="00735623"/>
    <w:rsid w:val="0073614C"/>
    <w:rsid w:val="007424D7"/>
    <w:rsid w:val="00743416"/>
    <w:rsid w:val="00744E29"/>
    <w:rsid w:val="00746C0E"/>
    <w:rsid w:val="00751ACA"/>
    <w:rsid w:val="00752B33"/>
    <w:rsid w:val="00755192"/>
    <w:rsid w:val="0075586D"/>
    <w:rsid w:val="00755CDF"/>
    <w:rsid w:val="00756CDF"/>
    <w:rsid w:val="007575A5"/>
    <w:rsid w:val="00760379"/>
    <w:rsid w:val="00760937"/>
    <w:rsid w:val="007633DD"/>
    <w:rsid w:val="0076541A"/>
    <w:rsid w:val="00766078"/>
    <w:rsid w:val="007672FD"/>
    <w:rsid w:val="00770360"/>
    <w:rsid w:val="00770DFA"/>
    <w:rsid w:val="00772EEF"/>
    <w:rsid w:val="00773072"/>
    <w:rsid w:val="00773D5A"/>
    <w:rsid w:val="007743AC"/>
    <w:rsid w:val="007766EA"/>
    <w:rsid w:val="00777C48"/>
    <w:rsid w:val="00780E25"/>
    <w:rsid w:val="007811FF"/>
    <w:rsid w:val="0078223D"/>
    <w:rsid w:val="00783A22"/>
    <w:rsid w:val="00783B42"/>
    <w:rsid w:val="007841CF"/>
    <w:rsid w:val="007859CB"/>
    <w:rsid w:val="0079406E"/>
    <w:rsid w:val="007A0BDE"/>
    <w:rsid w:val="007A3C27"/>
    <w:rsid w:val="007A4550"/>
    <w:rsid w:val="007A497D"/>
    <w:rsid w:val="007A49FE"/>
    <w:rsid w:val="007A4EB2"/>
    <w:rsid w:val="007A71BA"/>
    <w:rsid w:val="007A7ADA"/>
    <w:rsid w:val="007B26E9"/>
    <w:rsid w:val="007B2BF9"/>
    <w:rsid w:val="007B2FBF"/>
    <w:rsid w:val="007B43CD"/>
    <w:rsid w:val="007B488E"/>
    <w:rsid w:val="007B54DA"/>
    <w:rsid w:val="007B57DC"/>
    <w:rsid w:val="007B7A13"/>
    <w:rsid w:val="007C0692"/>
    <w:rsid w:val="007C2156"/>
    <w:rsid w:val="007C3E52"/>
    <w:rsid w:val="007C4875"/>
    <w:rsid w:val="007C4AEC"/>
    <w:rsid w:val="007C5099"/>
    <w:rsid w:val="007C53CE"/>
    <w:rsid w:val="007C644A"/>
    <w:rsid w:val="007D15EE"/>
    <w:rsid w:val="007D1A42"/>
    <w:rsid w:val="007D277C"/>
    <w:rsid w:val="007D2A1D"/>
    <w:rsid w:val="007D3EC9"/>
    <w:rsid w:val="007D49AB"/>
    <w:rsid w:val="007D53AE"/>
    <w:rsid w:val="007D7D00"/>
    <w:rsid w:val="007E0280"/>
    <w:rsid w:val="007E030B"/>
    <w:rsid w:val="007E259D"/>
    <w:rsid w:val="007E29DA"/>
    <w:rsid w:val="007E4D60"/>
    <w:rsid w:val="007F079F"/>
    <w:rsid w:val="007F07C2"/>
    <w:rsid w:val="007F19AC"/>
    <w:rsid w:val="007F28B2"/>
    <w:rsid w:val="007F474E"/>
    <w:rsid w:val="007F4DC1"/>
    <w:rsid w:val="00801D10"/>
    <w:rsid w:val="008033A1"/>
    <w:rsid w:val="00810A45"/>
    <w:rsid w:val="008140FB"/>
    <w:rsid w:val="00814211"/>
    <w:rsid w:val="008143C4"/>
    <w:rsid w:val="00815CD0"/>
    <w:rsid w:val="00816F1E"/>
    <w:rsid w:val="008177DF"/>
    <w:rsid w:val="00817E39"/>
    <w:rsid w:val="008229C3"/>
    <w:rsid w:val="00822ADE"/>
    <w:rsid w:val="008238C0"/>
    <w:rsid w:val="00825A3E"/>
    <w:rsid w:val="00827BAE"/>
    <w:rsid w:val="00827DAB"/>
    <w:rsid w:val="008372A7"/>
    <w:rsid w:val="00840525"/>
    <w:rsid w:val="0084149D"/>
    <w:rsid w:val="00842C10"/>
    <w:rsid w:val="008437F3"/>
    <w:rsid w:val="00843B82"/>
    <w:rsid w:val="00844D82"/>
    <w:rsid w:val="00845DE4"/>
    <w:rsid w:val="00846FCA"/>
    <w:rsid w:val="00847300"/>
    <w:rsid w:val="00847B3E"/>
    <w:rsid w:val="008509F1"/>
    <w:rsid w:val="00851E7E"/>
    <w:rsid w:val="0085339C"/>
    <w:rsid w:val="008541F0"/>
    <w:rsid w:val="00855DE9"/>
    <w:rsid w:val="008565AD"/>
    <w:rsid w:val="008579ED"/>
    <w:rsid w:val="00860166"/>
    <w:rsid w:val="00862090"/>
    <w:rsid w:val="00862816"/>
    <w:rsid w:val="00865D74"/>
    <w:rsid w:val="00867221"/>
    <w:rsid w:val="008708D3"/>
    <w:rsid w:val="00871AF4"/>
    <w:rsid w:val="00871BE8"/>
    <w:rsid w:val="00871BF2"/>
    <w:rsid w:val="00871FCB"/>
    <w:rsid w:val="008725C7"/>
    <w:rsid w:val="0087276D"/>
    <w:rsid w:val="00872F6C"/>
    <w:rsid w:val="008741F8"/>
    <w:rsid w:val="00874588"/>
    <w:rsid w:val="00874F7D"/>
    <w:rsid w:val="00885141"/>
    <w:rsid w:val="00886073"/>
    <w:rsid w:val="008865CC"/>
    <w:rsid w:val="008907C0"/>
    <w:rsid w:val="00890F03"/>
    <w:rsid w:val="00891166"/>
    <w:rsid w:val="0089530E"/>
    <w:rsid w:val="0089787A"/>
    <w:rsid w:val="008A06C2"/>
    <w:rsid w:val="008A1B8D"/>
    <w:rsid w:val="008A418D"/>
    <w:rsid w:val="008A4C6C"/>
    <w:rsid w:val="008A6037"/>
    <w:rsid w:val="008A656E"/>
    <w:rsid w:val="008A75C7"/>
    <w:rsid w:val="008B0150"/>
    <w:rsid w:val="008B08F9"/>
    <w:rsid w:val="008B362F"/>
    <w:rsid w:val="008B3E25"/>
    <w:rsid w:val="008B46F2"/>
    <w:rsid w:val="008B4715"/>
    <w:rsid w:val="008C2F81"/>
    <w:rsid w:val="008C3FB0"/>
    <w:rsid w:val="008C40AC"/>
    <w:rsid w:val="008C4C95"/>
    <w:rsid w:val="008C5ED4"/>
    <w:rsid w:val="008C6282"/>
    <w:rsid w:val="008C7F4A"/>
    <w:rsid w:val="008D0955"/>
    <w:rsid w:val="008D0AB5"/>
    <w:rsid w:val="008D1CB3"/>
    <w:rsid w:val="008D2A9E"/>
    <w:rsid w:val="008D2F2C"/>
    <w:rsid w:val="008D4102"/>
    <w:rsid w:val="008D5873"/>
    <w:rsid w:val="008E004A"/>
    <w:rsid w:val="008E28EB"/>
    <w:rsid w:val="008E4E1E"/>
    <w:rsid w:val="008E6ADC"/>
    <w:rsid w:val="008F07FE"/>
    <w:rsid w:val="008F088B"/>
    <w:rsid w:val="008F1A1A"/>
    <w:rsid w:val="008F2534"/>
    <w:rsid w:val="008F2B18"/>
    <w:rsid w:val="008F56EC"/>
    <w:rsid w:val="008F6A38"/>
    <w:rsid w:val="008F7B1A"/>
    <w:rsid w:val="00900442"/>
    <w:rsid w:val="009027E8"/>
    <w:rsid w:val="009037D0"/>
    <w:rsid w:val="00904716"/>
    <w:rsid w:val="0090615D"/>
    <w:rsid w:val="00910DB8"/>
    <w:rsid w:val="00910DEF"/>
    <w:rsid w:val="00911AA9"/>
    <w:rsid w:val="00911EC0"/>
    <w:rsid w:val="009129AE"/>
    <w:rsid w:val="009129EE"/>
    <w:rsid w:val="00913D48"/>
    <w:rsid w:val="00913DBA"/>
    <w:rsid w:val="00914701"/>
    <w:rsid w:val="00914BC4"/>
    <w:rsid w:val="009159FB"/>
    <w:rsid w:val="009166FC"/>
    <w:rsid w:val="00916A45"/>
    <w:rsid w:val="00917124"/>
    <w:rsid w:val="00917AF9"/>
    <w:rsid w:val="00917FAD"/>
    <w:rsid w:val="00920D44"/>
    <w:rsid w:val="009212FB"/>
    <w:rsid w:val="00921C39"/>
    <w:rsid w:val="0092335C"/>
    <w:rsid w:val="00923533"/>
    <w:rsid w:val="00931DE0"/>
    <w:rsid w:val="0093200D"/>
    <w:rsid w:val="00932227"/>
    <w:rsid w:val="0093317F"/>
    <w:rsid w:val="00935A3B"/>
    <w:rsid w:val="00940834"/>
    <w:rsid w:val="00942B8C"/>
    <w:rsid w:val="00943BA3"/>
    <w:rsid w:val="00943F39"/>
    <w:rsid w:val="0094400D"/>
    <w:rsid w:val="00944CE4"/>
    <w:rsid w:val="00945815"/>
    <w:rsid w:val="00945C62"/>
    <w:rsid w:val="0094653C"/>
    <w:rsid w:val="00946B5B"/>
    <w:rsid w:val="0094727B"/>
    <w:rsid w:val="00950216"/>
    <w:rsid w:val="009508D4"/>
    <w:rsid w:val="00951287"/>
    <w:rsid w:val="0095175F"/>
    <w:rsid w:val="009522F4"/>
    <w:rsid w:val="009534DE"/>
    <w:rsid w:val="00953646"/>
    <w:rsid w:val="009539C9"/>
    <w:rsid w:val="009540C6"/>
    <w:rsid w:val="0095414C"/>
    <w:rsid w:val="009548F6"/>
    <w:rsid w:val="009549CD"/>
    <w:rsid w:val="00954E0F"/>
    <w:rsid w:val="009557EA"/>
    <w:rsid w:val="00957AB4"/>
    <w:rsid w:val="00961E2C"/>
    <w:rsid w:val="0096430A"/>
    <w:rsid w:val="009649A5"/>
    <w:rsid w:val="0096569C"/>
    <w:rsid w:val="00966133"/>
    <w:rsid w:val="009675F5"/>
    <w:rsid w:val="0096787D"/>
    <w:rsid w:val="0097013D"/>
    <w:rsid w:val="009704AA"/>
    <w:rsid w:val="00971C1B"/>
    <w:rsid w:val="009739F3"/>
    <w:rsid w:val="00975B5A"/>
    <w:rsid w:val="0097724F"/>
    <w:rsid w:val="009774E7"/>
    <w:rsid w:val="009774F5"/>
    <w:rsid w:val="00977C53"/>
    <w:rsid w:val="00980729"/>
    <w:rsid w:val="009807F2"/>
    <w:rsid w:val="00980F13"/>
    <w:rsid w:val="00982F61"/>
    <w:rsid w:val="00983018"/>
    <w:rsid w:val="00984431"/>
    <w:rsid w:val="0098609F"/>
    <w:rsid w:val="00987162"/>
    <w:rsid w:val="0099070A"/>
    <w:rsid w:val="00990D25"/>
    <w:rsid w:val="009918F9"/>
    <w:rsid w:val="0099339C"/>
    <w:rsid w:val="00994E8C"/>
    <w:rsid w:val="009950DD"/>
    <w:rsid w:val="0099553B"/>
    <w:rsid w:val="00995772"/>
    <w:rsid w:val="00995E37"/>
    <w:rsid w:val="009964AD"/>
    <w:rsid w:val="009A04BD"/>
    <w:rsid w:val="009A0C0D"/>
    <w:rsid w:val="009A4FF6"/>
    <w:rsid w:val="009A6599"/>
    <w:rsid w:val="009B164D"/>
    <w:rsid w:val="009B1E3F"/>
    <w:rsid w:val="009B4176"/>
    <w:rsid w:val="009B4CAB"/>
    <w:rsid w:val="009B61F9"/>
    <w:rsid w:val="009B6256"/>
    <w:rsid w:val="009B6B12"/>
    <w:rsid w:val="009B7B6C"/>
    <w:rsid w:val="009C08F4"/>
    <w:rsid w:val="009C091B"/>
    <w:rsid w:val="009C102E"/>
    <w:rsid w:val="009C13AA"/>
    <w:rsid w:val="009C2DFE"/>
    <w:rsid w:val="009C3E89"/>
    <w:rsid w:val="009C4D72"/>
    <w:rsid w:val="009C720D"/>
    <w:rsid w:val="009C7AA1"/>
    <w:rsid w:val="009C7D31"/>
    <w:rsid w:val="009D509D"/>
    <w:rsid w:val="009E45D4"/>
    <w:rsid w:val="009E621F"/>
    <w:rsid w:val="009E719D"/>
    <w:rsid w:val="009F1305"/>
    <w:rsid w:val="009F2061"/>
    <w:rsid w:val="009F3704"/>
    <w:rsid w:val="009F621F"/>
    <w:rsid w:val="009F6739"/>
    <w:rsid w:val="009F6AFF"/>
    <w:rsid w:val="009F76AB"/>
    <w:rsid w:val="00A01597"/>
    <w:rsid w:val="00A018BB"/>
    <w:rsid w:val="00A04764"/>
    <w:rsid w:val="00A05CA0"/>
    <w:rsid w:val="00A06E14"/>
    <w:rsid w:val="00A10517"/>
    <w:rsid w:val="00A10CBD"/>
    <w:rsid w:val="00A11CBD"/>
    <w:rsid w:val="00A11E18"/>
    <w:rsid w:val="00A123E4"/>
    <w:rsid w:val="00A135DC"/>
    <w:rsid w:val="00A145E2"/>
    <w:rsid w:val="00A14AA3"/>
    <w:rsid w:val="00A14BF2"/>
    <w:rsid w:val="00A16074"/>
    <w:rsid w:val="00A170F5"/>
    <w:rsid w:val="00A209BB"/>
    <w:rsid w:val="00A21A6F"/>
    <w:rsid w:val="00A23FCE"/>
    <w:rsid w:val="00A25381"/>
    <w:rsid w:val="00A261BD"/>
    <w:rsid w:val="00A26640"/>
    <w:rsid w:val="00A2681B"/>
    <w:rsid w:val="00A2721C"/>
    <w:rsid w:val="00A27359"/>
    <w:rsid w:val="00A279AA"/>
    <w:rsid w:val="00A32CAA"/>
    <w:rsid w:val="00A32DED"/>
    <w:rsid w:val="00A35449"/>
    <w:rsid w:val="00A35569"/>
    <w:rsid w:val="00A35B70"/>
    <w:rsid w:val="00A35F11"/>
    <w:rsid w:val="00A40CD4"/>
    <w:rsid w:val="00A41D01"/>
    <w:rsid w:val="00A43F4B"/>
    <w:rsid w:val="00A44CD4"/>
    <w:rsid w:val="00A45044"/>
    <w:rsid w:val="00A4605D"/>
    <w:rsid w:val="00A463CB"/>
    <w:rsid w:val="00A4732D"/>
    <w:rsid w:val="00A50BF4"/>
    <w:rsid w:val="00A5131C"/>
    <w:rsid w:val="00A51DD4"/>
    <w:rsid w:val="00A52772"/>
    <w:rsid w:val="00A52D02"/>
    <w:rsid w:val="00A54109"/>
    <w:rsid w:val="00A54D4A"/>
    <w:rsid w:val="00A56623"/>
    <w:rsid w:val="00A60D45"/>
    <w:rsid w:val="00A6282E"/>
    <w:rsid w:val="00A62B1C"/>
    <w:rsid w:val="00A64BCF"/>
    <w:rsid w:val="00A65058"/>
    <w:rsid w:val="00A65461"/>
    <w:rsid w:val="00A7013F"/>
    <w:rsid w:val="00A71585"/>
    <w:rsid w:val="00A722A8"/>
    <w:rsid w:val="00A724BC"/>
    <w:rsid w:val="00A72A00"/>
    <w:rsid w:val="00A73B5B"/>
    <w:rsid w:val="00A742AB"/>
    <w:rsid w:val="00A801AE"/>
    <w:rsid w:val="00A82060"/>
    <w:rsid w:val="00A8326E"/>
    <w:rsid w:val="00A83BE3"/>
    <w:rsid w:val="00A84686"/>
    <w:rsid w:val="00A84BFF"/>
    <w:rsid w:val="00A85E9D"/>
    <w:rsid w:val="00A871C7"/>
    <w:rsid w:val="00A92996"/>
    <w:rsid w:val="00A92E54"/>
    <w:rsid w:val="00A93712"/>
    <w:rsid w:val="00A95C46"/>
    <w:rsid w:val="00A97A7F"/>
    <w:rsid w:val="00AA214A"/>
    <w:rsid w:val="00AA3EC6"/>
    <w:rsid w:val="00AB0240"/>
    <w:rsid w:val="00AB03AD"/>
    <w:rsid w:val="00AB0572"/>
    <w:rsid w:val="00AB0768"/>
    <w:rsid w:val="00AB0B5D"/>
    <w:rsid w:val="00AB0C0B"/>
    <w:rsid w:val="00AB221E"/>
    <w:rsid w:val="00AB55F6"/>
    <w:rsid w:val="00AB6BB8"/>
    <w:rsid w:val="00AB7017"/>
    <w:rsid w:val="00AC0108"/>
    <w:rsid w:val="00AC0817"/>
    <w:rsid w:val="00AC28DC"/>
    <w:rsid w:val="00AC2BC7"/>
    <w:rsid w:val="00AC3584"/>
    <w:rsid w:val="00AC388C"/>
    <w:rsid w:val="00AC4944"/>
    <w:rsid w:val="00AC5D9B"/>
    <w:rsid w:val="00AC69AA"/>
    <w:rsid w:val="00AC74BF"/>
    <w:rsid w:val="00AD0D47"/>
    <w:rsid w:val="00AD7948"/>
    <w:rsid w:val="00AE0756"/>
    <w:rsid w:val="00AE1334"/>
    <w:rsid w:val="00AE19E0"/>
    <w:rsid w:val="00AE2280"/>
    <w:rsid w:val="00AE35BC"/>
    <w:rsid w:val="00AE51DD"/>
    <w:rsid w:val="00AE5C4D"/>
    <w:rsid w:val="00AE769A"/>
    <w:rsid w:val="00AF0AA9"/>
    <w:rsid w:val="00AF15F8"/>
    <w:rsid w:val="00AF33F7"/>
    <w:rsid w:val="00AF3420"/>
    <w:rsid w:val="00AF3B40"/>
    <w:rsid w:val="00AF3D66"/>
    <w:rsid w:val="00AF54D6"/>
    <w:rsid w:val="00AF7EA9"/>
    <w:rsid w:val="00B01AC5"/>
    <w:rsid w:val="00B02084"/>
    <w:rsid w:val="00B02128"/>
    <w:rsid w:val="00B02CFD"/>
    <w:rsid w:val="00B02D06"/>
    <w:rsid w:val="00B02FD3"/>
    <w:rsid w:val="00B04026"/>
    <w:rsid w:val="00B0406A"/>
    <w:rsid w:val="00B05973"/>
    <w:rsid w:val="00B06FDF"/>
    <w:rsid w:val="00B07266"/>
    <w:rsid w:val="00B0796E"/>
    <w:rsid w:val="00B07A35"/>
    <w:rsid w:val="00B109C0"/>
    <w:rsid w:val="00B10F72"/>
    <w:rsid w:val="00B11C2D"/>
    <w:rsid w:val="00B12CD7"/>
    <w:rsid w:val="00B12FB4"/>
    <w:rsid w:val="00B136A2"/>
    <w:rsid w:val="00B142B4"/>
    <w:rsid w:val="00B15456"/>
    <w:rsid w:val="00B16118"/>
    <w:rsid w:val="00B16459"/>
    <w:rsid w:val="00B16825"/>
    <w:rsid w:val="00B17C88"/>
    <w:rsid w:val="00B20A45"/>
    <w:rsid w:val="00B210BB"/>
    <w:rsid w:val="00B22B21"/>
    <w:rsid w:val="00B23087"/>
    <w:rsid w:val="00B235B9"/>
    <w:rsid w:val="00B2478B"/>
    <w:rsid w:val="00B256F1"/>
    <w:rsid w:val="00B2570E"/>
    <w:rsid w:val="00B27960"/>
    <w:rsid w:val="00B27D23"/>
    <w:rsid w:val="00B308CD"/>
    <w:rsid w:val="00B31855"/>
    <w:rsid w:val="00B31980"/>
    <w:rsid w:val="00B31C3F"/>
    <w:rsid w:val="00B31FF6"/>
    <w:rsid w:val="00B33C84"/>
    <w:rsid w:val="00B35219"/>
    <w:rsid w:val="00B3684E"/>
    <w:rsid w:val="00B37579"/>
    <w:rsid w:val="00B40348"/>
    <w:rsid w:val="00B403D8"/>
    <w:rsid w:val="00B404E1"/>
    <w:rsid w:val="00B404FA"/>
    <w:rsid w:val="00B4212F"/>
    <w:rsid w:val="00B42B62"/>
    <w:rsid w:val="00B44B42"/>
    <w:rsid w:val="00B460BA"/>
    <w:rsid w:val="00B4621E"/>
    <w:rsid w:val="00B52AC8"/>
    <w:rsid w:val="00B53B40"/>
    <w:rsid w:val="00B542E0"/>
    <w:rsid w:val="00B55259"/>
    <w:rsid w:val="00B56013"/>
    <w:rsid w:val="00B566EA"/>
    <w:rsid w:val="00B609DF"/>
    <w:rsid w:val="00B60ADF"/>
    <w:rsid w:val="00B60D1C"/>
    <w:rsid w:val="00B6142C"/>
    <w:rsid w:val="00B61844"/>
    <w:rsid w:val="00B64428"/>
    <w:rsid w:val="00B64A7A"/>
    <w:rsid w:val="00B658F9"/>
    <w:rsid w:val="00B665D9"/>
    <w:rsid w:val="00B6677B"/>
    <w:rsid w:val="00B66839"/>
    <w:rsid w:val="00B66CD8"/>
    <w:rsid w:val="00B67EBF"/>
    <w:rsid w:val="00B71738"/>
    <w:rsid w:val="00B73FEA"/>
    <w:rsid w:val="00B74525"/>
    <w:rsid w:val="00B74745"/>
    <w:rsid w:val="00B74C43"/>
    <w:rsid w:val="00B75C57"/>
    <w:rsid w:val="00B76145"/>
    <w:rsid w:val="00B76383"/>
    <w:rsid w:val="00B76F49"/>
    <w:rsid w:val="00B770CA"/>
    <w:rsid w:val="00B779C7"/>
    <w:rsid w:val="00B81411"/>
    <w:rsid w:val="00B817BD"/>
    <w:rsid w:val="00B81E48"/>
    <w:rsid w:val="00B82592"/>
    <w:rsid w:val="00B8513A"/>
    <w:rsid w:val="00B85147"/>
    <w:rsid w:val="00B85E5F"/>
    <w:rsid w:val="00B90D5B"/>
    <w:rsid w:val="00B91C33"/>
    <w:rsid w:val="00B9273F"/>
    <w:rsid w:val="00B935D6"/>
    <w:rsid w:val="00B93B94"/>
    <w:rsid w:val="00B94454"/>
    <w:rsid w:val="00B95BAE"/>
    <w:rsid w:val="00B9645A"/>
    <w:rsid w:val="00B96C18"/>
    <w:rsid w:val="00BA09D5"/>
    <w:rsid w:val="00BA180F"/>
    <w:rsid w:val="00BA3756"/>
    <w:rsid w:val="00BA5315"/>
    <w:rsid w:val="00BB17AE"/>
    <w:rsid w:val="00BB1C01"/>
    <w:rsid w:val="00BB3F43"/>
    <w:rsid w:val="00BB42BF"/>
    <w:rsid w:val="00BB4EE2"/>
    <w:rsid w:val="00BB552E"/>
    <w:rsid w:val="00BB571F"/>
    <w:rsid w:val="00BB5D2D"/>
    <w:rsid w:val="00BC0E44"/>
    <w:rsid w:val="00BC1AC3"/>
    <w:rsid w:val="00BC203C"/>
    <w:rsid w:val="00BC3336"/>
    <w:rsid w:val="00BC4630"/>
    <w:rsid w:val="00BC498A"/>
    <w:rsid w:val="00BC5030"/>
    <w:rsid w:val="00BC6794"/>
    <w:rsid w:val="00BC78D5"/>
    <w:rsid w:val="00BD058F"/>
    <w:rsid w:val="00BD08D8"/>
    <w:rsid w:val="00BD1BFE"/>
    <w:rsid w:val="00BD239A"/>
    <w:rsid w:val="00BD38DA"/>
    <w:rsid w:val="00BD4140"/>
    <w:rsid w:val="00BD66F8"/>
    <w:rsid w:val="00BD76B3"/>
    <w:rsid w:val="00BE042E"/>
    <w:rsid w:val="00BE153A"/>
    <w:rsid w:val="00BE19FA"/>
    <w:rsid w:val="00BE2A3F"/>
    <w:rsid w:val="00BE3511"/>
    <w:rsid w:val="00BE3D1C"/>
    <w:rsid w:val="00BE4779"/>
    <w:rsid w:val="00BE4F15"/>
    <w:rsid w:val="00BE61CB"/>
    <w:rsid w:val="00BE7015"/>
    <w:rsid w:val="00BE7F14"/>
    <w:rsid w:val="00BF19DA"/>
    <w:rsid w:val="00BF7320"/>
    <w:rsid w:val="00BF7CB0"/>
    <w:rsid w:val="00C03094"/>
    <w:rsid w:val="00C046D3"/>
    <w:rsid w:val="00C05444"/>
    <w:rsid w:val="00C13300"/>
    <w:rsid w:val="00C13EC7"/>
    <w:rsid w:val="00C17036"/>
    <w:rsid w:val="00C170DD"/>
    <w:rsid w:val="00C17136"/>
    <w:rsid w:val="00C20204"/>
    <w:rsid w:val="00C21638"/>
    <w:rsid w:val="00C23EA3"/>
    <w:rsid w:val="00C247F7"/>
    <w:rsid w:val="00C25EC0"/>
    <w:rsid w:val="00C31654"/>
    <w:rsid w:val="00C32FF5"/>
    <w:rsid w:val="00C34270"/>
    <w:rsid w:val="00C35993"/>
    <w:rsid w:val="00C35B98"/>
    <w:rsid w:val="00C378CA"/>
    <w:rsid w:val="00C40A60"/>
    <w:rsid w:val="00C459F6"/>
    <w:rsid w:val="00C477B3"/>
    <w:rsid w:val="00C47FB9"/>
    <w:rsid w:val="00C50505"/>
    <w:rsid w:val="00C508DA"/>
    <w:rsid w:val="00C5525E"/>
    <w:rsid w:val="00C562E9"/>
    <w:rsid w:val="00C619E1"/>
    <w:rsid w:val="00C628CD"/>
    <w:rsid w:val="00C63995"/>
    <w:rsid w:val="00C64E35"/>
    <w:rsid w:val="00C65245"/>
    <w:rsid w:val="00C6632E"/>
    <w:rsid w:val="00C670C0"/>
    <w:rsid w:val="00C67604"/>
    <w:rsid w:val="00C7095A"/>
    <w:rsid w:val="00C76057"/>
    <w:rsid w:val="00C76502"/>
    <w:rsid w:val="00C76911"/>
    <w:rsid w:val="00C8141E"/>
    <w:rsid w:val="00C835A0"/>
    <w:rsid w:val="00C83EC3"/>
    <w:rsid w:val="00C84945"/>
    <w:rsid w:val="00C84987"/>
    <w:rsid w:val="00C85A09"/>
    <w:rsid w:val="00C8605B"/>
    <w:rsid w:val="00C86213"/>
    <w:rsid w:val="00C87259"/>
    <w:rsid w:val="00C910D3"/>
    <w:rsid w:val="00C91159"/>
    <w:rsid w:val="00C9157D"/>
    <w:rsid w:val="00C91814"/>
    <w:rsid w:val="00C93B4B"/>
    <w:rsid w:val="00C93D25"/>
    <w:rsid w:val="00C96A3B"/>
    <w:rsid w:val="00CA0AE5"/>
    <w:rsid w:val="00CA0D25"/>
    <w:rsid w:val="00CA0D3F"/>
    <w:rsid w:val="00CA1B90"/>
    <w:rsid w:val="00CA1DD8"/>
    <w:rsid w:val="00CA1EEA"/>
    <w:rsid w:val="00CA4860"/>
    <w:rsid w:val="00CA53C1"/>
    <w:rsid w:val="00CA53E4"/>
    <w:rsid w:val="00CA5A5C"/>
    <w:rsid w:val="00CA60A2"/>
    <w:rsid w:val="00CA6611"/>
    <w:rsid w:val="00CA666F"/>
    <w:rsid w:val="00CA7459"/>
    <w:rsid w:val="00CA76F7"/>
    <w:rsid w:val="00CA7C2B"/>
    <w:rsid w:val="00CB0E03"/>
    <w:rsid w:val="00CB1862"/>
    <w:rsid w:val="00CB2C29"/>
    <w:rsid w:val="00CB3A72"/>
    <w:rsid w:val="00CB722B"/>
    <w:rsid w:val="00CC14E2"/>
    <w:rsid w:val="00CC269C"/>
    <w:rsid w:val="00CC282C"/>
    <w:rsid w:val="00CC405B"/>
    <w:rsid w:val="00CC6503"/>
    <w:rsid w:val="00CC69B5"/>
    <w:rsid w:val="00CC7EB5"/>
    <w:rsid w:val="00CD0629"/>
    <w:rsid w:val="00CD1C28"/>
    <w:rsid w:val="00CD6881"/>
    <w:rsid w:val="00CD6DA2"/>
    <w:rsid w:val="00CE1161"/>
    <w:rsid w:val="00CE3E2E"/>
    <w:rsid w:val="00CE5975"/>
    <w:rsid w:val="00CE7537"/>
    <w:rsid w:val="00CF0CBF"/>
    <w:rsid w:val="00CF1BC8"/>
    <w:rsid w:val="00CF3156"/>
    <w:rsid w:val="00CF38D2"/>
    <w:rsid w:val="00CF4AFB"/>
    <w:rsid w:val="00CF6C59"/>
    <w:rsid w:val="00CF713C"/>
    <w:rsid w:val="00D00521"/>
    <w:rsid w:val="00D0063E"/>
    <w:rsid w:val="00D02783"/>
    <w:rsid w:val="00D0361D"/>
    <w:rsid w:val="00D04D87"/>
    <w:rsid w:val="00D05A0C"/>
    <w:rsid w:val="00D05F06"/>
    <w:rsid w:val="00D06384"/>
    <w:rsid w:val="00D075B6"/>
    <w:rsid w:val="00D1078C"/>
    <w:rsid w:val="00D108E6"/>
    <w:rsid w:val="00D10E3A"/>
    <w:rsid w:val="00D12B66"/>
    <w:rsid w:val="00D13727"/>
    <w:rsid w:val="00D16574"/>
    <w:rsid w:val="00D21A27"/>
    <w:rsid w:val="00D21DDF"/>
    <w:rsid w:val="00D2389F"/>
    <w:rsid w:val="00D23C72"/>
    <w:rsid w:val="00D252D1"/>
    <w:rsid w:val="00D2550E"/>
    <w:rsid w:val="00D25733"/>
    <w:rsid w:val="00D25AF9"/>
    <w:rsid w:val="00D26264"/>
    <w:rsid w:val="00D30819"/>
    <w:rsid w:val="00D31041"/>
    <w:rsid w:val="00D325B8"/>
    <w:rsid w:val="00D3361C"/>
    <w:rsid w:val="00D373AE"/>
    <w:rsid w:val="00D37E86"/>
    <w:rsid w:val="00D419A9"/>
    <w:rsid w:val="00D41E17"/>
    <w:rsid w:val="00D42288"/>
    <w:rsid w:val="00D4281C"/>
    <w:rsid w:val="00D42CF3"/>
    <w:rsid w:val="00D43D1F"/>
    <w:rsid w:val="00D441B2"/>
    <w:rsid w:val="00D4468B"/>
    <w:rsid w:val="00D477D5"/>
    <w:rsid w:val="00D514DC"/>
    <w:rsid w:val="00D51960"/>
    <w:rsid w:val="00D543EC"/>
    <w:rsid w:val="00D55B0B"/>
    <w:rsid w:val="00D56349"/>
    <w:rsid w:val="00D6069D"/>
    <w:rsid w:val="00D61AD9"/>
    <w:rsid w:val="00D62EC2"/>
    <w:rsid w:val="00D6360B"/>
    <w:rsid w:val="00D63629"/>
    <w:rsid w:val="00D645CF"/>
    <w:rsid w:val="00D65A28"/>
    <w:rsid w:val="00D6663B"/>
    <w:rsid w:val="00D70D83"/>
    <w:rsid w:val="00D717EA"/>
    <w:rsid w:val="00D71AFC"/>
    <w:rsid w:val="00D722B6"/>
    <w:rsid w:val="00D72774"/>
    <w:rsid w:val="00D7370C"/>
    <w:rsid w:val="00D771D6"/>
    <w:rsid w:val="00D808CC"/>
    <w:rsid w:val="00D810CC"/>
    <w:rsid w:val="00D82121"/>
    <w:rsid w:val="00D82B22"/>
    <w:rsid w:val="00D846DB"/>
    <w:rsid w:val="00D86DF3"/>
    <w:rsid w:val="00D90465"/>
    <w:rsid w:val="00D91AF6"/>
    <w:rsid w:val="00D93DB7"/>
    <w:rsid w:val="00D943FF"/>
    <w:rsid w:val="00D948FB"/>
    <w:rsid w:val="00D94A41"/>
    <w:rsid w:val="00D94F0F"/>
    <w:rsid w:val="00D956D2"/>
    <w:rsid w:val="00D961AF"/>
    <w:rsid w:val="00DA39BF"/>
    <w:rsid w:val="00DA3B83"/>
    <w:rsid w:val="00DA4B85"/>
    <w:rsid w:val="00DA79E5"/>
    <w:rsid w:val="00DB0078"/>
    <w:rsid w:val="00DB08B5"/>
    <w:rsid w:val="00DB14F7"/>
    <w:rsid w:val="00DB19F1"/>
    <w:rsid w:val="00DB2428"/>
    <w:rsid w:val="00DB3938"/>
    <w:rsid w:val="00DB3D6E"/>
    <w:rsid w:val="00DB64C8"/>
    <w:rsid w:val="00DB6D52"/>
    <w:rsid w:val="00DB73D9"/>
    <w:rsid w:val="00DB7DC0"/>
    <w:rsid w:val="00DC0200"/>
    <w:rsid w:val="00DC06BA"/>
    <w:rsid w:val="00DC1C5E"/>
    <w:rsid w:val="00DC2920"/>
    <w:rsid w:val="00DC31BC"/>
    <w:rsid w:val="00DC3866"/>
    <w:rsid w:val="00DC3B83"/>
    <w:rsid w:val="00DC3E8C"/>
    <w:rsid w:val="00DC3F49"/>
    <w:rsid w:val="00DC465A"/>
    <w:rsid w:val="00DC4F4B"/>
    <w:rsid w:val="00DC6E76"/>
    <w:rsid w:val="00DD0310"/>
    <w:rsid w:val="00DD1434"/>
    <w:rsid w:val="00DD1771"/>
    <w:rsid w:val="00DD39A9"/>
    <w:rsid w:val="00DD488B"/>
    <w:rsid w:val="00DD6694"/>
    <w:rsid w:val="00DD72CD"/>
    <w:rsid w:val="00DE0ADB"/>
    <w:rsid w:val="00DE140D"/>
    <w:rsid w:val="00DE163C"/>
    <w:rsid w:val="00DE1AE6"/>
    <w:rsid w:val="00DE1FD3"/>
    <w:rsid w:val="00DE25C3"/>
    <w:rsid w:val="00DE2F2C"/>
    <w:rsid w:val="00DE3318"/>
    <w:rsid w:val="00DE439D"/>
    <w:rsid w:val="00DE44DA"/>
    <w:rsid w:val="00DE476B"/>
    <w:rsid w:val="00DE48BB"/>
    <w:rsid w:val="00DE4A3A"/>
    <w:rsid w:val="00DE4E08"/>
    <w:rsid w:val="00DE5303"/>
    <w:rsid w:val="00DE62F4"/>
    <w:rsid w:val="00DF0F3A"/>
    <w:rsid w:val="00DF12F4"/>
    <w:rsid w:val="00DF23A6"/>
    <w:rsid w:val="00DF2AEB"/>
    <w:rsid w:val="00DF3BF3"/>
    <w:rsid w:val="00DF4B5D"/>
    <w:rsid w:val="00DF6807"/>
    <w:rsid w:val="00E02276"/>
    <w:rsid w:val="00E035CE"/>
    <w:rsid w:val="00E036D9"/>
    <w:rsid w:val="00E03C14"/>
    <w:rsid w:val="00E0521E"/>
    <w:rsid w:val="00E055B3"/>
    <w:rsid w:val="00E05720"/>
    <w:rsid w:val="00E07CDE"/>
    <w:rsid w:val="00E108DD"/>
    <w:rsid w:val="00E11C49"/>
    <w:rsid w:val="00E13CD2"/>
    <w:rsid w:val="00E15447"/>
    <w:rsid w:val="00E15854"/>
    <w:rsid w:val="00E15F6B"/>
    <w:rsid w:val="00E15FEC"/>
    <w:rsid w:val="00E17152"/>
    <w:rsid w:val="00E20B1F"/>
    <w:rsid w:val="00E20E12"/>
    <w:rsid w:val="00E2216F"/>
    <w:rsid w:val="00E23203"/>
    <w:rsid w:val="00E24384"/>
    <w:rsid w:val="00E24BBA"/>
    <w:rsid w:val="00E325AD"/>
    <w:rsid w:val="00E334C7"/>
    <w:rsid w:val="00E3532C"/>
    <w:rsid w:val="00E3533B"/>
    <w:rsid w:val="00E35453"/>
    <w:rsid w:val="00E361A3"/>
    <w:rsid w:val="00E37B92"/>
    <w:rsid w:val="00E43832"/>
    <w:rsid w:val="00E43B13"/>
    <w:rsid w:val="00E45F1E"/>
    <w:rsid w:val="00E46BCA"/>
    <w:rsid w:val="00E47296"/>
    <w:rsid w:val="00E47CA9"/>
    <w:rsid w:val="00E514B2"/>
    <w:rsid w:val="00E5158A"/>
    <w:rsid w:val="00E519B3"/>
    <w:rsid w:val="00E53C8A"/>
    <w:rsid w:val="00E53DC4"/>
    <w:rsid w:val="00E54138"/>
    <w:rsid w:val="00E55282"/>
    <w:rsid w:val="00E55B37"/>
    <w:rsid w:val="00E56845"/>
    <w:rsid w:val="00E57030"/>
    <w:rsid w:val="00E570E8"/>
    <w:rsid w:val="00E578AD"/>
    <w:rsid w:val="00E61543"/>
    <w:rsid w:val="00E6262D"/>
    <w:rsid w:val="00E62BAD"/>
    <w:rsid w:val="00E633B3"/>
    <w:rsid w:val="00E64989"/>
    <w:rsid w:val="00E6722A"/>
    <w:rsid w:val="00E7141D"/>
    <w:rsid w:val="00E71D5B"/>
    <w:rsid w:val="00E71FF9"/>
    <w:rsid w:val="00E7202B"/>
    <w:rsid w:val="00E75785"/>
    <w:rsid w:val="00E83244"/>
    <w:rsid w:val="00E854DA"/>
    <w:rsid w:val="00E856DD"/>
    <w:rsid w:val="00E85F1D"/>
    <w:rsid w:val="00E86912"/>
    <w:rsid w:val="00E91D86"/>
    <w:rsid w:val="00E9313A"/>
    <w:rsid w:val="00E9369B"/>
    <w:rsid w:val="00E9520A"/>
    <w:rsid w:val="00E97069"/>
    <w:rsid w:val="00E9710A"/>
    <w:rsid w:val="00E971C1"/>
    <w:rsid w:val="00EA0202"/>
    <w:rsid w:val="00EA06C9"/>
    <w:rsid w:val="00EA1CB1"/>
    <w:rsid w:val="00EA3562"/>
    <w:rsid w:val="00EA3606"/>
    <w:rsid w:val="00EA5F4E"/>
    <w:rsid w:val="00EA66C4"/>
    <w:rsid w:val="00EA7206"/>
    <w:rsid w:val="00EB05F7"/>
    <w:rsid w:val="00EB07CD"/>
    <w:rsid w:val="00EB38B2"/>
    <w:rsid w:val="00EB40AB"/>
    <w:rsid w:val="00EB446E"/>
    <w:rsid w:val="00EB4CFE"/>
    <w:rsid w:val="00EB632E"/>
    <w:rsid w:val="00EB6792"/>
    <w:rsid w:val="00EB6E2C"/>
    <w:rsid w:val="00EB73E3"/>
    <w:rsid w:val="00EC0C30"/>
    <w:rsid w:val="00EC1091"/>
    <w:rsid w:val="00EC2F17"/>
    <w:rsid w:val="00EC517F"/>
    <w:rsid w:val="00EC5F91"/>
    <w:rsid w:val="00EC7C18"/>
    <w:rsid w:val="00ED0336"/>
    <w:rsid w:val="00ED0FFD"/>
    <w:rsid w:val="00ED2A06"/>
    <w:rsid w:val="00ED36A4"/>
    <w:rsid w:val="00ED4821"/>
    <w:rsid w:val="00ED48B1"/>
    <w:rsid w:val="00ED6297"/>
    <w:rsid w:val="00EE0919"/>
    <w:rsid w:val="00EE1A99"/>
    <w:rsid w:val="00EE1E53"/>
    <w:rsid w:val="00EE2F5F"/>
    <w:rsid w:val="00EE43C2"/>
    <w:rsid w:val="00EE4504"/>
    <w:rsid w:val="00EE578A"/>
    <w:rsid w:val="00EE59EC"/>
    <w:rsid w:val="00EE6932"/>
    <w:rsid w:val="00EE71CB"/>
    <w:rsid w:val="00EF0AE2"/>
    <w:rsid w:val="00EF26C6"/>
    <w:rsid w:val="00EF4B59"/>
    <w:rsid w:val="00EF51A8"/>
    <w:rsid w:val="00F03465"/>
    <w:rsid w:val="00F03469"/>
    <w:rsid w:val="00F038E9"/>
    <w:rsid w:val="00F03CA0"/>
    <w:rsid w:val="00F044C3"/>
    <w:rsid w:val="00F04AA1"/>
    <w:rsid w:val="00F057BC"/>
    <w:rsid w:val="00F07037"/>
    <w:rsid w:val="00F07861"/>
    <w:rsid w:val="00F10318"/>
    <w:rsid w:val="00F10EBC"/>
    <w:rsid w:val="00F11F71"/>
    <w:rsid w:val="00F131BB"/>
    <w:rsid w:val="00F15775"/>
    <w:rsid w:val="00F15C48"/>
    <w:rsid w:val="00F15CBD"/>
    <w:rsid w:val="00F168F6"/>
    <w:rsid w:val="00F1715B"/>
    <w:rsid w:val="00F17710"/>
    <w:rsid w:val="00F178CA"/>
    <w:rsid w:val="00F17B42"/>
    <w:rsid w:val="00F20D9A"/>
    <w:rsid w:val="00F24D83"/>
    <w:rsid w:val="00F24DD6"/>
    <w:rsid w:val="00F25B41"/>
    <w:rsid w:val="00F25FDA"/>
    <w:rsid w:val="00F316A9"/>
    <w:rsid w:val="00F32AF8"/>
    <w:rsid w:val="00F331C0"/>
    <w:rsid w:val="00F34C51"/>
    <w:rsid w:val="00F3514F"/>
    <w:rsid w:val="00F40B1B"/>
    <w:rsid w:val="00F41C0C"/>
    <w:rsid w:val="00F4301D"/>
    <w:rsid w:val="00F454B6"/>
    <w:rsid w:val="00F46954"/>
    <w:rsid w:val="00F46B2E"/>
    <w:rsid w:val="00F50FCF"/>
    <w:rsid w:val="00F572C0"/>
    <w:rsid w:val="00F57349"/>
    <w:rsid w:val="00F57909"/>
    <w:rsid w:val="00F6080C"/>
    <w:rsid w:val="00F60830"/>
    <w:rsid w:val="00F60FA5"/>
    <w:rsid w:val="00F62E4A"/>
    <w:rsid w:val="00F63E85"/>
    <w:rsid w:val="00F6490C"/>
    <w:rsid w:val="00F65361"/>
    <w:rsid w:val="00F65ECD"/>
    <w:rsid w:val="00F6616E"/>
    <w:rsid w:val="00F669DF"/>
    <w:rsid w:val="00F66EEA"/>
    <w:rsid w:val="00F67ED6"/>
    <w:rsid w:val="00F71D83"/>
    <w:rsid w:val="00F72DDB"/>
    <w:rsid w:val="00F75FB1"/>
    <w:rsid w:val="00F7673C"/>
    <w:rsid w:val="00F76F7F"/>
    <w:rsid w:val="00F774E8"/>
    <w:rsid w:val="00F77539"/>
    <w:rsid w:val="00F806B5"/>
    <w:rsid w:val="00F82411"/>
    <w:rsid w:val="00F8325F"/>
    <w:rsid w:val="00F833AD"/>
    <w:rsid w:val="00F837F8"/>
    <w:rsid w:val="00F845D0"/>
    <w:rsid w:val="00F845F5"/>
    <w:rsid w:val="00F84A3C"/>
    <w:rsid w:val="00F85BF6"/>
    <w:rsid w:val="00F87710"/>
    <w:rsid w:val="00F90A0D"/>
    <w:rsid w:val="00F91130"/>
    <w:rsid w:val="00F91DD3"/>
    <w:rsid w:val="00F93CCC"/>
    <w:rsid w:val="00F94999"/>
    <w:rsid w:val="00F96A55"/>
    <w:rsid w:val="00FA0695"/>
    <w:rsid w:val="00FA0F86"/>
    <w:rsid w:val="00FA1868"/>
    <w:rsid w:val="00FA2D72"/>
    <w:rsid w:val="00FA365F"/>
    <w:rsid w:val="00FA3BF8"/>
    <w:rsid w:val="00FA556C"/>
    <w:rsid w:val="00FA7518"/>
    <w:rsid w:val="00FA76D2"/>
    <w:rsid w:val="00FA7D0C"/>
    <w:rsid w:val="00FB1F3E"/>
    <w:rsid w:val="00FB2289"/>
    <w:rsid w:val="00FB2613"/>
    <w:rsid w:val="00FB3049"/>
    <w:rsid w:val="00FB309D"/>
    <w:rsid w:val="00FB313B"/>
    <w:rsid w:val="00FB35EB"/>
    <w:rsid w:val="00FB3C8E"/>
    <w:rsid w:val="00FB5D74"/>
    <w:rsid w:val="00FB5E24"/>
    <w:rsid w:val="00FB6295"/>
    <w:rsid w:val="00FB62C9"/>
    <w:rsid w:val="00FB6321"/>
    <w:rsid w:val="00FB6A18"/>
    <w:rsid w:val="00FB6EFA"/>
    <w:rsid w:val="00FC054D"/>
    <w:rsid w:val="00FC0CF5"/>
    <w:rsid w:val="00FC1EFD"/>
    <w:rsid w:val="00FC2747"/>
    <w:rsid w:val="00FC341B"/>
    <w:rsid w:val="00FC36D8"/>
    <w:rsid w:val="00FC5C47"/>
    <w:rsid w:val="00FC693E"/>
    <w:rsid w:val="00FC7324"/>
    <w:rsid w:val="00FD1691"/>
    <w:rsid w:val="00FD2A64"/>
    <w:rsid w:val="00FD2B68"/>
    <w:rsid w:val="00FD2D82"/>
    <w:rsid w:val="00FD32DB"/>
    <w:rsid w:val="00FD5592"/>
    <w:rsid w:val="00FD6F48"/>
    <w:rsid w:val="00FE0D73"/>
    <w:rsid w:val="00FE17C4"/>
    <w:rsid w:val="00FE1CEB"/>
    <w:rsid w:val="00FE2B0C"/>
    <w:rsid w:val="00FE2EB0"/>
    <w:rsid w:val="00FE5E85"/>
    <w:rsid w:val="00FE6675"/>
    <w:rsid w:val="00FE7454"/>
    <w:rsid w:val="00FE7A28"/>
    <w:rsid w:val="00FF07B9"/>
    <w:rsid w:val="00FF16F8"/>
    <w:rsid w:val="00FF20E0"/>
    <w:rsid w:val="00FF3F62"/>
    <w:rsid w:val="00FF3FFB"/>
    <w:rsid w:val="00FF4F3B"/>
    <w:rsid w:val="00FF6096"/>
    <w:rsid w:val="00FF7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7EAB1A"/>
  <w15:chartTrackingRefBased/>
  <w15:docId w15:val="{311A8AF3-30C7-44A8-BEE1-912DB25E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E24"/>
    <w:rPr>
      <w:rFonts w:asciiTheme="majorHAnsi" w:eastAsiaTheme="majorEastAsia" w:hAnsiTheme="majorHAnsi" w:cstheme="majorBidi"/>
      <w:color w:val="2E74B5" w:themeColor="accent1" w:themeShade="BF"/>
      <w:sz w:val="32"/>
      <w:szCs w:val="32"/>
    </w:rPr>
  </w:style>
  <w:style w:type="paragraph" w:customStyle="1" w:styleId="Default">
    <w:name w:val="Default"/>
    <w:rsid w:val="0010362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7732C"/>
    <w:rPr>
      <w:color w:val="0563C1" w:themeColor="hyperlink"/>
      <w:u w:val="single"/>
    </w:rPr>
  </w:style>
  <w:style w:type="paragraph" w:styleId="ListParagraph">
    <w:name w:val="List Paragraph"/>
    <w:basedOn w:val="Normal"/>
    <w:link w:val="ListParagraphChar"/>
    <w:uiPriority w:val="34"/>
    <w:qFormat/>
    <w:rsid w:val="0017732C"/>
    <w:pPr>
      <w:ind w:left="720"/>
      <w:contextualSpacing/>
    </w:pPr>
  </w:style>
  <w:style w:type="character" w:customStyle="1" w:styleId="ListParagraphChar">
    <w:name w:val="List Paragraph Char"/>
    <w:basedOn w:val="DefaultParagraphFont"/>
    <w:link w:val="ListParagraph"/>
    <w:uiPriority w:val="34"/>
    <w:rsid w:val="00C17136"/>
  </w:style>
  <w:style w:type="paragraph" w:styleId="CommentText">
    <w:name w:val="annotation text"/>
    <w:basedOn w:val="Normal"/>
    <w:link w:val="CommentTextChar"/>
    <w:uiPriority w:val="99"/>
    <w:semiHidden/>
    <w:unhideWhenUsed/>
    <w:rsid w:val="00940834"/>
    <w:pPr>
      <w:spacing w:line="240" w:lineRule="auto"/>
    </w:pPr>
    <w:rPr>
      <w:sz w:val="20"/>
      <w:szCs w:val="20"/>
    </w:rPr>
  </w:style>
  <w:style w:type="character" w:customStyle="1" w:styleId="CommentTextChar">
    <w:name w:val="Comment Text Char"/>
    <w:basedOn w:val="DefaultParagraphFont"/>
    <w:link w:val="CommentText"/>
    <w:uiPriority w:val="99"/>
    <w:semiHidden/>
    <w:rsid w:val="00940834"/>
    <w:rPr>
      <w:sz w:val="20"/>
      <w:szCs w:val="20"/>
    </w:rPr>
  </w:style>
  <w:style w:type="character" w:styleId="CommentReference">
    <w:name w:val="annotation reference"/>
    <w:basedOn w:val="DefaultParagraphFont"/>
    <w:uiPriority w:val="99"/>
    <w:semiHidden/>
    <w:unhideWhenUsed/>
    <w:rsid w:val="00940834"/>
    <w:rPr>
      <w:sz w:val="16"/>
      <w:szCs w:val="16"/>
    </w:rPr>
  </w:style>
  <w:style w:type="paragraph" w:styleId="BalloonText">
    <w:name w:val="Balloon Text"/>
    <w:basedOn w:val="Normal"/>
    <w:link w:val="BalloonTextChar"/>
    <w:uiPriority w:val="99"/>
    <w:semiHidden/>
    <w:unhideWhenUsed/>
    <w:rsid w:val="00940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4"/>
    <w:rPr>
      <w:rFonts w:ascii="Segoe UI" w:hAnsi="Segoe UI" w:cs="Segoe UI"/>
      <w:sz w:val="18"/>
      <w:szCs w:val="18"/>
    </w:rPr>
  </w:style>
  <w:style w:type="paragraph" w:styleId="Header">
    <w:name w:val="header"/>
    <w:basedOn w:val="Normal"/>
    <w:link w:val="HeaderChar"/>
    <w:uiPriority w:val="99"/>
    <w:unhideWhenUsed/>
    <w:rsid w:val="002E4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8DD"/>
  </w:style>
  <w:style w:type="paragraph" w:styleId="Footer">
    <w:name w:val="footer"/>
    <w:basedOn w:val="Normal"/>
    <w:link w:val="FooterChar"/>
    <w:uiPriority w:val="99"/>
    <w:unhideWhenUsed/>
    <w:rsid w:val="002E4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8DD"/>
  </w:style>
  <w:style w:type="paragraph" w:customStyle="1" w:styleId="SoANormal">
    <w:name w:val="SoA Normal"/>
    <w:basedOn w:val="Normal"/>
    <w:qFormat/>
    <w:rsid w:val="00C17136"/>
    <w:pPr>
      <w:spacing w:after="0" w:line="240" w:lineRule="auto"/>
    </w:pPr>
    <w:rPr>
      <w:rFonts w:ascii="Arial" w:eastAsia="Times New Roman" w:hAnsi="Arial" w:cs="Times New Roman"/>
      <w:szCs w:val="24"/>
      <w:lang w:eastAsia="en-GB"/>
    </w:rPr>
  </w:style>
  <w:style w:type="paragraph" w:customStyle="1" w:styleId="NewSoAHeading">
    <w:name w:val="NewSoAHeading"/>
    <w:basedOn w:val="Normal"/>
    <w:link w:val="NewSoAHeadingChar"/>
    <w:qFormat/>
    <w:rsid w:val="00C17136"/>
    <w:pPr>
      <w:spacing w:after="120" w:line="240" w:lineRule="auto"/>
    </w:pPr>
    <w:rPr>
      <w:rFonts w:ascii="Arial" w:eastAsia="Times New Roman" w:hAnsi="Arial" w:cs="Arial"/>
      <w:b/>
      <w:sz w:val="24"/>
      <w:szCs w:val="24"/>
      <w:lang w:eastAsia="en-GB"/>
    </w:rPr>
  </w:style>
  <w:style w:type="character" w:customStyle="1" w:styleId="NewSoAHeadingChar">
    <w:name w:val="NewSoAHeading Char"/>
    <w:basedOn w:val="DefaultParagraphFont"/>
    <w:link w:val="NewSoAHeading"/>
    <w:rsid w:val="00C17136"/>
    <w:rPr>
      <w:rFonts w:ascii="Arial" w:eastAsia="Times New Roman" w:hAnsi="Arial" w:cs="Arial"/>
      <w:b/>
      <w:sz w:val="24"/>
      <w:szCs w:val="24"/>
      <w:lang w:eastAsia="en-GB"/>
    </w:rPr>
  </w:style>
  <w:style w:type="paragraph" w:customStyle="1" w:styleId="NewSoABody">
    <w:name w:val="NewSoABody"/>
    <w:basedOn w:val="Normal"/>
    <w:link w:val="NewSoABodyChar"/>
    <w:qFormat/>
    <w:rsid w:val="00C17136"/>
    <w:pPr>
      <w:autoSpaceDE w:val="0"/>
      <w:autoSpaceDN w:val="0"/>
      <w:adjustRightInd w:val="0"/>
      <w:spacing w:after="180" w:line="240" w:lineRule="auto"/>
    </w:pPr>
    <w:rPr>
      <w:rFonts w:ascii="Arial" w:eastAsia="Times New Roman" w:hAnsi="Arial" w:cs="Arial"/>
      <w:szCs w:val="24"/>
      <w:lang w:eastAsia="en-GB"/>
    </w:rPr>
  </w:style>
  <w:style w:type="character" w:customStyle="1" w:styleId="NewSoABodyChar">
    <w:name w:val="NewSoABody Char"/>
    <w:basedOn w:val="DefaultParagraphFont"/>
    <w:link w:val="NewSoABody"/>
    <w:rsid w:val="00C17136"/>
    <w:rPr>
      <w:rFonts w:ascii="Arial" w:eastAsia="Times New Roman" w:hAnsi="Arial" w:cs="Arial"/>
      <w:szCs w:val="24"/>
      <w:lang w:eastAsia="en-GB"/>
    </w:rPr>
  </w:style>
  <w:style w:type="paragraph" w:customStyle="1" w:styleId="Pa30">
    <w:name w:val="Pa30"/>
    <w:basedOn w:val="Default"/>
    <w:next w:val="Default"/>
    <w:uiPriority w:val="99"/>
    <w:rsid w:val="00C17136"/>
    <w:pPr>
      <w:spacing w:line="201" w:lineRule="atLeast"/>
    </w:pPr>
    <w:rPr>
      <w:rFonts w:ascii="FS Lola" w:eastAsia="Calibri" w:hAnsi="FS Lola" w:cs="Times New Roman"/>
      <w:color w:val="auto"/>
      <w:lang w:eastAsia="en-GB"/>
    </w:rPr>
  </w:style>
  <w:style w:type="paragraph" w:customStyle="1" w:styleId="VAHeadingLevel3">
    <w:name w:val="VA Heading Level 3"/>
    <w:basedOn w:val="Normal"/>
    <w:link w:val="VAHeadingLevel3Char"/>
    <w:qFormat/>
    <w:rsid w:val="00C17136"/>
    <w:pPr>
      <w:numPr>
        <w:ilvl w:val="2"/>
      </w:numPr>
      <w:tabs>
        <w:tab w:val="left" w:pos="1985"/>
      </w:tabs>
      <w:spacing w:after="0" w:line="276" w:lineRule="auto"/>
    </w:pPr>
    <w:rPr>
      <w:rFonts w:eastAsia="Times New Roman" w:cs="Times New Roman"/>
      <w:bCs/>
      <w:color w:val="C00000"/>
      <w:sz w:val="20"/>
      <w:szCs w:val="24"/>
    </w:rPr>
  </w:style>
  <w:style w:type="character" w:customStyle="1" w:styleId="VAHeadingLevel3Char">
    <w:name w:val="VA Heading Level 3 Char"/>
    <w:basedOn w:val="DefaultParagraphFont"/>
    <w:link w:val="VAHeadingLevel3"/>
    <w:rsid w:val="00C17136"/>
    <w:rPr>
      <w:rFonts w:eastAsia="Times New Roman" w:cs="Times New Roman"/>
      <w:bCs/>
      <w:color w:val="C00000"/>
      <w:sz w:val="20"/>
      <w:szCs w:val="24"/>
    </w:rPr>
  </w:style>
  <w:style w:type="paragraph" w:customStyle="1" w:styleId="VAHeadingLevel2">
    <w:name w:val="VA Heading Level 2"/>
    <w:link w:val="VAHeadingLevel2Char"/>
    <w:qFormat/>
    <w:rsid w:val="00C17136"/>
    <w:pPr>
      <w:numPr>
        <w:ilvl w:val="1"/>
      </w:numPr>
      <w:tabs>
        <w:tab w:val="left" w:pos="1418"/>
      </w:tabs>
      <w:spacing w:after="0" w:line="276" w:lineRule="auto"/>
    </w:pPr>
    <w:rPr>
      <w:rFonts w:eastAsia="Times New Roman" w:cs="Arial"/>
      <w:bCs/>
      <w:color w:val="C00000"/>
      <w:sz w:val="24"/>
      <w:szCs w:val="24"/>
    </w:rPr>
  </w:style>
  <w:style w:type="character" w:customStyle="1" w:styleId="VAHeadingLevel2Char">
    <w:name w:val="VA Heading Level 2 Char"/>
    <w:basedOn w:val="DefaultParagraphFont"/>
    <w:link w:val="VAHeadingLevel2"/>
    <w:rsid w:val="00C17136"/>
    <w:rPr>
      <w:rFonts w:eastAsia="Times New Roman" w:cs="Arial"/>
      <w:bCs/>
      <w:color w:val="C00000"/>
      <w:sz w:val="24"/>
      <w:szCs w:val="24"/>
    </w:rPr>
  </w:style>
  <w:style w:type="paragraph" w:customStyle="1" w:styleId="SoABody">
    <w:name w:val="SoA Body"/>
    <w:basedOn w:val="Heading1"/>
    <w:link w:val="SoABodyChar"/>
    <w:qFormat/>
    <w:rsid w:val="00FB5E24"/>
    <w:pPr>
      <w:keepNext w:val="0"/>
      <w:keepLines w:val="0"/>
      <w:spacing w:before="120" w:after="60" w:line="240" w:lineRule="auto"/>
      <w:ind w:left="851"/>
    </w:pPr>
    <w:rPr>
      <w:rFonts w:ascii="Arial" w:eastAsia="Times New Roman" w:hAnsi="Arial" w:cs="Times New Roman"/>
      <w:bCs/>
      <w:color w:val="000000" w:themeColor="text1"/>
      <w:kern w:val="32"/>
      <w:sz w:val="24"/>
      <w:lang w:eastAsia="en-GB"/>
    </w:rPr>
  </w:style>
  <w:style w:type="character" w:customStyle="1" w:styleId="SoABodyChar">
    <w:name w:val="SoA Body Char"/>
    <w:basedOn w:val="DefaultParagraphFont"/>
    <w:link w:val="SoABody"/>
    <w:rsid w:val="00FB5E24"/>
    <w:rPr>
      <w:rFonts w:ascii="Arial" w:eastAsia="Times New Roman" w:hAnsi="Arial" w:cs="Times New Roman"/>
      <w:bCs/>
      <w:color w:val="000000" w:themeColor="text1"/>
      <w:kern w:val="32"/>
      <w:sz w:val="24"/>
      <w:szCs w:val="32"/>
      <w:lang w:eastAsia="en-GB"/>
    </w:rPr>
  </w:style>
  <w:style w:type="paragraph" w:styleId="CommentSubject">
    <w:name w:val="annotation subject"/>
    <w:basedOn w:val="CommentText"/>
    <w:next w:val="CommentText"/>
    <w:link w:val="CommentSubjectChar"/>
    <w:uiPriority w:val="99"/>
    <w:semiHidden/>
    <w:unhideWhenUsed/>
    <w:rsid w:val="002049B6"/>
    <w:rPr>
      <w:b/>
      <w:bCs/>
    </w:rPr>
  </w:style>
  <w:style w:type="character" w:customStyle="1" w:styleId="CommentSubjectChar">
    <w:name w:val="Comment Subject Char"/>
    <w:basedOn w:val="CommentTextChar"/>
    <w:link w:val="CommentSubject"/>
    <w:uiPriority w:val="99"/>
    <w:semiHidden/>
    <w:rsid w:val="002049B6"/>
    <w:rPr>
      <w:b/>
      <w:bCs/>
      <w:sz w:val="20"/>
      <w:szCs w:val="20"/>
    </w:rPr>
  </w:style>
  <w:style w:type="paragraph" w:styleId="Revision">
    <w:name w:val="Revision"/>
    <w:hidden/>
    <w:uiPriority w:val="99"/>
    <w:semiHidden/>
    <w:rsid w:val="002049B6"/>
    <w:pPr>
      <w:spacing w:after="0" w:line="240" w:lineRule="auto"/>
    </w:pPr>
  </w:style>
  <w:style w:type="paragraph" w:styleId="FootnoteText">
    <w:name w:val="footnote text"/>
    <w:basedOn w:val="Normal"/>
    <w:link w:val="FootnoteTextChar"/>
    <w:uiPriority w:val="99"/>
    <w:unhideWhenUsed/>
    <w:rsid w:val="00E11C49"/>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E11C49"/>
    <w:rPr>
      <w:rFonts w:ascii="Arial" w:eastAsia="Calibri" w:hAnsi="Arial" w:cs="Times New Roman"/>
      <w:sz w:val="20"/>
      <w:szCs w:val="20"/>
    </w:rPr>
  </w:style>
  <w:style w:type="character" w:styleId="FootnoteReference">
    <w:name w:val="footnote reference"/>
    <w:uiPriority w:val="99"/>
    <w:unhideWhenUsed/>
    <w:rsid w:val="00E11C49"/>
    <w:rPr>
      <w:vertAlign w:val="superscript"/>
    </w:rPr>
  </w:style>
  <w:style w:type="paragraph" w:styleId="NoSpacing">
    <w:name w:val="No Spacing"/>
    <w:uiPriority w:val="1"/>
    <w:qFormat/>
    <w:rsid w:val="00E56845"/>
    <w:pPr>
      <w:spacing w:after="0" w:line="240" w:lineRule="auto"/>
    </w:pPr>
    <w:rPr>
      <w:rFonts w:ascii="Calibri" w:eastAsia="Calibri" w:hAnsi="Calibri" w:cs="Times New Roman"/>
    </w:rPr>
  </w:style>
  <w:style w:type="table" w:styleId="TableGrid">
    <w:name w:val="Table Grid"/>
    <w:basedOn w:val="TableNormal"/>
    <w:uiPriority w:val="39"/>
    <w:rsid w:val="0030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4102"/>
    <w:pPr>
      <w:spacing w:after="384" w:line="240" w:lineRule="auto"/>
    </w:pPr>
    <w:rPr>
      <w:rFonts w:ascii="AvenirNextLTW02-Regular" w:eastAsia="Times New Roman" w:hAnsi="AvenirNextLTW02-Regular" w:cs="Times New Roman"/>
      <w:color w:val="4D4D4D"/>
      <w:sz w:val="24"/>
      <w:szCs w:val="24"/>
      <w:lang w:eastAsia="en-GB"/>
    </w:rPr>
  </w:style>
  <w:style w:type="paragraph" w:customStyle="1" w:styleId="Bullet">
    <w:name w:val="Bullet"/>
    <w:basedOn w:val="Normal"/>
    <w:link w:val="BulletChar"/>
    <w:qFormat/>
    <w:rsid w:val="005D747F"/>
    <w:pPr>
      <w:numPr>
        <w:numId w:val="18"/>
      </w:numPr>
      <w:spacing w:before="120" w:after="0" w:line="240" w:lineRule="auto"/>
      <w:ind w:left="357" w:hanging="357"/>
      <w:contextualSpacing/>
    </w:pPr>
    <w:rPr>
      <w:rFonts w:ascii="Verdana" w:eastAsia="Times New Roman" w:hAnsi="Verdana" w:cs="Verdana"/>
      <w:sz w:val="24"/>
      <w:szCs w:val="24"/>
      <w:lang w:eastAsia="en-GB"/>
    </w:rPr>
  </w:style>
  <w:style w:type="character" w:customStyle="1" w:styleId="BulletChar">
    <w:name w:val="Bullet Char"/>
    <w:basedOn w:val="DefaultParagraphFont"/>
    <w:link w:val="Bullet"/>
    <w:rsid w:val="005D747F"/>
    <w:rPr>
      <w:rFonts w:ascii="Verdana" w:eastAsia="Times New Roman" w:hAnsi="Verdana" w:cs="Verdana"/>
      <w:sz w:val="24"/>
      <w:szCs w:val="24"/>
      <w:lang w:eastAsia="en-GB"/>
    </w:rPr>
  </w:style>
  <w:style w:type="character" w:styleId="UnresolvedMention">
    <w:name w:val="Unresolved Mention"/>
    <w:basedOn w:val="DefaultParagraphFont"/>
    <w:uiPriority w:val="99"/>
    <w:semiHidden/>
    <w:unhideWhenUsed/>
    <w:rsid w:val="000C4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24">
      <w:bodyDiv w:val="1"/>
      <w:marLeft w:val="0"/>
      <w:marRight w:val="0"/>
      <w:marTop w:val="0"/>
      <w:marBottom w:val="0"/>
      <w:divBdr>
        <w:top w:val="none" w:sz="0" w:space="0" w:color="auto"/>
        <w:left w:val="none" w:sz="0" w:space="0" w:color="auto"/>
        <w:bottom w:val="none" w:sz="0" w:space="0" w:color="auto"/>
        <w:right w:val="none" w:sz="0" w:space="0" w:color="auto"/>
      </w:divBdr>
    </w:div>
    <w:div w:id="594015">
      <w:bodyDiv w:val="1"/>
      <w:marLeft w:val="0"/>
      <w:marRight w:val="0"/>
      <w:marTop w:val="0"/>
      <w:marBottom w:val="0"/>
      <w:divBdr>
        <w:top w:val="none" w:sz="0" w:space="0" w:color="auto"/>
        <w:left w:val="none" w:sz="0" w:space="0" w:color="auto"/>
        <w:bottom w:val="none" w:sz="0" w:space="0" w:color="auto"/>
        <w:right w:val="none" w:sz="0" w:space="0" w:color="auto"/>
      </w:divBdr>
    </w:div>
    <w:div w:id="933434">
      <w:bodyDiv w:val="1"/>
      <w:marLeft w:val="0"/>
      <w:marRight w:val="0"/>
      <w:marTop w:val="0"/>
      <w:marBottom w:val="0"/>
      <w:divBdr>
        <w:top w:val="none" w:sz="0" w:space="0" w:color="auto"/>
        <w:left w:val="none" w:sz="0" w:space="0" w:color="auto"/>
        <w:bottom w:val="none" w:sz="0" w:space="0" w:color="auto"/>
        <w:right w:val="none" w:sz="0" w:space="0" w:color="auto"/>
      </w:divBdr>
    </w:div>
    <w:div w:id="1277870">
      <w:bodyDiv w:val="1"/>
      <w:marLeft w:val="0"/>
      <w:marRight w:val="0"/>
      <w:marTop w:val="0"/>
      <w:marBottom w:val="0"/>
      <w:divBdr>
        <w:top w:val="none" w:sz="0" w:space="0" w:color="auto"/>
        <w:left w:val="none" w:sz="0" w:space="0" w:color="auto"/>
        <w:bottom w:val="none" w:sz="0" w:space="0" w:color="auto"/>
        <w:right w:val="none" w:sz="0" w:space="0" w:color="auto"/>
      </w:divBdr>
    </w:div>
    <w:div w:id="2246345">
      <w:bodyDiv w:val="1"/>
      <w:marLeft w:val="0"/>
      <w:marRight w:val="0"/>
      <w:marTop w:val="0"/>
      <w:marBottom w:val="0"/>
      <w:divBdr>
        <w:top w:val="none" w:sz="0" w:space="0" w:color="auto"/>
        <w:left w:val="none" w:sz="0" w:space="0" w:color="auto"/>
        <w:bottom w:val="none" w:sz="0" w:space="0" w:color="auto"/>
        <w:right w:val="none" w:sz="0" w:space="0" w:color="auto"/>
      </w:divBdr>
    </w:div>
    <w:div w:id="3020556">
      <w:bodyDiv w:val="1"/>
      <w:marLeft w:val="0"/>
      <w:marRight w:val="0"/>
      <w:marTop w:val="0"/>
      <w:marBottom w:val="0"/>
      <w:divBdr>
        <w:top w:val="none" w:sz="0" w:space="0" w:color="auto"/>
        <w:left w:val="none" w:sz="0" w:space="0" w:color="auto"/>
        <w:bottom w:val="none" w:sz="0" w:space="0" w:color="auto"/>
        <w:right w:val="none" w:sz="0" w:space="0" w:color="auto"/>
      </w:divBdr>
    </w:div>
    <w:div w:id="3480295">
      <w:bodyDiv w:val="1"/>
      <w:marLeft w:val="0"/>
      <w:marRight w:val="0"/>
      <w:marTop w:val="0"/>
      <w:marBottom w:val="0"/>
      <w:divBdr>
        <w:top w:val="none" w:sz="0" w:space="0" w:color="auto"/>
        <w:left w:val="none" w:sz="0" w:space="0" w:color="auto"/>
        <w:bottom w:val="none" w:sz="0" w:space="0" w:color="auto"/>
        <w:right w:val="none" w:sz="0" w:space="0" w:color="auto"/>
      </w:divBdr>
    </w:div>
    <w:div w:id="3484316">
      <w:bodyDiv w:val="1"/>
      <w:marLeft w:val="0"/>
      <w:marRight w:val="0"/>
      <w:marTop w:val="0"/>
      <w:marBottom w:val="0"/>
      <w:divBdr>
        <w:top w:val="none" w:sz="0" w:space="0" w:color="auto"/>
        <w:left w:val="none" w:sz="0" w:space="0" w:color="auto"/>
        <w:bottom w:val="none" w:sz="0" w:space="0" w:color="auto"/>
        <w:right w:val="none" w:sz="0" w:space="0" w:color="auto"/>
      </w:divBdr>
    </w:div>
    <w:div w:id="3485475">
      <w:bodyDiv w:val="1"/>
      <w:marLeft w:val="0"/>
      <w:marRight w:val="0"/>
      <w:marTop w:val="0"/>
      <w:marBottom w:val="0"/>
      <w:divBdr>
        <w:top w:val="none" w:sz="0" w:space="0" w:color="auto"/>
        <w:left w:val="none" w:sz="0" w:space="0" w:color="auto"/>
        <w:bottom w:val="none" w:sz="0" w:space="0" w:color="auto"/>
        <w:right w:val="none" w:sz="0" w:space="0" w:color="auto"/>
      </w:divBdr>
    </w:div>
    <w:div w:id="4674830">
      <w:bodyDiv w:val="1"/>
      <w:marLeft w:val="0"/>
      <w:marRight w:val="0"/>
      <w:marTop w:val="0"/>
      <w:marBottom w:val="0"/>
      <w:divBdr>
        <w:top w:val="none" w:sz="0" w:space="0" w:color="auto"/>
        <w:left w:val="none" w:sz="0" w:space="0" w:color="auto"/>
        <w:bottom w:val="none" w:sz="0" w:space="0" w:color="auto"/>
        <w:right w:val="none" w:sz="0" w:space="0" w:color="auto"/>
      </w:divBdr>
    </w:div>
    <w:div w:id="4789644">
      <w:bodyDiv w:val="1"/>
      <w:marLeft w:val="0"/>
      <w:marRight w:val="0"/>
      <w:marTop w:val="0"/>
      <w:marBottom w:val="0"/>
      <w:divBdr>
        <w:top w:val="none" w:sz="0" w:space="0" w:color="auto"/>
        <w:left w:val="none" w:sz="0" w:space="0" w:color="auto"/>
        <w:bottom w:val="none" w:sz="0" w:space="0" w:color="auto"/>
        <w:right w:val="none" w:sz="0" w:space="0" w:color="auto"/>
      </w:divBdr>
    </w:div>
    <w:div w:id="4870577">
      <w:bodyDiv w:val="1"/>
      <w:marLeft w:val="0"/>
      <w:marRight w:val="0"/>
      <w:marTop w:val="0"/>
      <w:marBottom w:val="0"/>
      <w:divBdr>
        <w:top w:val="none" w:sz="0" w:space="0" w:color="auto"/>
        <w:left w:val="none" w:sz="0" w:space="0" w:color="auto"/>
        <w:bottom w:val="none" w:sz="0" w:space="0" w:color="auto"/>
        <w:right w:val="none" w:sz="0" w:space="0" w:color="auto"/>
      </w:divBdr>
    </w:div>
    <w:div w:id="5518736">
      <w:bodyDiv w:val="1"/>
      <w:marLeft w:val="0"/>
      <w:marRight w:val="0"/>
      <w:marTop w:val="0"/>
      <w:marBottom w:val="0"/>
      <w:divBdr>
        <w:top w:val="none" w:sz="0" w:space="0" w:color="auto"/>
        <w:left w:val="none" w:sz="0" w:space="0" w:color="auto"/>
        <w:bottom w:val="none" w:sz="0" w:space="0" w:color="auto"/>
        <w:right w:val="none" w:sz="0" w:space="0" w:color="auto"/>
      </w:divBdr>
    </w:div>
    <w:div w:id="5905308">
      <w:bodyDiv w:val="1"/>
      <w:marLeft w:val="0"/>
      <w:marRight w:val="0"/>
      <w:marTop w:val="0"/>
      <w:marBottom w:val="0"/>
      <w:divBdr>
        <w:top w:val="none" w:sz="0" w:space="0" w:color="auto"/>
        <w:left w:val="none" w:sz="0" w:space="0" w:color="auto"/>
        <w:bottom w:val="none" w:sz="0" w:space="0" w:color="auto"/>
        <w:right w:val="none" w:sz="0" w:space="0" w:color="auto"/>
      </w:divBdr>
    </w:div>
    <w:div w:id="6181158">
      <w:bodyDiv w:val="1"/>
      <w:marLeft w:val="0"/>
      <w:marRight w:val="0"/>
      <w:marTop w:val="0"/>
      <w:marBottom w:val="0"/>
      <w:divBdr>
        <w:top w:val="none" w:sz="0" w:space="0" w:color="auto"/>
        <w:left w:val="none" w:sz="0" w:space="0" w:color="auto"/>
        <w:bottom w:val="none" w:sz="0" w:space="0" w:color="auto"/>
        <w:right w:val="none" w:sz="0" w:space="0" w:color="auto"/>
      </w:divBdr>
    </w:div>
    <w:div w:id="7025683">
      <w:bodyDiv w:val="1"/>
      <w:marLeft w:val="0"/>
      <w:marRight w:val="0"/>
      <w:marTop w:val="0"/>
      <w:marBottom w:val="0"/>
      <w:divBdr>
        <w:top w:val="none" w:sz="0" w:space="0" w:color="auto"/>
        <w:left w:val="none" w:sz="0" w:space="0" w:color="auto"/>
        <w:bottom w:val="none" w:sz="0" w:space="0" w:color="auto"/>
        <w:right w:val="none" w:sz="0" w:space="0" w:color="auto"/>
      </w:divBdr>
    </w:div>
    <w:div w:id="9600333">
      <w:bodyDiv w:val="1"/>
      <w:marLeft w:val="0"/>
      <w:marRight w:val="0"/>
      <w:marTop w:val="0"/>
      <w:marBottom w:val="0"/>
      <w:divBdr>
        <w:top w:val="none" w:sz="0" w:space="0" w:color="auto"/>
        <w:left w:val="none" w:sz="0" w:space="0" w:color="auto"/>
        <w:bottom w:val="none" w:sz="0" w:space="0" w:color="auto"/>
        <w:right w:val="none" w:sz="0" w:space="0" w:color="auto"/>
      </w:divBdr>
    </w:div>
    <w:div w:id="10960625">
      <w:bodyDiv w:val="1"/>
      <w:marLeft w:val="0"/>
      <w:marRight w:val="0"/>
      <w:marTop w:val="0"/>
      <w:marBottom w:val="0"/>
      <w:divBdr>
        <w:top w:val="none" w:sz="0" w:space="0" w:color="auto"/>
        <w:left w:val="none" w:sz="0" w:space="0" w:color="auto"/>
        <w:bottom w:val="none" w:sz="0" w:space="0" w:color="auto"/>
        <w:right w:val="none" w:sz="0" w:space="0" w:color="auto"/>
      </w:divBdr>
    </w:div>
    <w:div w:id="11298751">
      <w:bodyDiv w:val="1"/>
      <w:marLeft w:val="0"/>
      <w:marRight w:val="0"/>
      <w:marTop w:val="0"/>
      <w:marBottom w:val="0"/>
      <w:divBdr>
        <w:top w:val="none" w:sz="0" w:space="0" w:color="auto"/>
        <w:left w:val="none" w:sz="0" w:space="0" w:color="auto"/>
        <w:bottom w:val="none" w:sz="0" w:space="0" w:color="auto"/>
        <w:right w:val="none" w:sz="0" w:space="0" w:color="auto"/>
      </w:divBdr>
    </w:div>
    <w:div w:id="12150768">
      <w:bodyDiv w:val="1"/>
      <w:marLeft w:val="0"/>
      <w:marRight w:val="0"/>
      <w:marTop w:val="0"/>
      <w:marBottom w:val="0"/>
      <w:divBdr>
        <w:top w:val="none" w:sz="0" w:space="0" w:color="auto"/>
        <w:left w:val="none" w:sz="0" w:space="0" w:color="auto"/>
        <w:bottom w:val="none" w:sz="0" w:space="0" w:color="auto"/>
        <w:right w:val="none" w:sz="0" w:space="0" w:color="auto"/>
      </w:divBdr>
    </w:div>
    <w:div w:id="12808152">
      <w:bodyDiv w:val="1"/>
      <w:marLeft w:val="0"/>
      <w:marRight w:val="0"/>
      <w:marTop w:val="0"/>
      <w:marBottom w:val="0"/>
      <w:divBdr>
        <w:top w:val="none" w:sz="0" w:space="0" w:color="auto"/>
        <w:left w:val="none" w:sz="0" w:space="0" w:color="auto"/>
        <w:bottom w:val="none" w:sz="0" w:space="0" w:color="auto"/>
        <w:right w:val="none" w:sz="0" w:space="0" w:color="auto"/>
      </w:divBdr>
    </w:div>
    <w:div w:id="13071821">
      <w:bodyDiv w:val="1"/>
      <w:marLeft w:val="0"/>
      <w:marRight w:val="0"/>
      <w:marTop w:val="0"/>
      <w:marBottom w:val="0"/>
      <w:divBdr>
        <w:top w:val="none" w:sz="0" w:space="0" w:color="auto"/>
        <w:left w:val="none" w:sz="0" w:space="0" w:color="auto"/>
        <w:bottom w:val="none" w:sz="0" w:space="0" w:color="auto"/>
        <w:right w:val="none" w:sz="0" w:space="0" w:color="auto"/>
      </w:divBdr>
    </w:div>
    <w:div w:id="14506389">
      <w:bodyDiv w:val="1"/>
      <w:marLeft w:val="0"/>
      <w:marRight w:val="0"/>
      <w:marTop w:val="0"/>
      <w:marBottom w:val="0"/>
      <w:divBdr>
        <w:top w:val="none" w:sz="0" w:space="0" w:color="auto"/>
        <w:left w:val="none" w:sz="0" w:space="0" w:color="auto"/>
        <w:bottom w:val="none" w:sz="0" w:space="0" w:color="auto"/>
        <w:right w:val="none" w:sz="0" w:space="0" w:color="auto"/>
      </w:divBdr>
    </w:div>
    <w:div w:id="14885749">
      <w:bodyDiv w:val="1"/>
      <w:marLeft w:val="0"/>
      <w:marRight w:val="0"/>
      <w:marTop w:val="0"/>
      <w:marBottom w:val="0"/>
      <w:divBdr>
        <w:top w:val="none" w:sz="0" w:space="0" w:color="auto"/>
        <w:left w:val="none" w:sz="0" w:space="0" w:color="auto"/>
        <w:bottom w:val="none" w:sz="0" w:space="0" w:color="auto"/>
        <w:right w:val="none" w:sz="0" w:space="0" w:color="auto"/>
      </w:divBdr>
    </w:div>
    <w:div w:id="15859895">
      <w:bodyDiv w:val="1"/>
      <w:marLeft w:val="0"/>
      <w:marRight w:val="0"/>
      <w:marTop w:val="0"/>
      <w:marBottom w:val="0"/>
      <w:divBdr>
        <w:top w:val="none" w:sz="0" w:space="0" w:color="auto"/>
        <w:left w:val="none" w:sz="0" w:space="0" w:color="auto"/>
        <w:bottom w:val="none" w:sz="0" w:space="0" w:color="auto"/>
        <w:right w:val="none" w:sz="0" w:space="0" w:color="auto"/>
      </w:divBdr>
    </w:div>
    <w:div w:id="16543425">
      <w:bodyDiv w:val="1"/>
      <w:marLeft w:val="0"/>
      <w:marRight w:val="0"/>
      <w:marTop w:val="0"/>
      <w:marBottom w:val="0"/>
      <w:divBdr>
        <w:top w:val="none" w:sz="0" w:space="0" w:color="auto"/>
        <w:left w:val="none" w:sz="0" w:space="0" w:color="auto"/>
        <w:bottom w:val="none" w:sz="0" w:space="0" w:color="auto"/>
        <w:right w:val="none" w:sz="0" w:space="0" w:color="auto"/>
      </w:divBdr>
    </w:div>
    <w:div w:id="16933776">
      <w:bodyDiv w:val="1"/>
      <w:marLeft w:val="0"/>
      <w:marRight w:val="0"/>
      <w:marTop w:val="0"/>
      <w:marBottom w:val="0"/>
      <w:divBdr>
        <w:top w:val="none" w:sz="0" w:space="0" w:color="auto"/>
        <w:left w:val="none" w:sz="0" w:space="0" w:color="auto"/>
        <w:bottom w:val="none" w:sz="0" w:space="0" w:color="auto"/>
        <w:right w:val="none" w:sz="0" w:space="0" w:color="auto"/>
      </w:divBdr>
    </w:div>
    <w:div w:id="17050731">
      <w:bodyDiv w:val="1"/>
      <w:marLeft w:val="0"/>
      <w:marRight w:val="0"/>
      <w:marTop w:val="0"/>
      <w:marBottom w:val="0"/>
      <w:divBdr>
        <w:top w:val="none" w:sz="0" w:space="0" w:color="auto"/>
        <w:left w:val="none" w:sz="0" w:space="0" w:color="auto"/>
        <w:bottom w:val="none" w:sz="0" w:space="0" w:color="auto"/>
        <w:right w:val="none" w:sz="0" w:space="0" w:color="auto"/>
      </w:divBdr>
    </w:div>
    <w:div w:id="18240553">
      <w:bodyDiv w:val="1"/>
      <w:marLeft w:val="0"/>
      <w:marRight w:val="0"/>
      <w:marTop w:val="0"/>
      <w:marBottom w:val="0"/>
      <w:divBdr>
        <w:top w:val="none" w:sz="0" w:space="0" w:color="auto"/>
        <w:left w:val="none" w:sz="0" w:space="0" w:color="auto"/>
        <w:bottom w:val="none" w:sz="0" w:space="0" w:color="auto"/>
        <w:right w:val="none" w:sz="0" w:space="0" w:color="auto"/>
      </w:divBdr>
    </w:div>
    <w:div w:id="19015355">
      <w:bodyDiv w:val="1"/>
      <w:marLeft w:val="0"/>
      <w:marRight w:val="0"/>
      <w:marTop w:val="0"/>
      <w:marBottom w:val="0"/>
      <w:divBdr>
        <w:top w:val="none" w:sz="0" w:space="0" w:color="auto"/>
        <w:left w:val="none" w:sz="0" w:space="0" w:color="auto"/>
        <w:bottom w:val="none" w:sz="0" w:space="0" w:color="auto"/>
        <w:right w:val="none" w:sz="0" w:space="0" w:color="auto"/>
      </w:divBdr>
    </w:div>
    <w:div w:id="20009224">
      <w:bodyDiv w:val="1"/>
      <w:marLeft w:val="0"/>
      <w:marRight w:val="0"/>
      <w:marTop w:val="0"/>
      <w:marBottom w:val="0"/>
      <w:divBdr>
        <w:top w:val="none" w:sz="0" w:space="0" w:color="auto"/>
        <w:left w:val="none" w:sz="0" w:space="0" w:color="auto"/>
        <w:bottom w:val="none" w:sz="0" w:space="0" w:color="auto"/>
        <w:right w:val="none" w:sz="0" w:space="0" w:color="auto"/>
      </w:divBdr>
    </w:div>
    <w:div w:id="22219582">
      <w:bodyDiv w:val="1"/>
      <w:marLeft w:val="0"/>
      <w:marRight w:val="0"/>
      <w:marTop w:val="0"/>
      <w:marBottom w:val="0"/>
      <w:divBdr>
        <w:top w:val="none" w:sz="0" w:space="0" w:color="auto"/>
        <w:left w:val="none" w:sz="0" w:space="0" w:color="auto"/>
        <w:bottom w:val="none" w:sz="0" w:space="0" w:color="auto"/>
        <w:right w:val="none" w:sz="0" w:space="0" w:color="auto"/>
      </w:divBdr>
    </w:div>
    <w:div w:id="22295012">
      <w:bodyDiv w:val="1"/>
      <w:marLeft w:val="0"/>
      <w:marRight w:val="0"/>
      <w:marTop w:val="0"/>
      <w:marBottom w:val="0"/>
      <w:divBdr>
        <w:top w:val="none" w:sz="0" w:space="0" w:color="auto"/>
        <w:left w:val="none" w:sz="0" w:space="0" w:color="auto"/>
        <w:bottom w:val="none" w:sz="0" w:space="0" w:color="auto"/>
        <w:right w:val="none" w:sz="0" w:space="0" w:color="auto"/>
      </w:divBdr>
    </w:div>
    <w:div w:id="23213203">
      <w:bodyDiv w:val="1"/>
      <w:marLeft w:val="0"/>
      <w:marRight w:val="0"/>
      <w:marTop w:val="0"/>
      <w:marBottom w:val="0"/>
      <w:divBdr>
        <w:top w:val="none" w:sz="0" w:space="0" w:color="auto"/>
        <w:left w:val="none" w:sz="0" w:space="0" w:color="auto"/>
        <w:bottom w:val="none" w:sz="0" w:space="0" w:color="auto"/>
        <w:right w:val="none" w:sz="0" w:space="0" w:color="auto"/>
      </w:divBdr>
    </w:div>
    <w:div w:id="23406875">
      <w:bodyDiv w:val="1"/>
      <w:marLeft w:val="0"/>
      <w:marRight w:val="0"/>
      <w:marTop w:val="0"/>
      <w:marBottom w:val="0"/>
      <w:divBdr>
        <w:top w:val="none" w:sz="0" w:space="0" w:color="auto"/>
        <w:left w:val="none" w:sz="0" w:space="0" w:color="auto"/>
        <w:bottom w:val="none" w:sz="0" w:space="0" w:color="auto"/>
        <w:right w:val="none" w:sz="0" w:space="0" w:color="auto"/>
      </w:divBdr>
    </w:div>
    <w:div w:id="23680311">
      <w:bodyDiv w:val="1"/>
      <w:marLeft w:val="0"/>
      <w:marRight w:val="0"/>
      <w:marTop w:val="0"/>
      <w:marBottom w:val="0"/>
      <w:divBdr>
        <w:top w:val="none" w:sz="0" w:space="0" w:color="auto"/>
        <w:left w:val="none" w:sz="0" w:space="0" w:color="auto"/>
        <w:bottom w:val="none" w:sz="0" w:space="0" w:color="auto"/>
        <w:right w:val="none" w:sz="0" w:space="0" w:color="auto"/>
      </w:divBdr>
    </w:div>
    <w:div w:id="23797113">
      <w:bodyDiv w:val="1"/>
      <w:marLeft w:val="0"/>
      <w:marRight w:val="0"/>
      <w:marTop w:val="0"/>
      <w:marBottom w:val="0"/>
      <w:divBdr>
        <w:top w:val="none" w:sz="0" w:space="0" w:color="auto"/>
        <w:left w:val="none" w:sz="0" w:space="0" w:color="auto"/>
        <w:bottom w:val="none" w:sz="0" w:space="0" w:color="auto"/>
        <w:right w:val="none" w:sz="0" w:space="0" w:color="auto"/>
      </w:divBdr>
    </w:div>
    <w:div w:id="23869328">
      <w:bodyDiv w:val="1"/>
      <w:marLeft w:val="0"/>
      <w:marRight w:val="0"/>
      <w:marTop w:val="0"/>
      <w:marBottom w:val="0"/>
      <w:divBdr>
        <w:top w:val="none" w:sz="0" w:space="0" w:color="auto"/>
        <w:left w:val="none" w:sz="0" w:space="0" w:color="auto"/>
        <w:bottom w:val="none" w:sz="0" w:space="0" w:color="auto"/>
        <w:right w:val="none" w:sz="0" w:space="0" w:color="auto"/>
      </w:divBdr>
    </w:div>
    <w:div w:id="24183179">
      <w:bodyDiv w:val="1"/>
      <w:marLeft w:val="0"/>
      <w:marRight w:val="0"/>
      <w:marTop w:val="0"/>
      <w:marBottom w:val="0"/>
      <w:divBdr>
        <w:top w:val="none" w:sz="0" w:space="0" w:color="auto"/>
        <w:left w:val="none" w:sz="0" w:space="0" w:color="auto"/>
        <w:bottom w:val="none" w:sz="0" w:space="0" w:color="auto"/>
        <w:right w:val="none" w:sz="0" w:space="0" w:color="auto"/>
      </w:divBdr>
    </w:div>
    <w:div w:id="25566797">
      <w:bodyDiv w:val="1"/>
      <w:marLeft w:val="0"/>
      <w:marRight w:val="0"/>
      <w:marTop w:val="0"/>
      <w:marBottom w:val="0"/>
      <w:divBdr>
        <w:top w:val="none" w:sz="0" w:space="0" w:color="auto"/>
        <w:left w:val="none" w:sz="0" w:space="0" w:color="auto"/>
        <w:bottom w:val="none" w:sz="0" w:space="0" w:color="auto"/>
        <w:right w:val="none" w:sz="0" w:space="0" w:color="auto"/>
      </w:divBdr>
    </w:div>
    <w:div w:id="25952563">
      <w:bodyDiv w:val="1"/>
      <w:marLeft w:val="0"/>
      <w:marRight w:val="0"/>
      <w:marTop w:val="0"/>
      <w:marBottom w:val="0"/>
      <w:divBdr>
        <w:top w:val="none" w:sz="0" w:space="0" w:color="auto"/>
        <w:left w:val="none" w:sz="0" w:space="0" w:color="auto"/>
        <w:bottom w:val="none" w:sz="0" w:space="0" w:color="auto"/>
        <w:right w:val="none" w:sz="0" w:space="0" w:color="auto"/>
      </w:divBdr>
    </w:div>
    <w:div w:id="26225359">
      <w:bodyDiv w:val="1"/>
      <w:marLeft w:val="0"/>
      <w:marRight w:val="0"/>
      <w:marTop w:val="0"/>
      <w:marBottom w:val="0"/>
      <w:divBdr>
        <w:top w:val="none" w:sz="0" w:space="0" w:color="auto"/>
        <w:left w:val="none" w:sz="0" w:space="0" w:color="auto"/>
        <w:bottom w:val="none" w:sz="0" w:space="0" w:color="auto"/>
        <w:right w:val="none" w:sz="0" w:space="0" w:color="auto"/>
      </w:divBdr>
    </w:div>
    <w:div w:id="27071879">
      <w:bodyDiv w:val="1"/>
      <w:marLeft w:val="0"/>
      <w:marRight w:val="0"/>
      <w:marTop w:val="0"/>
      <w:marBottom w:val="0"/>
      <w:divBdr>
        <w:top w:val="none" w:sz="0" w:space="0" w:color="auto"/>
        <w:left w:val="none" w:sz="0" w:space="0" w:color="auto"/>
        <w:bottom w:val="none" w:sz="0" w:space="0" w:color="auto"/>
        <w:right w:val="none" w:sz="0" w:space="0" w:color="auto"/>
      </w:divBdr>
    </w:div>
    <w:div w:id="27533103">
      <w:bodyDiv w:val="1"/>
      <w:marLeft w:val="0"/>
      <w:marRight w:val="0"/>
      <w:marTop w:val="0"/>
      <w:marBottom w:val="0"/>
      <w:divBdr>
        <w:top w:val="none" w:sz="0" w:space="0" w:color="auto"/>
        <w:left w:val="none" w:sz="0" w:space="0" w:color="auto"/>
        <w:bottom w:val="none" w:sz="0" w:space="0" w:color="auto"/>
        <w:right w:val="none" w:sz="0" w:space="0" w:color="auto"/>
      </w:divBdr>
    </w:div>
    <w:div w:id="28116747">
      <w:bodyDiv w:val="1"/>
      <w:marLeft w:val="0"/>
      <w:marRight w:val="0"/>
      <w:marTop w:val="0"/>
      <w:marBottom w:val="0"/>
      <w:divBdr>
        <w:top w:val="none" w:sz="0" w:space="0" w:color="auto"/>
        <w:left w:val="none" w:sz="0" w:space="0" w:color="auto"/>
        <w:bottom w:val="none" w:sz="0" w:space="0" w:color="auto"/>
        <w:right w:val="none" w:sz="0" w:space="0" w:color="auto"/>
      </w:divBdr>
    </w:div>
    <w:div w:id="28343344">
      <w:bodyDiv w:val="1"/>
      <w:marLeft w:val="0"/>
      <w:marRight w:val="0"/>
      <w:marTop w:val="0"/>
      <w:marBottom w:val="0"/>
      <w:divBdr>
        <w:top w:val="none" w:sz="0" w:space="0" w:color="auto"/>
        <w:left w:val="none" w:sz="0" w:space="0" w:color="auto"/>
        <w:bottom w:val="none" w:sz="0" w:space="0" w:color="auto"/>
        <w:right w:val="none" w:sz="0" w:space="0" w:color="auto"/>
      </w:divBdr>
    </w:div>
    <w:div w:id="29189656">
      <w:bodyDiv w:val="1"/>
      <w:marLeft w:val="0"/>
      <w:marRight w:val="0"/>
      <w:marTop w:val="0"/>
      <w:marBottom w:val="0"/>
      <w:divBdr>
        <w:top w:val="none" w:sz="0" w:space="0" w:color="auto"/>
        <w:left w:val="none" w:sz="0" w:space="0" w:color="auto"/>
        <w:bottom w:val="none" w:sz="0" w:space="0" w:color="auto"/>
        <w:right w:val="none" w:sz="0" w:space="0" w:color="auto"/>
      </w:divBdr>
    </w:div>
    <w:div w:id="32199549">
      <w:bodyDiv w:val="1"/>
      <w:marLeft w:val="0"/>
      <w:marRight w:val="0"/>
      <w:marTop w:val="0"/>
      <w:marBottom w:val="0"/>
      <w:divBdr>
        <w:top w:val="none" w:sz="0" w:space="0" w:color="auto"/>
        <w:left w:val="none" w:sz="0" w:space="0" w:color="auto"/>
        <w:bottom w:val="none" w:sz="0" w:space="0" w:color="auto"/>
        <w:right w:val="none" w:sz="0" w:space="0" w:color="auto"/>
      </w:divBdr>
    </w:div>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32656829">
      <w:bodyDiv w:val="1"/>
      <w:marLeft w:val="0"/>
      <w:marRight w:val="0"/>
      <w:marTop w:val="0"/>
      <w:marBottom w:val="0"/>
      <w:divBdr>
        <w:top w:val="none" w:sz="0" w:space="0" w:color="auto"/>
        <w:left w:val="none" w:sz="0" w:space="0" w:color="auto"/>
        <w:bottom w:val="none" w:sz="0" w:space="0" w:color="auto"/>
        <w:right w:val="none" w:sz="0" w:space="0" w:color="auto"/>
      </w:divBdr>
    </w:div>
    <w:div w:id="33040955">
      <w:bodyDiv w:val="1"/>
      <w:marLeft w:val="0"/>
      <w:marRight w:val="0"/>
      <w:marTop w:val="0"/>
      <w:marBottom w:val="0"/>
      <w:divBdr>
        <w:top w:val="none" w:sz="0" w:space="0" w:color="auto"/>
        <w:left w:val="none" w:sz="0" w:space="0" w:color="auto"/>
        <w:bottom w:val="none" w:sz="0" w:space="0" w:color="auto"/>
        <w:right w:val="none" w:sz="0" w:space="0" w:color="auto"/>
      </w:divBdr>
    </w:div>
    <w:div w:id="33191084">
      <w:bodyDiv w:val="1"/>
      <w:marLeft w:val="0"/>
      <w:marRight w:val="0"/>
      <w:marTop w:val="0"/>
      <w:marBottom w:val="0"/>
      <w:divBdr>
        <w:top w:val="none" w:sz="0" w:space="0" w:color="auto"/>
        <w:left w:val="none" w:sz="0" w:space="0" w:color="auto"/>
        <w:bottom w:val="none" w:sz="0" w:space="0" w:color="auto"/>
        <w:right w:val="none" w:sz="0" w:space="0" w:color="auto"/>
      </w:divBdr>
    </w:div>
    <w:div w:id="33504300">
      <w:bodyDiv w:val="1"/>
      <w:marLeft w:val="0"/>
      <w:marRight w:val="0"/>
      <w:marTop w:val="0"/>
      <w:marBottom w:val="0"/>
      <w:divBdr>
        <w:top w:val="none" w:sz="0" w:space="0" w:color="auto"/>
        <w:left w:val="none" w:sz="0" w:space="0" w:color="auto"/>
        <w:bottom w:val="none" w:sz="0" w:space="0" w:color="auto"/>
        <w:right w:val="none" w:sz="0" w:space="0" w:color="auto"/>
      </w:divBdr>
    </w:div>
    <w:div w:id="35012303">
      <w:bodyDiv w:val="1"/>
      <w:marLeft w:val="0"/>
      <w:marRight w:val="0"/>
      <w:marTop w:val="0"/>
      <w:marBottom w:val="0"/>
      <w:divBdr>
        <w:top w:val="none" w:sz="0" w:space="0" w:color="auto"/>
        <w:left w:val="none" w:sz="0" w:space="0" w:color="auto"/>
        <w:bottom w:val="none" w:sz="0" w:space="0" w:color="auto"/>
        <w:right w:val="none" w:sz="0" w:space="0" w:color="auto"/>
      </w:divBdr>
    </w:div>
    <w:div w:id="35933999">
      <w:bodyDiv w:val="1"/>
      <w:marLeft w:val="0"/>
      <w:marRight w:val="0"/>
      <w:marTop w:val="0"/>
      <w:marBottom w:val="0"/>
      <w:divBdr>
        <w:top w:val="none" w:sz="0" w:space="0" w:color="auto"/>
        <w:left w:val="none" w:sz="0" w:space="0" w:color="auto"/>
        <w:bottom w:val="none" w:sz="0" w:space="0" w:color="auto"/>
        <w:right w:val="none" w:sz="0" w:space="0" w:color="auto"/>
      </w:divBdr>
    </w:div>
    <w:div w:id="36050396">
      <w:bodyDiv w:val="1"/>
      <w:marLeft w:val="0"/>
      <w:marRight w:val="0"/>
      <w:marTop w:val="0"/>
      <w:marBottom w:val="0"/>
      <w:divBdr>
        <w:top w:val="none" w:sz="0" w:space="0" w:color="auto"/>
        <w:left w:val="none" w:sz="0" w:space="0" w:color="auto"/>
        <w:bottom w:val="none" w:sz="0" w:space="0" w:color="auto"/>
        <w:right w:val="none" w:sz="0" w:space="0" w:color="auto"/>
      </w:divBdr>
    </w:div>
    <w:div w:id="36056156">
      <w:bodyDiv w:val="1"/>
      <w:marLeft w:val="0"/>
      <w:marRight w:val="0"/>
      <w:marTop w:val="0"/>
      <w:marBottom w:val="0"/>
      <w:divBdr>
        <w:top w:val="none" w:sz="0" w:space="0" w:color="auto"/>
        <w:left w:val="none" w:sz="0" w:space="0" w:color="auto"/>
        <w:bottom w:val="none" w:sz="0" w:space="0" w:color="auto"/>
        <w:right w:val="none" w:sz="0" w:space="0" w:color="auto"/>
      </w:divBdr>
    </w:div>
    <w:div w:id="36442233">
      <w:bodyDiv w:val="1"/>
      <w:marLeft w:val="0"/>
      <w:marRight w:val="0"/>
      <w:marTop w:val="0"/>
      <w:marBottom w:val="0"/>
      <w:divBdr>
        <w:top w:val="none" w:sz="0" w:space="0" w:color="auto"/>
        <w:left w:val="none" w:sz="0" w:space="0" w:color="auto"/>
        <w:bottom w:val="none" w:sz="0" w:space="0" w:color="auto"/>
        <w:right w:val="none" w:sz="0" w:space="0" w:color="auto"/>
      </w:divBdr>
    </w:div>
    <w:div w:id="37121460">
      <w:bodyDiv w:val="1"/>
      <w:marLeft w:val="0"/>
      <w:marRight w:val="0"/>
      <w:marTop w:val="0"/>
      <w:marBottom w:val="0"/>
      <w:divBdr>
        <w:top w:val="none" w:sz="0" w:space="0" w:color="auto"/>
        <w:left w:val="none" w:sz="0" w:space="0" w:color="auto"/>
        <w:bottom w:val="none" w:sz="0" w:space="0" w:color="auto"/>
        <w:right w:val="none" w:sz="0" w:space="0" w:color="auto"/>
      </w:divBdr>
    </w:div>
    <w:div w:id="37776999">
      <w:bodyDiv w:val="1"/>
      <w:marLeft w:val="0"/>
      <w:marRight w:val="0"/>
      <w:marTop w:val="0"/>
      <w:marBottom w:val="0"/>
      <w:divBdr>
        <w:top w:val="none" w:sz="0" w:space="0" w:color="auto"/>
        <w:left w:val="none" w:sz="0" w:space="0" w:color="auto"/>
        <w:bottom w:val="none" w:sz="0" w:space="0" w:color="auto"/>
        <w:right w:val="none" w:sz="0" w:space="0" w:color="auto"/>
      </w:divBdr>
    </w:div>
    <w:div w:id="39138934">
      <w:bodyDiv w:val="1"/>
      <w:marLeft w:val="0"/>
      <w:marRight w:val="0"/>
      <w:marTop w:val="0"/>
      <w:marBottom w:val="0"/>
      <w:divBdr>
        <w:top w:val="none" w:sz="0" w:space="0" w:color="auto"/>
        <w:left w:val="none" w:sz="0" w:space="0" w:color="auto"/>
        <w:bottom w:val="none" w:sz="0" w:space="0" w:color="auto"/>
        <w:right w:val="none" w:sz="0" w:space="0" w:color="auto"/>
      </w:divBdr>
    </w:div>
    <w:div w:id="39985655">
      <w:bodyDiv w:val="1"/>
      <w:marLeft w:val="0"/>
      <w:marRight w:val="0"/>
      <w:marTop w:val="0"/>
      <w:marBottom w:val="0"/>
      <w:divBdr>
        <w:top w:val="none" w:sz="0" w:space="0" w:color="auto"/>
        <w:left w:val="none" w:sz="0" w:space="0" w:color="auto"/>
        <w:bottom w:val="none" w:sz="0" w:space="0" w:color="auto"/>
        <w:right w:val="none" w:sz="0" w:space="0" w:color="auto"/>
      </w:divBdr>
    </w:div>
    <w:div w:id="40712613">
      <w:bodyDiv w:val="1"/>
      <w:marLeft w:val="0"/>
      <w:marRight w:val="0"/>
      <w:marTop w:val="0"/>
      <w:marBottom w:val="0"/>
      <w:divBdr>
        <w:top w:val="none" w:sz="0" w:space="0" w:color="auto"/>
        <w:left w:val="none" w:sz="0" w:space="0" w:color="auto"/>
        <w:bottom w:val="none" w:sz="0" w:space="0" w:color="auto"/>
        <w:right w:val="none" w:sz="0" w:space="0" w:color="auto"/>
      </w:divBdr>
    </w:div>
    <w:div w:id="41103663">
      <w:bodyDiv w:val="1"/>
      <w:marLeft w:val="0"/>
      <w:marRight w:val="0"/>
      <w:marTop w:val="0"/>
      <w:marBottom w:val="0"/>
      <w:divBdr>
        <w:top w:val="none" w:sz="0" w:space="0" w:color="auto"/>
        <w:left w:val="none" w:sz="0" w:space="0" w:color="auto"/>
        <w:bottom w:val="none" w:sz="0" w:space="0" w:color="auto"/>
        <w:right w:val="none" w:sz="0" w:space="0" w:color="auto"/>
      </w:divBdr>
    </w:div>
    <w:div w:id="42019928">
      <w:bodyDiv w:val="1"/>
      <w:marLeft w:val="0"/>
      <w:marRight w:val="0"/>
      <w:marTop w:val="0"/>
      <w:marBottom w:val="0"/>
      <w:divBdr>
        <w:top w:val="none" w:sz="0" w:space="0" w:color="auto"/>
        <w:left w:val="none" w:sz="0" w:space="0" w:color="auto"/>
        <w:bottom w:val="none" w:sz="0" w:space="0" w:color="auto"/>
        <w:right w:val="none" w:sz="0" w:space="0" w:color="auto"/>
      </w:divBdr>
    </w:div>
    <w:div w:id="42951073">
      <w:bodyDiv w:val="1"/>
      <w:marLeft w:val="0"/>
      <w:marRight w:val="0"/>
      <w:marTop w:val="0"/>
      <w:marBottom w:val="0"/>
      <w:divBdr>
        <w:top w:val="none" w:sz="0" w:space="0" w:color="auto"/>
        <w:left w:val="none" w:sz="0" w:space="0" w:color="auto"/>
        <w:bottom w:val="none" w:sz="0" w:space="0" w:color="auto"/>
        <w:right w:val="none" w:sz="0" w:space="0" w:color="auto"/>
      </w:divBdr>
    </w:div>
    <w:div w:id="42952981">
      <w:bodyDiv w:val="1"/>
      <w:marLeft w:val="0"/>
      <w:marRight w:val="0"/>
      <w:marTop w:val="0"/>
      <w:marBottom w:val="0"/>
      <w:divBdr>
        <w:top w:val="none" w:sz="0" w:space="0" w:color="auto"/>
        <w:left w:val="none" w:sz="0" w:space="0" w:color="auto"/>
        <w:bottom w:val="none" w:sz="0" w:space="0" w:color="auto"/>
        <w:right w:val="none" w:sz="0" w:space="0" w:color="auto"/>
      </w:divBdr>
    </w:div>
    <w:div w:id="43255268">
      <w:bodyDiv w:val="1"/>
      <w:marLeft w:val="0"/>
      <w:marRight w:val="0"/>
      <w:marTop w:val="0"/>
      <w:marBottom w:val="0"/>
      <w:divBdr>
        <w:top w:val="none" w:sz="0" w:space="0" w:color="auto"/>
        <w:left w:val="none" w:sz="0" w:space="0" w:color="auto"/>
        <w:bottom w:val="none" w:sz="0" w:space="0" w:color="auto"/>
        <w:right w:val="none" w:sz="0" w:space="0" w:color="auto"/>
      </w:divBdr>
    </w:div>
    <w:div w:id="44648518">
      <w:bodyDiv w:val="1"/>
      <w:marLeft w:val="0"/>
      <w:marRight w:val="0"/>
      <w:marTop w:val="0"/>
      <w:marBottom w:val="0"/>
      <w:divBdr>
        <w:top w:val="none" w:sz="0" w:space="0" w:color="auto"/>
        <w:left w:val="none" w:sz="0" w:space="0" w:color="auto"/>
        <w:bottom w:val="none" w:sz="0" w:space="0" w:color="auto"/>
        <w:right w:val="none" w:sz="0" w:space="0" w:color="auto"/>
      </w:divBdr>
    </w:div>
    <w:div w:id="45952686">
      <w:bodyDiv w:val="1"/>
      <w:marLeft w:val="0"/>
      <w:marRight w:val="0"/>
      <w:marTop w:val="0"/>
      <w:marBottom w:val="0"/>
      <w:divBdr>
        <w:top w:val="none" w:sz="0" w:space="0" w:color="auto"/>
        <w:left w:val="none" w:sz="0" w:space="0" w:color="auto"/>
        <w:bottom w:val="none" w:sz="0" w:space="0" w:color="auto"/>
        <w:right w:val="none" w:sz="0" w:space="0" w:color="auto"/>
      </w:divBdr>
    </w:div>
    <w:div w:id="46536021">
      <w:bodyDiv w:val="1"/>
      <w:marLeft w:val="0"/>
      <w:marRight w:val="0"/>
      <w:marTop w:val="0"/>
      <w:marBottom w:val="0"/>
      <w:divBdr>
        <w:top w:val="none" w:sz="0" w:space="0" w:color="auto"/>
        <w:left w:val="none" w:sz="0" w:space="0" w:color="auto"/>
        <w:bottom w:val="none" w:sz="0" w:space="0" w:color="auto"/>
        <w:right w:val="none" w:sz="0" w:space="0" w:color="auto"/>
      </w:divBdr>
    </w:div>
    <w:div w:id="47608013">
      <w:bodyDiv w:val="1"/>
      <w:marLeft w:val="0"/>
      <w:marRight w:val="0"/>
      <w:marTop w:val="0"/>
      <w:marBottom w:val="0"/>
      <w:divBdr>
        <w:top w:val="none" w:sz="0" w:space="0" w:color="auto"/>
        <w:left w:val="none" w:sz="0" w:space="0" w:color="auto"/>
        <w:bottom w:val="none" w:sz="0" w:space="0" w:color="auto"/>
        <w:right w:val="none" w:sz="0" w:space="0" w:color="auto"/>
      </w:divBdr>
    </w:div>
    <w:div w:id="48964428">
      <w:bodyDiv w:val="1"/>
      <w:marLeft w:val="0"/>
      <w:marRight w:val="0"/>
      <w:marTop w:val="0"/>
      <w:marBottom w:val="0"/>
      <w:divBdr>
        <w:top w:val="none" w:sz="0" w:space="0" w:color="auto"/>
        <w:left w:val="none" w:sz="0" w:space="0" w:color="auto"/>
        <w:bottom w:val="none" w:sz="0" w:space="0" w:color="auto"/>
        <w:right w:val="none" w:sz="0" w:space="0" w:color="auto"/>
      </w:divBdr>
    </w:div>
    <w:div w:id="49503981">
      <w:bodyDiv w:val="1"/>
      <w:marLeft w:val="0"/>
      <w:marRight w:val="0"/>
      <w:marTop w:val="0"/>
      <w:marBottom w:val="0"/>
      <w:divBdr>
        <w:top w:val="none" w:sz="0" w:space="0" w:color="auto"/>
        <w:left w:val="none" w:sz="0" w:space="0" w:color="auto"/>
        <w:bottom w:val="none" w:sz="0" w:space="0" w:color="auto"/>
        <w:right w:val="none" w:sz="0" w:space="0" w:color="auto"/>
      </w:divBdr>
    </w:div>
    <w:div w:id="49616735">
      <w:bodyDiv w:val="1"/>
      <w:marLeft w:val="0"/>
      <w:marRight w:val="0"/>
      <w:marTop w:val="0"/>
      <w:marBottom w:val="0"/>
      <w:divBdr>
        <w:top w:val="none" w:sz="0" w:space="0" w:color="auto"/>
        <w:left w:val="none" w:sz="0" w:space="0" w:color="auto"/>
        <w:bottom w:val="none" w:sz="0" w:space="0" w:color="auto"/>
        <w:right w:val="none" w:sz="0" w:space="0" w:color="auto"/>
      </w:divBdr>
    </w:div>
    <w:div w:id="50006612">
      <w:bodyDiv w:val="1"/>
      <w:marLeft w:val="0"/>
      <w:marRight w:val="0"/>
      <w:marTop w:val="0"/>
      <w:marBottom w:val="0"/>
      <w:divBdr>
        <w:top w:val="none" w:sz="0" w:space="0" w:color="auto"/>
        <w:left w:val="none" w:sz="0" w:space="0" w:color="auto"/>
        <w:bottom w:val="none" w:sz="0" w:space="0" w:color="auto"/>
        <w:right w:val="none" w:sz="0" w:space="0" w:color="auto"/>
      </w:divBdr>
    </w:div>
    <w:div w:id="50203521">
      <w:bodyDiv w:val="1"/>
      <w:marLeft w:val="0"/>
      <w:marRight w:val="0"/>
      <w:marTop w:val="0"/>
      <w:marBottom w:val="0"/>
      <w:divBdr>
        <w:top w:val="none" w:sz="0" w:space="0" w:color="auto"/>
        <w:left w:val="none" w:sz="0" w:space="0" w:color="auto"/>
        <w:bottom w:val="none" w:sz="0" w:space="0" w:color="auto"/>
        <w:right w:val="none" w:sz="0" w:space="0" w:color="auto"/>
      </w:divBdr>
    </w:div>
    <w:div w:id="51393401">
      <w:bodyDiv w:val="1"/>
      <w:marLeft w:val="0"/>
      <w:marRight w:val="0"/>
      <w:marTop w:val="0"/>
      <w:marBottom w:val="0"/>
      <w:divBdr>
        <w:top w:val="none" w:sz="0" w:space="0" w:color="auto"/>
        <w:left w:val="none" w:sz="0" w:space="0" w:color="auto"/>
        <w:bottom w:val="none" w:sz="0" w:space="0" w:color="auto"/>
        <w:right w:val="none" w:sz="0" w:space="0" w:color="auto"/>
      </w:divBdr>
    </w:div>
    <w:div w:id="52312938">
      <w:bodyDiv w:val="1"/>
      <w:marLeft w:val="0"/>
      <w:marRight w:val="0"/>
      <w:marTop w:val="0"/>
      <w:marBottom w:val="0"/>
      <w:divBdr>
        <w:top w:val="none" w:sz="0" w:space="0" w:color="auto"/>
        <w:left w:val="none" w:sz="0" w:space="0" w:color="auto"/>
        <w:bottom w:val="none" w:sz="0" w:space="0" w:color="auto"/>
        <w:right w:val="none" w:sz="0" w:space="0" w:color="auto"/>
      </w:divBdr>
    </w:div>
    <w:div w:id="52430054">
      <w:bodyDiv w:val="1"/>
      <w:marLeft w:val="0"/>
      <w:marRight w:val="0"/>
      <w:marTop w:val="0"/>
      <w:marBottom w:val="0"/>
      <w:divBdr>
        <w:top w:val="none" w:sz="0" w:space="0" w:color="auto"/>
        <w:left w:val="none" w:sz="0" w:space="0" w:color="auto"/>
        <w:bottom w:val="none" w:sz="0" w:space="0" w:color="auto"/>
        <w:right w:val="none" w:sz="0" w:space="0" w:color="auto"/>
      </w:divBdr>
    </w:div>
    <w:div w:id="53311248">
      <w:bodyDiv w:val="1"/>
      <w:marLeft w:val="0"/>
      <w:marRight w:val="0"/>
      <w:marTop w:val="0"/>
      <w:marBottom w:val="0"/>
      <w:divBdr>
        <w:top w:val="none" w:sz="0" w:space="0" w:color="auto"/>
        <w:left w:val="none" w:sz="0" w:space="0" w:color="auto"/>
        <w:bottom w:val="none" w:sz="0" w:space="0" w:color="auto"/>
        <w:right w:val="none" w:sz="0" w:space="0" w:color="auto"/>
      </w:divBdr>
    </w:div>
    <w:div w:id="53428137">
      <w:bodyDiv w:val="1"/>
      <w:marLeft w:val="0"/>
      <w:marRight w:val="0"/>
      <w:marTop w:val="0"/>
      <w:marBottom w:val="0"/>
      <w:divBdr>
        <w:top w:val="none" w:sz="0" w:space="0" w:color="auto"/>
        <w:left w:val="none" w:sz="0" w:space="0" w:color="auto"/>
        <w:bottom w:val="none" w:sz="0" w:space="0" w:color="auto"/>
        <w:right w:val="none" w:sz="0" w:space="0" w:color="auto"/>
      </w:divBdr>
    </w:div>
    <w:div w:id="54086452">
      <w:bodyDiv w:val="1"/>
      <w:marLeft w:val="0"/>
      <w:marRight w:val="0"/>
      <w:marTop w:val="0"/>
      <w:marBottom w:val="0"/>
      <w:divBdr>
        <w:top w:val="none" w:sz="0" w:space="0" w:color="auto"/>
        <w:left w:val="none" w:sz="0" w:space="0" w:color="auto"/>
        <w:bottom w:val="none" w:sz="0" w:space="0" w:color="auto"/>
        <w:right w:val="none" w:sz="0" w:space="0" w:color="auto"/>
      </w:divBdr>
    </w:div>
    <w:div w:id="54746954">
      <w:bodyDiv w:val="1"/>
      <w:marLeft w:val="0"/>
      <w:marRight w:val="0"/>
      <w:marTop w:val="0"/>
      <w:marBottom w:val="0"/>
      <w:divBdr>
        <w:top w:val="none" w:sz="0" w:space="0" w:color="auto"/>
        <w:left w:val="none" w:sz="0" w:space="0" w:color="auto"/>
        <w:bottom w:val="none" w:sz="0" w:space="0" w:color="auto"/>
        <w:right w:val="none" w:sz="0" w:space="0" w:color="auto"/>
      </w:divBdr>
    </w:div>
    <w:div w:id="55401927">
      <w:bodyDiv w:val="1"/>
      <w:marLeft w:val="0"/>
      <w:marRight w:val="0"/>
      <w:marTop w:val="0"/>
      <w:marBottom w:val="0"/>
      <w:divBdr>
        <w:top w:val="none" w:sz="0" w:space="0" w:color="auto"/>
        <w:left w:val="none" w:sz="0" w:space="0" w:color="auto"/>
        <w:bottom w:val="none" w:sz="0" w:space="0" w:color="auto"/>
        <w:right w:val="none" w:sz="0" w:space="0" w:color="auto"/>
      </w:divBdr>
    </w:div>
    <w:div w:id="55667518">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56366457">
      <w:bodyDiv w:val="1"/>
      <w:marLeft w:val="0"/>
      <w:marRight w:val="0"/>
      <w:marTop w:val="0"/>
      <w:marBottom w:val="0"/>
      <w:divBdr>
        <w:top w:val="none" w:sz="0" w:space="0" w:color="auto"/>
        <w:left w:val="none" w:sz="0" w:space="0" w:color="auto"/>
        <w:bottom w:val="none" w:sz="0" w:space="0" w:color="auto"/>
        <w:right w:val="none" w:sz="0" w:space="0" w:color="auto"/>
      </w:divBdr>
    </w:div>
    <w:div w:id="56436689">
      <w:bodyDiv w:val="1"/>
      <w:marLeft w:val="0"/>
      <w:marRight w:val="0"/>
      <w:marTop w:val="0"/>
      <w:marBottom w:val="0"/>
      <w:divBdr>
        <w:top w:val="none" w:sz="0" w:space="0" w:color="auto"/>
        <w:left w:val="none" w:sz="0" w:space="0" w:color="auto"/>
        <w:bottom w:val="none" w:sz="0" w:space="0" w:color="auto"/>
        <w:right w:val="none" w:sz="0" w:space="0" w:color="auto"/>
      </w:divBdr>
    </w:div>
    <w:div w:id="57090976">
      <w:bodyDiv w:val="1"/>
      <w:marLeft w:val="0"/>
      <w:marRight w:val="0"/>
      <w:marTop w:val="0"/>
      <w:marBottom w:val="0"/>
      <w:divBdr>
        <w:top w:val="none" w:sz="0" w:space="0" w:color="auto"/>
        <w:left w:val="none" w:sz="0" w:space="0" w:color="auto"/>
        <w:bottom w:val="none" w:sz="0" w:space="0" w:color="auto"/>
        <w:right w:val="none" w:sz="0" w:space="0" w:color="auto"/>
      </w:divBdr>
    </w:div>
    <w:div w:id="57363779">
      <w:bodyDiv w:val="1"/>
      <w:marLeft w:val="0"/>
      <w:marRight w:val="0"/>
      <w:marTop w:val="0"/>
      <w:marBottom w:val="0"/>
      <w:divBdr>
        <w:top w:val="none" w:sz="0" w:space="0" w:color="auto"/>
        <w:left w:val="none" w:sz="0" w:space="0" w:color="auto"/>
        <w:bottom w:val="none" w:sz="0" w:space="0" w:color="auto"/>
        <w:right w:val="none" w:sz="0" w:space="0" w:color="auto"/>
      </w:divBdr>
    </w:div>
    <w:div w:id="57367829">
      <w:bodyDiv w:val="1"/>
      <w:marLeft w:val="0"/>
      <w:marRight w:val="0"/>
      <w:marTop w:val="0"/>
      <w:marBottom w:val="0"/>
      <w:divBdr>
        <w:top w:val="none" w:sz="0" w:space="0" w:color="auto"/>
        <w:left w:val="none" w:sz="0" w:space="0" w:color="auto"/>
        <w:bottom w:val="none" w:sz="0" w:space="0" w:color="auto"/>
        <w:right w:val="none" w:sz="0" w:space="0" w:color="auto"/>
      </w:divBdr>
    </w:div>
    <w:div w:id="58140935">
      <w:bodyDiv w:val="1"/>
      <w:marLeft w:val="0"/>
      <w:marRight w:val="0"/>
      <w:marTop w:val="0"/>
      <w:marBottom w:val="0"/>
      <w:divBdr>
        <w:top w:val="none" w:sz="0" w:space="0" w:color="auto"/>
        <w:left w:val="none" w:sz="0" w:space="0" w:color="auto"/>
        <w:bottom w:val="none" w:sz="0" w:space="0" w:color="auto"/>
        <w:right w:val="none" w:sz="0" w:space="0" w:color="auto"/>
      </w:divBdr>
    </w:div>
    <w:div w:id="58527482">
      <w:bodyDiv w:val="1"/>
      <w:marLeft w:val="0"/>
      <w:marRight w:val="0"/>
      <w:marTop w:val="0"/>
      <w:marBottom w:val="0"/>
      <w:divBdr>
        <w:top w:val="none" w:sz="0" w:space="0" w:color="auto"/>
        <w:left w:val="none" w:sz="0" w:space="0" w:color="auto"/>
        <w:bottom w:val="none" w:sz="0" w:space="0" w:color="auto"/>
        <w:right w:val="none" w:sz="0" w:space="0" w:color="auto"/>
      </w:divBdr>
    </w:div>
    <w:div w:id="59332738">
      <w:bodyDiv w:val="1"/>
      <w:marLeft w:val="0"/>
      <w:marRight w:val="0"/>
      <w:marTop w:val="0"/>
      <w:marBottom w:val="0"/>
      <w:divBdr>
        <w:top w:val="none" w:sz="0" w:space="0" w:color="auto"/>
        <w:left w:val="none" w:sz="0" w:space="0" w:color="auto"/>
        <w:bottom w:val="none" w:sz="0" w:space="0" w:color="auto"/>
        <w:right w:val="none" w:sz="0" w:space="0" w:color="auto"/>
      </w:divBdr>
    </w:div>
    <w:div w:id="59789221">
      <w:bodyDiv w:val="1"/>
      <w:marLeft w:val="0"/>
      <w:marRight w:val="0"/>
      <w:marTop w:val="0"/>
      <w:marBottom w:val="0"/>
      <w:divBdr>
        <w:top w:val="none" w:sz="0" w:space="0" w:color="auto"/>
        <w:left w:val="none" w:sz="0" w:space="0" w:color="auto"/>
        <w:bottom w:val="none" w:sz="0" w:space="0" w:color="auto"/>
        <w:right w:val="none" w:sz="0" w:space="0" w:color="auto"/>
      </w:divBdr>
    </w:div>
    <w:div w:id="59989523">
      <w:bodyDiv w:val="1"/>
      <w:marLeft w:val="0"/>
      <w:marRight w:val="0"/>
      <w:marTop w:val="0"/>
      <w:marBottom w:val="0"/>
      <w:divBdr>
        <w:top w:val="none" w:sz="0" w:space="0" w:color="auto"/>
        <w:left w:val="none" w:sz="0" w:space="0" w:color="auto"/>
        <w:bottom w:val="none" w:sz="0" w:space="0" w:color="auto"/>
        <w:right w:val="none" w:sz="0" w:space="0" w:color="auto"/>
      </w:divBdr>
    </w:div>
    <w:div w:id="60714459">
      <w:bodyDiv w:val="1"/>
      <w:marLeft w:val="0"/>
      <w:marRight w:val="0"/>
      <w:marTop w:val="0"/>
      <w:marBottom w:val="0"/>
      <w:divBdr>
        <w:top w:val="none" w:sz="0" w:space="0" w:color="auto"/>
        <w:left w:val="none" w:sz="0" w:space="0" w:color="auto"/>
        <w:bottom w:val="none" w:sz="0" w:space="0" w:color="auto"/>
        <w:right w:val="none" w:sz="0" w:space="0" w:color="auto"/>
      </w:divBdr>
    </w:div>
    <w:div w:id="60831648">
      <w:bodyDiv w:val="1"/>
      <w:marLeft w:val="0"/>
      <w:marRight w:val="0"/>
      <w:marTop w:val="0"/>
      <w:marBottom w:val="0"/>
      <w:divBdr>
        <w:top w:val="none" w:sz="0" w:space="0" w:color="auto"/>
        <w:left w:val="none" w:sz="0" w:space="0" w:color="auto"/>
        <w:bottom w:val="none" w:sz="0" w:space="0" w:color="auto"/>
        <w:right w:val="none" w:sz="0" w:space="0" w:color="auto"/>
      </w:divBdr>
    </w:div>
    <w:div w:id="62027708">
      <w:bodyDiv w:val="1"/>
      <w:marLeft w:val="0"/>
      <w:marRight w:val="0"/>
      <w:marTop w:val="0"/>
      <w:marBottom w:val="0"/>
      <w:divBdr>
        <w:top w:val="none" w:sz="0" w:space="0" w:color="auto"/>
        <w:left w:val="none" w:sz="0" w:space="0" w:color="auto"/>
        <w:bottom w:val="none" w:sz="0" w:space="0" w:color="auto"/>
        <w:right w:val="none" w:sz="0" w:space="0" w:color="auto"/>
      </w:divBdr>
    </w:div>
    <w:div w:id="63794733">
      <w:bodyDiv w:val="1"/>
      <w:marLeft w:val="0"/>
      <w:marRight w:val="0"/>
      <w:marTop w:val="0"/>
      <w:marBottom w:val="0"/>
      <w:divBdr>
        <w:top w:val="none" w:sz="0" w:space="0" w:color="auto"/>
        <w:left w:val="none" w:sz="0" w:space="0" w:color="auto"/>
        <w:bottom w:val="none" w:sz="0" w:space="0" w:color="auto"/>
        <w:right w:val="none" w:sz="0" w:space="0" w:color="auto"/>
      </w:divBdr>
    </w:div>
    <w:div w:id="64888058">
      <w:bodyDiv w:val="1"/>
      <w:marLeft w:val="0"/>
      <w:marRight w:val="0"/>
      <w:marTop w:val="0"/>
      <w:marBottom w:val="0"/>
      <w:divBdr>
        <w:top w:val="none" w:sz="0" w:space="0" w:color="auto"/>
        <w:left w:val="none" w:sz="0" w:space="0" w:color="auto"/>
        <w:bottom w:val="none" w:sz="0" w:space="0" w:color="auto"/>
        <w:right w:val="none" w:sz="0" w:space="0" w:color="auto"/>
      </w:divBdr>
    </w:div>
    <w:div w:id="64963618">
      <w:bodyDiv w:val="1"/>
      <w:marLeft w:val="0"/>
      <w:marRight w:val="0"/>
      <w:marTop w:val="0"/>
      <w:marBottom w:val="0"/>
      <w:divBdr>
        <w:top w:val="none" w:sz="0" w:space="0" w:color="auto"/>
        <w:left w:val="none" w:sz="0" w:space="0" w:color="auto"/>
        <w:bottom w:val="none" w:sz="0" w:space="0" w:color="auto"/>
        <w:right w:val="none" w:sz="0" w:space="0" w:color="auto"/>
      </w:divBdr>
    </w:div>
    <w:div w:id="65153947">
      <w:bodyDiv w:val="1"/>
      <w:marLeft w:val="0"/>
      <w:marRight w:val="0"/>
      <w:marTop w:val="0"/>
      <w:marBottom w:val="0"/>
      <w:divBdr>
        <w:top w:val="none" w:sz="0" w:space="0" w:color="auto"/>
        <w:left w:val="none" w:sz="0" w:space="0" w:color="auto"/>
        <w:bottom w:val="none" w:sz="0" w:space="0" w:color="auto"/>
        <w:right w:val="none" w:sz="0" w:space="0" w:color="auto"/>
      </w:divBdr>
    </w:div>
    <w:div w:id="65228116">
      <w:bodyDiv w:val="1"/>
      <w:marLeft w:val="0"/>
      <w:marRight w:val="0"/>
      <w:marTop w:val="0"/>
      <w:marBottom w:val="0"/>
      <w:divBdr>
        <w:top w:val="none" w:sz="0" w:space="0" w:color="auto"/>
        <w:left w:val="none" w:sz="0" w:space="0" w:color="auto"/>
        <w:bottom w:val="none" w:sz="0" w:space="0" w:color="auto"/>
        <w:right w:val="none" w:sz="0" w:space="0" w:color="auto"/>
      </w:divBdr>
    </w:div>
    <w:div w:id="65959596">
      <w:bodyDiv w:val="1"/>
      <w:marLeft w:val="0"/>
      <w:marRight w:val="0"/>
      <w:marTop w:val="0"/>
      <w:marBottom w:val="0"/>
      <w:divBdr>
        <w:top w:val="none" w:sz="0" w:space="0" w:color="auto"/>
        <w:left w:val="none" w:sz="0" w:space="0" w:color="auto"/>
        <w:bottom w:val="none" w:sz="0" w:space="0" w:color="auto"/>
        <w:right w:val="none" w:sz="0" w:space="0" w:color="auto"/>
      </w:divBdr>
    </w:div>
    <w:div w:id="68580349">
      <w:bodyDiv w:val="1"/>
      <w:marLeft w:val="0"/>
      <w:marRight w:val="0"/>
      <w:marTop w:val="0"/>
      <w:marBottom w:val="0"/>
      <w:divBdr>
        <w:top w:val="none" w:sz="0" w:space="0" w:color="auto"/>
        <w:left w:val="none" w:sz="0" w:space="0" w:color="auto"/>
        <w:bottom w:val="none" w:sz="0" w:space="0" w:color="auto"/>
        <w:right w:val="none" w:sz="0" w:space="0" w:color="auto"/>
      </w:divBdr>
    </w:div>
    <w:div w:id="68843163">
      <w:bodyDiv w:val="1"/>
      <w:marLeft w:val="0"/>
      <w:marRight w:val="0"/>
      <w:marTop w:val="0"/>
      <w:marBottom w:val="0"/>
      <w:divBdr>
        <w:top w:val="none" w:sz="0" w:space="0" w:color="auto"/>
        <w:left w:val="none" w:sz="0" w:space="0" w:color="auto"/>
        <w:bottom w:val="none" w:sz="0" w:space="0" w:color="auto"/>
        <w:right w:val="none" w:sz="0" w:space="0" w:color="auto"/>
      </w:divBdr>
    </w:div>
    <w:div w:id="68962189">
      <w:bodyDiv w:val="1"/>
      <w:marLeft w:val="0"/>
      <w:marRight w:val="0"/>
      <w:marTop w:val="0"/>
      <w:marBottom w:val="0"/>
      <w:divBdr>
        <w:top w:val="none" w:sz="0" w:space="0" w:color="auto"/>
        <w:left w:val="none" w:sz="0" w:space="0" w:color="auto"/>
        <w:bottom w:val="none" w:sz="0" w:space="0" w:color="auto"/>
        <w:right w:val="none" w:sz="0" w:space="0" w:color="auto"/>
      </w:divBdr>
    </w:div>
    <w:div w:id="69621373">
      <w:bodyDiv w:val="1"/>
      <w:marLeft w:val="0"/>
      <w:marRight w:val="0"/>
      <w:marTop w:val="0"/>
      <w:marBottom w:val="0"/>
      <w:divBdr>
        <w:top w:val="none" w:sz="0" w:space="0" w:color="auto"/>
        <w:left w:val="none" w:sz="0" w:space="0" w:color="auto"/>
        <w:bottom w:val="none" w:sz="0" w:space="0" w:color="auto"/>
        <w:right w:val="none" w:sz="0" w:space="0" w:color="auto"/>
      </w:divBdr>
    </w:div>
    <w:div w:id="69737404">
      <w:bodyDiv w:val="1"/>
      <w:marLeft w:val="0"/>
      <w:marRight w:val="0"/>
      <w:marTop w:val="0"/>
      <w:marBottom w:val="0"/>
      <w:divBdr>
        <w:top w:val="none" w:sz="0" w:space="0" w:color="auto"/>
        <w:left w:val="none" w:sz="0" w:space="0" w:color="auto"/>
        <w:bottom w:val="none" w:sz="0" w:space="0" w:color="auto"/>
        <w:right w:val="none" w:sz="0" w:space="0" w:color="auto"/>
      </w:divBdr>
    </w:div>
    <w:div w:id="70274507">
      <w:bodyDiv w:val="1"/>
      <w:marLeft w:val="0"/>
      <w:marRight w:val="0"/>
      <w:marTop w:val="0"/>
      <w:marBottom w:val="0"/>
      <w:divBdr>
        <w:top w:val="none" w:sz="0" w:space="0" w:color="auto"/>
        <w:left w:val="none" w:sz="0" w:space="0" w:color="auto"/>
        <w:bottom w:val="none" w:sz="0" w:space="0" w:color="auto"/>
        <w:right w:val="none" w:sz="0" w:space="0" w:color="auto"/>
      </w:divBdr>
    </w:div>
    <w:div w:id="71781843">
      <w:bodyDiv w:val="1"/>
      <w:marLeft w:val="0"/>
      <w:marRight w:val="0"/>
      <w:marTop w:val="0"/>
      <w:marBottom w:val="0"/>
      <w:divBdr>
        <w:top w:val="none" w:sz="0" w:space="0" w:color="auto"/>
        <w:left w:val="none" w:sz="0" w:space="0" w:color="auto"/>
        <w:bottom w:val="none" w:sz="0" w:space="0" w:color="auto"/>
        <w:right w:val="none" w:sz="0" w:space="0" w:color="auto"/>
      </w:divBdr>
    </w:div>
    <w:div w:id="72288215">
      <w:bodyDiv w:val="1"/>
      <w:marLeft w:val="0"/>
      <w:marRight w:val="0"/>
      <w:marTop w:val="0"/>
      <w:marBottom w:val="0"/>
      <w:divBdr>
        <w:top w:val="none" w:sz="0" w:space="0" w:color="auto"/>
        <w:left w:val="none" w:sz="0" w:space="0" w:color="auto"/>
        <w:bottom w:val="none" w:sz="0" w:space="0" w:color="auto"/>
        <w:right w:val="none" w:sz="0" w:space="0" w:color="auto"/>
      </w:divBdr>
    </w:div>
    <w:div w:id="72358132">
      <w:bodyDiv w:val="1"/>
      <w:marLeft w:val="0"/>
      <w:marRight w:val="0"/>
      <w:marTop w:val="0"/>
      <w:marBottom w:val="0"/>
      <w:divBdr>
        <w:top w:val="none" w:sz="0" w:space="0" w:color="auto"/>
        <w:left w:val="none" w:sz="0" w:space="0" w:color="auto"/>
        <w:bottom w:val="none" w:sz="0" w:space="0" w:color="auto"/>
        <w:right w:val="none" w:sz="0" w:space="0" w:color="auto"/>
      </w:divBdr>
    </w:div>
    <w:div w:id="74711984">
      <w:bodyDiv w:val="1"/>
      <w:marLeft w:val="0"/>
      <w:marRight w:val="0"/>
      <w:marTop w:val="0"/>
      <w:marBottom w:val="0"/>
      <w:divBdr>
        <w:top w:val="none" w:sz="0" w:space="0" w:color="auto"/>
        <w:left w:val="none" w:sz="0" w:space="0" w:color="auto"/>
        <w:bottom w:val="none" w:sz="0" w:space="0" w:color="auto"/>
        <w:right w:val="none" w:sz="0" w:space="0" w:color="auto"/>
      </w:divBdr>
    </w:div>
    <w:div w:id="74785243">
      <w:bodyDiv w:val="1"/>
      <w:marLeft w:val="0"/>
      <w:marRight w:val="0"/>
      <w:marTop w:val="0"/>
      <w:marBottom w:val="0"/>
      <w:divBdr>
        <w:top w:val="none" w:sz="0" w:space="0" w:color="auto"/>
        <w:left w:val="none" w:sz="0" w:space="0" w:color="auto"/>
        <w:bottom w:val="none" w:sz="0" w:space="0" w:color="auto"/>
        <w:right w:val="none" w:sz="0" w:space="0" w:color="auto"/>
      </w:divBdr>
    </w:div>
    <w:div w:id="74982147">
      <w:bodyDiv w:val="1"/>
      <w:marLeft w:val="0"/>
      <w:marRight w:val="0"/>
      <w:marTop w:val="0"/>
      <w:marBottom w:val="0"/>
      <w:divBdr>
        <w:top w:val="none" w:sz="0" w:space="0" w:color="auto"/>
        <w:left w:val="none" w:sz="0" w:space="0" w:color="auto"/>
        <w:bottom w:val="none" w:sz="0" w:space="0" w:color="auto"/>
        <w:right w:val="none" w:sz="0" w:space="0" w:color="auto"/>
      </w:divBdr>
    </w:div>
    <w:div w:id="78328480">
      <w:bodyDiv w:val="1"/>
      <w:marLeft w:val="0"/>
      <w:marRight w:val="0"/>
      <w:marTop w:val="0"/>
      <w:marBottom w:val="0"/>
      <w:divBdr>
        <w:top w:val="none" w:sz="0" w:space="0" w:color="auto"/>
        <w:left w:val="none" w:sz="0" w:space="0" w:color="auto"/>
        <w:bottom w:val="none" w:sz="0" w:space="0" w:color="auto"/>
        <w:right w:val="none" w:sz="0" w:space="0" w:color="auto"/>
      </w:divBdr>
    </w:div>
    <w:div w:id="78717553">
      <w:bodyDiv w:val="1"/>
      <w:marLeft w:val="0"/>
      <w:marRight w:val="0"/>
      <w:marTop w:val="0"/>
      <w:marBottom w:val="0"/>
      <w:divBdr>
        <w:top w:val="none" w:sz="0" w:space="0" w:color="auto"/>
        <w:left w:val="none" w:sz="0" w:space="0" w:color="auto"/>
        <w:bottom w:val="none" w:sz="0" w:space="0" w:color="auto"/>
        <w:right w:val="none" w:sz="0" w:space="0" w:color="auto"/>
      </w:divBdr>
    </w:div>
    <w:div w:id="79329105">
      <w:bodyDiv w:val="1"/>
      <w:marLeft w:val="0"/>
      <w:marRight w:val="0"/>
      <w:marTop w:val="0"/>
      <w:marBottom w:val="0"/>
      <w:divBdr>
        <w:top w:val="none" w:sz="0" w:space="0" w:color="auto"/>
        <w:left w:val="none" w:sz="0" w:space="0" w:color="auto"/>
        <w:bottom w:val="none" w:sz="0" w:space="0" w:color="auto"/>
        <w:right w:val="none" w:sz="0" w:space="0" w:color="auto"/>
      </w:divBdr>
    </w:div>
    <w:div w:id="82071454">
      <w:bodyDiv w:val="1"/>
      <w:marLeft w:val="0"/>
      <w:marRight w:val="0"/>
      <w:marTop w:val="0"/>
      <w:marBottom w:val="0"/>
      <w:divBdr>
        <w:top w:val="none" w:sz="0" w:space="0" w:color="auto"/>
        <w:left w:val="none" w:sz="0" w:space="0" w:color="auto"/>
        <w:bottom w:val="none" w:sz="0" w:space="0" w:color="auto"/>
        <w:right w:val="none" w:sz="0" w:space="0" w:color="auto"/>
      </w:divBdr>
    </w:div>
    <w:div w:id="82575798">
      <w:bodyDiv w:val="1"/>
      <w:marLeft w:val="0"/>
      <w:marRight w:val="0"/>
      <w:marTop w:val="0"/>
      <w:marBottom w:val="0"/>
      <w:divBdr>
        <w:top w:val="none" w:sz="0" w:space="0" w:color="auto"/>
        <w:left w:val="none" w:sz="0" w:space="0" w:color="auto"/>
        <w:bottom w:val="none" w:sz="0" w:space="0" w:color="auto"/>
        <w:right w:val="none" w:sz="0" w:space="0" w:color="auto"/>
      </w:divBdr>
    </w:div>
    <w:div w:id="83577619">
      <w:bodyDiv w:val="1"/>
      <w:marLeft w:val="0"/>
      <w:marRight w:val="0"/>
      <w:marTop w:val="0"/>
      <w:marBottom w:val="0"/>
      <w:divBdr>
        <w:top w:val="none" w:sz="0" w:space="0" w:color="auto"/>
        <w:left w:val="none" w:sz="0" w:space="0" w:color="auto"/>
        <w:bottom w:val="none" w:sz="0" w:space="0" w:color="auto"/>
        <w:right w:val="none" w:sz="0" w:space="0" w:color="auto"/>
      </w:divBdr>
    </w:div>
    <w:div w:id="84958474">
      <w:bodyDiv w:val="1"/>
      <w:marLeft w:val="0"/>
      <w:marRight w:val="0"/>
      <w:marTop w:val="0"/>
      <w:marBottom w:val="0"/>
      <w:divBdr>
        <w:top w:val="none" w:sz="0" w:space="0" w:color="auto"/>
        <w:left w:val="none" w:sz="0" w:space="0" w:color="auto"/>
        <w:bottom w:val="none" w:sz="0" w:space="0" w:color="auto"/>
        <w:right w:val="none" w:sz="0" w:space="0" w:color="auto"/>
      </w:divBdr>
    </w:div>
    <w:div w:id="86463188">
      <w:bodyDiv w:val="1"/>
      <w:marLeft w:val="0"/>
      <w:marRight w:val="0"/>
      <w:marTop w:val="0"/>
      <w:marBottom w:val="0"/>
      <w:divBdr>
        <w:top w:val="none" w:sz="0" w:space="0" w:color="auto"/>
        <w:left w:val="none" w:sz="0" w:space="0" w:color="auto"/>
        <w:bottom w:val="none" w:sz="0" w:space="0" w:color="auto"/>
        <w:right w:val="none" w:sz="0" w:space="0" w:color="auto"/>
      </w:divBdr>
    </w:div>
    <w:div w:id="87314236">
      <w:bodyDiv w:val="1"/>
      <w:marLeft w:val="0"/>
      <w:marRight w:val="0"/>
      <w:marTop w:val="0"/>
      <w:marBottom w:val="0"/>
      <w:divBdr>
        <w:top w:val="none" w:sz="0" w:space="0" w:color="auto"/>
        <w:left w:val="none" w:sz="0" w:space="0" w:color="auto"/>
        <w:bottom w:val="none" w:sz="0" w:space="0" w:color="auto"/>
        <w:right w:val="none" w:sz="0" w:space="0" w:color="auto"/>
      </w:divBdr>
    </w:div>
    <w:div w:id="87892562">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548054">
      <w:bodyDiv w:val="1"/>
      <w:marLeft w:val="0"/>
      <w:marRight w:val="0"/>
      <w:marTop w:val="0"/>
      <w:marBottom w:val="0"/>
      <w:divBdr>
        <w:top w:val="none" w:sz="0" w:space="0" w:color="auto"/>
        <w:left w:val="none" w:sz="0" w:space="0" w:color="auto"/>
        <w:bottom w:val="none" w:sz="0" w:space="0" w:color="auto"/>
        <w:right w:val="none" w:sz="0" w:space="0" w:color="auto"/>
      </w:divBdr>
    </w:div>
    <w:div w:id="89815959">
      <w:bodyDiv w:val="1"/>
      <w:marLeft w:val="0"/>
      <w:marRight w:val="0"/>
      <w:marTop w:val="0"/>
      <w:marBottom w:val="0"/>
      <w:divBdr>
        <w:top w:val="none" w:sz="0" w:space="0" w:color="auto"/>
        <w:left w:val="none" w:sz="0" w:space="0" w:color="auto"/>
        <w:bottom w:val="none" w:sz="0" w:space="0" w:color="auto"/>
        <w:right w:val="none" w:sz="0" w:space="0" w:color="auto"/>
      </w:divBdr>
    </w:div>
    <w:div w:id="91053412">
      <w:bodyDiv w:val="1"/>
      <w:marLeft w:val="0"/>
      <w:marRight w:val="0"/>
      <w:marTop w:val="0"/>
      <w:marBottom w:val="0"/>
      <w:divBdr>
        <w:top w:val="none" w:sz="0" w:space="0" w:color="auto"/>
        <w:left w:val="none" w:sz="0" w:space="0" w:color="auto"/>
        <w:bottom w:val="none" w:sz="0" w:space="0" w:color="auto"/>
        <w:right w:val="none" w:sz="0" w:space="0" w:color="auto"/>
      </w:divBdr>
    </w:div>
    <w:div w:id="91363755">
      <w:bodyDiv w:val="1"/>
      <w:marLeft w:val="0"/>
      <w:marRight w:val="0"/>
      <w:marTop w:val="0"/>
      <w:marBottom w:val="0"/>
      <w:divBdr>
        <w:top w:val="none" w:sz="0" w:space="0" w:color="auto"/>
        <w:left w:val="none" w:sz="0" w:space="0" w:color="auto"/>
        <w:bottom w:val="none" w:sz="0" w:space="0" w:color="auto"/>
        <w:right w:val="none" w:sz="0" w:space="0" w:color="auto"/>
      </w:divBdr>
    </w:div>
    <w:div w:id="92282108">
      <w:bodyDiv w:val="1"/>
      <w:marLeft w:val="0"/>
      <w:marRight w:val="0"/>
      <w:marTop w:val="0"/>
      <w:marBottom w:val="0"/>
      <w:divBdr>
        <w:top w:val="none" w:sz="0" w:space="0" w:color="auto"/>
        <w:left w:val="none" w:sz="0" w:space="0" w:color="auto"/>
        <w:bottom w:val="none" w:sz="0" w:space="0" w:color="auto"/>
        <w:right w:val="none" w:sz="0" w:space="0" w:color="auto"/>
      </w:divBdr>
    </w:div>
    <w:div w:id="92283060">
      <w:bodyDiv w:val="1"/>
      <w:marLeft w:val="0"/>
      <w:marRight w:val="0"/>
      <w:marTop w:val="0"/>
      <w:marBottom w:val="0"/>
      <w:divBdr>
        <w:top w:val="none" w:sz="0" w:space="0" w:color="auto"/>
        <w:left w:val="none" w:sz="0" w:space="0" w:color="auto"/>
        <w:bottom w:val="none" w:sz="0" w:space="0" w:color="auto"/>
        <w:right w:val="none" w:sz="0" w:space="0" w:color="auto"/>
      </w:divBdr>
    </w:div>
    <w:div w:id="93324755">
      <w:bodyDiv w:val="1"/>
      <w:marLeft w:val="0"/>
      <w:marRight w:val="0"/>
      <w:marTop w:val="0"/>
      <w:marBottom w:val="0"/>
      <w:divBdr>
        <w:top w:val="none" w:sz="0" w:space="0" w:color="auto"/>
        <w:left w:val="none" w:sz="0" w:space="0" w:color="auto"/>
        <w:bottom w:val="none" w:sz="0" w:space="0" w:color="auto"/>
        <w:right w:val="none" w:sz="0" w:space="0" w:color="auto"/>
      </w:divBdr>
    </w:div>
    <w:div w:id="95098621">
      <w:bodyDiv w:val="1"/>
      <w:marLeft w:val="0"/>
      <w:marRight w:val="0"/>
      <w:marTop w:val="0"/>
      <w:marBottom w:val="0"/>
      <w:divBdr>
        <w:top w:val="none" w:sz="0" w:space="0" w:color="auto"/>
        <w:left w:val="none" w:sz="0" w:space="0" w:color="auto"/>
        <w:bottom w:val="none" w:sz="0" w:space="0" w:color="auto"/>
        <w:right w:val="none" w:sz="0" w:space="0" w:color="auto"/>
      </w:divBdr>
    </w:div>
    <w:div w:id="95292355">
      <w:bodyDiv w:val="1"/>
      <w:marLeft w:val="0"/>
      <w:marRight w:val="0"/>
      <w:marTop w:val="0"/>
      <w:marBottom w:val="0"/>
      <w:divBdr>
        <w:top w:val="none" w:sz="0" w:space="0" w:color="auto"/>
        <w:left w:val="none" w:sz="0" w:space="0" w:color="auto"/>
        <w:bottom w:val="none" w:sz="0" w:space="0" w:color="auto"/>
        <w:right w:val="none" w:sz="0" w:space="0" w:color="auto"/>
      </w:divBdr>
    </w:div>
    <w:div w:id="96604001">
      <w:bodyDiv w:val="1"/>
      <w:marLeft w:val="0"/>
      <w:marRight w:val="0"/>
      <w:marTop w:val="0"/>
      <w:marBottom w:val="0"/>
      <w:divBdr>
        <w:top w:val="none" w:sz="0" w:space="0" w:color="auto"/>
        <w:left w:val="none" w:sz="0" w:space="0" w:color="auto"/>
        <w:bottom w:val="none" w:sz="0" w:space="0" w:color="auto"/>
        <w:right w:val="none" w:sz="0" w:space="0" w:color="auto"/>
      </w:divBdr>
    </w:div>
    <w:div w:id="97724338">
      <w:bodyDiv w:val="1"/>
      <w:marLeft w:val="0"/>
      <w:marRight w:val="0"/>
      <w:marTop w:val="0"/>
      <w:marBottom w:val="0"/>
      <w:divBdr>
        <w:top w:val="none" w:sz="0" w:space="0" w:color="auto"/>
        <w:left w:val="none" w:sz="0" w:space="0" w:color="auto"/>
        <w:bottom w:val="none" w:sz="0" w:space="0" w:color="auto"/>
        <w:right w:val="none" w:sz="0" w:space="0" w:color="auto"/>
      </w:divBdr>
    </w:div>
    <w:div w:id="99763262">
      <w:bodyDiv w:val="1"/>
      <w:marLeft w:val="0"/>
      <w:marRight w:val="0"/>
      <w:marTop w:val="0"/>
      <w:marBottom w:val="0"/>
      <w:divBdr>
        <w:top w:val="none" w:sz="0" w:space="0" w:color="auto"/>
        <w:left w:val="none" w:sz="0" w:space="0" w:color="auto"/>
        <w:bottom w:val="none" w:sz="0" w:space="0" w:color="auto"/>
        <w:right w:val="none" w:sz="0" w:space="0" w:color="auto"/>
      </w:divBdr>
    </w:div>
    <w:div w:id="100078092">
      <w:bodyDiv w:val="1"/>
      <w:marLeft w:val="0"/>
      <w:marRight w:val="0"/>
      <w:marTop w:val="0"/>
      <w:marBottom w:val="0"/>
      <w:divBdr>
        <w:top w:val="none" w:sz="0" w:space="0" w:color="auto"/>
        <w:left w:val="none" w:sz="0" w:space="0" w:color="auto"/>
        <w:bottom w:val="none" w:sz="0" w:space="0" w:color="auto"/>
        <w:right w:val="none" w:sz="0" w:space="0" w:color="auto"/>
      </w:divBdr>
    </w:div>
    <w:div w:id="100338543">
      <w:bodyDiv w:val="1"/>
      <w:marLeft w:val="0"/>
      <w:marRight w:val="0"/>
      <w:marTop w:val="0"/>
      <w:marBottom w:val="0"/>
      <w:divBdr>
        <w:top w:val="none" w:sz="0" w:space="0" w:color="auto"/>
        <w:left w:val="none" w:sz="0" w:space="0" w:color="auto"/>
        <w:bottom w:val="none" w:sz="0" w:space="0" w:color="auto"/>
        <w:right w:val="none" w:sz="0" w:space="0" w:color="auto"/>
      </w:divBdr>
    </w:div>
    <w:div w:id="100422793">
      <w:bodyDiv w:val="1"/>
      <w:marLeft w:val="0"/>
      <w:marRight w:val="0"/>
      <w:marTop w:val="0"/>
      <w:marBottom w:val="0"/>
      <w:divBdr>
        <w:top w:val="none" w:sz="0" w:space="0" w:color="auto"/>
        <w:left w:val="none" w:sz="0" w:space="0" w:color="auto"/>
        <w:bottom w:val="none" w:sz="0" w:space="0" w:color="auto"/>
        <w:right w:val="none" w:sz="0" w:space="0" w:color="auto"/>
      </w:divBdr>
    </w:div>
    <w:div w:id="101608747">
      <w:bodyDiv w:val="1"/>
      <w:marLeft w:val="0"/>
      <w:marRight w:val="0"/>
      <w:marTop w:val="0"/>
      <w:marBottom w:val="0"/>
      <w:divBdr>
        <w:top w:val="none" w:sz="0" w:space="0" w:color="auto"/>
        <w:left w:val="none" w:sz="0" w:space="0" w:color="auto"/>
        <w:bottom w:val="none" w:sz="0" w:space="0" w:color="auto"/>
        <w:right w:val="none" w:sz="0" w:space="0" w:color="auto"/>
      </w:divBdr>
    </w:div>
    <w:div w:id="101654309">
      <w:bodyDiv w:val="1"/>
      <w:marLeft w:val="0"/>
      <w:marRight w:val="0"/>
      <w:marTop w:val="0"/>
      <w:marBottom w:val="0"/>
      <w:divBdr>
        <w:top w:val="none" w:sz="0" w:space="0" w:color="auto"/>
        <w:left w:val="none" w:sz="0" w:space="0" w:color="auto"/>
        <w:bottom w:val="none" w:sz="0" w:space="0" w:color="auto"/>
        <w:right w:val="none" w:sz="0" w:space="0" w:color="auto"/>
      </w:divBdr>
    </w:div>
    <w:div w:id="101806007">
      <w:bodyDiv w:val="1"/>
      <w:marLeft w:val="0"/>
      <w:marRight w:val="0"/>
      <w:marTop w:val="0"/>
      <w:marBottom w:val="0"/>
      <w:divBdr>
        <w:top w:val="none" w:sz="0" w:space="0" w:color="auto"/>
        <w:left w:val="none" w:sz="0" w:space="0" w:color="auto"/>
        <w:bottom w:val="none" w:sz="0" w:space="0" w:color="auto"/>
        <w:right w:val="none" w:sz="0" w:space="0" w:color="auto"/>
      </w:divBdr>
    </w:div>
    <w:div w:id="102506599">
      <w:bodyDiv w:val="1"/>
      <w:marLeft w:val="0"/>
      <w:marRight w:val="0"/>
      <w:marTop w:val="0"/>
      <w:marBottom w:val="0"/>
      <w:divBdr>
        <w:top w:val="none" w:sz="0" w:space="0" w:color="auto"/>
        <w:left w:val="none" w:sz="0" w:space="0" w:color="auto"/>
        <w:bottom w:val="none" w:sz="0" w:space="0" w:color="auto"/>
        <w:right w:val="none" w:sz="0" w:space="0" w:color="auto"/>
      </w:divBdr>
    </w:div>
    <w:div w:id="102725079">
      <w:bodyDiv w:val="1"/>
      <w:marLeft w:val="0"/>
      <w:marRight w:val="0"/>
      <w:marTop w:val="0"/>
      <w:marBottom w:val="0"/>
      <w:divBdr>
        <w:top w:val="none" w:sz="0" w:space="0" w:color="auto"/>
        <w:left w:val="none" w:sz="0" w:space="0" w:color="auto"/>
        <w:bottom w:val="none" w:sz="0" w:space="0" w:color="auto"/>
        <w:right w:val="none" w:sz="0" w:space="0" w:color="auto"/>
      </w:divBdr>
    </w:div>
    <w:div w:id="103889772">
      <w:bodyDiv w:val="1"/>
      <w:marLeft w:val="0"/>
      <w:marRight w:val="0"/>
      <w:marTop w:val="0"/>
      <w:marBottom w:val="0"/>
      <w:divBdr>
        <w:top w:val="none" w:sz="0" w:space="0" w:color="auto"/>
        <w:left w:val="none" w:sz="0" w:space="0" w:color="auto"/>
        <w:bottom w:val="none" w:sz="0" w:space="0" w:color="auto"/>
        <w:right w:val="none" w:sz="0" w:space="0" w:color="auto"/>
      </w:divBdr>
    </w:div>
    <w:div w:id="104544041">
      <w:bodyDiv w:val="1"/>
      <w:marLeft w:val="0"/>
      <w:marRight w:val="0"/>
      <w:marTop w:val="0"/>
      <w:marBottom w:val="0"/>
      <w:divBdr>
        <w:top w:val="none" w:sz="0" w:space="0" w:color="auto"/>
        <w:left w:val="none" w:sz="0" w:space="0" w:color="auto"/>
        <w:bottom w:val="none" w:sz="0" w:space="0" w:color="auto"/>
        <w:right w:val="none" w:sz="0" w:space="0" w:color="auto"/>
      </w:divBdr>
    </w:div>
    <w:div w:id="106698195">
      <w:bodyDiv w:val="1"/>
      <w:marLeft w:val="0"/>
      <w:marRight w:val="0"/>
      <w:marTop w:val="0"/>
      <w:marBottom w:val="0"/>
      <w:divBdr>
        <w:top w:val="none" w:sz="0" w:space="0" w:color="auto"/>
        <w:left w:val="none" w:sz="0" w:space="0" w:color="auto"/>
        <w:bottom w:val="none" w:sz="0" w:space="0" w:color="auto"/>
        <w:right w:val="none" w:sz="0" w:space="0" w:color="auto"/>
      </w:divBdr>
    </w:div>
    <w:div w:id="108548355">
      <w:bodyDiv w:val="1"/>
      <w:marLeft w:val="0"/>
      <w:marRight w:val="0"/>
      <w:marTop w:val="0"/>
      <w:marBottom w:val="0"/>
      <w:divBdr>
        <w:top w:val="none" w:sz="0" w:space="0" w:color="auto"/>
        <w:left w:val="none" w:sz="0" w:space="0" w:color="auto"/>
        <w:bottom w:val="none" w:sz="0" w:space="0" w:color="auto"/>
        <w:right w:val="none" w:sz="0" w:space="0" w:color="auto"/>
      </w:divBdr>
    </w:div>
    <w:div w:id="108554833">
      <w:bodyDiv w:val="1"/>
      <w:marLeft w:val="0"/>
      <w:marRight w:val="0"/>
      <w:marTop w:val="0"/>
      <w:marBottom w:val="0"/>
      <w:divBdr>
        <w:top w:val="none" w:sz="0" w:space="0" w:color="auto"/>
        <w:left w:val="none" w:sz="0" w:space="0" w:color="auto"/>
        <w:bottom w:val="none" w:sz="0" w:space="0" w:color="auto"/>
        <w:right w:val="none" w:sz="0" w:space="0" w:color="auto"/>
      </w:divBdr>
    </w:div>
    <w:div w:id="109324023">
      <w:bodyDiv w:val="1"/>
      <w:marLeft w:val="0"/>
      <w:marRight w:val="0"/>
      <w:marTop w:val="0"/>
      <w:marBottom w:val="0"/>
      <w:divBdr>
        <w:top w:val="none" w:sz="0" w:space="0" w:color="auto"/>
        <w:left w:val="none" w:sz="0" w:space="0" w:color="auto"/>
        <w:bottom w:val="none" w:sz="0" w:space="0" w:color="auto"/>
        <w:right w:val="none" w:sz="0" w:space="0" w:color="auto"/>
      </w:divBdr>
    </w:div>
    <w:div w:id="111360518">
      <w:bodyDiv w:val="1"/>
      <w:marLeft w:val="0"/>
      <w:marRight w:val="0"/>
      <w:marTop w:val="0"/>
      <w:marBottom w:val="0"/>
      <w:divBdr>
        <w:top w:val="none" w:sz="0" w:space="0" w:color="auto"/>
        <w:left w:val="none" w:sz="0" w:space="0" w:color="auto"/>
        <w:bottom w:val="none" w:sz="0" w:space="0" w:color="auto"/>
        <w:right w:val="none" w:sz="0" w:space="0" w:color="auto"/>
      </w:divBdr>
    </w:div>
    <w:div w:id="112791699">
      <w:bodyDiv w:val="1"/>
      <w:marLeft w:val="0"/>
      <w:marRight w:val="0"/>
      <w:marTop w:val="0"/>
      <w:marBottom w:val="0"/>
      <w:divBdr>
        <w:top w:val="none" w:sz="0" w:space="0" w:color="auto"/>
        <w:left w:val="none" w:sz="0" w:space="0" w:color="auto"/>
        <w:bottom w:val="none" w:sz="0" w:space="0" w:color="auto"/>
        <w:right w:val="none" w:sz="0" w:space="0" w:color="auto"/>
      </w:divBdr>
    </w:div>
    <w:div w:id="112986753">
      <w:bodyDiv w:val="1"/>
      <w:marLeft w:val="0"/>
      <w:marRight w:val="0"/>
      <w:marTop w:val="0"/>
      <w:marBottom w:val="0"/>
      <w:divBdr>
        <w:top w:val="none" w:sz="0" w:space="0" w:color="auto"/>
        <w:left w:val="none" w:sz="0" w:space="0" w:color="auto"/>
        <w:bottom w:val="none" w:sz="0" w:space="0" w:color="auto"/>
        <w:right w:val="none" w:sz="0" w:space="0" w:color="auto"/>
      </w:divBdr>
    </w:div>
    <w:div w:id="115606033">
      <w:bodyDiv w:val="1"/>
      <w:marLeft w:val="0"/>
      <w:marRight w:val="0"/>
      <w:marTop w:val="0"/>
      <w:marBottom w:val="0"/>
      <w:divBdr>
        <w:top w:val="none" w:sz="0" w:space="0" w:color="auto"/>
        <w:left w:val="none" w:sz="0" w:space="0" w:color="auto"/>
        <w:bottom w:val="none" w:sz="0" w:space="0" w:color="auto"/>
        <w:right w:val="none" w:sz="0" w:space="0" w:color="auto"/>
      </w:divBdr>
    </w:div>
    <w:div w:id="115762387">
      <w:bodyDiv w:val="1"/>
      <w:marLeft w:val="0"/>
      <w:marRight w:val="0"/>
      <w:marTop w:val="0"/>
      <w:marBottom w:val="0"/>
      <w:divBdr>
        <w:top w:val="none" w:sz="0" w:space="0" w:color="auto"/>
        <w:left w:val="none" w:sz="0" w:space="0" w:color="auto"/>
        <w:bottom w:val="none" w:sz="0" w:space="0" w:color="auto"/>
        <w:right w:val="none" w:sz="0" w:space="0" w:color="auto"/>
      </w:divBdr>
    </w:div>
    <w:div w:id="116022879">
      <w:bodyDiv w:val="1"/>
      <w:marLeft w:val="0"/>
      <w:marRight w:val="0"/>
      <w:marTop w:val="0"/>
      <w:marBottom w:val="0"/>
      <w:divBdr>
        <w:top w:val="none" w:sz="0" w:space="0" w:color="auto"/>
        <w:left w:val="none" w:sz="0" w:space="0" w:color="auto"/>
        <w:bottom w:val="none" w:sz="0" w:space="0" w:color="auto"/>
        <w:right w:val="none" w:sz="0" w:space="0" w:color="auto"/>
      </w:divBdr>
    </w:div>
    <w:div w:id="117139555">
      <w:bodyDiv w:val="1"/>
      <w:marLeft w:val="0"/>
      <w:marRight w:val="0"/>
      <w:marTop w:val="0"/>
      <w:marBottom w:val="0"/>
      <w:divBdr>
        <w:top w:val="none" w:sz="0" w:space="0" w:color="auto"/>
        <w:left w:val="none" w:sz="0" w:space="0" w:color="auto"/>
        <w:bottom w:val="none" w:sz="0" w:space="0" w:color="auto"/>
        <w:right w:val="none" w:sz="0" w:space="0" w:color="auto"/>
      </w:divBdr>
    </w:div>
    <w:div w:id="117797076">
      <w:bodyDiv w:val="1"/>
      <w:marLeft w:val="0"/>
      <w:marRight w:val="0"/>
      <w:marTop w:val="0"/>
      <w:marBottom w:val="0"/>
      <w:divBdr>
        <w:top w:val="none" w:sz="0" w:space="0" w:color="auto"/>
        <w:left w:val="none" w:sz="0" w:space="0" w:color="auto"/>
        <w:bottom w:val="none" w:sz="0" w:space="0" w:color="auto"/>
        <w:right w:val="none" w:sz="0" w:space="0" w:color="auto"/>
      </w:divBdr>
    </w:div>
    <w:div w:id="118770695">
      <w:bodyDiv w:val="1"/>
      <w:marLeft w:val="0"/>
      <w:marRight w:val="0"/>
      <w:marTop w:val="0"/>
      <w:marBottom w:val="0"/>
      <w:divBdr>
        <w:top w:val="none" w:sz="0" w:space="0" w:color="auto"/>
        <w:left w:val="none" w:sz="0" w:space="0" w:color="auto"/>
        <w:bottom w:val="none" w:sz="0" w:space="0" w:color="auto"/>
        <w:right w:val="none" w:sz="0" w:space="0" w:color="auto"/>
      </w:divBdr>
    </w:div>
    <w:div w:id="121577355">
      <w:bodyDiv w:val="1"/>
      <w:marLeft w:val="0"/>
      <w:marRight w:val="0"/>
      <w:marTop w:val="0"/>
      <w:marBottom w:val="0"/>
      <w:divBdr>
        <w:top w:val="none" w:sz="0" w:space="0" w:color="auto"/>
        <w:left w:val="none" w:sz="0" w:space="0" w:color="auto"/>
        <w:bottom w:val="none" w:sz="0" w:space="0" w:color="auto"/>
        <w:right w:val="none" w:sz="0" w:space="0" w:color="auto"/>
      </w:divBdr>
    </w:div>
    <w:div w:id="121732638">
      <w:bodyDiv w:val="1"/>
      <w:marLeft w:val="0"/>
      <w:marRight w:val="0"/>
      <w:marTop w:val="0"/>
      <w:marBottom w:val="0"/>
      <w:divBdr>
        <w:top w:val="none" w:sz="0" w:space="0" w:color="auto"/>
        <w:left w:val="none" w:sz="0" w:space="0" w:color="auto"/>
        <w:bottom w:val="none" w:sz="0" w:space="0" w:color="auto"/>
        <w:right w:val="none" w:sz="0" w:space="0" w:color="auto"/>
      </w:divBdr>
    </w:div>
    <w:div w:id="122383780">
      <w:bodyDiv w:val="1"/>
      <w:marLeft w:val="0"/>
      <w:marRight w:val="0"/>
      <w:marTop w:val="0"/>
      <w:marBottom w:val="0"/>
      <w:divBdr>
        <w:top w:val="none" w:sz="0" w:space="0" w:color="auto"/>
        <w:left w:val="none" w:sz="0" w:space="0" w:color="auto"/>
        <w:bottom w:val="none" w:sz="0" w:space="0" w:color="auto"/>
        <w:right w:val="none" w:sz="0" w:space="0" w:color="auto"/>
      </w:divBdr>
    </w:div>
    <w:div w:id="122426666">
      <w:bodyDiv w:val="1"/>
      <w:marLeft w:val="0"/>
      <w:marRight w:val="0"/>
      <w:marTop w:val="0"/>
      <w:marBottom w:val="0"/>
      <w:divBdr>
        <w:top w:val="none" w:sz="0" w:space="0" w:color="auto"/>
        <w:left w:val="none" w:sz="0" w:space="0" w:color="auto"/>
        <w:bottom w:val="none" w:sz="0" w:space="0" w:color="auto"/>
        <w:right w:val="none" w:sz="0" w:space="0" w:color="auto"/>
      </w:divBdr>
    </w:div>
    <w:div w:id="122500635">
      <w:bodyDiv w:val="1"/>
      <w:marLeft w:val="0"/>
      <w:marRight w:val="0"/>
      <w:marTop w:val="0"/>
      <w:marBottom w:val="0"/>
      <w:divBdr>
        <w:top w:val="none" w:sz="0" w:space="0" w:color="auto"/>
        <w:left w:val="none" w:sz="0" w:space="0" w:color="auto"/>
        <w:bottom w:val="none" w:sz="0" w:space="0" w:color="auto"/>
        <w:right w:val="none" w:sz="0" w:space="0" w:color="auto"/>
      </w:divBdr>
    </w:div>
    <w:div w:id="123431403">
      <w:bodyDiv w:val="1"/>
      <w:marLeft w:val="0"/>
      <w:marRight w:val="0"/>
      <w:marTop w:val="0"/>
      <w:marBottom w:val="0"/>
      <w:divBdr>
        <w:top w:val="none" w:sz="0" w:space="0" w:color="auto"/>
        <w:left w:val="none" w:sz="0" w:space="0" w:color="auto"/>
        <w:bottom w:val="none" w:sz="0" w:space="0" w:color="auto"/>
        <w:right w:val="none" w:sz="0" w:space="0" w:color="auto"/>
      </w:divBdr>
    </w:div>
    <w:div w:id="124127207">
      <w:bodyDiv w:val="1"/>
      <w:marLeft w:val="0"/>
      <w:marRight w:val="0"/>
      <w:marTop w:val="0"/>
      <w:marBottom w:val="0"/>
      <w:divBdr>
        <w:top w:val="none" w:sz="0" w:space="0" w:color="auto"/>
        <w:left w:val="none" w:sz="0" w:space="0" w:color="auto"/>
        <w:bottom w:val="none" w:sz="0" w:space="0" w:color="auto"/>
        <w:right w:val="none" w:sz="0" w:space="0" w:color="auto"/>
      </w:divBdr>
    </w:div>
    <w:div w:id="124395077">
      <w:bodyDiv w:val="1"/>
      <w:marLeft w:val="0"/>
      <w:marRight w:val="0"/>
      <w:marTop w:val="0"/>
      <w:marBottom w:val="0"/>
      <w:divBdr>
        <w:top w:val="none" w:sz="0" w:space="0" w:color="auto"/>
        <w:left w:val="none" w:sz="0" w:space="0" w:color="auto"/>
        <w:bottom w:val="none" w:sz="0" w:space="0" w:color="auto"/>
        <w:right w:val="none" w:sz="0" w:space="0" w:color="auto"/>
      </w:divBdr>
    </w:div>
    <w:div w:id="124736956">
      <w:bodyDiv w:val="1"/>
      <w:marLeft w:val="0"/>
      <w:marRight w:val="0"/>
      <w:marTop w:val="0"/>
      <w:marBottom w:val="0"/>
      <w:divBdr>
        <w:top w:val="none" w:sz="0" w:space="0" w:color="auto"/>
        <w:left w:val="none" w:sz="0" w:space="0" w:color="auto"/>
        <w:bottom w:val="none" w:sz="0" w:space="0" w:color="auto"/>
        <w:right w:val="none" w:sz="0" w:space="0" w:color="auto"/>
      </w:divBdr>
    </w:div>
    <w:div w:id="125006421">
      <w:bodyDiv w:val="1"/>
      <w:marLeft w:val="0"/>
      <w:marRight w:val="0"/>
      <w:marTop w:val="0"/>
      <w:marBottom w:val="0"/>
      <w:divBdr>
        <w:top w:val="none" w:sz="0" w:space="0" w:color="auto"/>
        <w:left w:val="none" w:sz="0" w:space="0" w:color="auto"/>
        <w:bottom w:val="none" w:sz="0" w:space="0" w:color="auto"/>
        <w:right w:val="none" w:sz="0" w:space="0" w:color="auto"/>
      </w:divBdr>
    </w:div>
    <w:div w:id="125858213">
      <w:bodyDiv w:val="1"/>
      <w:marLeft w:val="0"/>
      <w:marRight w:val="0"/>
      <w:marTop w:val="0"/>
      <w:marBottom w:val="0"/>
      <w:divBdr>
        <w:top w:val="none" w:sz="0" w:space="0" w:color="auto"/>
        <w:left w:val="none" w:sz="0" w:space="0" w:color="auto"/>
        <w:bottom w:val="none" w:sz="0" w:space="0" w:color="auto"/>
        <w:right w:val="none" w:sz="0" w:space="0" w:color="auto"/>
      </w:divBdr>
    </w:div>
    <w:div w:id="125974420">
      <w:bodyDiv w:val="1"/>
      <w:marLeft w:val="0"/>
      <w:marRight w:val="0"/>
      <w:marTop w:val="0"/>
      <w:marBottom w:val="0"/>
      <w:divBdr>
        <w:top w:val="none" w:sz="0" w:space="0" w:color="auto"/>
        <w:left w:val="none" w:sz="0" w:space="0" w:color="auto"/>
        <w:bottom w:val="none" w:sz="0" w:space="0" w:color="auto"/>
        <w:right w:val="none" w:sz="0" w:space="0" w:color="auto"/>
      </w:divBdr>
    </w:div>
    <w:div w:id="126554588">
      <w:bodyDiv w:val="1"/>
      <w:marLeft w:val="0"/>
      <w:marRight w:val="0"/>
      <w:marTop w:val="0"/>
      <w:marBottom w:val="0"/>
      <w:divBdr>
        <w:top w:val="none" w:sz="0" w:space="0" w:color="auto"/>
        <w:left w:val="none" w:sz="0" w:space="0" w:color="auto"/>
        <w:bottom w:val="none" w:sz="0" w:space="0" w:color="auto"/>
        <w:right w:val="none" w:sz="0" w:space="0" w:color="auto"/>
      </w:divBdr>
    </w:div>
    <w:div w:id="127211372">
      <w:bodyDiv w:val="1"/>
      <w:marLeft w:val="0"/>
      <w:marRight w:val="0"/>
      <w:marTop w:val="0"/>
      <w:marBottom w:val="0"/>
      <w:divBdr>
        <w:top w:val="none" w:sz="0" w:space="0" w:color="auto"/>
        <w:left w:val="none" w:sz="0" w:space="0" w:color="auto"/>
        <w:bottom w:val="none" w:sz="0" w:space="0" w:color="auto"/>
        <w:right w:val="none" w:sz="0" w:space="0" w:color="auto"/>
      </w:divBdr>
    </w:div>
    <w:div w:id="128599715">
      <w:bodyDiv w:val="1"/>
      <w:marLeft w:val="0"/>
      <w:marRight w:val="0"/>
      <w:marTop w:val="0"/>
      <w:marBottom w:val="0"/>
      <w:divBdr>
        <w:top w:val="none" w:sz="0" w:space="0" w:color="auto"/>
        <w:left w:val="none" w:sz="0" w:space="0" w:color="auto"/>
        <w:bottom w:val="none" w:sz="0" w:space="0" w:color="auto"/>
        <w:right w:val="none" w:sz="0" w:space="0" w:color="auto"/>
      </w:divBdr>
    </w:div>
    <w:div w:id="129249714">
      <w:bodyDiv w:val="1"/>
      <w:marLeft w:val="0"/>
      <w:marRight w:val="0"/>
      <w:marTop w:val="0"/>
      <w:marBottom w:val="0"/>
      <w:divBdr>
        <w:top w:val="none" w:sz="0" w:space="0" w:color="auto"/>
        <w:left w:val="none" w:sz="0" w:space="0" w:color="auto"/>
        <w:bottom w:val="none" w:sz="0" w:space="0" w:color="auto"/>
        <w:right w:val="none" w:sz="0" w:space="0" w:color="auto"/>
      </w:divBdr>
    </w:div>
    <w:div w:id="129400292">
      <w:bodyDiv w:val="1"/>
      <w:marLeft w:val="0"/>
      <w:marRight w:val="0"/>
      <w:marTop w:val="0"/>
      <w:marBottom w:val="0"/>
      <w:divBdr>
        <w:top w:val="none" w:sz="0" w:space="0" w:color="auto"/>
        <w:left w:val="none" w:sz="0" w:space="0" w:color="auto"/>
        <w:bottom w:val="none" w:sz="0" w:space="0" w:color="auto"/>
        <w:right w:val="none" w:sz="0" w:space="0" w:color="auto"/>
      </w:divBdr>
    </w:div>
    <w:div w:id="129830804">
      <w:bodyDiv w:val="1"/>
      <w:marLeft w:val="0"/>
      <w:marRight w:val="0"/>
      <w:marTop w:val="0"/>
      <w:marBottom w:val="0"/>
      <w:divBdr>
        <w:top w:val="none" w:sz="0" w:space="0" w:color="auto"/>
        <w:left w:val="none" w:sz="0" w:space="0" w:color="auto"/>
        <w:bottom w:val="none" w:sz="0" w:space="0" w:color="auto"/>
        <w:right w:val="none" w:sz="0" w:space="0" w:color="auto"/>
      </w:divBdr>
    </w:div>
    <w:div w:id="129902912">
      <w:bodyDiv w:val="1"/>
      <w:marLeft w:val="0"/>
      <w:marRight w:val="0"/>
      <w:marTop w:val="0"/>
      <w:marBottom w:val="0"/>
      <w:divBdr>
        <w:top w:val="none" w:sz="0" w:space="0" w:color="auto"/>
        <w:left w:val="none" w:sz="0" w:space="0" w:color="auto"/>
        <w:bottom w:val="none" w:sz="0" w:space="0" w:color="auto"/>
        <w:right w:val="none" w:sz="0" w:space="0" w:color="auto"/>
      </w:divBdr>
    </w:div>
    <w:div w:id="131027063">
      <w:bodyDiv w:val="1"/>
      <w:marLeft w:val="0"/>
      <w:marRight w:val="0"/>
      <w:marTop w:val="0"/>
      <w:marBottom w:val="0"/>
      <w:divBdr>
        <w:top w:val="none" w:sz="0" w:space="0" w:color="auto"/>
        <w:left w:val="none" w:sz="0" w:space="0" w:color="auto"/>
        <w:bottom w:val="none" w:sz="0" w:space="0" w:color="auto"/>
        <w:right w:val="none" w:sz="0" w:space="0" w:color="auto"/>
      </w:divBdr>
    </w:div>
    <w:div w:id="131411084">
      <w:bodyDiv w:val="1"/>
      <w:marLeft w:val="0"/>
      <w:marRight w:val="0"/>
      <w:marTop w:val="0"/>
      <w:marBottom w:val="0"/>
      <w:divBdr>
        <w:top w:val="none" w:sz="0" w:space="0" w:color="auto"/>
        <w:left w:val="none" w:sz="0" w:space="0" w:color="auto"/>
        <w:bottom w:val="none" w:sz="0" w:space="0" w:color="auto"/>
        <w:right w:val="none" w:sz="0" w:space="0" w:color="auto"/>
      </w:divBdr>
    </w:div>
    <w:div w:id="131556814">
      <w:bodyDiv w:val="1"/>
      <w:marLeft w:val="0"/>
      <w:marRight w:val="0"/>
      <w:marTop w:val="0"/>
      <w:marBottom w:val="0"/>
      <w:divBdr>
        <w:top w:val="none" w:sz="0" w:space="0" w:color="auto"/>
        <w:left w:val="none" w:sz="0" w:space="0" w:color="auto"/>
        <w:bottom w:val="none" w:sz="0" w:space="0" w:color="auto"/>
        <w:right w:val="none" w:sz="0" w:space="0" w:color="auto"/>
      </w:divBdr>
    </w:div>
    <w:div w:id="133261953">
      <w:bodyDiv w:val="1"/>
      <w:marLeft w:val="0"/>
      <w:marRight w:val="0"/>
      <w:marTop w:val="0"/>
      <w:marBottom w:val="0"/>
      <w:divBdr>
        <w:top w:val="none" w:sz="0" w:space="0" w:color="auto"/>
        <w:left w:val="none" w:sz="0" w:space="0" w:color="auto"/>
        <w:bottom w:val="none" w:sz="0" w:space="0" w:color="auto"/>
        <w:right w:val="none" w:sz="0" w:space="0" w:color="auto"/>
      </w:divBdr>
    </w:div>
    <w:div w:id="133332789">
      <w:bodyDiv w:val="1"/>
      <w:marLeft w:val="0"/>
      <w:marRight w:val="0"/>
      <w:marTop w:val="0"/>
      <w:marBottom w:val="0"/>
      <w:divBdr>
        <w:top w:val="none" w:sz="0" w:space="0" w:color="auto"/>
        <w:left w:val="none" w:sz="0" w:space="0" w:color="auto"/>
        <w:bottom w:val="none" w:sz="0" w:space="0" w:color="auto"/>
        <w:right w:val="none" w:sz="0" w:space="0" w:color="auto"/>
      </w:divBdr>
    </w:div>
    <w:div w:id="133571297">
      <w:bodyDiv w:val="1"/>
      <w:marLeft w:val="0"/>
      <w:marRight w:val="0"/>
      <w:marTop w:val="0"/>
      <w:marBottom w:val="0"/>
      <w:divBdr>
        <w:top w:val="none" w:sz="0" w:space="0" w:color="auto"/>
        <w:left w:val="none" w:sz="0" w:space="0" w:color="auto"/>
        <w:bottom w:val="none" w:sz="0" w:space="0" w:color="auto"/>
        <w:right w:val="none" w:sz="0" w:space="0" w:color="auto"/>
      </w:divBdr>
    </w:div>
    <w:div w:id="133983306">
      <w:bodyDiv w:val="1"/>
      <w:marLeft w:val="0"/>
      <w:marRight w:val="0"/>
      <w:marTop w:val="0"/>
      <w:marBottom w:val="0"/>
      <w:divBdr>
        <w:top w:val="none" w:sz="0" w:space="0" w:color="auto"/>
        <w:left w:val="none" w:sz="0" w:space="0" w:color="auto"/>
        <w:bottom w:val="none" w:sz="0" w:space="0" w:color="auto"/>
        <w:right w:val="none" w:sz="0" w:space="0" w:color="auto"/>
      </w:divBdr>
    </w:div>
    <w:div w:id="134107120">
      <w:bodyDiv w:val="1"/>
      <w:marLeft w:val="0"/>
      <w:marRight w:val="0"/>
      <w:marTop w:val="0"/>
      <w:marBottom w:val="0"/>
      <w:divBdr>
        <w:top w:val="none" w:sz="0" w:space="0" w:color="auto"/>
        <w:left w:val="none" w:sz="0" w:space="0" w:color="auto"/>
        <w:bottom w:val="none" w:sz="0" w:space="0" w:color="auto"/>
        <w:right w:val="none" w:sz="0" w:space="0" w:color="auto"/>
      </w:divBdr>
    </w:div>
    <w:div w:id="134182246">
      <w:bodyDiv w:val="1"/>
      <w:marLeft w:val="0"/>
      <w:marRight w:val="0"/>
      <w:marTop w:val="0"/>
      <w:marBottom w:val="0"/>
      <w:divBdr>
        <w:top w:val="none" w:sz="0" w:space="0" w:color="auto"/>
        <w:left w:val="none" w:sz="0" w:space="0" w:color="auto"/>
        <w:bottom w:val="none" w:sz="0" w:space="0" w:color="auto"/>
        <w:right w:val="none" w:sz="0" w:space="0" w:color="auto"/>
      </w:divBdr>
    </w:div>
    <w:div w:id="134681843">
      <w:bodyDiv w:val="1"/>
      <w:marLeft w:val="0"/>
      <w:marRight w:val="0"/>
      <w:marTop w:val="0"/>
      <w:marBottom w:val="0"/>
      <w:divBdr>
        <w:top w:val="none" w:sz="0" w:space="0" w:color="auto"/>
        <w:left w:val="none" w:sz="0" w:space="0" w:color="auto"/>
        <w:bottom w:val="none" w:sz="0" w:space="0" w:color="auto"/>
        <w:right w:val="none" w:sz="0" w:space="0" w:color="auto"/>
      </w:divBdr>
    </w:div>
    <w:div w:id="134758040">
      <w:bodyDiv w:val="1"/>
      <w:marLeft w:val="0"/>
      <w:marRight w:val="0"/>
      <w:marTop w:val="0"/>
      <w:marBottom w:val="0"/>
      <w:divBdr>
        <w:top w:val="none" w:sz="0" w:space="0" w:color="auto"/>
        <w:left w:val="none" w:sz="0" w:space="0" w:color="auto"/>
        <w:bottom w:val="none" w:sz="0" w:space="0" w:color="auto"/>
        <w:right w:val="none" w:sz="0" w:space="0" w:color="auto"/>
      </w:divBdr>
    </w:div>
    <w:div w:id="135415584">
      <w:bodyDiv w:val="1"/>
      <w:marLeft w:val="0"/>
      <w:marRight w:val="0"/>
      <w:marTop w:val="0"/>
      <w:marBottom w:val="0"/>
      <w:divBdr>
        <w:top w:val="none" w:sz="0" w:space="0" w:color="auto"/>
        <w:left w:val="none" w:sz="0" w:space="0" w:color="auto"/>
        <w:bottom w:val="none" w:sz="0" w:space="0" w:color="auto"/>
        <w:right w:val="none" w:sz="0" w:space="0" w:color="auto"/>
      </w:divBdr>
    </w:div>
    <w:div w:id="135492615">
      <w:bodyDiv w:val="1"/>
      <w:marLeft w:val="0"/>
      <w:marRight w:val="0"/>
      <w:marTop w:val="0"/>
      <w:marBottom w:val="0"/>
      <w:divBdr>
        <w:top w:val="none" w:sz="0" w:space="0" w:color="auto"/>
        <w:left w:val="none" w:sz="0" w:space="0" w:color="auto"/>
        <w:bottom w:val="none" w:sz="0" w:space="0" w:color="auto"/>
        <w:right w:val="none" w:sz="0" w:space="0" w:color="auto"/>
      </w:divBdr>
    </w:div>
    <w:div w:id="135874134">
      <w:bodyDiv w:val="1"/>
      <w:marLeft w:val="0"/>
      <w:marRight w:val="0"/>
      <w:marTop w:val="0"/>
      <w:marBottom w:val="0"/>
      <w:divBdr>
        <w:top w:val="none" w:sz="0" w:space="0" w:color="auto"/>
        <w:left w:val="none" w:sz="0" w:space="0" w:color="auto"/>
        <w:bottom w:val="none" w:sz="0" w:space="0" w:color="auto"/>
        <w:right w:val="none" w:sz="0" w:space="0" w:color="auto"/>
      </w:divBdr>
    </w:div>
    <w:div w:id="136190599">
      <w:bodyDiv w:val="1"/>
      <w:marLeft w:val="0"/>
      <w:marRight w:val="0"/>
      <w:marTop w:val="0"/>
      <w:marBottom w:val="0"/>
      <w:divBdr>
        <w:top w:val="none" w:sz="0" w:space="0" w:color="auto"/>
        <w:left w:val="none" w:sz="0" w:space="0" w:color="auto"/>
        <w:bottom w:val="none" w:sz="0" w:space="0" w:color="auto"/>
        <w:right w:val="none" w:sz="0" w:space="0" w:color="auto"/>
      </w:divBdr>
    </w:div>
    <w:div w:id="137840076">
      <w:bodyDiv w:val="1"/>
      <w:marLeft w:val="0"/>
      <w:marRight w:val="0"/>
      <w:marTop w:val="0"/>
      <w:marBottom w:val="0"/>
      <w:divBdr>
        <w:top w:val="none" w:sz="0" w:space="0" w:color="auto"/>
        <w:left w:val="none" w:sz="0" w:space="0" w:color="auto"/>
        <w:bottom w:val="none" w:sz="0" w:space="0" w:color="auto"/>
        <w:right w:val="none" w:sz="0" w:space="0" w:color="auto"/>
      </w:divBdr>
    </w:div>
    <w:div w:id="138113722">
      <w:bodyDiv w:val="1"/>
      <w:marLeft w:val="0"/>
      <w:marRight w:val="0"/>
      <w:marTop w:val="0"/>
      <w:marBottom w:val="0"/>
      <w:divBdr>
        <w:top w:val="none" w:sz="0" w:space="0" w:color="auto"/>
        <w:left w:val="none" w:sz="0" w:space="0" w:color="auto"/>
        <w:bottom w:val="none" w:sz="0" w:space="0" w:color="auto"/>
        <w:right w:val="none" w:sz="0" w:space="0" w:color="auto"/>
      </w:divBdr>
    </w:div>
    <w:div w:id="138116457">
      <w:bodyDiv w:val="1"/>
      <w:marLeft w:val="0"/>
      <w:marRight w:val="0"/>
      <w:marTop w:val="0"/>
      <w:marBottom w:val="0"/>
      <w:divBdr>
        <w:top w:val="none" w:sz="0" w:space="0" w:color="auto"/>
        <w:left w:val="none" w:sz="0" w:space="0" w:color="auto"/>
        <w:bottom w:val="none" w:sz="0" w:space="0" w:color="auto"/>
        <w:right w:val="none" w:sz="0" w:space="0" w:color="auto"/>
      </w:divBdr>
    </w:div>
    <w:div w:id="139276136">
      <w:bodyDiv w:val="1"/>
      <w:marLeft w:val="0"/>
      <w:marRight w:val="0"/>
      <w:marTop w:val="0"/>
      <w:marBottom w:val="0"/>
      <w:divBdr>
        <w:top w:val="none" w:sz="0" w:space="0" w:color="auto"/>
        <w:left w:val="none" w:sz="0" w:space="0" w:color="auto"/>
        <w:bottom w:val="none" w:sz="0" w:space="0" w:color="auto"/>
        <w:right w:val="none" w:sz="0" w:space="0" w:color="auto"/>
      </w:divBdr>
    </w:div>
    <w:div w:id="139276726">
      <w:bodyDiv w:val="1"/>
      <w:marLeft w:val="0"/>
      <w:marRight w:val="0"/>
      <w:marTop w:val="0"/>
      <w:marBottom w:val="0"/>
      <w:divBdr>
        <w:top w:val="none" w:sz="0" w:space="0" w:color="auto"/>
        <w:left w:val="none" w:sz="0" w:space="0" w:color="auto"/>
        <w:bottom w:val="none" w:sz="0" w:space="0" w:color="auto"/>
        <w:right w:val="none" w:sz="0" w:space="0" w:color="auto"/>
      </w:divBdr>
    </w:div>
    <w:div w:id="140121709">
      <w:bodyDiv w:val="1"/>
      <w:marLeft w:val="0"/>
      <w:marRight w:val="0"/>
      <w:marTop w:val="0"/>
      <w:marBottom w:val="0"/>
      <w:divBdr>
        <w:top w:val="none" w:sz="0" w:space="0" w:color="auto"/>
        <w:left w:val="none" w:sz="0" w:space="0" w:color="auto"/>
        <w:bottom w:val="none" w:sz="0" w:space="0" w:color="auto"/>
        <w:right w:val="none" w:sz="0" w:space="0" w:color="auto"/>
      </w:divBdr>
    </w:div>
    <w:div w:id="140200293">
      <w:bodyDiv w:val="1"/>
      <w:marLeft w:val="0"/>
      <w:marRight w:val="0"/>
      <w:marTop w:val="0"/>
      <w:marBottom w:val="0"/>
      <w:divBdr>
        <w:top w:val="none" w:sz="0" w:space="0" w:color="auto"/>
        <w:left w:val="none" w:sz="0" w:space="0" w:color="auto"/>
        <w:bottom w:val="none" w:sz="0" w:space="0" w:color="auto"/>
        <w:right w:val="none" w:sz="0" w:space="0" w:color="auto"/>
      </w:divBdr>
    </w:div>
    <w:div w:id="140654926">
      <w:bodyDiv w:val="1"/>
      <w:marLeft w:val="0"/>
      <w:marRight w:val="0"/>
      <w:marTop w:val="0"/>
      <w:marBottom w:val="0"/>
      <w:divBdr>
        <w:top w:val="none" w:sz="0" w:space="0" w:color="auto"/>
        <w:left w:val="none" w:sz="0" w:space="0" w:color="auto"/>
        <w:bottom w:val="none" w:sz="0" w:space="0" w:color="auto"/>
        <w:right w:val="none" w:sz="0" w:space="0" w:color="auto"/>
      </w:divBdr>
    </w:div>
    <w:div w:id="141116416">
      <w:bodyDiv w:val="1"/>
      <w:marLeft w:val="0"/>
      <w:marRight w:val="0"/>
      <w:marTop w:val="0"/>
      <w:marBottom w:val="0"/>
      <w:divBdr>
        <w:top w:val="none" w:sz="0" w:space="0" w:color="auto"/>
        <w:left w:val="none" w:sz="0" w:space="0" w:color="auto"/>
        <w:bottom w:val="none" w:sz="0" w:space="0" w:color="auto"/>
        <w:right w:val="none" w:sz="0" w:space="0" w:color="auto"/>
      </w:divBdr>
    </w:div>
    <w:div w:id="141511180">
      <w:bodyDiv w:val="1"/>
      <w:marLeft w:val="0"/>
      <w:marRight w:val="0"/>
      <w:marTop w:val="0"/>
      <w:marBottom w:val="0"/>
      <w:divBdr>
        <w:top w:val="none" w:sz="0" w:space="0" w:color="auto"/>
        <w:left w:val="none" w:sz="0" w:space="0" w:color="auto"/>
        <w:bottom w:val="none" w:sz="0" w:space="0" w:color="auto"/>
        <w:right w:val="none" w:sz="0" w:space="0" w:color="auto"/>
      </w:divBdr>
    </w:div>
    <w:div w:id="142089507">
      <w:bodyDiv w:val="1"/>
      <w:marLeft w:val="0"/>
      <w:marRight w:val="0"/>
      <w:marTop w:val="0"/>
      <w:marBottom w:val="0"/>
      <w:divBdr>
        <w:top w:val="none" w:sz="0" w:space="0" w:color="auto"/>
        <w:left w:val="none" w:sz="0" w:space="0" w:color="auto"/>
        <w:bottom w:val="none" w:sz="0" w:space="0" w:color="auto"/>
        <w:right w:val="none" w:sz="0" w:space="0" w:color="auto"/>
      </w:divBdr>
    </w:div>
    <w:div w:id="142619702">
      <w:bodyDiv w:val="1"/>
      <w:marLeft w:val="0"/>
      <w:marRight w:val="0"/>
      <w:marTop w:val="0"/>
      <w:marBottom w:val="0"/>
      <w:divBdr>
        <w:top w:val="none" w:sz="0" w:space="0" w:color="auto"/>
        <w:left w:val="none" w:sz="0" w:space="0" w:color="auto"/>
        <w:bottom w:val="none" w:sz="0" w:space="0" w:color="auto"/>
        <w:right w:val="none" w:sz="0" w:space="0" w:color="auto"/>
      </w:divBdr>
    </w:div>
    <w:div w:id="143163236">
      <w:bodyDiv w:val="1"/>
      <w:marLeft w:val="0"/>
      <w:marRight w:val="0"/>
      <w:marTop w:val="0"/>
      <w:marBottom w:val="0"/>
      <w:divBdr>
        <w:top w:val="none" w:sz="0" w:space="0" w:color="auto"/>
        <w:left w:val="none" w:sz="0" w:space="0" w:color="auto"/>
        <w:bottom w:val="none" w:sz="0" w:space="0" w:color="auto"/>
        <w:right w:val="none" w:sz="0" w:space="0" w:color="auto"/>
      </w:divBdr>
    </w:div>
    <w:div w:id="143400505">
      <w:bodyDiv w:val="1"/>
      <w:marLeft w:val="0"/>
      <w:marRight w:val="0"/>
      <w:marTop w:val="0"/>
      <w:marBottom w:val="0"/>
      <w:divBdr>
        <w:top w:val="none" w:sz="0" w:space="0" w:color="auto"/>
        <w:left w:val="none" w:sz="0" w:space="0" w:color="auto"/>
        <w:bottom w:val="none" w:sz="0" w:space="0" w:color="auto"/>
        <w:right w:val="none" w:sz="0" w:space="0" w:color="auto"/>
      </w:divBdr>
    </w:div>
    <w:div w:id="143856516">
      <w:bodyDiv w:val="1"/>
      <w:marLeft w:val="0"/>
      <w:marRight w:val="0"/>
      <w:marTop w:val="0"/>
      <w:marBottom w:val="0"/>
      <w:divBdr>
        <w:top w:val="none" w:sz="0" w:space="0" w:color="auto"/>
        <w:left w:val="none" w:sz="0" w:space="0" w:color="auto"/>
        <w:bottom w:val="none" w:sz="0" w:space="0" w:color="auto"/>
        <w:right w:val="none" w:sz="0" w:space="0" w:color="auto"/>
      </w:divBdr>
    </w:div>
    <w:div w:id="145051508">
      <w:bodyDiv w:val="1"/>
      <w:marLeft w:val="0"/>
      <w:marRight w:val="0"/>
      <w:marTop w:val="0"/>
      <w:marBottom w:val="0"/>
      <w:divBdr>
        <w:top w:val="none" w:sz="0" w:space="0" w:color="auto"/>
        <w:left w:val="none" w:sz="0" w:space="0" w:color="auto"/>
        <w:bottom w:val="none" w:sz="0" w:space="0" w:color="auto"/>
        <w:right w:val="none" w:sz="0" w:space="0" w:color="auto"/>
      </w:divBdr>
    </w:div>
    <w:div w:id="145316883">
      <w:bodyDiv w:val="1"/>
      <w:marLeft w:val="0"/>
      <w:marRight w:val="0"/>
      <w:marTop w:val="0"/>
      <w:marBottom w:val="0"/>
      <w:divBdr>
        <w:top w:val="none" w:sz="0" w:space="0" w:color="auto"/>
        <w:left w:val="none" w:sz="0" w:space="0" w:color="auto"/>
        <w:bottom w:val="none" w:sz="0" w:space="0" w:color="auto"/>
        <w:right w:val="none" w:sz="0" w:space="0" w:color="auto"/>
      </w:divBdr>
    </w:div>
    <w:div w:id="146359305">
      <w:bodyDiv w:val="1"/>
      <w:marLeft w:val="0"/>
      <w:marRight w:val="0"/>
      <w:marTop w:val="0"/>
      <w:marBottom w:val="0"/>
      <w:divBdr>
        <w:top w:val="none" w:sz="0" w:space="0" w:color="auto"/>
        <w:left w:val="none" w:sz="0" w:space="0" w:color="auto"/>
        <w:bottom w:val="none" w:sz="0" w:space="0" w:color="auto"/>
        <w:right w:val="none" w:sz="0" w:space="0" w:color="auto"/>
      </w:divBdr>
    </w:div>
    <w:div w:id="146629609">
      <w:bodyDiv w:val="1"/>
      <w:marLeft w:val="0"/>
      <w:marRight w:val="0"/>
      <w:marTop w:val="0"/>
      <w:marBottom w:val="0"/>
      <w:divBdr>
        <w:top w:val="none" w:sz="0" w:space="0" w:color="auto"/>
        <w:left w:val="none" w:sz="0" w:space="0" w:color="auto"/>
        <w:bottom w:val="none" w:sz="0" w:space="0" w:color="auto"/>
        <w:right w:val="none" w:sz="0" w:space="0" w:color="auto"/>
      </w:divBdr>
    </w:div>
    <w:div w:id="146635617">
      <w:bodyDiv w:val="1"/>
      <w:marLeft w:val="0"/>
      <w:marRight w:val="0"/>
      <w:marTop w:val="0"/>
      <w:marBottom w:val="0"/>
      <w:divBdr>
        <w:top w:val="none" w:sz="0" w:space="0" w:color="auto"/>
        <w:left w:val="none" w:sz="0" w:space="0" w:color="auto"/>
        <w:bottom w:val="none" w:sz="0" w:space="0" w:color="auto"/>
        <w:right w:val="none" w:sz="0" w:space="0" w:color="auto"/>
      </w:divBdr>
    </w:div>
    <w:div w:id="147480521">
      <w:bodyDiv w:val="1"/>
      <w:marLeft w:val="0"/>
      <w:marRight w:val="0"/>
      <w:marTop w:val="0"/>
      <w:marBottom w:val="0"/>
      <w:divBdr>
        <w:top w:val="none" w:sz="0" w:space="0" w:color="auto"/>
        <w:left w:val="none" w:sz="0" w:space="0" w:color="auto"/>
        <w:bottom w:val="none" w:sz="0" w:space="0" w:color="auto"/>
        <w:right w:val="none" w:sz="0" w:space="0" w:color="auto"/>
      </w:divBdr>
    </w:div>
    <w:div w:id="148404067">
      <w:bodyDiv w:val="1"/>
      <w:marLeft w:val="0"/>
      <w:marRight w:val="0"/>
      <w:marTop w:val="0"/>
      <w:marBottom w:val="0"/>
      <w:divBdr>
        <w:top w:val="none" w:sz="0" w:space="0" w:color="auto"/>
        <w:left w:val="none" w:sz="0" w:space="0" w:color="auto"/>
        <w:bottom w:val="none" w:sz="0" w:space="0" w:color="auto"/>
        <w:right w:val="none" w:sz="0" w:space="0" w:color="auto"/>
      </w:divBdr>
    </w:div>
    <w:div w:id="148525863">
      <w:bodyDiv w:val="1"/>
      <w:marLeft w:val="0"/>
      <w:marRight w:val="0"/>
      <w:marTop w:val="0"/>
      <w:marBottom w:val="0"/>
      <w:divBdr>
        <w:top w:val="none" w:sz="0" w:space="0" w:color="auto"/>
        <w:left w:val="none" w:sz="0" w:space="0" w:color="auto"/>
        <w:bottom w:val="none" w:sz="0" w:space="0" w:color="auto"/>
        <w:right w:val="none" w:sz="0" w:space="0" w:color="auto"/>
      </w:divBdr>
    </w:div>
    <w:div w:id="148718714">
      <w:bodyDiv w:val="1"/>
      <w:marLeft w:val="0"/>
      <w:marRight w:val="0"/>
      <w:marTop w:val="0"/>
      <w:marBottom w:val="0"/>
      <w:divBdr>
        <w:top w:val="none" w:sz="0" w:space="0" w:color="auto"/>
        <w:left w:val="none" w:sz="0" w:space="0" w:color="auto"/>
        <w:bottom w:val="none" w:sz="0" w:space="0" w:color="auto"/>
        <w:right w:val="none" w:sz="0" w:space="0" w:color="auto"/>
      </w:divBdr>
    </w:div>
    <w:div w:id="149298654">
      <w:bodyDiv w:val="1"/>
      <w:marLeft w:val="0"/>
      <w:marRight w:val="0"/>
      <w:marTop w:val="0"/>
      <w:marBottom w:val="0"/>
      <w:divBdr>
        <w:top w:val="none" w:sz="0" w:space="0" w:color="auto"/>
        <w:left w:val="none" w:sz="0" w:space="0" w:color="auto"/>
        <w:bottom w:val="none" w:sz="0" w:space="0" w:color="auto"/>
        <w:right w:val="none" w:sz="0" w:space="0" w:color="auto"/>
      </w:divBdr>
    </w:div>
    <w:div w:id="149835930">
      <w:bodyDiv w:val="1"/>
      <w:marLeft w:val="0"/>
      <w:marRight w:val="0"/>
      <w:marTop w:val="0"/>
      <w:marBottom w:val="0"/>
      <w:divBdr>
        <w:top w:val="none" w:sz="0" w:space="0" w:color="auto"/>
        <w:left w:val="none" w:sz="0" w:space="0" w:color="auto"/>
        <w:bottom w:val="none" w:sz="0" w:space="0" w:color="auto"/>
        <w:right w:val="none" w:sz="0" w:space="0" w:color="auto"/>
      </w:divBdr>
    </w:div>
    <w:div w:id="150491563">
      <w:bodyDiv w:val="1"/>
      <w:marLeft w:val="0"/>
      <w:marRight w:val="0"/>
      <w:marTop w:val="0"/>
      <w:marBottom w:val="0"/>
      <w:divBdr>
        <w:top w:val="none" w:sz="0" w:space="0" w:color="auto"/>
        <w:left w:val="none" w:sz="0" w:space="0" w:color="auto"/>
        <w:bottom w:val="none" w:sz="0" w:space="0" w:color="auto"/>
        <w:right w:val="none" w:sz="0" w:space="0" w:color="auto"/>
      </w:divBdr>
    </w:div>
    <w:div w:id="150827265">
      <w:bodyDiv w:val="1"/>
      <w:marLeft w:val="0"/>
      <w:marRight w:val="0"/>
      <w:marTop w:val="0"/>
      <w:marBottom w:val="0"/>
      <w:divBdr>
        <w:top w:val="none" w:sz="0" w:space="0" w:color="auto"/>
        <w:left w:val="none" w:sz="0" w:space="0" w:color="auto"/>
        <w:bottom w:val="none" w:sz="0" w:space="0" w:color="auto"/>
        <w:right w:val="none" w:sz="0" w:space="0" w:color="auto"/>
      </w:divBdr>
    </w:div>
    <w:div w:id="151413497">
      <w:bodyDiv w:val="1"/>
      <w:marLeft w:val="0"/>
      <w:marRight w:val="0"/>
      <w:marTop w:val="0"/>
      <w:marBottom w:val="0"/>
      <w:divBdr>
        <w:top w:val="none" w:sz="0" w:space="0" w:color="auto"/>
        <w:left w:val="none" w:sz="0" w:space="0" w:color="auto"/>
        <w:bottom w:val="none" w:sz="0" w:space="0" w:color="auto"/>
        <w:right w:val="none" w:sz="0" w:space="0" w:color="auto"/>
      </w:divBdr>
    </w:div>
    <w:div w:id="152767869">
      <w:bodyDiv w:val="1"/>
      <w:marLeft w:val="0"/>
      <w:marRight w:val="0"/>
      <w:marTop w:val="0"/>
      <w:marBottom w:val="0"/>
      <w:divBdr>
        <w:top w:val="none" w:sz="0" w:space="0" w:color="auto"/>
        <w:left w:val="none" w:sz="0" w:space="0" w:color="auto"/>
        <w:bottom w:val="none" w:sz="0" w:space="0" w:color="auto"/>
        <w:right w:val="none" w:sz="0" w:space="0" w:color="auto"/>
      </w:divBdr>
    </w:div>
    <w:div w:id="154342973">
      <w:bodyDiv w:val="1"/>
      <w:marLeft w:val="0"/>
      <w:marRight w:val="0"/>
      <w:marTop w:val="0"/>
      <w:marBottom w:val="0"/>
      <w:divBdr>
        <w:top w:val="none" w:sz="0" w:space="0" w:color="auto"/>
        <w:left w:val="none" w:sz="0" w:space="0" w:color="auto"/>
        <w:bottom w:val="none" w:sz="0" w:space="0" w:color="auto"/>
        <w:right w:val="none" w:sz="0" w:space="0" w:color="auto"/>
      </w:divBdr>
    </w:div>
    <w:div w:id="154805863">
      <w:bodyDiv w:val="1"/>
      <w:marLeft w:val="0"/>
      <w:marRight w:val="0"/>
      <w:marTop w:val="0"/>
      <w:marBottom w:val="0"/>
      <w:divBdr>
        <w:top w:val="none" w:sz="0" w:space="0" w:color="auto"/>
        <w:left w:val="none" w:sz="0" w:space="0" w:color="auto"/>
        <w:bottom w:val="none" w:sz="0" w:space="0" w:color="auto"/>
        <w:right w:val="none" w:sz="0" w:space="0" w:color="auto"/>
      </w:divBdr>
    </w:div>
    <w:div w:id="155925742">
      <w:bodyDiv w:val="1"/>
      <w:marLeft w:val="0"/>
      <w:marRight w:val="0"/>
      <w:marTop w:val="0"/>
      <w:marBottom w:val="0"/>
      <w:divBdr>
        <w:top w:val="none" w:sz="0" w:space="0" w:color="auto"/>
        <w:left w:val="none" w:sz="0" w:space="0" w:color="auto"/>
        <w:bottom w:val="none" w:sz="0" w:space="0" w:color="auto"/>
        <w:right w:val="none" w:sz="0" w:space="0" w:color="auto"/>
      </w:divBdr>
    </w:div>
    <w:div w:id="156770180">
      <w:bodyDiv w:val="1"/>
      <w:marLeft w:val="0"/>
      <w:marRight w:val="0"/>
      <w:marTop w:val="0"/>
      <w:marBottom w:val="0"/>
      <w:divBdr>
        <w:top w:val="none" w:sz="0" w:space="0" w:color="auto"/>
        <w:left w:val="none" w:sz="0" w:space="0" w:color="auto"/>
        <w:bottom w:val="none" w:sz="0" w:space="0" w:color="auto"/>
        <w:right w:val="none" w:sz="0" w:space="0" w:color="auto"/>
      </w:divBdr>
    </w:div>
    <w:div w:id="157423473">
      <w:bodyDiv w:val="1"/>
      <w:marLeft w:val="0"/>
      <w:marRight w:val="0"/>
      <w:marTop w:val="0"/>
      <w:marBottom w:val="0"/>
      <w:divBdr>
        <w:top w:val="none" w:sz="0" w:space="0" w:color="auto"/>
        <w:left w:val="none" w:sz="0" w:space="0" w:color="auto"/>
        <w:bottom w:val="none" w:sz="0" w:space="0" w:color="auto"/>
        <w:right w:val="none" w:sz="0" w:space="0" w:color="auto"/>
      </w:divBdr>
    </w:div>
    <w:div w:id="158154748">
      <w:bodyDiv w:val="1"/>
      <w:marLeft w:val="0"/>
      <w:marRight w:val="0"/>
      <w:marTop w:val="0"/>
      <w:marBottom w:val="0"/>
      <w:divBdr>
        <w:top w:val="none" w:sz="0" w:space="0" w:color="auto"/>
        <w:left w:val="none" w:sz="0" w:space="0" w:color="auto"/>
        <w:bottom w:val="none" w:sz="0" w:space="0" w:color="auto"/>
        <w:right w:val="none" w:sz="0" w:space="0" w:color="auto"/>
      </w:divBdr>
    </w:div>
    <w:div w:id="158733927">
      <w:bodyDiv w:val="1"/>
      <w:marLeft w:val="0"/>
      <w:marRight w:val="0"/>
      <w:marTop w:val="0"/>
      <w:marBottom w:val="0"/>
      <w:divBdr>
        <w:top w:val="none" w:sz="0" w:space="0" w:color="auto"/>
        <w:left w:val="none" w:sz="0" w:space="0" w:color="auto"/>
        <w:bottom w:val="none" w:sz="0" w:space="0" w:color="auto"/>
        <w:right w:val="none" w:sz="0" w:space="0" w:color="auto"/>
      </w:divBdr>
    </w:div>
    <w:div w:id="159272031">
      <w:bodyDiv w:val="1"/>
      <w:marLeft w:val="0"/>
      <w:marRight w:val="0"/>
      <w:marTop w:val="0"/>
      <w:marBottom w:val="0"/>
      <w:divBdr>
        <w:top w:val="none" w:sz="0" w:space="0" w:color="auto"/>
        <w:left w:val="none" w:sz="0" w:space="0" w:color="auto"/>
        <w:bottom w:val="none" w:sz="0" w:space="0" w:color="auto"/>
        <w:right w:val="none" w:sz="0" w:space="0" w:color="auto"/>
      </w:divBdr>
    </w:div>
    <w:div w:id="159544747">
      <w:bodyDiv w:val="1"/>
      <w:marLeft w:val="0"/>
      <w:marRight w:val="0"/>
      <w:marTop w:val="0"/>
      <w:marBottom w:val="0"/>
      <w:divBdr>
        <w:top w:val="none" w:sz="0" w:space="0" w:color="auto"/>
        <w:left w:val="none" w:sz="0" w:space="0" w:color="auto"/>
        <w:bottom w:val="none" w:sz="0" w:space="0" w:color="auto"/>
        <w:right w:val="none" w:sz="0" w:space="0" w:color="auto"/>
      </w:divBdr>
    </w:div>
    <w:div w:id="160045325">
      <w:bodyDiv w:val="1"/>
      <w:marLeft w:val="0"/>
      <w:marRight w:val="0"/>
      <w:marTop w:val="0"/>
      <w:marBottom w:val="0"/>
      <w:divBdr>
        <w:top w:val="none" w:sz="0" w:space="0" w:color="auto"/>
        <w:left w:val="none" w:sz="0" w:space="0" w:color="auto"/>
        <w:bottom w:val="none" w:sz="0" w:space="0" w:color="auto"/>
        <w:right w:val="none" w:sz="0" w:space="0" w:color="auto"/>
      </w:divBdr>
    </w:div>
    <w:div w:id="160705720">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703818">
      <w:bodyDiv w:val="1"/>
      <w:marLeft w:val="0"/>
      <w:marRight w:val="0"/>
      <w:marTop w:val="0"/>
      <w:marBottom w:val="0"/>
      <w:divBdr>
        <w:top w:val="none" w:sz="0" w:space="0" w:color="auto"/>
        <w:left w:val="none" w:sz="0" w:space="0" w:color="auto"/>
        <w:bottom w:val="none" w:sz="0" w:space="0" w:color="auto"/>
        <w:right w:val="none" w:sz="0" w:space="0" w:color="auto"/>
      </w:divBdr>
    </w:div>
    <w:div w:id="161704285">
      <w:bodyDiv w:val="1"/>
      <w:marLeft w:val="0"/>
      <w:marRight w:val="0"/>
      <w:marTop w:val="0"/>
      <w:marBottom w:val="0"/>
      <w:divBdr>
        <w:top w:val="none" w:sz="0" w:space="0" w:color="auto"/>
        <w:left w:val="none" w:sz="0" w:space="0" w:color="auto"/>
        <w:bottom w:val="none" w:sz="0" w:space="0" w:color="auto"/>
        <w:right w:val="none" w:sz="0" w:space="0" w:color="auto"/>
      </w:divBdr>
    </w:div>
    <w:div w:id="162399630">
      <w:bodyDiv w:val="1"/>
      <w:marLeft w:val="0"/>
      <w:marRight w:val="0"/>
      <w:marTop w:val="0"/>
      <w:marBottom w:val="0"/>
      <w:divBdr>
        <w:top w:val="none" w:sz="0" w:space="0" w:color="auto"/>
        <w:left w:val="none" w:sz="0" w:space="0" w:color="auto"/>
        <w:bottom w:val="none" w:sz="0" w:space="0" w:color="auto"/>
        <w:right w:val="none" w:sz="0" w:space="0" w:color="auto"/>
      </w:divBdr>
    </w:div>
    <w:div w:id="162744624">
      <w:bodyDiv w:val="1"/>
      <w:marLeft w:val="0"/>
      <w:marRight w:val="0"/>
      <w:marTop w:val="0"/>
      <w:marBottom w:val="0"/>
      <w:divBdr>
        <w:top w:val="none" w:sz="0" w:space="0" w:color="auto"/>
        <w:left w:val="none" w:sz="0" w:space="0" w:color="auto"/>
        <w:bottom w:val="none" w:sz="0" w:space="0" w:color="auto"/>
        <w:right w:val="none" w:sz="0" w:space="0" w:color="auto"/>
      </w:divBdr>
    </w:div>
    <w:div w:id="162866215">
      <w:bodyDiv w:val="1"/>
      <w:marLeft w:val="0"/>
      <w:marRight w:val="0"/>
      <w:marTop w:val="0"/>
      <w:marBottom w:val="0"/>
      <w:divBdr>
        <w:top w:val="none" w:sz="0" w:space="0" w:color="auto"/>
        <w:left w:val="none" w:sz="0" w:space="0" w:color="auto"/>
        <w:bottom w:val="none" w:sz="0" w:space="0" w:color="auto"/>
        <w:right w:val="none" w:sz="0" w:space="0" w:color="auto"/>
      </w:divBdr>
    </w:div>
    <w:div w:id="163209092">
      <w:bodyDiv w:val="1"/>
      <w:marLeft w:val="0"/>
      <w:marRight w:val="0"/>
      <w:marTop w:val="0"/>
      <w:marBottom w:val="0"/>
      <w:divBdr>
        <w:top w:val="none" w:sz="0" w:space="0" w:color="auto"/>
        <w:left w:val="none" w:sz="0" w:space="0" w:color="auto"/>
        <w:bottom w:val="none" w:sz="0" w:space="0" w:color="auto"/>
        <w:right w:val="none" w:sz="0" w:space="0" w:color="auto"/>
      </w:divBdr>
    </w:div>
    <w:div w:id="163325460">
      <w:bodyDiv w:val="1"/>
      <w:marLeft w:val="0"/>
      <w:marRight w:val="0"/>
      <w:marTop w:val="0"/>
      <w:marBottom w:val="0"/>
      <w:divBdr>
        <w:top w:val="none" w:sz="0" w:space="0" w:color="auto"/>
        <w:left w:val="none" w:sz="0" w:space="0" w:color="auto"/>
        <w:bottom w:val="none" w:sz="0" w:space="0" w:color="auto"/>
        <w:right w:val="none" w:sz="0" w:space="0" w:color="auto"/>
      </w:divBdr>
    </w:div>
    <w:div w:id="165294834">
      <w:bodyDiv w:val="1"/>
      <w:marLeft w:val="0"/>
      <w:marRight w:val="0"/>
      <w:marTop w:val="0"/>
      <w:marBottom w:val="0"/>
      <w:divBdr>
        <w:top w:val="none" w:sz="0" w:space="0" w:color="auto"/>
        <w:left w:val="none" w:sz="0" w:space="0" w:color="auto"/>
        <w:bottom w:val="none" w:sz="0" w:space="0" w:color="auto"/>
        <w:right w:val="none" w:sz="0" w:space="0" w:color="auto"/>
      </w:divBdr>
    </w:div>
    <w:div w:id="165442607">
      <w:bodyDiv w:val="1"/>
      <w:marLeft w:val="0"/>
      <w:marRight w:val="0"/>
      <w:marTop w:val="0"/>
      <w:marBottom w:val="0"/>
      <w:divBdr>
        <w:top w:val="none" w:sz="0" w:space="0" w:color="auto"/>
        <w:left w:val="none" w:sz="0" w:space="0" w:color="auto"/>
        <w:bottom w:val="none" w:sz="0" w:space="0" w:color="auto"/>
        <w:right w:val="none" w:sz="0" w:space="0" w:color="auto"/>
      </w:divBdr>
    </w:div>
    <w:div w:id="166482571">
      <w:bodyDiv w:val="1"/>
      <w:marLeft w:val="0"/>
      <w:marRight w:val="0"/>
      <w:marTop w:val="0"/>
      <w:marBottom w:val="0"/>
      <w:divBdr>
        <w:top w:val="none" w:sz="0" w:space="0" w:color="auto"/>
        <w:left w:val="none" w:sz="0" w:space="0" w:color="auto"/>
        <w:bottom w:val="none" w:sz="0" w:space="0" w:color="auto"/>
        <w:right w:val="none" w:sz="0" w:space="0" w:color="auto"/>
      </w:divBdr>
    </w:div>
    <w:div w:id="166945174">
      <w:bodyDiv w:val="1"/>
      <w:marLeft w:val="0"/>
      <w:marRight w:val="0"/>
      <w:marTop w:val="0"/>
      <w:marBottom w:val="0"/>
      <w:divBdr>
        <w:top w:val="none" w:sz="0" w:space="0" w:color="auto"/>
        <w:left w:val="none" w:sz="0" w:space="0" w:color="auto"/>
        <w:bottom w:val="none" w:sz="0" w:space="0" w:color="auto"/>
        <w:right w:val="none" w:sz="0" w:space="0" w:color="auto"/>
      </w:divBdr>
    </w:div>
    <w:div w:id="167407165">
      <w:bodyDiv w:val="1"/>
      <w:marLeft w:val="0"/>
      <w:marRight w:val="0"/>
      <w:marTop w:val="0"/>
      <w:marBottom w:val="0"/>
      <w:divBdr>
        <w:top w:val="none" w:sz="0" w:space="0" w:color="auto"/>
        <w:left w:val="none" w:sz="0" w:space="0" w:color="auto"/>
        <w:bottom w:val="none" w:sz="0" w:space="0" w:color="auto"/>
        <w:right w:val="none" w:sz="0" w:space="0" w:color="auto"/>
      </w:divBdr>
    </w:div>
    <w:div w:id="167528317">
      <w:bodyDiv w:val="1"/>
      <w:marLeft w:val="0"/>
      <w:marRight w:val="0"/>
      <w:marTop w:val="0"/>
      <w:marBottom w:val="0"/>
      <w:divBdr>
        <w:top w:val="none" w:sz="0" w:space="0" w:color="auto"/>
        <w:left w:val="none" w:sz="0" w:space="0" w:color="auto"/>
        <w:bottom w:val="none" w:sz="0" w:space="0" w:color="auto"/>
        <w:right w:val="none" w:sz="0" w:space="0" w:color="auto"/>
      </w:divBdr>
    </w:div>
    <w:div w:id="168058724">
      <w:bodyDiv w:val="1"/>
      <w:marLeft w:val="0"/>
      <w:marRight w:val="0"/>
      <w:marTop w:val="0"/>
      <w:marBottom w:val="0"/>
      <w:divBdr>
        <w:top w:val="none" w:sz="0" w:space="0" w:color="auto"/>
        <w:left w:val="none" w:sz="0" w:space="0" w:color="auto"/>
        <w:bottom w:val="none" w:sz="0" w:space="0" w:color="auto"/>
        <w:right w:val="none" w:sz="0" w:space="0" w:color="auto"/>
      </w:divBdr>
    </w:div>
    <w:div w:id="168371555">
      <w:bodyDiv w:val="1"/>
      <w:marLeft w:val="0"/>
      <w:marRight w:val="0"/>
      <w:marTop w:val="0"/>
      <w:marBottom w:val="0"/>
      <w:divBdr>
        <w:top w:val="none" w:sz="0" w:space="0" w:color="auto"/>
        <w:left w:val="none" w:sz="0" w:space="0" w:color="auto"/>
        <w:bottom w:val="none" w:sz="0" w:space="0" w:color="auto"/>
        <w:right w:val="none" w:sz="0" w:space="0" w:color="auto"/>
      </w:divBdr>
    </w:div>
    <w:div w:id="168952433">
      <w:bodyDiv w:val="1"/>
      <w:marLeft w:val="0"/>
      <w:marRight w:val="0"/>
      <w:marTop w:val="0"/>
      <w:marBottom w:val="0"/>
      <w:divBdr>
        <w:top w:val="none" w:sz="0" w:space="0" w:color="auto"/>
        <w:left w:val="none" w:sz="0" w:space="0" w:color="auto"/>
        <w:bottom w:val="none" w:sz="0" w:space="0" w:color="auto"/>
        <w:right w:val="none" w:sz="0" w:space="0" w:color="auto"/>
      </w:divBdr>
    </w:div>
    <w:div w:id="171377055">
      <w:bodyDiv w:val="1"/>
      <w:marLeft w:val="0"/>
      <w:marRight w:val="0"/>
      <w:marTop w:val="0"/>
      <w:marBottom w:val="0"/>
      <w:divBdr>
        <w:top w:val="none" w:sz="0" w:space="0" w:color="auto"/>
        <w:left w:val="none" w:sz="0" w:space="0" w:color="auto"/>
        <w:bottom w:val="none" w:sz="0" w:space="0" w:color="auto"/>
        <w:right w:val="none" w:sz="0" w:space="0" w:color="auto"/>
      </w:divBdr>
    </w:div>
    <w:div w:id="172115763">
      <w:bodyDiv w:val="1"/>
      <w:marLeft w:val="0"/>
      <w:marRight w:val="0"/>
      <w:marTop w:val="0"/>
      <w:marBottom w:val="0"/>
      <w:divBdr>
        <w:top w:val="none" w:sz="0" w:space="0" w:color="auto"/>
        <w:left w:val="none" w:sz="0" w:space="0" w:color="auto"/>
        <w:bottom w:val="none" w:sz="0" w:space="0" w:color="auto"/>
        <w:right w:val="none" w:sz="0" w:space="0" w:color="auto"/>
      </w:divBdr>
    </w:div>
    <w:div w:id="172843421">
      <w:bodyDiv w:val="1"/>
      <w:marLeft w:val="0"/>
      <w:marRight w:val="0"/>
      <w:marTop w:val="0"/>
      <w:marBottom w:val="0"/>
      <w:divBdr>
        <w:top w:val="none" w:sz="0" w:space="0" w:color="auto"/>
        <w:left w:val="none" w:sz="0" w:space="0" w:color="auto"/>
        <w:bottom w:val="none" w:sz="0" w:space="0" w:color="auto"/>
        <w:right w:val="none" w:sz="0" w:space="0" w:color="auto"/>
      </w:divBdr>
    </w:div>
    <w:div w:id="173498945">
      <w:bodyDiv w:val="1"/>
      <w:marLeft w:val="0"/>
      <w:marRight w:val="0"/>
      <w:marTop w:val="0"/>
      <w:marBottom w:val="0"/>
      <w:divBdr>
        <w:top w:val="none" w:sz="0" w:space="0" w:color="auto"/>
        <w:left w:val="none" w:sz="0" w:space="0" w:color="auto"/>
        <w:bottom w:val="none" w:sz="0" w:space="0" w:color="auto"/>
        <w:right w:val="none" w:sz="0" w:space="0" w:color="auto"/>
      </w:divBdr>
    </w:div>
    <w:div w:id="173888967">
      <w:bodyDiv w:val="1"/>
      <w:marLeft w:val="0"/>
      <w:marRight w:val="0"/>
      <w:marTop w:val="0"/>
      <w:marBottom w:val="0"/>
      <w:divBdr>
        <w:top w:val="none" w:sz="0" w:space="0" w:color="auto"/>
        <w:left w:val="none" w:sz="0" w:space="0" w:color="auto"/>
        <w:bottom w:val="none" w:sz="0" w:space="0" w:color="auto"/>
        <w:right w:val="none" w:sz="0" w:space="0" w:color="auto"/>
      </w:divBdr>
    </w:div>
    <w:div w:id="174540292">
      <w:bodyDiv w:val="1"/>
      <w:marLeft w:val="0"/>
      <w:marRight w:val="0"/>
      <w:marTop w:val="0"/>
      <w:marBottom w:val="0"/>
      <w:divBdr>
        <w:top w:val="none" w:sz="0" w:space="0" w:color="auto"/>
        <w:left w:val="none" w:sz="0" w:space="0" w:color="auto"/>
        <w:bottom w:val="none" w:sz="0" w:space="0" w:color="auto"/>
        <w:right w:val="none" w:sz="0" w:space="0" w:color="auto"/>
      </w:divBdr>
    </w:div>
    <w:div w:id="176425193">
      <w:bodyDiv w:val="1"/>
      <w:marLeft w:val="0"/>
      <w:marRight w:val="0"/>
      <w:marTop w:val="0"/>
      <w:marBottom w:val="0"/>
      <w:divBdr>
        <w:top w:val="none" w:sz="0" w:space="0" w:color="auto"/>
        <w:left w:val="none" w:sz="0" w:space="0" w:color="auto"/>
        <w:bottom w:val="none" w:sz="0" w:space="0" w:color="auto"/>
        <w:right w:val="none" w:sz="0" w:space="0" w:color="auto"/>
      </w:divBdr>
    </w:div>
    <w:div w:id="176818165">
      <w:bodyDiv w:val="1"/>
      <w:marLeft w:val="0"/>
      <w:marRight w:val="0"/>
      <w:marTop w:val="0"/>
      <w:marBottom w:val="0"/>
      <w:divBdr>
        <w:top w:val="none" w:sz="0" w:space="0" w:color="auto"/>
        <w:left w:val="none" w:sz="0" w:space="0" w:color="auto"/>
        <w:bottom w:val="none" w:sz="0" w:space="0" w:color="auto"/>
        <w:right w:val="none" w:sz="0" w:space="0" w:color="auto"/>
      </w:divBdr>
    </w:div>
    <w:div w:id="177275044">
      <w:bodyDiv w:val="1"/>
      <w:marLeft w:val="0"/>
      <w:marRight w:val="0"/>
      <w:marTop w:val="0"/>
      <w:marBottom w:val="0"/>
      <w:divBdr>
        <w:top w:val="none" w:sz="0" w:space="0" w:color="auto"/>
        <w:left w:val="none" w:sz="0" w:space="0" w:color="auto"/>
        <w:bottom w:val="none" w:sz="0" w:space="0" w:color="auto"/>
        <w:right w:val="none" w:sz="0" w:space="0" w:color="auto"/>
      </w:divBdr>
    </w:div>
    <w:div w:id="177280630">
      <w:bodyDiv w:val="1"/>
      <w:marLeft w:val="0"/>
      <w:marRight w:val="0"/>
      <w:marTop w:val="0"/>
      <w:marBottom w:val="0"/>
      <w:divBdr>
        <w:top w:val="none" w:sz="0" w:space="0" w:color="auto"/>
        <w:left w:val="none" w:sz="0" w:space="0" w:color="auto"/>
        <w:bottom w:val="none" w:sz="0" w:space="0" w:color="auto"/>
        <w:right w:val="none" w:sz="0" w:space="0" w:color="auto"/>
      </w:divBdr>
    </w:div>
    <w:div w:id="177282870">
      <w:bodyDiv w:val="1"/>
      <w:marLeft w:val="0"/>
      <w:marRight w:val="0"/>
      <w:marTop w:val="0"/>
      <w:marBottom w:val="0"/>
      <w:divBdr>
        <w:top w:val="none" w:sz="0" w:space="0" w:color="auto"/>
        <w:left w:val="none" w:sz="0" w:space="0" w:color="auto"/>
        <w:bottom w:val="none" w:sz="0" w:space="0" w:color="auto"/>
        <w:right w:val="none" w:sz="0" w:space="0" w:color="auto"/>
      </w:divBdr>
    </w:div>
    <w:div w:id="178199855">
      <w:bodyDiv w:val="1"/>
      <w:marLeft w:val="0"/>
      <w:marRight w:val="0"/>
      <w:marTop w:val="0"/>
      <w:marBottom w:val="0"/>
      <w:divBdr>
        <w:top w:val="none" w:sz="0" w:space="0" w:color="auto"/>
        <w:left w:val="none" w:sz="0" w:space="0" w:color="auto"/>
        <w:bottom w:val="none" w:sz="0" w:space="0" w:color="auto"/>
        <w:right w:val="none" w:sz="0" w:space="0" w:color="auto"/>
      </w:divBdr>
    </w:div>
    <w:div w:id="178469063">
      <w:bodyDiv w:val="1"/>
      <w:marLeft w:val="0"/>
      <w:marRight w:val="0"/>
      <w:marTop w:val="0"/>
      <w:marBottom w:val="0"/>
      <w:divBdr>
        <w:top w:val="none" w:sz="0" w:space="0" w:color="auto"/>
        <w:left w:val="none" w:sz="0" w:space="0" w:color="auto"/>
        <w:bottom w:val="none" w:sz="0" w:space="0" w:color="auto"/>
        <w:right w:val="none" w:sz="0" w:space="0" w:color="auto"/>
      </w:divBdr>
    </w:div>
    <w:div w:id="178928952">
      <w:bodyDiv w:val="1"/>
      <w:marLeft w:val="0"/>
      <w:marRight w:val="0"/>
      <w:marTop w:val="0"/>
      <w:marBottom w:val="0"/>
      <w:divBdr>
        <w:top w:val="none" w:sz="0" w:space="0" w:color="auto"/>
        <w:left w:val="none" w:sz="0" w:space="0" w:color="auto"/>
        <w:bottom w:val="none" w:sz="0" w:space="0" w:color="auto"/>
        <w:right w:val="none" w:sz="0" w:space="0" w:color="auto"/>
      </w:divBdr>
    </w:div>
    <w:div w:id="179009941">
      <w:bodyDiv w:val="1"/>
      <w:marLeft w:val="0"/>
      <w:marRight w:val="0"/>
      <w:marTop w:val="0"/>
      <w:marBottom w:val="0"/>
      <w:divBdr>
        <w:top w:val="none" w:sz="0" w:space="0" w:color="auto"/>
        <w:left w:val="none" w:sz="0" w:space="0" w:color="auto"/>
        <w:bottom w:val="none" w:sz="0" w:space="0" w:color="auto"/>
        <w:right w:val="none" w:sz="0" w:space="0" w:color="auto"/>
      </w:divBdr>
    </w:div>
    <w:div w:id="179315419">
      <w:bodyDiv w:val="1"/>
      <w:marLeft w:val="0"/>
      <w:marRight w:val="0"/>
      <w:marTop w:val="0"/>
      <w:marBottom w:val="0"/>
      <w:divBdr>
        <w:top w:val="none" w:sz="0" w:space="0" w:color="auto"/>
        <w:left w:val="none" w:sz="0" w:space="0" w:color="auto"/>
        <w:bottom w:val="none" w:sz="0" w:space="0" w:color="auto"/>
        <w:right w:val="none" w:sz="0" w:space="0" w:color="auto"/>
      </w:divBdr>
    </w:div>
    <w:div w:id="179439284">
      <w:bodyDiv w:val="1"/>
      <w:marLeft w:val="0"/>
      <w:marRight w:val="0"/>
      <w:marTop w:val="0"/>
      <w:marBottom w:val="0"/>
      <w:divBdr>
        <w:top w:val="none" w:sz="0" w:space="0" w:color="auto"/>
        <w:left w:val="none" w:sz="0" w:space="0" w:color="auto"/>
        <w:bottom w:val="none" w:sz="0" w:space="0" w:color="auto"/>
        <w:right w:val="none" w:sz="0" w:space="0" w:color="auto"/>
      </w:divBdr>
    </w:div>
    <w:div w:id="179852978">
      <w:bodyDiv w:val="1"/>
      <w:marLeft w:val="0"/>
      <w:marRight w:val="0"/>
      <w:marTop w:val="0"/>
      <w:marBottom w:val="0"/>
      <w:divBdr>
        <w:top w:val="none" w:sz="0" w:space="0" w:color="auto"/>
        <w:left w:val="none" w:sz="0" w:space="0" w:color="auto"/>
        <w:bottom w:val="none" w:sz="0" w:space="0" w:color="auto"/>
        <w:right w:val="none" w:sz="0" w:space="0" w:color="auto"/>
      </w:divBdr>
    </w:div>
    <w:div w:id="180629351">
      <w:bodyDiv w:val="1"/>
      <w:marLeft w:val="0"/>
      <w:marRight w:val="0"/>
      <w:marTop w:val="0"/>
      <w:marBottom w:val="0"/>
      <w:divBdr>
        <w:top w:val="none" w:sz="0" w:space="0" w:color="auto"/>
        <w:left w:val="none" w:sz="0" w:space="0" w:color="auto"/>
        <w:bottom w:val="none" w:sz="0" w:space="0" w:color="auto"/>
        <w:right w:val="none" w:sz="0" w:space="0" w:color="auto"/>
      </w:divBdr>
    </w:div>
    <w:div w:id="181167998">
      <w:bodyDiv w:val="1"/>
      <w:marLeft w:val="0"/>
      <w:marRight w:val="0"/>
      <w:marTop w:val="0"/>
      <w:marBottom w:val="0"/>
      <w:divBdr>
        <w:top w:val="none" w:sz="0" w:space="0" w:color="auto"/>
        <w:left w:val="none" w:sz="0" w:space="0" w:color="auto"/>
        <w:bottom w:val="none" w:sz="0" w:space="0" w:color="auto"/>
        <w:right w:val="none" w:sz="0" w:space="0" w:color="auto"/>
      </w:divBdr>
    </w:div>
    <w:div w:id="181283820">
      <w:bodyDiv w:val="1"/>
      <w:marLeft w:val="0"/>
      <w:marRight w:val="0"/>
      <w:marTop w:val="0"/>
      <w:marBottom w:val="0"/>
      <w:divBdr>
        <w:top w:val="none" w:sz="0" w:space="0" w:color="auto"/>
        <w:left w:val="none" w:sz="0" w:space="0" w:color="auto"/>
        <w:bottom w:val="none" w:sz="0" w:space="0" w:color="auto"/>
        <w:right w:val="none" w:sz="0" w:space="0" w:color="auto"/>
      </w:divBdr>
    </w:div>
    <w:div w:id="181631991">
      <w:bodyDiv w:val="1"/>
      <w:marLeft w:val="0"/>
      <w:marRight w:val="0"/>
      <w:marTop w:val="0"/>
      <w:marBottom w:val="0"/>
      <w:divBdr>
        <w:top w:val="none" w:sz="0" w:space="0" w:color="auto"/>
        <w:left w:val="none" w:sz="0" w:space="0" w:color="auto"/>
        <w:bottom w:val="none" w:sz="0" w:space="0" w:color="auto"/>
        <w:right w:val="none" w:sz="0" w:space="0" w:color="auto"/>
      </w:divBdr>
    </w:div>
    <w:div w:id="182012641">
      <w:bodyDiv w:val="1"/>
      <w:marLeft w:val="0"/>
      <w:marRight w:val="0"/>
      <w:marTop w:val="0"/>
      <w:marBottom w:val="0"/>
      <w:divBdr>
        <w:top w:val="none" w:sz="0" w:space="0" w:color="auto"/>
        <w:left w:val="none" w:sz="0" w:space="0" w:color="auto"/>
        <w:bottom w:val="none" w:sz="0" w:space="0" w:color="auto"/>
        <w:right w:val="none" w:sz="0" w:space="0" w:color="auto"/>
      </w:divBdr>
    </w:div>
    <w:div w:id="182018410">
      <w:bodyDiv w:val="1"/>
      <w:marLeft w:val="0"/>
      <w:marRight w:val="0"/>
      <w:marTop w:val="0"/>
      <w:marBottom w:val="0"/>
      <w:divBdr>
        <w:top w:val="none" w:sz="0" w:space="0" w:color="auto"/>
        <w:left w:val="none" w:sz="0" w:space="0" w:color="auto"/>
        <w:bottom w:val="none" w:sz="0" w:space="0" w:color="auto"/>
        <w:right w:val="none" w:sz="0" w:space="0" w:color="auto"/>
      </w:divBdr>
    </w:div>
    <w:div w:id="183981322">
      <w:bodyDiv w:val="1"/>
      <w:marLeft w:val="0"/>
      <w:marRight w:val="0"/>
      <w:marTop w:val="0"/>
      <w:marBottom w:val="0"/>
      <w:divBdr>
        <w:top w:val="none" w:sz="0" w:space="0" w:color="auto"/>
        <w:left w:val="none" w:sz="0" w:space="0" w:color="auto"/>
        <w:bottom w:val="none" w:sz="0" w:space="0" w:color="auto"/>
        <w:right w:val="none" w:sz="0" w:space="0" w:color="auto"/>
      </w:divBdr>
    </w:div>
    <w:div w:id="185488694">
      <w:bodyDiv w:val="1"/>
      <w:marLeft w:val="0"/>
      <w:marRight w:val="0"/>
      <w:marTop w:val="0"/>
      <w:marBottom w:val="0"/>
      <w:divBdr>
        <w:top w:val="none" w:sz="0" w:space="0" w:color="auto"/>
        <w:left w:val="none" w:sz="0" w:space="0" w:color="auto"/>
        <w:bottom w:val="none" w:sz="0" w:space="0" w:color="auto"/>
        <w:right w:val="none" w:sz="0" w:space="0" w:color="auto"/>
      </w:divBdr>
    </w:div>
    <w:div w:id="185559846">
      <w:bodyDiv w:val="1"/>
      <w:marLeft w:val="0"/>
      <w:marRight w:val="0"/>
      <w:marTop w:val="0"/>
      <w:marBottom w:val="0"/>
      <w:divBdr>
        <w:top w:val="none" w:sz="0" w:space="0" w:color="auto"/>
        <w:left w:val="none" w:sz="0" w:space="0" w:color="auto"/>
        <w:bottom w:val="none" w:sz="0" w:space="0" w:color="auto"/>
        <w:right w:val="none" w:sz="0" w:space="0" w:color="auto"/>
      </w:divBdr>
    </w:div>
    <w:div w:id="186062494">
      <w:bodyDiv w:val="1"/>
      <w:marLeft w:val="0"/>
      <w:marRight w:val="0"/>
      <w:marTop w:val="0"/>
      <w:marBottom w:val="0"/>
      <w:divBdr>
        <w:top w:val="none" w:sz="0" w:space="0" w:color="auto"/>
        <w:left w:val="none" w:sz="0" w:space="0" w:color="auto"/>
        <w:bottom w:val="none" w:sz="0" w:space="0" w:color="auto"/>
        <w:right w:val="none" w:sz="0" w:space="0" w:color="auto"/>
      </w:divBdr>
    </w:div>
    <w:div w:id="187108992">
      <w:bodyDiv w:val="1"/>
      <w:marLeft w:val="0"/>
      <w:marRight w:val="0"/>
      <w:marTop w:val="0"/>
      <w:marBottom w:val="0"/>
      <w:divBdr>
        <w:top w:val="none" w:sz="0" w:space="0" w:color="auto"/>
        <w:left w:val="none" w:sz="0" w:space="0" w:color="auto"/>
        <w:bottom w:val="none" w:sz="0" w:space="0" w:color="auto"/>
        <w:right w:val="none" w:sz="0" w:space="0" w:color="auto"/>
      </w:divBdr>
    </w:div>
    <w:div w:id="187371508">
      <w:bodyDiv w:val="1"/>
      <w:marLeft w:val="0"/>
      <w:marRight w:val="0"/>
      <w:marTop w:val="0"/>
      <w:marBottom w:val="0"/>
      <w:divBdr>
        <w:top w:val="none" w:sz="0" w:space="0" w:color="auto"/>
        <w:left w:val="none" w:sz="0" w:space="0" w:color="auto"/>
        <w:bottom w:val="none" w:sz="0" w:space="0" w:color="auto"/>
        <w:right w:val="none" w:sz="0" w:space="0" w:color="auto"/>
      </w:divBdr>
    </w:div>
    <w:div w:id="187456402">
      <w:bodyDiv w:val="1"/>
      <w:marLeft w:val="0"/>
      <w:marRight w:val="0"/>
      <w:marTop w:val="0"/>
      <w:marBottom w:val="0"/>
      <w:divBdr>
        <w:top w:val="none" w:sz="0" w:space="0" w:color="auto"/>
        <w:left w:val="none" w:sz="0" w:space="0" w:color="auto"/>
        <w:bottom w:val="none" w:sz="0" w:space="0" w:color="auto"/>
        <w:right w:val="none" w:sz="0" w:space="0" w:color="auto"/>
      </w:divBdr>
    </w:div>
    <w:div w:id="187960122">
      <w:bodyDiv w:val="1"/>
      <w:marLeft w:val="0"/>
      <w:marRight w:val="0"/>
      <w:marTop w:val="0"/>
      <w:marBottom w:val="0"/>
      <w:divBdr>
        <w:top w:val="none" w:sz="0" w:space="0" w:color="auto"/>
        <w:left w:val="none" w:sz="0" w:space="0" w:color="auto"/>
        <w:bottom w:val="none" w:sz="0" w:space="0" w:color="auto"/>
        <w:right w:val="none" w:sz="0" w:space="0" w:color="auto"/>
      </w:divBdr>
    </w:div>
    <w:div w:id="189224890">
      <w:bodyDiv w:val="1"/>
      <w:marLeft w:val="0"/>
      <w:marRight w:val="0"/>
      <w:marTop w:val="0"/>
      <w:marBottom w:val="0"/>
      <w:divBdr>
        <w:top w:val="none" w:sz="0" w:space="0" w:color="auto"/>
        <w:left w:val="none" w:sz="0" w:space="0" w:color="auto"/>
        <w:bottom w:val="none" w:sz="0" w:space="0" w:color="auto"/>
        <w:right w:val="none" w:sz="0" w:space="0" w:color="auto"/>
      </w:divBdr>
    </w:div>
    <w:div w:id="189422231">
      <w:bodyDiv w:val="1"/>
      <w:marLeft w:val="0"/>
      <w:marRight w:val="0"/>
      <w:marTop w:val="0"/>
      <w:marBottom w:val="0"/>
      <w:divBdr>
        <w:top w:val="none" w:sz="0" w:space="0" w:color="auto"/>
        <w:left w:val="none" w:sz="0" w:space="0" w:color="auto"/>
        <w:bottom w:val="none" w:sz="0" w:space="0" w:color="auto"/>
        <w:right w:val="none" w:sz="0" w:space="0" w:color="auto"/>
      </w:divBdr>
    </w:div>
    <w:div w:id="190075046">
      <w:bodyDiv w:val="1"/>
      <w:marLeft w:val="0"/>
      <w:marRight w:val="0"/>
      <w:marTop w:val="0"/>
      <w:marBottom w:val="0"/>
      <w:divBdr>
        <w:top w:val="none" w:sz="0" w:space="0" w:color="auto"/>
        <w:left w:val="none" w:sz="0" w:space="0" w:color="auto"/>
        <w:bottom w:val="none" w:sz="0" w:space="0" w:color="auto"/>
        <w:right w:val="none" w:sz="0" w:space="0" w:color="auto"/>
      </w:divBdr>
    </w:div>
    <w:div w:id="190338040">
      <w:bodyDiv w:val="1"/>
      <w:marLeft w:val="0"/>
      <w:marRight w:val="0"/>
      <w:marTop w:val="0"/>
      <w:marBottom w:val="0"/>
      <w:divBdr>
        <w:top w:val="none" w:sz="0" w:space="0" w:color="auto"/>
        <w:left w:val="none" w:sz="0" w:space="0" w:color="auto"/>
        <w:bottom w:val="none" w:sz="0" w:space="0" w:color="auto"/>
        <w:right w:val="none" w:sz="0" w:space="0" w:color="auto"/>
      </w:divBdr>
    </w:div>
    <w:div w:id="191190903">
      <w:bodyDiv w:val="1"/>
      <w:marLeft w:val="0"/>
      <w:marRight w:val="0"/>
      <w:marTop w:val="0"/>
      <w:marBottom w:val="0"/>
      <w:divBdr>
        <w:top w:val="none" w:sz="0" w:space="0" w:color="auto"/>
        <w:left w:val="none" w:sz="0" w:space="0" w:color="auto"/>
        <w:bottom w:val="none" w:sz="0" w:space="0" w:color="auto"/>
        <w:right w:val="none" w:sz="0" w:space="0" w:color="auto"/>
      </w:divBdr>
    </w:div>
    <w:div w:id="191503767">
      <w:bodyDiv w:val="1"/>
      <w:marLeft w:val="0"/>
      <w:marRight w:val="0"/>
      <w:marTop w:val="0"/>
      <w:marBottom w:val="0"/>
      <w:divBdr>
        <w:top w:val="none" w:sz="0" w:space="0" w:color="auto"/>
        <w:left w:val="none" w:sz="0" w:space="0" w:color="auto"/>
        <w:bottom w:val="none" w:sz="0" w:space="0" w:color="auto"/>
        <w:right w:val="none" w:sz="0" w:space="0" w:color="auto"/>
      </w:divBdr>
    </w:div>
    <w:div w:id="192041064">
      <w:bodyDiv w:val="1"/>
      <w:marLeft w:val="0"/>
      <w:marRight w:val="0"/>
      <w:marTop w:val="0"/>
      <w:marBottom w:val="0"/>
      <w:divBdr>
        <w:top w:val="none" w:sz="0" w:space="0" w:color="auto"/>
        <w:left w:val="none" w:sz="0" w:space="0" w:color="auto"/>
        <w:bottom w:val="none" w:sz="0" w:space="0" w:color="auto"/>
        <w:right w:val="none" w:sz="0" w:space="0" w:color="auto"/>
      </w:divBdr>
    </w:div>
    <w:div w:id="193464976">
      <w:bodyDiv w:val="1"/>
      <w:marLeft w:val="0"/>
      <w:marRight w:val="0"/>
      <w:marTop w:val="0"/>
      <w:marBottom w:val="0"/>
      <w:divBdr>
        <w:top w:val="none" w:sz="0" w:space="0" w:color="auto"/>
        <w:left w:val="none" w:sz="0" w:space="0" w:color="auto"/>
        <w:bottom w:val="none" w:sz="0" w:space="0" w:color="auto"/>
        <w:right w:val="none" w:sz="0" w:space="0" w:color="auto"/>
      </w:divBdr>
    </w:div>
    <w:div w:id="193808228">
      <w:bodyDiv w:val="1"/>
      <w:marLeft w:val="0"/>
      <w:marRight w:val="0"/>
      <w:marTop w:val="0"/>
      <w:marBottom w:val="0"/>
      <w:divBdr>
        <w:top w:val="none" w:sz="0" w:space="0" w:color="auto"/>
        <w:left w:val="none" w:sz="0" w:space="0" w:color="auto"/>
        <w:bottom w:val="none" w:sz="0" w:space="0" w:color="auto"/>
        <w:right w:val="none" w:sz="0" w:space="0" w:color="auto"/>
      </w:divBdr>
    </w:div>
    <w:div w:id="193928384">
      <w:bodyDiv w:val="1"/>
      <w:marLeft w:val="0"/>
      <w:marRight w:val="0"/>
      <w:marTop w:val="0"/>
      <w:marBottom w:val="0"/>
      <w:divBdr>
        <w:top w:val="none" w:sz="0" w:space="0" w:color="auto"/>
        <w:left w:val="none" w:sz="0" w:space="0" w:color="auto"/>
        <w:bottom w:val="none" w:sz="0" w:space="0" w:color="auto"/>
        <w:right w:val="none" w:sz="0" w:space="0" w:color="auto"/>
      </w:divBdr>
    </w:div>
    <w:div w:id="194084103">
      <w:bodyDiv w:val="1"/>
      <w:marLeft w:val="0"/>
      <w:marRight w:val="0"/>
      <w:marTop w:val="0"/>
      <w:marBottom w:val="0"/>
      <w:divBdr>
        <w:top w:val="none" w:sz="0" w:space="0" w:color="auto"/>
        <w:left w:val="none" w:sz="0" w:space="0" w:color="auto"/>
        <w:bottom w:val="none" w:sz="0" w:space="0" w:color="auto"/>
        <w:right w:val="none" w:sz="0" w:space="0" w:color="auto"/>
      </w:divBdr>
    </w:div>
    <w:div w:id="194780065">
      <w:bodyDiv w:val="1"/>
      <w:marLeft w:val="0"/>
      <w:marRight w:val="0"/>
      <w:marTop w:val="0"/>
      <w:marBottom w:val="0"/>
      <w:divBdr>
        <w:top w:val="none" w:sz="0" w:space="0" w:color="auto"/>
        <w:left w:val="none" w:sz="0" w:space="0" w:color="auto"/>
        <w:bottom w:val="none" w:sz="0" w:space="0" w:color="auto"/>
        <w:right w:val="none" w:sz="0" w:space="0" w:color="auto"/>
      </w:divBdr>
    </w:div>
    <w:div w:id="195436923">
      <w:bodyDiv w:val="1"/>
      <w:marLeft w:val="0"/>
      <w:marRight w:val="0"/>
      <w:marTop w:val="0"/>
      <w:marBottom w:val="0"/>
      <w:divBdr>
        <w:top w:val="none" w:sz="0" w:space="0" w:color="auto"/>
        <w:left w:val="none" w:sz="0" w:space="0" w:color="auto"/>
        <w:bottom w:val="none" w:sz="0" w:space="0" w:color="auto"/>
        <w:right w:val="none" w:sz="0" w:space="0" w:color="auto"/>
      </w:divBdr>
    </w:div>
    <w:div w:id="195895560">
      <w:bodyDiv w:val="1"/>
      <w:marLeft w:val="0"/>
      <w:marRight w:val="0"/>
      <w:marTop w:val="0"/>
      <w:marBottom w:val="0"/>
      <w:divBdr>
        <w:top w:val="none" w:sz="0" w:space="0" w:color="auto"/>
        <w:left w:val="none" w:sz="0" w:space="0" w:color="auto"/>
        <w:bottom w:val="none" w:sz="0" w:space="0" w:color="auto"/>
        <w:right w:val="none" w:sz="0" w:space="0" w:color="auto"/>
      </w:divBdr>
    </w:div>
    <w:div w:id="196092148">
      <w:bodyDiv w:val="1"/>
      <w:marLeft w:val="0"/>
      <w:marRight w:val="0"/>
      <w:marTop w:val="0"/>
      <w:marBottom w:val="0"/>
      <w:divBdr>
        <w:top w:val="none" w:sz="0" w:space="0" w:color="auto"/>
        <w:left w:val="none" w:sz="0" w:space="0" w:color="auto"/>
        <w:bottom w:val="none" w:sz="0" w:space="0" w:color="auto"/>
        <w:right w:val="none" w:sz="0" w:space="0" w:color="auto"/>
      </w:divBdr>
    </w:div>
    <w:div w:id="196508765">
      <w:bodyDiv w:val="1"/>
      <w:marLeft w:val="0"/>
      <w:marRight w:val="0"/>
      <w:marTop w:val="0"/>
      <w:marBottom w:val="0"/>
      <w:divBdr>
        <w:top w:val="none" w:sz="0" w:space="0" w:color="auto"/>
        <w:left w:val="none" w:sz="0" w:space="0" w:color="auto"/>
        <w:bottom w:val="none" w:sz="0" w:space="0" w:color="auto"/>
        <w:right w:val="none" w:sz="0" w:space="0" w:color="auto"/>
      </w:divBdr>
    </w:div>
    <w:div w:id="196814238">
      <w:bodyDiv w:val="1"/>
      <w:marLeft w:val="0"/>
      <w:marRight w:val="0"/>
      <w:marTop w:val="0"/>
      <w:marBottom w:val="0"/>
      <w:divBdr>
        <w:top w:val="none" w:sz="0" w:space="0" w:color="auto"/>
        <w:left w:val="none" w:sz="0" w:space="0" w:color="auto"/>
        <w:bottom w:val="none" w:sz="0" w:space="0" w:color="auto"/>
        <w:right w:val="none" w:sz="0" w:space="0" w:color="auto"/>
      </w:divBdr>
    </w:div>
    <w:div w:id="196938192">
      <w:bodyDiv w:val="1"/>
      <w:marLeft w:val="0"/>
      <w:marRight w:val="0"/>
      <w:marTop w:val="0"/>
      <w:marBottom w:val="0"/>
      <w:divBdr>
        <w:top w:val="none" w:sz="0" w:space="0" w:color="auto"/>
        <w:left w:val="none" w:sz="0" w:space="0" w:color="auto"/>
        <w:bottom w:val="none" w:sz="0" w:space="0" w:color="auto"/>
        <w:right w:val="none" w:sz="0" w:space="0" w:color="auto"/>
      </w:divBdr>
    </w:div>
    <w:div w:id="196939051">
      <w:bodyDiv w:val="1"/>
      <w:marLeft w:val="0"/>
      <w:marRight w:val="0"/>
      <w:marTop w:val="0"/>
      <w:marBottom w:val="0"/>
      <w:divBdr>
        <w:top w:val="none" w:sz="0" w:space="0" w:color="auto"/>
        <w:left w:val="none" w:sz="0" w:space="0" w:color="auto"/>
        <w:bottom w:val="none" w:sz="0" w:space="0" w:color="auto"/>
        <w:right w:val="none" w:sz="0" w:space="0" w:color="auto"/>
      </w:divBdr>
    </w:div>
    <w:div w:id="198126223">
      <w:bodyDiv w:val="1"/>
      <w:marLeft w:val="0"/>
      <w:marRight w:val="0"/>
      <w:marTop w:val="0"/>
      <w:marBottom w:val="0"/>
      <w:divBdr>
        <w:top w:val="none" w:sz="0" w:space="0" w:color="auto"/>
        <w:left w:val="none" w:sz="0" w:space="0" w:color="auto"/>
        <w:bottom w:val="none" w:sz="0" w:space="0" w:color="auto"/>
        <w:right w:val="none" w:sz="0" w:space="0" w:color="auto"/>
      </w:divBdr>
    </w:div>
    <w:div w:id="198394452">
      <w:bodyDiv w:val="1"/>
      <w:marLeft w:val="0"/>
      <w:marRight w:val="0"/>
      <w:marTop w:val="0"/>
      <w:marBottom w:val="0"/>
      <w:divBdr>
        <w:top w:val="none" w:sz="0" w:space="0" w:color="auto"/>
        <w:left w:val="none" w:sz="0" w:space="0" w:color="auto"/>
        <w:bottom w:val="none" w:sz="0" w:space="0" w:color="auto"/>
        <w:right w:val="none" w:sz="0" w:space="0" w:color="auto"/>
      </w:divBdr>
    </w:div>
    <w:div w:id="198978985">
      <w:bodyDiv w:val="1"/>
      <w:marLeft w:val="0"/>
      <w:marRight w:val="0"/>
      <w:marTop w:val="0"/>
      <w:marBottom w:val="0"/>
      <w:divBdr>
        <w:top w:val="none" w:sz="0" w:space="0" w:color="auto"/>
        <w:left w:val="none" w:sz="0" w:space="0" w:color="auto"/>
        <w:bottom w:val="none" w:sz="0" w:space="0" w:color="auto"/>
        <w:right w:val="none" w:sz="0" w:space="0" w:color="auto"/>
      </w:divBdr>
    </w:div>
    <w:div w:id="199166705">
      <w:bodyDiv w:val="1"/>
      <w:marLeft w:val="0"/>
      <w:marRight w:val="0"/>
      <w:marTop w:val="0"/>
      <w:marBottom w:val="0"/>
      <w:divBdr>
        <w:top w:val="none" w:sz="0" w:space="0" w:color="auto"/>
        <w:left w:val="none" w:sz="0" w:space="0" w:color="auto"/>
        <w:bottom w:val="none" w:sz="0" w:space="0" w:color="auto"/>
        <w:right w:val="none" w:sz="0" w:space="0" w:color="auto"/>
      </w:divBdr>
    </w:div>
    <w:div w:id="199436537">
      <w:bodyDiv w:val="1"/>
      <w:marLeft w:val="0"/>
      <w:marRight w:val="0"/>
      <w:marTop w:val="0"/>
      <w:marBottom w:val="0"/>
      <w:divBdr>
        <w:top w:val="none" w:sz="0" w:space="0" w:color="auto"/>
        <w:left w:val="none" w:sz="0" w:space="0" w:color="auto"/>
        <w:bottom w:val="none" w:sz="0" w:space="0" w:color="auto"/>
        <w:right w:val="none" w:sz="0" w:space="0" w:color="auto"/>
      </w:divBdr>
    </w:div>
    <w:div w:id="200175017">
      <w:bodyDiv w:val="1"/>
      <w:marLeft w:val="0"/>
      <w:marRight w:val="0"/>
      <w:marTop w:val="0"/>
      <w:marBottom w:val="0"/>
      <w:divBdr>
        <w:top w:val="none" w:sz="0" w:space="0" w:color="auto"/>
        <w:left w:val="none" w:sz="0" w:space="0" w:color="auto"/>
        <w:bottom w:val="none" w:sz="0" w:space="0" w:color="auto"/>
        <w:right w:val="none" w:sz="0" w:space="0" w:color="auto"/>
      </w:divBdr>
    </w:div>
    <w:div w:id="201528212">
      <w:bodyDiv w:val="1"/>
      <w:marLeft w:val="0"/>
      <w:marRight w:val="0"/>
      <w:marTop w:val="0"/>
      <w:marBottom w:val="0"/>
      <w:divBdr>
        <w:top w:val="none" w:sz="0" w:space="0" w:color="auto"/>
        <w:left w:val="none" w:sz="0" w:space="0" w:color="auto"/>
        <w:bottom w:val="none" w:sz="0" w:space="0" w:color="auto"/>
        <w:right w:val="none" w:sz="0" w:space="0" w:color="auto"/>
      </w:divBdr>
    </w:div>
    <w:div w:id="202909485">
      <w:bodyDiv w:val="1"/>
      <w:marLeft w:val="0"/>
      <w:marRight w:val="0"/>
      <w:marTop w:val="0"/>
      <w:marBottom w:val="0"/>
      <w:divBdr>
        <w:top w:val="none" w:sz="0" w:space="0" w:color="auto"/>
        <w:left w:val="none" w:sz="0" w:space="0" w:color="auto"/>
        <w:bottom w:val="none" w:sz="0" w:space="0" w:color="auto"/>
        <w:right w:val="none" w:sz="0" w:space="0" w:color="auto"/>
      </w:divBdr>
    </w:div>
    <w:div w:id="203104790">
      <w:bodyDiv w:val="1"/>
      <w:marLeft w:val="0"/>
      <w:marRight w:val="0"/>
      <w:marTop w:val="0"/>
      <w:marBottom w:val="0"/>
      <w:divBdr>
        <w:top w:val="none" w:sz="0" w:space="0" w:color="auto"/>
        <w:left w:val="none" w:sz="0" w:space="0" w:color="auto"/>
        <w:bottom w:val="none" w:sz="0" w:space="0" w:color="auto"/>
        <w:right w:val="none" w:sz="0" w:space="0" w:color="auto"/>
      </w:divBdr>
    </w:div>
    <w:div w:id="203106271">
      <w:bodyDiv w:val="1"/>
      <w:marLeft w:val="0"/>
      <w:marRight w:val="0"/>
      <w:marTop w:val="0"/>
      <w:marBottom w:val="0"/>
      <w:divBdr>
        <w:top w:val="none" w:sz="0" w:space="0" w:color="auto"/>
        <w:left w:val="none" w:sz="0" w:space="0" w:color="auto"/>
        <w:bottom w:val="none" w:sz="0" w:space="0" w:color="auto"/>
        <w:right w:val="none" w:sz="0" w:space="0" w:color="auto"/>
      </w:divBdr>
    </w:div>
    <w:div w:id="203715262">
      <w:bodyDiv w:val="1"/>
      <w:marLeft w:val="0"/>
      <w:marRight w:val="0"/>
      <w:marTop w:val="0"/>
      <w:marBottom w:val="0"/>
      <w:divBdr>
        <w:top w:val="none" w:sz="0" w:space="0" w:color="auto"/>
        <w:left w:val="none" w:sz="0" w:space="0" w:color="auto"/>
        <w:bottom w:val="none" w:sz="0" w:space="0" w:color="auto"/>
        <w:right w:val="none" w:sz="0" w:space="0" w:color="auto"/>
      </w:divBdr>
    </w:div>
    <w:div w:id="203955020">
      <w:bodyDiv w:val="1"/>
      <w:marLeft w:val="0"/>
      <w:marRight w:val="0"/>
      <w:marTop w:val="0"/>
      <w:marBottom w:val="0"/>
      <w:divBdr>
        <w:top w:val="none" w:sz="0" w:space="0" w:color="auto"/>
        <w:left w:val="none" w:sz="0" w:space="0" w:color="auto"/>
        <w:bottom w:val="none" w:sz="0" w:space="0" w:color="auto"/>
        <w:right w:val="none" w:sz="0" w:space="0" w:color="auto"/>
      </w:divBdr>
    </w:div>
    <w:div w:id="204292917">
      <w:bodyDiv w:val="1"/>
      <w:marLeft w:val="0"/>
      <w:marRight w:val="0"/>
      <w:marTop w:val="0"/>
      <w:marBottom w:val="0"/>
      <w:divBdr>
        <w:top w:val="none" w:sz="0" w:space="0" w:color="auto"/>
        <w:left w:val="none" w:sz="0" w:space="0" w:color="auto"/>
        <w:bottom w:val="none" w:sz="0" w:space="0" w:color="auto"/>
        <w:right w:val="none" w:sz="0" w:space="0" w:color="auto"/>
      </w:divBdr>
    </w:div>
    <w:div w:id="204416213">
      <w:bodyDiv w:val="1"/>
      <w:marLeft w:val="0"/>
      <w:marRight w:val="0"/>
      <w:marTop w:val="0"/>
      <w:marBottom w:val="0"/>
      <w:divBdr>
        <w:top w:val="none" w:sz="0" w:space="0" w:color="auto"/>
        <w:left w:val="none" w:sz="0" w:space="0" w:color="auto"/>
        <w:bottom w:val="none" w:sz="0" w:space="0" w:color="auto"/>
        <w:right w:val="none" w:sz="0" w:space="0" w:color="auto"/>
      </w:divBdr>
    </w:div>
    <w:div w:id="204493278">
      <w:bodyDiv w:val="1"/>
      <w:marLeft w:val="0"/>
      <w:marRight w:val="0"/>
      <w:marTop w:val="0"/>
      <w:marBottom w:val="0"/>
      <w:divBdr>
        <w:top w:val="none" w:sz="0" w:space="0" w:color="auto"/>
        <w:left w:val="none" w:sz="0" w:space="0" w:color="auto"/>
        <w:bottom w:val="none" w:sz="0" w:space="0" w:color="auto"/>
        <w:right w:val="none" w:sz="0" w:space="0" w:color="auto"/>
      </w:divBdr>
    </w:div>
    <w:div w:id="205678403">
      <w:bodyDiv w:val="1"/>
      <w:marLeft w:val="0"/>
      <w:marRight w:val="0"/>
      <w:marTop w:val="0"/>
      <w:marBottom w:val="0"/>
      <w:divBdr>
        <w:top w:val="none" w:sz="0" w:space="0" w:color="auto"/>
        <w:left w:val="none" w:sz="0" w:space="0" w:color="auto"/>
        <w:bottom w:val="none" w:sz="0" w:space="0" w:color="auto"/>
        <w:right w:val="none" w:sz="0" w:space="0" w:color="auto"/>
      </w:divBdr>
    </w:div>
    <w:div w:id="207110747">
      <w:bodyDiv w:val="1"/>
      <w:marLeft w:val="0"/>
      <w:marRight w:val="0"/>
      <w:marTop w:val="0"/>
      <w:marBottom w:val="0"/>
      <w:divBdr>
        <w:top w:val="none" w:sz="0" w:space="0" w:color="auto"/>
        <w:left w:val="none" w:sz="0" w:space="0" w:color="auto"/>
        <w:bottom w:val="none" w:sz="0" w:space="0" w:color="auto"/>
        <w:right w:val="none" w:sz="0" w:space="0" w:color="auto"/>
      </w:divBdr>
    </w:div>
    <w:div w:id="207301609">
      <w:bodyDiv w:val="1"/>
      <w:marLeft w:val="0"/>
      <w:marRight w:val="0"/>
      <w:marTop w:val="0"/>
      <w:marBottom w:val="0"/>
      <w:divBdr>
        <w:top w:val="none" w:sz="0" w:space="0" w:color="auto"/>
        <w:left w:val="none" w:sz="0" w:space="0" w:color="auto"/>
        <w:bottom w:val="none" w:sz="0" w:space="0" w:color="auto"/>
        <w:right w:val="none" w:sz="0" w:space="0" w:color="auto"/>
      </w:divBdr>
    </w:div>
    <w:div w:id="207686927">
      <w:bodyDiv w:val="1"/>
      <w:marLeft w:val="0"/>
      <w:marRight w:val="0"/>
      <w:marTop w:val="0"/>
      <w:marBottom w:val="0"/>
      <w:divBdr>
        <w:top w:val="none" w:sz="0" w:space="0" w:color="auto"/>
        <w:left w:val="none" w:sz="0" w:space="0" w:color="auto"/>
        <w:bottom w:val="none" w:sz="0" w:space="0" w:color="auto"/>
        <w:right w:val="none" w:sz="0" w:space="0" w:color="auto"/>
      </w:divBdr>
    </w:div>
    <w:div w:id="208304478">
      <w:bodyDiv w:val="1"/>
      <w:marLeft w:val="0"/>
      <w:marRight w:val="0"/>
      <w:marTop w:val="0"/>
      <w:marBottom w:val="0"/>
      <w:divBdr>
        <w:top w:val="none" w:sz="0" w:space="0" w:color="auto"/>
        <w:left w:val="none" w:sz="0" w:space="0" w:color="auto"/>
        <w:bottom w:val="none" w:sz="0" w:space="0" w:color="auto"/>
        <w:right w:val="none" w:sz="0" w:space="0" w:color="auto"/>
      </w:divBdr>
    </w:div>
    <w:div w:id="208349362">
      <w:bodyDiv w:val="1"/>
      <w:marLeft w:val="0"/>
      <w:marRight w:val="0"/>
      <w:marTop w:val="0"/>
      <w:marBottom w:val="0"/>
      <w:divBdr>
        <w:top w:val="none" w:sz="0" w:space="0" w:color="auto"/>
        <w:left w:val="none" w:sz="0" w:space="0" w:color="auto"/>
        <w:bottom w:val="none" w:sz="0" w:space="0" w:color="auto"/>
        <w:right w:val="none" w:sz="0" w:space="0" w:color="auto"/>
      </w:divBdr>
    </w:div>
    <w:div w:id="208499518">
      <w:bodyDiv w:val="1"/>
      <w:marLeft w:val="0"/>
      <w:marRight w:val="0"/>
      <w:marTop w:val="0"/>
      <w:marBottom w:val="0"/>
      <w:divBdr>
        <w:top w:val="none" w:sz="0" w:space="0" w:color="auto"/>
        <w:left w:val="none" w:sz="0" w:space="0" w:color="auto"/>
        <w:bottom w:val="none" w:sz="0" w:space="0" w:color="auto"/>
        <w:right w:val="none" w:sz="0" w:space="0" w:color="auto"/>
      </w:divBdr>
    </w:div>
    <w:div w:id="209414547">
      <w:bodyDiv w:val="1"/>
      <w:marLeft w:val="0"/>
      <w:marRight w:val="0"/>
      <w:marTop w:val="0"/>
      <w:marBottom w:val="0"/>
      <w:divBdr>
        <w:top w:val="none" w:sz="0" w:space="0" w:color="auto"/>
        <w:left w:val="none" w:sz="0" w:space="0" w:color="auto"/>
        <w:bottom w:val="none" w:sz="0" w:space="0" w:color="auto"/>
        <w:right w:val="none" w:sz="0" w:space="0" w:color="auto"/>
      </w:divBdr>
    </w:div>
    <w:div w:id="209651435">
      <w:bodyDiv w:val="1"/>
      <w:marLeft w:val="0"/>
      <w:marRight w:val="0"/>
      <w:marTop w:val="0"/>
      <w:marBottom w:val="0"/>
      <w:divBdr>
        <w:top w:val="none" w:sz="0" w:space="0" w:color="auto"/>
        <w:left w:val="none" w:sz="0" w:space="0" w:color="auto"/>
        <w:bottom w:val="none" w:sz="0" w:space="0" w:color="auto"/>
        <w:right w:val="none" w:sz="0" w:space="0" w:color="auto"/>
      </w:divBdr>
    </w:div>
    <w:div w:id="209727300">
      <w:bodyDiv w:val="1"/>
      <w:marLeft w:val="0"/>
      <w:marRight w:val="0"/>
      <w:marTop w:val="0"/>
      <w:marBottom w:val="0"/>
      <w:divBdr>
        <w:top w:val="none" w:sz="0" w:space="0" w:color="auto"/>
        <w:left w:val="none" w:sz="0" w:space="0" w:color="auto"/>
        <w:bottom w:val="none" w:sz="0" w:space="0" w:color="auto"/>
        <w:right w:val="none" w:sz="0" w:space="0" w:color="auto"/>
      </w:divBdr>
    </w:div>
    <w:div w:id="210044113">
      <w:bodyDiv w:val="1"/>
      <w:marLeft w:val="0"/>
      <w:marRight w:val="0"/>
      <w:marTop w:val="0"/>
      <w:marBottom w:val="0"/>
      <w:divBdr>
        <w:top w:val="none" w:sz="0" w:space="0" w:color="auto"/>
        <w:left w:val="none" w:sz="0" w:space="0" w:color="auto"/>
        <w:bottom w:val="none" w:sz="0" w:space="0" w:color="auto"/>
        <w:right w:val="none" w:sz="0" w:space="0" w:color="auto"/>
      </w:divBdr>
    </w:div>
    <w:div w:id="210926718">
      <w:bodyDiv w:val="1"/>
      <w:marLeft w:val="0"/>
      <w:marRight w:val="0"/>
      <w:marTop w:val="0"/>
      <w:marBottom w:val="0"/>
      <w:divBdr>
        <w:top w:val="none" w:sz="0" w:space="0" w:color="auto"/>
        <w:left w:val="none" w:sz="0" w:space="0" w:color="auto"/>
        <w:bottom w:val="none" w:sz="0" w:space="0" w:color="auto"/>
        <w:right w:val="none" w:sz="0" w:space="0" w:color="auto"/>
      </w:divBdr>
    </w:div>
    <w:div w:id="211113847">
      <w:bodyDiv w:val="1"/>
      <w:marLeft w:val="0"/>
      <w:marRight w:val="0"/>
      <w:marTop w:val="0"/>
      <w:marBottom w:val="0"/>
      <w:divBdr>
        <w:top w:val="none" w:sz="0" w:space="0" w:color="auto"/>
        <w:left w:val="none" w:sz="0" w:space="0" w:color="auto"/>
        <w:bottom w:val="none" w:sz="0" w:space="0" w:color="auto"/>
        <w:right w:val="none" w:sz="0" w:space="0" w:color="auto"/>
      </w:divBdr>
    </w:div>
    <w:div w:id="213742202">
      <w:bodyDiv w:val="1"/>
      <w:marLeft w:val="0"/>
      <w:marRight w:val="0"/>
      <w:marTop w:val="0"/>
      <w:marBottom w:val="0"/>
      <w:divBdr>
        <w:top w:val="none" w:sz="0" w:space="0" w:color="auto"/>
        <w:left w:val="none" w:sz="0" w:space="0" w:color="auto"/>
        <w:bottom w:val="none" w:sz="0" w:space="0" w:color="auto"/>
        <w:right w:val="none" w:sz="0" w:space="0" w:color="auto"/>
      </w:divBdr>
    </w:div>
    <w:div w:id="213975777">
      <w:bodyDiv w:val="1"/>
      <w:marLeft w:val="0"/>
      <w:marRight w:val="0"/>
      <w:marTop w:val="0"/>
      <w:marBottom w:val="0"/>
      <w:divBdr>
        <w:top w:val="none" w:sz="0" w:space="0" w:color="auto"/>
        <w:left w:val="none" w:sz="0" w:space="0" w:color="auto"/>
        <w:bottom w:val="none" w:sz="0" w:space="0" w:color="auto"/>
        <w:right w:val="none" w:sz="0" w:space="0" w:color="auto"/>
      </w:divBdr>
    </w:div>
    <w:div w:id="214321803">
      <w:bodyDiv w:val="1"/>
      <w:marLeft w:val="0"/>
      <w:marRight w:val="0"/>
      <w:marTop w:val="0"/>
      <w:marBottom w:val="0"/>
      <w:divBdr>
        <w:top w:val="none" w:sz="0" w:space="0" w:color="auto"/>
        <w:left w:val="none" w:sz="0" w:space="0" w:color="auto"/>
        <w:bottom w:val="none" w:sz="0" w:space="0" w:color="auto"/>
        <w:right w:val="none" w:sz="0" w:space="0" w:color="auto"/>
      </w:divBdr>
    </w:div>
    <w:div w:id="215701900">
      <w:bodyDiv w:val="1"/>
      <w:marLeft w:val="0"/>
      <w:marRight w:val="0"/>
      <w:marTop w:val="0"/>
      <w:marBottom w:val="0"/>
      <w:divBdr>
        <w:top w:val="none" w:sz="0" w:space="0" w:color="auto"/>
        <w:left w:val="none" w:sz="0" w:space="0" w:color="auto"/>
        <w:bottom w:val="none" w:sz="0" w:space="0" w:color="auto"/>
        <w:right w:val="none" w:sz="0" w:space="0" w:color="auto"/>
      </w:divBdr>
    </w:div>
    <w:div w:id="216090098">
      <w:bodyDiv w:val="1"/>
      <w:marLeft w:val="0"/>
      <w:marRight w:val="0"/>
      <w:marTop w:val="0"/>
      <w:marBottom w:val="0"/>
      <w:divBdr>
        <w:top w:val="none" w:sz="0" w:space="0" w:color="auto"/>
        <w:left w:val="none" w:sz="0" w:space="0" w:color="auto"/>
        <w:bottom w:val="none" w:sz="0" w:space="0" w:color="auto"/>
        <w:right w:val="none" w:sz="0" w:space="0" w:color="auto"/>
      </w:divBdr>
    </w:div>
    <w:div w:id="217252152">
      <w:bodyDiv w:val="1"/>
      <w:marLeft w:val="0"/>
      <w:marRight w:val="0"/>
      <w:marTop w:val="0"/>
      <w:marBottom w:val="0"/>
      <w:divBdr>
        <w:top w:val="none" w:sz="0" w:space="0" w:color="auto"/>
        <w:left w:val="none" w:sz="0" w:space="0" w:color="auto"/>
        <w:bottom w:val="none" w:sz="0" w:space="0" w:color="auto"/>
        <w:right w:val="none" w:sz="0" w:space="0" w:color="auto"/>
      </w:divBdr>
    </w:div>
    <w:div w:id="217517870">
      <w:bodyDiv w:val="1"/>
      <w:marLeft w:val="0"/>
      <w:marRight w:val="0"/>
      <w:marTop w:val="0"/>
      <w:marBottom w:val="0"/>
      <w:divBdr>
        <w:top w:val="none" w:sz="0" w:space="0" w:color="auto"/>
        <w:left w:val="none" w:sz="0" w:space="0" w:color="auto"/>
        <w:bottom w:val="none" w:sz="0" w:space="0" w:color="auto"/>
        <w:right w:val="none" w:sz="0" w:space="0" w:color="auto"/>
      </w:divBdr>
    </w:div>
    <w:div w:id="217522284">
      <w:bodyDiv w:val="1"/>
      <w:marLeft w:val="0"/>
      <w:marRight w:val="0"/>
      <w:marTop w:val="0"/>
      <w:marBottom w:val="0"/>
      <w:divBdr>
        <w:top w:val="none" w:sz="0" w:space="0" w:color="auto"/>
        <w:left w:val="none" w:sz="0" w:space="0" w:color="auto"/>
        <w:bottom w:val="none" w:sz="0" w:space="0" w:color="auto"/>
        <w:right w:val="none" w:sz="0" w:space="0" w:color="auto"/>
      </w:divBdr>
    </w:div>
    <w:div w:id="218249831">
      <w:bodyDiv w:val="1"/>
      <w:marLeft w:val="0"/>
      <w:marRight w:val="0"/>
      <w:marTop w:val="0"/>
      <w:marBottom w:val="0"/>
      <w:divBdr>
        <w:top w:val="none" w:sz="0" w:space="0" w:color="auto"/>
        <w:left w:val="none" w:sz="0" w:space="0" w:color="auto"/>
        <w:bottom w:val="none" w:sz="0" w:space="0" w:color="auto"/>
        <w:right w:val="none" w:sz="0" w:space="0" w:color="auto"/>
      </w:divBdr>
    </w:div>
    <w:div w:id="219363890">
      <w:bodyDiv w:val="1"/>
      <w:marLeft w:val="0"/>
      <w:marRight w:val="0"/>
      <w:marTop w:val="0"/>
      <w:marBottom w:val="0"/>
      <w:divBdr>
        <w:top w:val="none" w:sz="0" w:space="0" w:color="auto"/>
        <w:left w:val="none" w:sz="0" w:space="0" w:color="auto"/>
        <w:bottom w:val="none" w:sz="0" w:space="0" w:color="auto"/>
        <w:right w:val="none" w:sz="0" w:space="0" w:color="auto"/>
      </w:divBdr>
    </w:div>
    <w:div w:id="219630663">
      <w:bodyDiv w:val="1"/>
      <w:marLeft w:val="0"/>
      <w:marRight w:val="0"/>
      <w:marTop w:val="0"/>
      <w:marBottom w:val="0"/>
      <w:divBdr>
        <w:top w:val="none" w:sz="0" w:space="0" w:color="auto"/>
        <w:left w:val="none" w:sz="0" w:space="0" w:color="auto"/>
        <w:bottom w:val="none" w:sz="0" w:space="0" w:color="auto"/>
        <w:right w:val="none" w:sz="0" w:space="0" w:color="auto"/>
      </w:divBdr>
    </w:div>
    <w:div w:id="220020867">
      <w:bodyDiv w:val="1"/>
      <w:marLeft w:val="0"/>
      <w:marRight w:val="0"/>
      <w:marTop w:val="0"/>
      <w:marBottom w:val="0"/>
      <w:divBdr>
        <w:top w:val="none" w:sz="0" w:space="0" w:color="auto"/>
        <w:left w:val="none" w:sz="0" w:space="0" w:color="auto"/>
        <w:bottom w:val="none" w:sz="0" w:space="0" w:color="auto"/>
        <w:right w:val="none" w:sz="0" w:space="0" w:color="auto"/>
      </w:divBdr>
    </w:div>
    <w:div w:id="220336381">
      <w:bodyDiv w:val="1"/>
      <w:marLeft w:val="0"/>
      <w:marRight w:val="0"/>
      <w:marTop w:val="0"/>
      <w:marBottom w:val="0"/>
      <w:divBdr>
        <w:top w:val="none" w:sz="0" w:space="0" w:color="auto"/>
        <w:left w:val="none" w:sz="0" w:space="0" w:color="auto"/>
        <w:bottom w:val="none" w:sz="0" w:space="0" w:color="auto"/>
        <w:right w:val="none" w:sz="0" w:space="0" w:color="auto"/>
      </w:divBdr>
    </w:div>
    <w:div w:id="220410516">
      <w:bodyDiv w:val="1"/>
      <w:marLeft w:val="0"/>
      <w:marRight w:val="0"/>
      <w:marTop w:val="0"/>
      <w:marBottom w:val="0"/>
      <w:divBdr>
        <w:top w:val="none" w:sz="0" w:space="0" w:color="auto"/>
        <w:left w:val="none" w:sz="0" w:space="0" w:color="auto"/>
        <w:bottom w:val="none" w:sz="0" w:space="0" w:color="auto"/>
        <w:right w:val="none" w:sz="0" w:space="0" w:color="auto"/>
      </w:divBdr>
    </w:div>
    <w:div w:id="220556077">
      <w:bodyDiv w:val="1"/>
      <w:marLeft w:val="0"/>
      <w:marRight w:val="0"/>
      <w:marTop w:val="0"/>
      <w:marBottom w:val="0"/>
      <w:divBdr>
        <w:top w:val="none" w:sz="0" w:space="0" w:color="auto"/>
        <w:left w:val="none" w:sz="0" w:space="0" w:color="auto"/>
        <w:bottom w:val="none" w:sz="0" w:space="0" w:color="auto"/>
        <w:right w:val="none" w:sz="0" w:space="0" w:color="auto"/>
      </w:divBdr>
    </w:div>
    <w:div w:id="220792085">
      <w:bodyDiv w:val="1"/>
      <w:marLeft w:val="0"/>
      <w:marRight w:val="0"/>
      <w:marTop w:val="0"/>
      <w:marBottom w:val="0"/>
      <w:divBdr>
        <w:top w:val="none" w:sz="0" w:space="0" w:color="auto"/>
        <w:left w:val="none" w:sz="0" w:space="0" w:color="auto"/>
        <w:bottom w:val="none" w:sz="0" w:space="0" w:color="auto"/>
        <w:right w:val="none" w:sz="0" w:space="0" w:color="auto"/>
      </w:divBdr>
    </w:div>
    <w:div w:id="221792262">
      <w:bodyDiv w:val="1"/>
      <w:marLeft w:val="0"/>
      <w:marRight w:val="0"/>
      <w:marTop w:val="0"/>
      <w:marBottom w:val="0"/>
      <w:divBdr>
        <w:top w:val="none" w:sz="0" w:space="0" w:color="auto"/>
        <w:left w:val="none" w:sz="0" w:space="0" w:color="auto"/>
        <w:bottom w:val="none" w:sz="0" w:space="0" w:color="auto"/>
        <w:right w:val="none" w:sz="0" w:space="0" w:color="auto"/>
      </w:divBdr>
    </w:div>
    <w:div w:id="221872124">
      <w:bodyDiv w:val="1"/>
      <w:marLeft w:val="0"/>
      <w:marRight w:val="0"/>
      <w:marTop w:val="0"/>
      <w:marBottom w:val="0"/>
      <w:divBdr>
        <w:top w:val="none" w:sz="0" w:space="0" w:color="auto"/>
        <w:left w:val="none" w:sz="0" w:space="0" w:color="auto"/>
        <w:bottom w:val="none" w:sz="0" w:space="0" w:color="auto"/>
        <w:right w:val="none" w:sz="0" w:space="0" w:color="auto"/>
      </w:divBdr>
    </w:div>
    <w:div w:id="223489746">
      <w:bodyDiv w:val="1"/>
      <w:marLeft w:val="0"/>
      <w:marRight w:val="0"/>
      <w:marTop w:val="0"/>
      <w:marBottom w:val="0"/>
      <w:divBdr>
        <w:top w:val="none" w:sz="0" w:space="0" w:color="auto"/>
        <w:left w:val="none" w:sz="0" w:space="0" w:color="auto"/>
        <w:bottom w:val="none" w:sz="0" w:space="0" w:color="auto"/>
        <w:right w:val="none" w:sz="0" w:space="0" w:color="auto"/>
      </w:divBdr>
    </w:div>
    <w:div w:id="223492005">
      <w:bodyDiv w:val="1"/>
      <w:marLeft w:val="0"/>
      <w:marRight w:val="0"/>
      <w:marTop w:val="0"/>
      <w:marBottom w:val="0"/>
      <w:divBdr>
        <w:top w:val="none" w:sz="0" w:space="0" w:color="auto"/>
        <w:left w:val="none" w:sz="0" w:space="0" w:color="auto"/>
        <w:bottom w:val="none" w:sz="0" w:space="0" w:color="auto"/>
        <w:right w:val="none" w:sz="0" w:space="0" w:color="auto"/>
      </w:divBdr>
    </w:div>
    <w:div w:id="223806815">
      <w:bodyDiv w:val="1"/>
      <w:marLeft w:val="0"/>
      <w:marRight w:val="0"/>
      <w:marTop w:val="0"/>
      <w:marBottom w:val="0"/>
      <w:divBdr>
        <w:top w:val="none" w:sz="0" w:space="0" w:color="auto"/>
        <w:left w:val="none" w:sz="0" w:space="0" w:color="auto"/>
        <w:bottom w:val="none" w:sz="0" w:space="0" w:color="auto"/>
        <w:right w:val="none" w:sz="0" w:space="0" w:color="auto"/>
      </w:divBdr>
    </w:div>
    <w:div w:id="224535567">
      <w:bodyDiv w:val="1"/>
      <w:marLeft w:val="0"/>
      <w:marRight w:val="0"/>
      <w:marTop w:val="0"/>
      <w:marBottom w:val="0"/>
      <w:divBdr>
        <w:top w:val="none" w:sz="0" w:space="0" w:color="auto"/>
        <w:left w:val="none" w:sz="0" w:space="0" w:color="auto"/>
        <w:bottom w:val="none" w:sz="0" w:space="0" w:color="auto"/>
        <w:right w:val="none" w:sz="0" w:space="0" w:color="auto"/>
      </w:divBdr>
    </w:div>
    <w:div w:id="224679956">
      <w:bodyDiv w:val="1"/>
      <w:marLeft w:val="0"/>
      <w:marRight w:val="0"/>
      <w:marTop w:val="0"/>
      <w:marBottom w:val="0"/>
      <w:divBdr>
        <w:top w:val="none" w:sz="0" w:space="0" w:color="auto"/>
        <w:left w:val="none" w:sz="0" w:space="0" w:color="auto"/>
        <w:bottom w:val="none" w:sz="0" w:space="0" w:color="auto"/>
        <w:right w:val="none" w:sz="0" w:space="0" w:color="auto"/>
      </w:divBdr>
    </w:div>
    <w:div w:id="226455594">
      <w:bodyDiv w:val="1"/>
      <w:marLeft w:val="0"/>
      <w:marRight w:val="0"/>
      <w:marTop w:val="0"/>
      <w:marBottom w:val="0"/>
      <w:divBdr>
        <w:top w:val="none" w:sz="0" w:space="0" w:color="auto"/>
        <w:left w:val="none" w:sz="0" w:space="0" w:color="auto"/>
        <w:bottom w:val="none" w:sz="0" w:space="0" w:color="auto"/>
        <w:right w:val="none" w:sz="0" w:space="0" w:color="auto"/>
      </w:divBdr>
    </w:div>
    <w:div w:id="228271555">
      <w:bodyDiv w:val="1"/>
      <w:marLeft w:val="0"/>
      <w:marRight w:val="0"/>
      <w:marTop w:val="0"/>
      <w:marBottom w:val="0"/>
      <w:divBdr>
        <w:top w:val="none" w:sz="0" w:space="0" w:color="auto"/>
        <w:left w:val="none" w:sz="0" w:space="0" w:color="auto"/>
        <w:bottom w:val="none" w:sz="0" w:space="0" w:color="auto"/>
        <w:right w:val="none" w:sz="0" w:space="0" w:color="auto"/>
      </w:divBdr>
    </w:div>
    <w:div w:id="228617369">
      <w:bodyDiv w:val="1"/>
      <w:marLeft w:val="0"/>
      <w:marRight w:val="0"/>
      <w:marTop w:val="0"/>
      <w:marBottom w:val="0"/>
      <w:divBdr>
        <w:top w:val="none" w:sz="0" w:space="0" w:color="auto"/>
        <w:left w:val="none" w:sz="0" w:space="0" w:color="auto"/>
        <w:bottom w:val="none" w:sz="0" w:space="0" w:color="auto"/>
        <w:right w:val="none" w:sz="0" w:space="0" w:color="auto"/>
      </w:divBdr>
    </w:div>
    <w:div w:id="229073880">
      <w:bodyDiv w:val="1"/>
      <w:marLeft w:val="0"/>
      <w:marRight w:val="0"/>
      <w:marTop w:val="0"/>
      <w:marBottom w:val="0"/>
      <w:divBdr>
        <w:top w:val="none" w:sz="0" w:space="0" w:color="auto"/>
        <w:left w:val="none" w:sz="0" w:space="0" w:color="auto"/>
        <w:bottom w:val="none" w:sz="0" w:space="0" w:color="auto"/>
        <w:right w:val="none" w:sz="0" w:space="0" w:color="auto"/>
      </w:divBdr>
    </w:div>
    <w:div w:id="230308397">
      <w:bodyDiv w:val="1"/>
      <w:marLeft w:val="0"/>
      <w:marRight w:val="0"/>
      <w:marTop w:val="0"/>
      <w:marBottom w:val="0"/>
      <w:divBdr>
        <w:top w:val="none" w:sz="0" w:space="0" w:color="auto"/>
        <w:left w:val="none" w:sz="0" w:space="0" w:color="auto"/>
        <w:bottom w:val="none" w:sz="0" w:space="0" w:color="auto"/>
        <w:right w:val="none" w:sz="0" w:space="0" w:color="auto"/>
      </w:divBdr>
    </w:div>
    <w:div w:id="230503702">
      <w:bodyDiv w:val="1"/>
      <w:marLeft w:val="0"/>
      <w:marRight w:val="0"/>
      <w:marTop w:val="0"/>
      <w:marBottom w:val="0"/>
      <w:divBdr>
        <w:top w:val="none" w:sz="0" w:space="0" w:color="auto"/>
        <w:left w:val="none" w:sz="0" w:space="0" w:color="auto"/>
        <w:bottom w:val="none" w:sz="0" w:space="0" w:color="auto"/>
        <w:right w:val="none" w:sz="0" w:space="0" w:color="auto"/>
      </w:divBdr>
    </w:div>
    <w:div w:id="230624326">
      <w:bodyDiv w:val="1"/>
      <w:marLeft w:val="0"/>
      <w:marRight w:val="0"/>
      <w:marTop w:val="0"/>
      <w:marBottom w:val="0"/>
      <w:divBdr>
        <w:top w:val="none" w:sz="0" w:space="0" w:color="auto"/>
        <w:left w:val="none" w:sz="0" w:space="0" w:color="auto"/>
        <w:bottom w:val="none" w:sz="0" w:space="0" w:color="auto"/>
        <w:right w:val="none" w:sz="0" w:space="0" w:color="auto"/>
      </w:divBdr>
    </w:div>
    <w:div w:id="230773688">
      <w:bodyDiv w:val="1"/>
      <w:marLeft w:val="0"/>
      <w:marRight w:val="0"/>
      <w:marTop w:val="0"/>
      <w:marBottom w:val="0"/>
      <w:divBdr>
        <w:top w:val="none" w:sz="0" w:space="0" w:color="auto"/>
        <w:left w:val="none" w:sz="0" w:space="0" w:color="auto"/>
        <w:bottom w:val="none" w:sz="0" w:space="0" w:color="auto"/>
        <w:right w:val="none" w:sz="0" w:space="0" w:color="auto"/>
      </w:divBdr>
    </w:div>
    <w:div w:id="231038748">
      <w:bodyDiv w:val="1"/>
      <w:marLeft w:val="0"/>
      <w:marRight w:val="0"/>
      <w:marTop w:val="0"/>
      <w:marBottom w:val="0"/>
      <w:divBdr>
        <w:top w:val="none" w:sz="0" w:space="0" w:color="auto"/>
        <w:left w:val="none" w:sz="0" w:space="0" w:color="auto"/>
        <w:bottom w:val="none" w:sz="0" w:space="0" w:color="auto"/>
        <w:right w:val="none" w:sz="0" w:space="0" w:color="auto"/>
      </w:divBdr>
    </w:div>
    <w:div w:id="231084594">
      <w:bodyDiv w:val="1"/>
      <w:marLeft w:val="0"/>
      <w:marRight w:val="0"/>
      <w:marTop w:val="0"/>
      <w:marBottom w:val="0"/>
      <w:divBdr>
        <w:top w:val="none" w:sz="0" w:space="0" w:color="auto"/>
        <w:left w:val="none" w:sz="0" w:space="0" w:color="auto"/>
        <w:bottom w:val="none" w:sz="0" w:space="0" w:color="auto"/>
        <w:right w:val="none" w:sz="0" w:space="0" w:color="auto"/>
      </w:divBdr>
    </w:div>
    <w:div w:id="231279691">
      <w:bodyDiv w:val="1"/>
      <w:marLeft w:val="0"/>
      <w:marRight w:val="0"/>
      <w:marTop w:val="0"/>
      <w:marBottom w:val="0"/>
      <w:divBdr>
        <w:top w:val="none" w:sz="0" w:space="0" w:color="auto"/>
        <w:left w:val="none" w:sz="0" w:space="0" w:color="auto"/>
        <w:bottom w:val="none" w:sz="0" w:space="0" w:color="auto"/>
        <w:right w:val="none" w:sz="0" w:space="0" w:color="auto"/>
      </w:divBdr>
    </w:div>
    <w:div w:id="231282025">
      <w:bodyDiv w:val="1"/>
      <w:marLeft w:val="0"/>
      <w:marRight w:val="0"/>
      <w:marTop w:val="0"/>
      <w:marBottom w:val="0"/>
      <w:divBdr>
        <w:top w:val="none" w:sz="0" w:space="0" w:color="auto"/>
        <w:left w:val="none" w:sz="0" w:space="0" w:color="auto"/>
        <w:bottom w:val="none" w:sz="0" w:space="0" w:color="auto"/>
        <w:right w:val="none" w:sz="0" w:space="0" w:color="auto"/>
      </w:divBdr>
    </w:div>
    <w:div w:id="232470406">
      <w:bodyDiv w:val="1"/>
      <w:marLeft w:val="0"/>
      <w:marRight w:val="0"/>
      <w:marTop w:val="0"/>
      <w:marBottom w:val="0"/>
      <w:divBdr>
        <w:top w:val="none" w:sz="0" w:space="0" w:color="auto"/>
        <w:left w:val="none" w:sz="0" w:space="0" w:color="auto"/>
        <w:bottom w:val="none" w:sz="0" w:space="0" w:color="auto"/>
        <w:right w:val="none" w:sz="0" w:space="0" w:color="auto"/>
      </w:divBdr>
    </w:div>
    <w:div w:id="233006297">
      <w:bodyDiv w:val="1"/>
      <w:marLeft w:val="0"/>
      <w:marRight w:val="0"/>
      <w:marTop w:val="0"/>
      <w:marBottom w:val="0"/>
      <w:divBdr>
        <w:top w:val="none" w:sz="0" w:space="0" w:color="auto"/>
        <w:left w:val="none" w:sz="0" w:space="0" w:color="auto"/>
        <w:bottom w:val="none" w:sz="0" w:space="0" w:color="auto"/>
        <w:right w:val="none" w:sz="0" w:space="0" w:color="auto"/>
      </w:divBdr>
    </w:div>
    <w:div w:id="233009283">
      <w:bodyDiv w:val="1"/>
      <w:marLeft w:val="0"/>
      <w:marRight w:val="0"/>
      <w:marTop w:val="0"/>
      <w:marBottom w:val="0"/>
      <w:divBdr>
        <w:top w:val="none" w:sz="0" w:space="0" w:color="auto"/>
        <w:left w:val="none" w:sz="0" w:space="0" w:color="auto"/>
        <w:bottom w:val="none" w:sz="0" w:space="0" w:color="auto"/>
        <w:right w:val="none" w:sz="0" w:space="0" w:color="auto"/>
      </w:divBdr>
    </w:div>
    <w:div w:id="233198984">
      <w:bodyDiv w:val="1"/>
      <w:marLeft w:val="0"/>
      <w:marRight w:val="0"/>
      <w:marTop w:val="0"/>
      <w:marBottom w:val="0"/>
      <w:divBdr>
        <w:top w:val="none" w:sz="0" w:space="0" w:color="auto"/>
        <w:left w:val="none" w:sz="0" w:space="0" w:color="auto"/>
        <w:bottom w:val="none" w:sz="0" w:space="0" w:color="auto"/>
        <w:right w:val="none" w:sz="0" w:space="0" w:color="auto"/>
      </w:divBdr>
    </w:div>
    <w:div w:id="234365741">
      <w:bodyDiv w:val="1"/>
      <w:marLeft w:val="0"/>
      <w:marRight w:val="0"/>
      <w:marTop w:val="0"/>
      <w:marBottom w:val="0"/>
      <w:divBdr>
        <w:top w:val="none" w:sz="0" w:space="0" w:color="auto"/>
        <w:left w:val="none" w:sz="0" w:space="0" w:color="auto"/>
        <w:bottom w:val="none" w:sz="0" w:space="0" w:color="auto"/>
        <w:right w:val="none" w:sz="0" w:space="0" w:color="auto"/>
      </w:divBdr>
    </w:div>
    <w:div w:id="237130928">
      <w:bodyDiv w:val="1"/>
      <w:marLeft w:val="0"/>
      <w:marRight w:val="0"/>
      <w:marTop w:val="0"/>
      <w:marBottom w:val="0"/>
      <w:divBdr>
        <w:top w:val="none" w:sz="0" w:space="0" w:color="auto"/>
        <w:left w:val="none" w:sz="0" w:space="0" w:color="auto"/>
        <w:bottom w:val="none" w:sz="0" w:space="0" w:color="auto"/>
        <w:right w:val="none" w:sz="0" w:space="0" w:color="auto"/>
      </w:divBdr>
    </w:div>
    <w:div w:id="238949834">
      <w:bodyDiv w:val="1"/>
      <w:marLeft w:val="0"/>
      <w:marRight w:val="0"/>
      <w:marTop w:val="0"/>
      <w:marBottom w:val="0"/>
      <w:divBdr>
        <w:top w:val="none" w:sz="0" w:space="0" w:color="auto"/>
        <w:left w:val="none" w:sz="0" w:space="0" w:color="auto"/>
        <w:bottom w:val="none" w:sz="0" w:space="0" w:color="auto"/>
        <w:right w:val="none" w:sz="0" w:space="0" w:color="auto"/>
      </w:divBdr>
    </w:div>
    <w:div w:id="239600069">
      <w:bodyDiv w:val="1"/>
      <w:marLeft w:val="0"/>
      <w:marRight w:val="0"/>
      <w:marTop w:val="0"/>
      <w:marBottom w:val="0"/>
      <w:divBdr>
        <w:top w:val="none" w:sz="0" w:space="0" w:color="auto"/>
        <w:left w:val="none" w:sz="0" w:space="0" w:color="auto"/>
        <w:bottom w:val="none" w:sz="0" w:space="0" w:color="auto"/>
        <w:right w:val="none" w:sz="0" w:space="0" w:color="auto"/>
      </w:divBdr>
    </w:div>
    <w:div w:id="239872031">
      <w:bodyDiv w:val="1"/>
      <w:marLeft w:val="0"/>
      <w:marRight w:val="0"/>
      <w:marTop w:val="0"/>
      <w:marBottom w:val="0"/>
      <w:divBdr>
        <w:top w:val="none" w:sz="0" w:space="0" w:color="auto"/>
        <w:left w:val="none" w:sz="0" w:space="0" w:color="auto"/>
        <w:bottom w:val="none" w:sz="0" w:space="0" w:color="auto"/>
        <w:right w:val="none" w:sz="0" w:space="0" w:color="auto"/>
      </w:divBdr>
    </w:div>
    <w:div w:id="240989070">
      <w:bodyDiv w:val="1"/>
      <w:marLeft w:val="0"/>
      <w:marRight w:val="0"/>
      <w:marTop w:val="0"/>
      <w:marBottom w:val="0"/>
      <w:divBdr>
        <w:top w:val="none" w:sz="0" w:space="0" w:color="auto"/>
        <w:left w:val="none" w:sz="0" w:space="0" w:color="auto"/>
        <w:bottom w:val="none" w:sz="0" w:space="0" w:color="auto"/>
        <w:right w:val="none" w:sz="0" w:space="0" w:color="auto"/>
      </w:divBdr>
    </w:div>
    <w:div w:id="241381572">
      <w:bodyDiv w:val="1"/>
      <w:marLeft w:val="0"/>
      <w:marRight w:val="0"/>
      <w:marTop w:val="0"/>
      <w:marBottom w:val="0"/>
      <w:divBdr>
        <w:top w:val="none" w:sz="0" w:space="0" w:color="auto"/>
        <w:left w:val="none" w:sz="0" w:space="0" w:color="auto"/>
        <w:bottom w:val="none" w:sz="0" w:space="0" w:color="auto"/>
        <w:right w:val="none" w:sz="0" w:space="0" w:color="auto"/>
      </w:divBdr>
    </w:div>
    <w:div w:id="241641988">
      <w:bodyDiv w:val="1"/>
      <w:marLeft w:val="0"/>
      <w:marRight w:val="0"/>
      <w:marTop w:val="0"/>
      <w:marBottom w:val="0"/>
      <w:divBdr>
        <w:top w:val="none" w:sz="0" w:space="0" w:color="auto"/>
        <w:left w:val="none" w:sz="0" w:space="0" w:color="auto"/>
        <w:bottom w:val="none" w:sz="0" w:space="0" w:color="auto"/>
        <w:right w:val="none" w:sz="0" w:space="0" w:color="auto"/>
      </w:divBdr>
    </w:div>
    <w:div w:id="242223008">
      <w:bodyDiv w:val="1"/>
      <w:marLeft w:val="0"/>
      <w:marRight w:val="0"/>
      <w:marTop w:val="0"/>
      <w:marBottom w:val="0"/>
      <w:divBdr>
        <w:top w:val="none" w:sz="0" w:space="0" w:color="auto"/>
        <w:left w:val="none" w:sz="0" w:space="0" w:color="auto"/>
        <w:bottom w:val="none" w:sz="0" w:space="0" w:color="auto"/>
        <w:right w:val="none" w:sz="0" w:space="0" w:color="auto"/>
      </w:divBdr>
    </w:div>
    <w:div w:id="243422411">
      <w:bodyDiv w:val="1"/>
      <w:marLeft w:val="0"/>
      <w:marRight w:val="0"/>
      <w:marTop w:val="0"/>
      <w:marBottom w:val="0"/>
      <w:divBdr>
        <w:top w:val="none" w:sz="0" w:space="0" w:color="auto"/>
        <w:left w:val="none" w:sz="0" w:space="0" w:color="auto"/>
        <w:bottom w:val="none" w:sz="0" w:space="0" w:color="auto"/>
        <w:right w:val="none" w:sz="0" w:space="0" w:color="auto"/>
      </w:divBdr>
    </w:div>
    <w:div w:id="243497388">
      <w:bodyDiv w:val="1"/>
      <w:marLeft w:val="0"/>
      <w:marRight w:val="0"/>
      <w:marTop w:val="0"/>
      <w:marBottom w:val="0"/>
      <w:divBdr>
        <w:top w:val="none" w:sz="0" w:space="0" w:color="auto"/>
        <w:left w:val="none" w:sz="0" w:space="0" w:color="auto"/>
        <w:bottom w:val="none" w:sz="0" w:space="0" w:color="auto"/>
        <w:right w:val="none" w:sz="0" w:space="0" w:color="auto"/>
      </w:divBdr>
    </w:div>
    <w:div w:id="243537848">
      <w:bodyDiv w:val="1"/>
      <w:marLeft w:val="0"/>
      <w:marRight w:val="0"/>
      <w:marTop w:val="0"/>
      <w:marBottom w:val="0"/>
      <w:divBdr>
        <w:top w:val="none" w:sz="0" w:space="0" w:color="auto"/>
        <w:left w:val="none" w:sz="0" w:space="0" w:color="auto"/>
        <w:bottom w:val="none" w:sz="0" w:space="0" w:color="auto"/>
        <w:right w:val="none" w:sz="0" w:space="0" w:color="auto"/>
      </w:divBdr>
    </w:div>
    <w:div w:id="244189810">
      <w:bodyDiv w:val="1"/>
      <w:marLeft w:val="0"/>
      <w:marRight w:val="0"/>
      <w:marTop w:val="0"/>
      <w:marBottom w:val="0"/>
      <w:divBdr>
        <w:top w:val="none" w:sz="0" w:space="0" w:color="auto"/>
        <w:left w:val="none" w:sz="0" w:space="0" w:color="auto"/>
        <w:bottom w:val="none" w:sz="0" w:space="0" w:color="auto"/>
        <w:right w:val="none" w:sz="0" w:space="0" w:color="auto"/>
      </w:divBdr>
    </w:div>
    <w:div w:id="245042886">
      <w:bodyDiv w:val="1"/>
      <w:marLeft w:val="0"/>
      <w:marRight w:val="0"/>
      <w:marTop w:val="0"/>
      <w:marBottom w:val="0"/>
      <w:divBdr>
        <w:top w:val="none" w:sz="0" w:space="0" w:color="auto"/>
        <w:left w:val="none" w:sz="0" w:space="0" w:color="auto"/>
        <w:bottom w:val="none" w:sz="0" w:space="0" w:color="auto"/>
        <w:right w:val="none" w:sz="0" w:space="0" w:color="auto"/>
      </w:divBdr>
    </w:div>
    <w:div w:id="245236155">
      <w:bodyDiv w:val="1"/>
      <w:marLeft w:val="0"/>
      <w:marRight w:val="0"/>
      <w:marTop w:val="0"/>
      <w:marBottom w:val="0"/>
      <w:divBdr>
        <w:top w:val="none" w:sz="0" w:space="0" w:color="auto"/>
        <w:left w:val="none" w:sz="0" w:space="0" w:color="auto"/>
        <w:bottom w:val="none" w:sz="0" w:space="0" w:color="auto"/>
        <w:right w:val="none" w:sz="0" w:space="0" w:color="auto"/>
      </w:divBdr>
    </w:div>
    <w:div w:id="245960426">
      <w:bodyDiv w:val="1"/>
      <w:marLeft w:val="0"/>
      <w:marRight w:val="0"/>
      <w:marTop w:val="0"/>
      <w:marBottom w:val="0"/>
      <w:divBdr>
        <w:top w:val="none" w:sz="0" w:space="0" w:color="auto"/>
        <w:left w:val="none" w:sz="0" w:space="0" w:color="auto"/>
        <w:bottom w:val="none" w:sz="0" w:space="0" w:color="auto"/>
        <w:right w:val="none" w:sz="0" w:space="0" w:color="auto"/>
      </w:divBdr>
    </w:div>
    <w:div w:id="246309116">
      <w:bodyDiv w:val="1"/>
      <w:marLeft w:val="0"/>
      <w:marRight w:val="0"/>
      <w:marTop w:val="0"/>
      <w:marBottom w:val="0"/>
      <w:divBdr>
        <w:top w:val="none" w:sz="0" w:space="0" w:color="auto"/>
        <w:left w:val="none" w:sz="0" w:space="0" w:color="auto"/>
        <w:bottom w:val="none" w:sz="0" w:space="0" w:color="auto"/>
        <w:right w:val="none" w:sz="0" w:space="0" w:color="auto"/>
      </w:divBdr>
    </w:div>
    <w:div w:id="246576247">
      <w:bodyDiv w:val="1"/>
      <w:marLeft w:val="0"/>
      <w:marRight w:val="0"/>
      <w:marTop w:val="0"/>
      <w:marBottom w:val="0"/>
      <w:divBdr>
        <w:top w:val="none" w:sz="0" w:space="0" w:color="auto"/>
        <w:left w:val="none" w:sz="0" w:space="0" w:color="auto"/>
        <w:bottom w:val="none" w:sz="0" w:space="0" w:color="auto"/>
        <w:right w:val="none" w:sz="0" w:space="0" w:color="auto"/>
      </w:divBdr>
    </w:div>
    <w:div w:id="247229048">
      <w:bodyDiv w:val="1"/>
      <w:marLeft w:val="0"/>
      <w:marRight w:val="0"/>
      <w:marTop w:val="0"/>
      <w:marBottom w:val="0"/>
      <w:divBdr>
        <w:top w:val="none" w:sz="0" w:space="0" w:color="auto"/>
        <w:left w:val="none" w:sz="0" w:space="0" w:color="auto"/>
        <w:bottom w:val="none" w:sz="0" w:space="0" w:color="auto"/>
        <w:right w:val="none" w:sz="0" w:space="0" w:color="auto"/>
      </w:divBdr>
    </w:div>
    <w:div w:id="247275095">
      <w:bodyDiv w:val="1"/>
      <w:marLeft w:val="0"/>
      <w:marRight w:val="0"/>
      <w:marTop w:val="0"/>
      <w:marBottom w:val="0"/>
      <w:divBdr>
        <w:top w:val="none" w:sz="0" w:space="0" w:color="auto"/>
        <w:left w:val="none" w:sz="0" w:space="0" w:color="auto"/>
        <w:bottom w:val="none" w:sz="0" w:space="0" w:color="auto"/>
        <w:right w:val="none" w:sz="0" w:space="0" w:color="auto"/>
      </w:divBdr>
    </w:div>
    <w:div w:id="248273616">
      <w:bodyDiv w:val="1"/>
      <w:marLeft w:val="0"/>
      <w:marRight w:val="0"/>
      <w:marTop w:val="0"/>
      <w:marBottom w:val="0"/>
      <w:divBdr>
        <w:top w:val="none" w:sz="0" w:space="0" w:color="auto"/>
        <w:left w:val="none" w:sz="0" w:space="0" w:color="auto"/>
        <w:bottom w:val="none" w:sz="0" w:space="0" w:color="auto"/>
        <w:right w:val="none" w:sz="0" w:space="0" w:color="auto"/>
      </w:divBdr>
    </w:div>
    <w:div w:id="248471036">
      <w:bodyDiv w:val="1"/>
      <w:marLeft w:val="0"/>
      <w:marRight w:val="0"/>
      <w:marTop w:val="0"/>
      <w:marBottom w:val="0"/>
      <w:divBdr>
        <w:top w:val="none" w:sz="0" w:space="0" w:color="auto"/>
        <w:left w:val="none" w:sz="0" w:space="0" w:color="auto"/>
        <w:bottom w:val="none" w:sz="0" w:space="0" w:color="auto"/>
        <w:right w:val="none" w:sz="0" w:space="0" w:color="auto"/>
      </w:divBdr>
    </w:div>
    <w:div w:id="248581386">
      <w:bodyDiv w:val="1"/>
      <w:marLeft w:val="0"/>
      <w:marRight w:val="0"/>
      <w:marTop w:val="0"/>
      <w:marBottom w:val="0"/>
      <w:divBdr>
        <w:top w:val="none" w:sz="0" w:space="0" w:color="auto"/>
        <w:left w:val="none" w:sz="0" w:space="0" w:color="auto"/>
        <w:bottom w:val="none" w:sz="0" w:space="0" w:color="auto"/>
        <w:right w:val="none" w:sz="0" w:space="0" w:color="auto"/>
      </w:divBdr>
    </w:div>
    <w:div w:id="248975410">
      <w:bodyDiv w:val="1"/>
      <w:marLeft w:val="0"/>
      <w:marRight w:val="0"/>
      <w:marTop w:val="0"/>
      <w:marBottom w:val="0"/>
      <w:divBdr>
        <w:top w:val="none" w:sz="0" w:space="0" w:color="auto"/>
        <w:left w:val="none" w:sz="0" w:space="0" w:color="auto"/>
        <w:bottom w:val="none" w:sz="0" w:space="0" w:color="auto"/>
        <w:right w:val="none" w:sz="0" w:space="0" w:color="auto"/>
      </w:divBdr>
    </w:div>
    <w:div w:id="250167036">
      <w:bodyDiv w:val="1"/>
      <w:marLeft w:val="0"/>
      <w:marRight w:val="0"/>
      <w:marTop w:val="0"/>
      <w:marBottom w:val="0"/>
      <w:divBdr>
        <w:top w:val="none" w:sz="0" w:space="0" w:color="auto"/>
        <w:left w:val="none" w:sz="0" w:space="0" w:color="auto"/>
        <w:bottom w:val="none" w:sz="0" w:space="0" w:color="auto"/>
        <w:right w:val="none" w:sz="0" w:space="0" w:color="auto"/>
      </w:divBdr>
    </w:div>
    <w:div w:id="250891586">
      <w:bodyDiv w:val="1"/>
      <w:marLeft w:val="0"/>
      <w:marRight w:val="0"/>
      <w:marTop w:val="0"/>
      <w:marBottom w:val="0"/>
      <w:divBdr>
        <w:top w:val="none" w:sz="0" w:space="0" w:color="auto"/>
        <w:left w:val="none" w:sz="0" w:space="0" w:color="auto"/>
        <w:bottom w:val="none" w:sz="0" w:space="0" w:color="auto"/>
        <w:right w:val="none" w:sz="0" w:space="0" w:color="auto"/>
      </w:divBdr>
    </w:div>
    <w:div w:id="250938627">
      <w:bodyDiv w:val="1"/>
      <w:marLeft w:val="0"/>
      <w:marRight w:val="0"/>
      <w:marTop w:val="0"/>
      <w:marBottom w:val="0"/>
      <w:divBdr>
        <w:top w:val="none" w:sz="0" w:space="0" w:color="auto"/>
        <w:left w:val="none" w:sz="0" w:space="0" w:color="auto"/>
        <w:bottom w:val="none" w:sz="0" w:space="0" w:color="auto"/>
        <w:right w:val="none" w:sz="0" w:space="0" w:color="auto"/>
      </w:divBdr>
    </w:div>
    <w:div w:id="251593992">
      <w:bodyDiv w:val="1"/>
      <w:marLeft w:val="0"/>
      <w:marRight w:val="0"/>
      <w:marTop w:val="0"/>
      <w:marBottom w:val="0"/>
      <w:divBdr>
        <w:top w:val="none" w:sz="0" w:space="0" w:color="auto"/>
        <w:left w:val="none" w:sz="0" w:space="0" w:color="auto"/>
        <w:bottom w:val="none" w:sz="0" w:space="0" w:color="auto"/>
        <w:right w:val="none" w:sz="0" w:space="0" w:color="auto"/>
      </w:divBdr>
    </w:div>
    <w:div w:id="251670642">
      <w:bodyDiv w:val="1"/>
      <w:marLeft w:val="0"/>
      <w:marRight w:val="0"/>
      <w:marTop w:val="0"/>
      <w:marBottom w:val="0"/>
      <w:divBdr>
        <w:top w:val="none" w:sz="0" w:space="0" w:color="auto"/>
        <w:left w:val="none" w:sz="0" w:space="0" w:color="auto"/>
        <w:bottom w:val="none" w:sz="0" w:space="0" w:color="auto"/>
        <w:right w:val="none" w:sz="0" w:space="0" w:color="auto"/>
      </w:divBdr>
    </w:div>
    <w:div w:id="253249012">
      <w:bodyDiv w:val="1"/>
      <w:marLeft w:val="0"/>
      <w:marRight w:val="0"/>
      <w:marTop w:val="0"/>
      <w:marBottom w:val="0"/>
      <w:divBdr>
        <w:top w:val="none" w:sz="0" w:space="0" w:color="auto"/>
        <w:left w:val="none" w:sz="0" w:space="0" w:color="auto"/>
        <w:bottom w:val="none" w:sz="0" w:space="0" w:color="auto"/>
        <w:right w:val="none" w:sz="0" w:space="0" w:color="auto"/>
      </w:divBdr>
    </w:div>
    <w:div w:id="253511643">
      <w:bodyDiv w:val="1"/>
      <w:marLeft w:val="0"/>
      <w:marRight w:val="0"/>
      <w:marTop w:val="0"/>
      <w:marBottom w:val="0"/>
      <w:divBdr>
        <w:top w:val="none" w:sz="0" w:space="0" w:color="auto"/>
        <w:left w:val="none" w:sz="0" w:space="0" w:color="auto"/>
        <w:bottom w:val="none" w:sz="0" w:space="0" w:color="auto"/>
        <w:right w:val="none" w:sz="0" w:space="0" w:color="auto"/>
      </w:divBdr>
    </w:div>
    <w:div w:id="254484949">
      <w:bodyDiv w:val="1"/>
      <w:marLeft w:val="0"/>
      <w:marRight w:val="0"/>
      <w:marTop w:val="0"/>
      <w:marBottom w:val="0"/>
      <w:divBdr>
        <w:top w:val="none" w:sz="0" w:space="0" w:color="auto"/>
        <w:left w:val="none" w:sz="0" w:space="0" w:color="auto"/>
        <w:bottom w:val="none" w:sz="0" w:space="0" w:color="auto"/>
        <w:right w:val="none" w:sz="0" w:space="0" w:color="auto"/>
      </w:divBdr>
    </w:div>
    <w:div w:id="254873347">
      <w:bodyDiv w:val="1"/>
      <w:marLeft w:val="0"/>
      <w:marRight w:val="0"/>
      <w:marTop w:val="0"/>
      <w:marBottom w:val="0"/>
      <w:divBdr>
        <w:top w:val="none" w:sz="0" w:space="0" w:color="auto"/>
        <w:left w:val="none" w:sz="0" w:space="0" w:color="auto"/>
        <w:bottom w:val="none" w:sz="0" w:space="0" w:color="auto"/>
        <w:right w:val="none" w:sz="0" w:space="0" w:color="auto"/>
      </w:divBdr>
    </w:div>
    <w:div w:id="255484209">
      <w:bodyDiv w:val="1"/>
      <w:marLeft w:val="0"/>
      <w:marRight w:val="0"/>
      <w:marTop w:val="0"/>
      <w:marBottom w:val="0"/>
      <w:divBdr>
        <w:top w:val="none" w:sz="0" w:space="0" w:color="auto"/>
        <w:left w:val="none" w:sz="0" w:space="0" w:color="auto"/>
        <w:bottom w:val="none" w:sz="0" w:space="0" w:color="auto"/>
        <w:right w:val="none" w:sz="0" w:space="0" w:color="auto"/>
      </w:divBdr>
    </w:div>
    <w:div w:id="255597440">
      <w:bodyDiv w:val="1"/>
      <w:marLeft w:val="0"/>
      <w:marRight w:val="0"/>
      <w:marTop w:val="0"/>
      <w:marBottom w:val="0"/>
      <w:divBdr>
        <w:top w:val="none" w:sz="0" w:space="0" w:color="auto"/>
        <w:left w:val="none" w:sz="0" w:space="0" w:color="auto"/>
        <w:bottom w:val="none" w:sz="0" w:space="0" w:color="auto"/>
        <w:right w:val="none" w:sz="0" w:space="0" w:color="auto"/>
      </w:divBdr>
    </w:div>
    <w:div w:id="255599864">
      <w:bodyDiv w:val="1"/>
      <w:marLeft w:val="0"/>
      <w:marRight w:val="0"/>
      <w:marTop w:val="0"/>
      <w:marBottom w:val="0"/>
      <w:divBdr>
        <w:top w:val="none" w:sz="0" w:space="0" w:color="auto"/>
        <w:left w:val="none" w:sz="0" w:space="0" w:color="auto"/>
        <w:bottom w:val="none" w:sz="0" w:space="0" w:color="auto"/>
        <w:right w:val="none" w:sz="0" w:space="0" w:color="auto"/>
      </w:divBdr>
    </w:div>
    <w:div w:id="255987672">
      <w:bodyDiv w:val="1"/>
      <w:marLeft w:val="0"/>
      <w:marRight w:val="0"/>
      <w:marTop w:val="0"/>
      <w:marBottom w:val="0"/>
      <w:divBdr>
        <w:top w:val="none" w:sz="0" w:space="0" w:color="auto"/>
        <w:left w:val="none" w:sz="0" w:space="0" w:color="auto"/>
        <w:bottom w:val="none" w:sz="0" w:space="0" w:color="auto"/>
        <w:right w:val="none" w:sz="0" w:space="0" w:color="auto"/>
      </w:divBdr>
    </w:div>
    <w:div w:id="257251502">
      <w:bodyDiv w:val="1"/>
      <w:marLeft w:val="0"/>
      <w:marRight w:val="0"/>
      <w:marTop w:val="0"/>
      <w:marBottom w:val="0"/>
      <w:divBdr>
        <w:top w:val="none" w:sz="0" w:space="0" w:color="auto"/>
        <w:left w:val="none" w:sz="0" w:space="0" w:color="auto"/>
        <w:bottom w:val="none" w:sz="0" w:space="0" w:color="auto"/>
        <w:right w:val="none" w:sz="0" w:space="0" w:color="auto"/>
      </w:divBdr>
    </w:div>
    <w:div w:id="258611401">
      <w:bodyDiv w:val="1"/>
      <w:marLeft w:val="0"/>
      <w:marRight w:val="0"/>
      <w:marTop w:val="0"/>
      <w:marBottom w:val="0"/>
      <w:divBdr>
        <w:top w:val="none" w:sz="0" w:space="0" w:color="auto"/>
        <w:left w:val="none" w:sz="0" w:space="0" w:color="auto"/>
        <w:bottom w:val="none" w:sz="0" w:space="0" w:color="auto"/>
        <w:right w:val="none" w:sz="0" w:space="0" w:color="auto"/>
      </w:divBdr>
    </w:div>
    <w:div w:id="259875421">
      <w:bodyDiv w:val="1"/>
      <w:marLeft w:val="0"/>
      <w:marRight w:val="0"/>
      <w:marTop w:val="0"/>
      <w:marBottom w:val="0"/>
      <w:divBdr>
        <w:top w:val="none" w:sz="0" w:space="0" w:color="auto"/>
        <w:left w:val="none" w:sz="0" w:space="0" w:color="auto"/>
        <w:bottom w:val="none" w:sz="0" w:space="0" w:color="auto"/>
        <w:right w:val="none" w:sz="0" w:space="0" w:color="auto"/>
      </w:divBdr>
    </w:div>
    <w:div w:id="260139050">
      <w:bodyDiv w:val="1"/>
      <w:marLeft w:val="0"/>
      <w:marRight w:val="0"/>
      <w:marTop w:val="0"/>
      <w:marBottom w:val="0"/>
      <w:divBdr>
        <w:top w:val="none" w:sz="0" w:space="0" w:color="auto"/>
        <w:left w:val="none" w:sz="0" w:space="0" w:color="auto"/>
        <w:bottom w:val="none" w:sz="0" w:space="0" w:color="auto"/>
        <w:right w:val="none" w:sz="0" w:space="0" w:color="auto"/>
      </w:divBdr>
    </w:div>
    <w:div w:id="262303005">
      <w:bodyDiv w:val="1"/>
      <w:marLeft w:val="0"/>
      <w:marRight w:val="0"/>
      <w:marTop w:val="0"/>
      <w:marBottom w:val="0"/>
      <w:divBdr>
        <w:top w:val="none" w:sz="0" w:space="0" w:color="auto"/>
        <w:left w:val="none" w:sz="0" w:space="0" w:color="auto"/>
        <w:bottom w:val="none" w:sz="0" w:space="0" w:color="auto"/>
        <w:right w:val="none" w:sz="0" w:space="0" w:color="auto"/>
      </w:divBdr>
    </w:div>
    <w:div w:id="263420664">
      <w:bodyDiv w:val="1"/>
      <w:marLeft w:val="0"/>
      <w:marRight w:val="0"/>
      <w:marTop w:val="0"/>
      <w:marBottom w:val="0"/>
      <w:divBdr>
        <w:top w:val="none" w:sz="0" w:space="0" w:color="auto"/>
        <w:left w:val="none" w:sz="0" w:space="0" w:color="auto"/>
        <w:bottom w:val="none" w:sz="0" w:space="0" w:color="auto"/>
        <w:right w:val="none" w:sz="0" w:space="0" w:color="auto"/>
      </w:divBdr>
    </w:div>
    <w:div w:id="264504931">
      <w:bodyDiv w:val="1"/>
      <w:marLeft w:val="0"/>
      <w:marRight w:val="0"/>
      <w:marTop w:val="0"/>
      <w:marBottom w:val="0"/>
      <w:divBdr>
        <w:top w:val="none" w:sz="0" w:space="0" w:color="auto"/>
        <w:left w:val="none" w:sz="0" w:space="0" w:color="auto"/>
        <w:bottom w:val="none" w:sz="0" w:space="0" w:color="auto"/>
        <w:right w:val="none" w:sz="0" w:space="0" w:color="auto"/>
      </w:divBdr>
    </w:div>
    <w:div w:id="265618141">
      <w:bodyDiv w:val="1"/>
      <w:marLeft w:val="0"/>
      <w:marRight w:val="0"/>
      <w:marTop w:val="0"/>
      <w:marBottom w:val="0"/>
      <w:divBdr>
        <w:top w:val="none" w:sz="0" w:space="0" w:color="auto"/>
        <w:left w:val="none" w:sz="0" w:space="0" w:color="auto"/>
        <w:bottom w:val="none" w:sz="0" w:space="0" w:color="auto"/>
        <w:right w:val="none" w:sz="0" w:space="0" w:color="auto"/>
      </w:divBdr>
    </w:div>
    <w:div w:id="265694136">
      <w:bodyDiv w:val="1"/>
      <w:marLeft w:val="0"/>
      <w:marRight w:val="0"/>
      <w:marTop w:val="0"/>
      <w:marBottom w:val="0"/>
      <w:divBdr>
        <w:top w:val="none" w:sz="0" w:space="0" w:color="auto"/>
        <w:left w:val="none" w:sz="0" w:space="0" w:color="auto"/>
        <w:bottom w:val="none" w:sz="0" w:space="0" w:color="auto"/>
        <w:right w:val="none" w:sz="0" w:space="0" w:color="auto"/>
      </w:divBdr>
    </w:div>
    <w:div w:id="266036828">
      <w:bodyDiv w:val="1"/>
      <w:marLeft w:val="0"/>
      <w:marRight w:val="0"/>
      <w:marTop w:val="0"/>
      <w:marBottom w:val="0"/>
      <w:divBdr>
        <w:top w:val="none" w:sz="0" w:space="0" w:color="auto"/>
        <w:left w:val="none" w:sz="0" w:space="0" w:color="auto"/>
        <w:bottom w:val="none" w:sz="0" w:space="0" w:color="auto"/>
        <w:right w:val="none" w:sz="0" w:space="0" w:color="auto"/>
      </w:divBdr>
    </w:div>
    <w:div w:id="267085439">
      <w:bodyDiv w:val="1"/>
      <w:marLeft w:val="0"/>
      <w:marRight w:val="0"/>
      <w:marTop w:val="0"/>
      <w:marBottom w:val="0"/>
      <w:divBdr>
        <w:top w:val="none" w:sz="0" w:space="0" w:color="auto"/>
        <w:left w:val="none" w:sz="0" w:space="0" w:color="auto"/>
        <w:bottom w:val="none" w:sz="0" w:space="0" w:color="auto"/>
        <w:right w:val="none" w:sz="0" w:space="0" w:color="auto"/>
      </w:divBdr>
    </w:div>
    <w:div w:id="269628153">
      <w:bodyDiv w:val="1"/>
      <w:marLeft w:val="0"/>
      <w:marRight w:val="0"/>
      <w:marTop w:val="0"/>
      <w:marBottom w:val="0"/>
      <w:divBdr>
        <w:top w:val="none" w:sz="0" w:space="0" w:color="auto"/>
        <w:left w:val="none" w:sz="0" w:space="0" w:color="auto"/>
        <w:bottom w:val="none" w:sz="0" w:space="0" w:color="auto"/>
        <w:right w:val="none" w:sz="0" w:space="0" w:color="auto"/>
      </w:divBdr>
    </w:div>
    <w:div w:id="270358117">
      <w:bodyDiv w:val="1"/>
      <w:marLeft w:val="0"/>
      <w:marRight w:val="0"/>
      <w:marTop w:val="0"/>
      <w:marBottom w:val="0"/>
      <w:divBdr>
        <w:top w:val="none" w:sz="0" w:space="0" w:color="auto"/>
        <w:left w:val="none" w:sz="0" w:space="0" w:color="auto"/>
        <w:bottom w:val="none" w:sz="0" w:space="0" w:color="auto"/>
        <w:right w:val="none" w:sz="0" w:space="0" w:color="auto"/>
      </w:divBdr>
    </w:div>
    <w:div w:id="270553327">
      <w:bodyDiv w:val="1"/>
      <w:marLeft w:val="0"/>
      <w:marRight w:val="0"/>
      <w:marTop w:val="0"/>
      <w:marBottom w:val="0"/>
      <w:divBdr>
        <w:top w:val="none" w:sz="0" w:space="0" w:color="auto"/>
        <w:left w:val="none" w:sz="0" w:space="0" w:color="auto"/>
        <w:bottom w:val="none" w:sz="0" w:space="0" w:color="auto"/>
        <w:right w:val="none" w:sz="0" w:space="0" w:color="auto"/>
      </w:divBdr>
    </w:div>
    <w:div w:id="270674140">
      <w:bodyDiv w:val="1"/>
      <w:marLeft w:val="0"/>
      <w:marRight w:val="0"/>
      <w:marTop w:val="0"/>
      <w:marBottom w:val="0"/>
      <w:divBdr>
        <w:top w:val="none" w:sz="0" w:space="0" w:color="auto"/>
        <w:left w:val="none" w:sz="0" w:space="0" w:color="auto"/>
        <w:bottom w:val="none" w:sz="0" w:space="0" w:color="auto"/>
        <w:right w:val="none" w:sz="0" w:space="0" w:color="auto"/>
      </w:divBdr>
    </w:div>
    <w:div w:id="270750523">
      <w:bodyDiv w:val="1"/>
      <w:marLeft w:val="0"/>
      <w:marRight w:val="0"/>
      <w:marTop w:val="0"/>
      <w:marBottom w:val="0"/>
      <w:divBdr>
        <w:top w:val="none" w:sz="0" w:space="0" w:color="auto"/>
        <w:left w:val="none" w:sz="0" w:space="0" w:color="auto"/>
        <w:bottom w:val="none" w:sz="0" w:space="0" w:color="auto"/>
        <w:right w:val="none" w:sz="0" w:space="0" w:color="auto"/>
      </w:divBdr>
    </w:div>
    <w:div w:id="270819007">
      <w:bodyDiv w:val="1"/>
      <w:marLeft w:val="0"/>
      <w:marRight w:val="0"/>
      <w:marTop w:val="0"/>
      <w:marBottom w:val="0"/>
      <w:divBdr>
        <w:top w:val="none" w:sz="0" w:space="0" w:color="auto"/>
        <w:left w:val="none" w:sz="0" w:space="0" w:color="auto"/>
        <w:bottom w:val="none" w:sz="0" w:space="0" w:color="auto"/>
        <w:right w:val="none" w:sz="0" w:space="0" w:color="auto"/>
      </w:divBdr>
    </w:div>
    <w:div w:id="271517620">
      <w:bodyDiv w:val="1"/>
      <w:marLeft w:val="0"/>
      <w:marRight w:val="0"/>
      <w:marTop w:val="0"/>
      <w:marBottom w:val="0"/>
      <w:divBdr>
        <w:top w:val="none" w:sz="0" w:space="0" w:color="auto"/>
        <w:left w:val="none" w:sz="0" w:space="0" w:color="auto"/>
        <w:bottom w:val="none" w:sz="0" w:space="0" w:color="auto"/>
        <w:right w:val="none" w:sz="0" w:space="0" w:color="auto"/>
      </w:divBdr>
    </w:div>
    <w:div w:id="271744926">
      <w:bodyDiv w:val="1"/>
      <w:marLeft w:val="0"/>
      <w:marRight w:val="0"/>
      <w:marTop w:val="0"/>
      <w:marBottom w:val="0"/>
      <w:divBdr>
        <w:top w:val="none" w:sz="0" w:space="0" w:color="auto"/>
        <w:left w:val="none" w:sz="0" w:space="0" w:color="auto"/>
        <w:bottom w:val="none" w:sz="0" w:space="0" w:color="auto"/>
        <w:right w:val="none" w:sz="0" w:space="0" w:color="auto"/>
      </w:divBdr>
    </w:div>
    <w:div w:id="272907580">
      <w:bodyDiv w:val="1"/>
      <w:marLeft w:val="0"/>
      <w:marRight w:val="0"/>
      <w:marTop w:val="0"/>
      <w:marBottom w:val="0"/>
      <w:divBdr>
        <w:top w:val="none" w:sz="0" w:space="0" w:color="auto"/>
        <w:left w:val="none" w:sz="0" w:space="0" w:color="auto"/>
        <w:bottom w:val="none" w:sz="0" w:space="0" w:color="auto"/>
        <w:right w:val="none" w:sz="0" w:space="0" w:color="auto"/>
      </w:divBdr>
    </w:div>
    <w:div w:id="273948971">
      <w:bodyDiv w:val="1"/>
      <w:marLeft w:val="0"/>
      <w:marRight w:val="0"/>
      <w:marTop w:val="0"/>
      <w:marBottom w:val="0"/>
      <w:divBdr>
        <w:top w:val="none" w:sz="0" w:space="0" w:color="auto"/>
        <w:left w:val="none" w:sz="0" w:space="0" w:color="auto"/>
        <w:bottom w:val="none" w:sz="0" w:space="0" w:color="auto"/>
        <w:right w:val="none" w:sz="0" w:space="0" w:color="auto"/>
      </w:divBdr>
    </w:div>
    <w:div w:id="275218168">
      <w:bodyDiv w:val="1"/>
      <w:marLeft w:val="0"/>
      <w:marRight w:val="0"/>
      <w:marTop w:val="0"/>
      <w:marBottom w:val="0"/>
      <w:divBdr>
        <w:top w:val="none" w:sz="0" w:space="0" w:color="auto"/>
        <w:left w:val="none" w:sz="0" w:space="0" w:color="auto"/>
        <w:bottom w:val="none" w:sz="0" w:space="0" w:color="auto"/>
        <w:right w:val="none" w:sz="0" w:space="0" w:color="auto"/>
      </w:divBdr>
    </w:div>
    <w:div w:id="275674204">
      <w:bodyDiv w:val="1"/>
      <w:marLeft w:val="0"/>
      <w:marRight w:val="0"/>
      <w:marTop w:val="0"/>
      <w:marBottom w:val="0"/>
      <w:divBdr>
        <w:top w:val="none" w:sz="0" w:space="0" w:color="auto"/>
        <w:left w:val="none" w:sz="0" w:space="0" w:color="auto"/>
        <w:bottom w:val="none" w:sz="0" w:space="0" w:color="auto"/>
        <w:right w:val="none" w:sz="0" w:space="0" w:color="auto"/>
      </w:divBdr>
    </w:div>
    <w:div w:id="276525810">
      <w:bodyDiv w:val="1"/>
      <w:marLeft w:val="0"/>
      <w:marRight w:val="0"/>
      <w:marTop w:val="0"/>
      <w:marBottom w:val="0"/>
      <w:divBdr>
        <w:top w:val="none" w:sz="0" w:space="0" w:color="auto"/>
        <w:left w:val="none" w:sz="0" w:space="0" w:color="auto"/>
        <w:bottom w:val="none" w:sz="0" w:space="0" w:color="auto"/>
        <w:right w:val="none" w:sz="0" w:space="0" w:color="auto"/>
      </w:divBdr>
    </w:div>
    <w:div w:id="278724837">
      <w:bodyDiv w:val="1"/>
      <w:marLeft w:val="0"/>
      <w:marRight w:val="0"/>
      <w:marTop w:val="0"/>
      <w:marBottom w:val="0"/>
      <w:divBdr>
        <w:top w:val="none" w:sz="0" w:space="0" w:color="auto"/>
        <w:left w:val="none" w:sz="0" w:space="0" w:color="auto"/>
        <w:bottom w:val="none" w:sz="0" w:space="0" w:color="auto"/>
        <w:right w:val="none" w:sz="0" w:space="0" w:color="auto"/>
      </w:divBdr>
    </w:div>
    <w:div w:id="279608790">
      <w:bodyDiv w:val="1"/>
      <w:marLeft w:val="0"/>
      <w:marRight w:val="0"/>
      <w:marTop w:val="0"/>
      <w:marBottom w:val="0"/>
      <w:divBdr>
        <w:top w:val="none" w:sz="0" w:space="0" w:color="auto"/>
        <w:left w:val="none" w:sz="0" w:space="0" w:color="auto"/>
        <w:bottom w:val="none" w:sz="0" w:space="0" w:color="auto"/>
        <w:right w:val="none" w:sz="0" w:space="0" w:color="auto"/>
      </w:divBdr>
    </w:div>
    <w:div w:id="279730146">
      <w:bodyDiv w:val="1"/>
      <w:marLeft w:val="0"/>
      <w:marRight w:val="0"/>
      <w:marTop w:val="0"/>
      <w:marBottom w:val="0"/>
      <w:divBdr>
        <w:top w:val="none" w:sz="0" w:space="0" w:color="auto"/>
        <w:left w:val="none" w:sz="0" w:space="0" w:color="auto"/>
        <w:bottom w:val="none" w:sz="0" w:space="0" w:color="auto"/>
        <w:right w:val="none" w:sz="0" w:space="0" w:color="auto"/>
      </w:divBdr>
    </w:div>
    <w:div w:id="280109463">
      <w:bodyDiv w:val="1"/>
      <w:marLeft w:val="0"/>
      <w:marRight w:val="0"/>
      <w:marTop w:val="0"/>
      <w:marBottom w:val="0"/>
      <w:divBdr>
        <w:top w:val="none" w:sz="0" w:space="0" w:color="auto"/>
        <w:left w:val="none" w:sz="0" w:space="0" w:color="auto"/>
        <w:bottom w:val="none" w:sz="0" w:space="0" w:color="auto"/>
        <w:right w:val="none" w:sz="0" w:space="0" w:color="auto"/>
      </w:divBdr>
    </w:div>
    <w:div w:id="281305223">
      <w:bodyDiv w:val="1"/>
      <w:marLeft w:val="0"/>
      <w:marRight w:val="0"/>
      <w:marTop w:val="0"/>
      <w:marBottom w:val="0"/>
      <w:divBdr>
        <w:top w:val="none" w:sz="0" w:space="0" w:color="auto"/>
        <w:left w:val="none" w:sz="0" w:space="0" w:color="auto"/>
        <w:bottom w:val="none" w:sz="0" w:space="0" w:color="auto"/>
        <w:right w:val="none" w:sz="0" w:space="0" w:color="auto"/>
      </w:divBdr>
    </w:div>
    <w:div w:id="281695442">
      <w:bodyDiv w:val="1"/>
      <w:marLeft w:val="0"/>
      <w:marRight w:val="0"/>
      <w:marTop w:val="0"/>
      <w:marBottom w:val="0"/>
      <w:divBdr>
        <w:top w:val="none" w:sz="0" w:space="0" w:color="auto"/>
        <w:left w:val="none" w:sz="0" w:space="0" w:color="auto"/>
        <w:bottom w:val="none" w:sz="0" w:space="0" w:color="auto"/>
        <w:right w:val="none" w:sz="0" w:space="0" w:color="auto"/>
      </w:divBdr>
    </w:div>
    <w:div w:id="282539858">
      <w:bodyDiv w:val="1"/>
      <w:marLeft w:val="0"/>
      <w:marRight w:val="0"/>
      <w:marTop w:val="0"/>
      <w:marBottom w:val="0"/>
      <w:divBdr>
        <w:top w:val="none" w:sz="0" w:space="0" w:color="auto"/>
        <w:left w:val="none" w:sz="0" w:space="0" w:color="auto"/>
        <w:bottom w:val="none" w:sz="0" w:space="0" w:color="auto"/>
        <w:right w:val="none" w:sz="0" w:space="0" w:color="auto"/>
      </w:divBdr>
    </w:div>
    <w:div w:id="282883742">
      <w:bodyDiv w:val="1"/>
      <w:marLeft w:val="0"/>
      <w:marRight w:val="0"/>
      <w:marTop w:val="0"/>
      <w:marBottom w:val="0"/>
      <w:divBdr>
        <w:top w:val="none" w:sz="0" w:space="0" w:color="auto"/>
        <w:left w:val="none" w:sz="0" w:space="0" w:color="auto"/>
        <w:bottom w:val="none" w:sz="0" w:space="0" w:color="auto"/>
        <w:right w:val="none" w:sz="0" w:space="0" w:color="auto"/>
      </w:divBdr>
    </w:div>
    <w:div w:id="283344384">
      <w:bodyDiv w:val="1"/>
      <w:marLeft w:val="0"/>
      <w:marRight w:val="0"/>
      <w:marTop w:val="0"/>
      <w:marBottom w:val="0"/>
      <w:divBdr>
        <w:top w:val="none" w:sz="0" w:space="0" w:color="auto"/>
        <w:left w:val="none" w:sz="0" w:space="0" w:color="auto"/>
        <w:bottom w:val="none" w:sz="0" w:space="0" w:color="auto"/>
        <w:right w:val="none" w:sz="0" w:space="0" w:color="auto"/>
      </w:divBdr>
    </w:div>
    <w:div w:id="284241445">
      <w:bodyDiv w:val="1"/>
      <w:marLeft w:val="0"/>
      <w:marRight w:val="0"/>
      <w:marTop w:val="0"/>
      <w:marBottom w:val="0"/>
      <w:divBdr>
        <w:top w:val="none" w:sz="0" w:space="0" w:color="auto"/>
        <w:left w:val="none" w:sz="0" w:space="0" w:color="auto"/>
        <w:bottom w:val="none" w:sz="0" w:space="0" w:color="auto"/>
        <w:right w:val="none" w:sz="0" w:space="0" w:color="auto"/>
      </w:divBdr>
    </w:div>
    <w:div w:id="284581668">
      <w:bodyDiv w:val="1"/>
      <w:marLeft w:val="0"/>
      <w:marRight w:val="0"/>
      <w:marTop w:val="0"/>
      <w:marBottom w:val="0"/>
      <w:divBdr>
        <w:top w:val="none" w:sz="0" w:space="0" w:color="auto"/>
        <w:left w:val="none" w:sz="0" w:space="0" w:color="auto"/>
        <w:bottom w:val="none" w:sz="0" w:space="0" w:color="auto"/>
        <w:right w:val="none" w:sz="0" w:space="0" w:color="auto"/>
      </w:divBdr>
    </w:div>
    <w:div w:id="284966867">
      <w:bodyDiv w:val="1"/>
      <w:marLeft w:val="0"/>
      <w:marRight w:val="0"/>
      <w:marTop w:val="0"/>
      <w:marBottom w:val="0"/>
      <w:divBdr>
        <w:top w:val="none" w:sz="0" w:space="0" w:color="auto"/>
        <w:left w:val="none" w:sz="0" w:space="0" w:color="auto"/>
        <w:bottom w:val="none" w:sz="0" w:space="0" w:color="auto"/>
        <w:right w:val="none" w:sz="0" w:space="0" w:color="auto"/>
      </w:divBdr>
    </w:div>
    <w:div w:id="285043072">
      <w:bodyDiv w:val="1"/>
      <w:marLeft w:val="0"/>
      <w:marRight w:val="0"/>
      <w:marTop w:val="0"/>
      <w:marBottom w:val="0"/>
      <w:divBdr>
        <w:top w:val="none" w:sz="0" w:space="0" w:color="auto"/>
        <w:left w:val="none" w:sz="0" w:space="0" w:color="auto"/>
        <w:bottom w:val="none" w:sz="0" w:space="0" w:color="auto"/>
        <w:right w:val="none" w:sz="0" w:space="0" w:color="auto"/>
      </w:divBdr>
    </w:div>
    <w:div w:id="285699577">
      <w:bodyDiv w:val="1"/>
      <w:marLeft w:val="0"/>
      <w:marRight w:val="0"/>
      <w:marTop w:val="0"/>
      <w:marBottom w:val="0"/>
      <w:divBdr>
        <w:top w:val="none" w:sz="0" w:space="0" w:color="auto"/>
        <w:left w:val="none" w:sz="0" w:space="0" w:color="auto"/>
        <w:bottom w:val="none" w:sz="0" w:space="0" w:color="auto"/>
        <w:right w:val="none" w:sz="0" w:space="0" w:color="auto"/>
      </w:divBdr>
    </w:div>
    <w:div w:id="287054742">
      <w:bodyDiv w:val="1"/>
      <w:marLeft w:val="0"/>
      <w:marRight w:val="0"/>
      <w:marTop w:val="0"/>
      <w:marBottom w:val="0"/>
      <w:divBdr>
        <w:top w:val="none" w:sz="0" w:space="0" w:color="auto"/>
        <w:left w:val="none" w:sz="0" w:space="0" w:color="auto"/>
        <w:bottom w:val="none" w:sz="0" w:space="0" w:color="auto"/>
        <w:right w:val="none" w:sz="0" w:space="0" w:color="auto"/>
      </w:divBdr>
    </w:div>
    <w:div w:id="290670721">
      <w:bodyDiv w:val="1"/>
      <w:marLeft w:val="0"/>
      <w:marRight w:val="0"/>
      <w:marTop w:val="0"/>
      <w:marBottom w:val="0"/>
      <w:divBdr>
        <w:top w:val="none" w:sz="0" w:space="0" w:color="auto"/>
        <w:left w:val="none" w:sz="0" w:space="0" w:color="auto"/>
        <w:bottom w:val="none" w:sz="0" w:space="0" w:color="auto"/>
        <w:right w:val="none" w:sz="0" w:space="0" w:color="auto"/>
      </w:divBdr>
    </w:div>
    <w:div w:id="290863993">
      <w:bodyDiv w:val="1"/>
      <w:marLeft w:val="0"/>
      <w:marRight w:val="0"/>
      <w:marTop w:val="0"/>
      <w:marBottom w:val="0"/>
      <w:divBdr>
        <w:top w:val="none" w:sz="0" w:space="0" w:color="auto"/>
        <w:left w:val="none" w:sz="0" w:space="0" w:color="auto"/>
        <w:bottom w:val="none" w:sz="0" w:space="0" w:color="auto"/>
        <w:right w:val="none" w:sz="0" w:space="0" w:color="auto"/>
      </w:divBdr>
    </w:div>
    <w:div w:id="291133398">
      <w:bodyDiv w:val="1"/>
      <w:marLeft w:val="0"/>
      <w:marRight w:val="0"/>
      <w:marTop w:val="0"/>
      <w:marBottom w:val="0"/>
      <w:divBdr>
        <w:top w:val="none" w:sz="0" w:space="0" w:color="auto"/>
        <w:left w:val="none" w:sz="0" w:space="0" w:color="auto"/>
        <w:bottom w:val="none" w:sz="0" w:space="0" w:color="auto"/>
        <w:right w:val="none" w:sz="0" w:space="0" w:color="auto"/>
      </w:divBdr>
    </w:div>
    <w:div w:id="292060444">
      <w:bodyDiv w:val="1"/>
      <w:marLeft w:val="0"/>
      <w:marRight w:val="0"/>
      <w:marTop w:val="0"/>
      <w:marBottom w:val="0"/>
      <w:divBdr>
        <w:top w:val="none" w:sz="0" w:space="0" w:color="auto"/>
        <w:left w:val="none" w:sz="0" w:space="0" w:color="auto"/>
        <w:bottom w:val="none" w:sz="0" w:space="0" w:color="auto"/>
        <w:right w:val="none" w:sz="0" w:space="0" w:color="auto"/>
      </w:divBdr>
    </w:div>
    <w:div w:id="293483337">
      <w:bodyDiv w:val="1"/>
      <w:marLeft w:val="0"/>
      <w:marRight w:val="0"/>
      <w:marTop w:val="0"/>
      <w:marBottom w:val="0"/>
      <w:divBdr>
        <w:top w:val="none" w:sz="0" w:space="0" w:color="auto"/>
        <w:left w:val="none" w:sz="0" w:space="0" w:color="auto"/>
        <w:bottom w:val="none" w:sz="0" w:space="0" w:color="auto"/>
        <w:right w:val="none" w:sz="0" w:space="0" w:color="auto"/>
      </w:divBdr>
    </w:div>
    <w:div w:id="296037248">
      <w:bodyDiv w:val="1"/>
      <w:marLeft w:val="0"/>
      <w:marRight w:val="0"/>
      <w:marTop w:val="0"/>
      <w:marBottom w:val="0"/>
      <w:divBdr>
        <w:top w:val="none" w:sz="0" w:space="0" w:color="auto"/>
        <w:left w:val="none" w:sz="0" w:space="0" w:color="auto"/>
        <w:bottom w:val="none" w:sz="0" w:space="0" w:color="auto"/>
        <w:right w:val="none" w:sz="0" w:space="0" w:color="auto"/>
      </w:divBdr>
    </w:div>
    <w:div w:id="296302592">
      <w:bodyDiv w:val="1"/>
      <w:marLeft w:val="0"/>
      <w:marRight w:val="0"/>
      <w:marTop w:val="0"/>
      <w:marBottom w:val="0"/>
      <w:divBdr>
        <w:top w:val="none" w:sz="0" w:space="0" w:color="auto"/>
        <w:left w:val="none" w:sz="0" w:space="0" w:color="auto"/>
        <w:bottom w:val="none" w:sz="0" w:space="0" w:color="auto"/>
        <w:right w:val="none" w:sz="0" w:space="0" w:color="auto"/>
      </w:divBdr>
    </w:div>
    <w:div w:id="296645606">
      <w:bodyDiv w:val="1"/>
      <w:marLeft w:val="0"/>
      <w:marRight w:val="0"/>
      <w:marTop w:val="0"/>
      <w:marBottom w:val="0"/>
      <w:divBdr>
        <w:top w:val="none" w:sz="0" w:space="0" w:color="auto"/>
        <w:left w:val="none" w:sz="0" w:space="0" w:color="auto"/>
        <w:bottom w:val="none" w:sz="0" w:space="0" w:color="auto"/>
        <w:right w:val="none" w:sz="0" w:space="0" w:color="auto"/>
      </w:divBdr>
    </w:div>
    <w:div w:id="296910748">
      <w:bodyDiv w:val="1"/>
      <w:marLeft w:val="0"/>
      <w:marRight w:val="0"/>
      <w:marTop w:val="0"/>
      <w:marBottom w:val="0"/>
      <w:divBdr>
        <w:top w:val="none" w:sz="0" w:space="0" w:color="auto"/>
        <w:left w:val="none" w:sz="0" w:space="0" w:color="auto"/>
        <w:bottom w:val="none" w:sz="0" w:space="0" w:color="auto"/>
        <w:right w:val="none" w:sz="0" w:space="0" w:color="auto"/>
      </w:divBdr>
    </w:div>
    <w:div w:id="297222626">
      <w:bodyDiv w:val="1"/>
      <w:marLeft w:val="0"/>
      <w:marRight w:val="0"/>
      <w:marTop w:val="0"/>
      <w:marBottom w:val="0"/>
      <w:divBdr>
        <w:top w:val="none" w:sz="0" w:space="0" w:color="auto"/>
        <w:left w:val="none" w:sz="0" w:space="0" w:color="auto"/>
        <w:bottom w:val="none" w:sz="0" w:space="0" w:color="auto"/>
        <w:right w:val="none" w:sz="0" w:space="0" w:color="auto"/>
      </w:divBdr>
    </w:div>
    <w:div w:id="297565591">
      <w:bodyDiv w:val="1"/>
      <w:marLeft w:val="0"/>
      <w:marRight w:val="0"/>
      <w:marTop w:val="0"/>
      <w:marBottom w:val="0"/>
      <w:divBdr>
        <w:top w:val="none" w:sz="0" w:space="0" w:color="auto"/>
        <w:left w:val="none" w:sz="0" w:space="0" w:color="auto"/>
        <w:bottom w:val="none" w:sz="0" w:space="0" w:color="auto"/>
        <w:right w:val="none" w:sz="0" w:space="0" w:color="auto"/>
      </w:divBdr>
    </w:div>
    <w:div w:id="297607719">
      <w:bodyDiv w:val="1"/>
      <w:marLeft w:val="0"/>
      <w:marRight w:val="0"/>
      <w:marTop w:val="0"/>
      <w:marBottom w:val="0"/>
      <w:divBdr>
        <w:top w:val="none" w:sz="0" w:space="0" w:color="auto"/>
        <w:left w:val="none" w:sz="0" w:space="0" w:color="auto"/>
        <w:bottom w:val="none" w:sz="0" w:space="0" w:color="auto"/>
        <w:right w:val="none" w:sz="0" w:space="0" w:color="auto"/>
      </w:divBdr>
    </w:div>
    <w:div w:id="298535635">
      <w:bodyDiv w:val="1"/>
      <w:marLeft w:val="0"/>
      <w:marRight w:val="0"/>
      <w:marTop w:val="0"/>
      <w:marBottom w:val="0"/>
      <w:divBdr>
        <w:top w:val="none" w:sz="0" w:space="0" w:color="auto"/>
        <w:left w:val="none" w:sz="0" w:space="0" w:color="auto"/>
        <w:bottom w:val="none" w:sz="0" w:space="0" w:color="auto"/>
        <w:right w:val="none" w:sz="0" w:space="0" w:color="auto"/>
      </w:divBdr>
    </w:div>
    <w:div w:id="298537005">
      <w:bodyDiv w:val="1"/>
      <w:marLeft w:val="0"/>
      <w:marRight w:val="0"/>
      <w:marTop w:val="0"/>
      <w:marBottom w:val="0"/>
      <w:divBdr>
        <w:top w:val="none" w:sz="0" w:space="0" w:color="auto"/>
        <w:left w:val="none" w:sz="0" w:space="0" w:color="auto"/>
        <w:bottom w:val="none" w:sz="0" w:space="0" w:color="auto"/>
        <w:right w:val="none" w:sz="0" w:space="0" w:color="auto"/>
      </w:divBdr>
    </w:div>
    <w:div w:id="298725073">
      <w:bodyDiv w:val="1"/>
      <w:marLeft w:val="0"/>
      <w:marRight w:val="0"/>
      <w:marTop w:val="0"/>
      <w:marBottom w:val="0"/>
      <w:divBdr>
        <w:top w:val="none" w:sz="0" w:space="0" w:color="auto"/>
        <w:left w:val="none" w:sz="0" w:space="0" w:color="auto"/>
        <w:bottom w:val="none" w:sz="0" w:space="0" w:color="auto"/>
        <w:right w:val="none" w:sz="0" w:space="0" w:color="auto"/>
      </w:divBdr>
    </w:div>
    <w:div w:id="299500218">
      <w:bodyDiv w:val="1"/>
      <w:marLeft w:val="0"/>
      <w:marRight w:val="0"/>
      <w:marTop w:val="0"/>
      <w:marBottom w:val="0"/>
      <w:divBdr>
        <w:top w:val="none" w:sz="0" w:space="0" w:color="auto"/>
        <w:left w:val="none" w:sz="0" w:space="0" w:color="auto"/>
        <w:bottom w:val="none" w:sz="0" w:space="0" w:color="auto"/>
        <w:right w:val="none" w:sz="0" w:space="0" w:color="auto"/>
      </w:divBdr>
    </w:div>
    <w:div w:id="299648704">
      <w:bodyDiv w:val="1"/>
      <w:marLeft w:val="0"/>
      <w:marRight w:val="0"/>
      <w:marTop w:val="0"/>
      <w:marBottom w:val="0"/>
      <w:divBdr>
        <w:top w:val="none" w:sz="0" w:space="0" w:color="auto"/>
        <w:left w:val="none" w:sz="0" w:space="0" w:color="auto"/>
        <w:bottom w:val="none" w:sz="0" w:space="0" w:color="auto"/>
        <w:right w:val="none" w:sz="0" w:space="0" w:color="auto"/>
      </w:divBdr>
    </w:div>
    <w:div w:id="300379288">
      <w:bodyDiv w:val="1"/>
      <w:marLeft w:val="0"/>
      <w:marRight w:val="0"/>
      <w:marTop w:val="0"/>
      <w:marBottom w:val="0"/>
      <w:divBdr>
        <w:top w:val="none" w:sz="0" w:space="0" w:color="auto"/>
        <w:left w:val="none" w:sz="0" w:space="0" w:color="auto"/>
        <w:bottom w:val="none" w:sz="0" w:space="0" w:color="auto"/>
        <w:right w:val="none" w:sz="0" w:space="0" w:color="auto"/>
      </w:divBdr>
    </w:div>
    <w:div w:id="300964222">
      <w:bodyDiv w:val="1"/>
      <w:marLeft w:val="0"/>
      <w:marRight w:val="0"/>
      <w:marTop w:val="0"/>
      <w:marBottom w:val="0"/>
      <w:divBdr>
        <w:top w:val="none" w:sz="0" w:space="0" w:color="auto"/>
        <w:left w:val="none" w:sz="0" w:space="0" w:color="auto"/>
        <w:bottom w:val="none" w:sz="0" w:space="0" w:color="auto"/>
        <w:right w:val="none" w:sz="0" w:space="0" w:color="auto"/>
      </w:divBdr>
    </w:div>
    <w:div w:id="301270758">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
    <w:div w:id="303318483">
      <w:bodyDiv w:val="1"/>
      <w:marLeft w:val="0"/>
      <w:marRight w:val="0"/>
      <w:marTop w:val="0"/>
      <w:marBottom w:val="0"/>
      <w:divBdr>
        <w:top w:val="none" w:sz="0" w:space="0" w:color="auto"/>
        <w:left w:val="none" w:sz="0" w:space="0" w:color="auto"/>
        <w:bottom w:val="none" w:sz="0" w:space="0" w:color="auto"/>
        <w:right w:val="none" w:sz="0" w:space="0" w:color="auto"/>
      </w:divBdr>
    </w:div>
    <w:div w:id="303390187">
      <w:bodyDiv w:val="1"/>
      <w:marLeft w:val="0"/>
      <w:marRight w:val="0"/>
      <w:marTop w:val="0"/>
      <w:marBottom w:val="0"/>
      <w:divBdr>
        <w:top w:val="none" w:sz="0" w:space="0" w:color="auto"/>
        <w:left w:val="none" w:sz="0" w:space="0" w:color="auto"/>
        <w:bottom w:val="none" w:sz="0" w:space="0" w:color="auto"/>
        <w:right w:val="none" w:sz="0" w:space="0" w:color="auto"/>
      </w:divBdr>
    </w:div>
    <w:div w:id="304353406">
      <w:bodyDiv w:val="1"/>
      <w:marLeft w:val="0"/>
      <w:marRight w:val="0"/>
      <w:marTop w:val="0"/>
      <w:marBottom w:val="0"/>
      <w:divBdr>
        <w:top w:val="none" w:sz="0" w:space="0" w:color="auto"/>
        <w:left w:val="none" w:sz="0" w:space="0" w:color="auto"/>
        <w:bottom w:val="none" w:sz="0" w:space="0" w:color="auto"/>
        <w:right w:val="none" w:sz="0" w:space="0" w:color="auto"/>
      </w:divBdr>
    </w:div>
    <w:div w:id="305932537">
      <w:bodyDiv w:val="1"/>
      <w:marLeft w:val="0"/>
      <w:marRight w:val="0"/>
      <w:marTop w:val="0"/>
      <w:marBottom w:val="0"/>
      <w:divBdr>
        <w:top w:val="none" w:sz="0" w:space="0" w:color="auto"/>
        <w:left w:val="none" w:sz="0" w:space="0" w:color="auto"/>
        <w:bottom w:val="none" w:sz="0" w:space="0" w:color="auto"/>
        <w:right w:val="none" w:sz="0" w:space="0" w:color="auto"/>
      </w:divBdr>
    </w:div>
    <w:div w:id="306128029">
      <w:bodyDiv w:val="1"/>
      <w:marLeft w:val="0"/>
      <w:marRight w:val="0"/>
      <w:marTop w:val="0"/>
      <w:marBottom w:val="0"/>
      <w:divBdr>
        <w:top w:val="none" w:sz="0" w:space="0" w:color="auto"/>
        <w:left w:val="none" w:sz="0" w:space="0" w:color="auto"/>
        <w:bottom w:val="none" w:sz="0" w:space="0" w:color="auto"/>
        <w:right w:val="none" w:sz="0" w:space="0" w:color="auto"/>
      </w:divBdr>
    </w:div>
    <w:div w:id="306328409">
      <w:bodyDiv w:val="1"/>
      <w:marLeft w:val="0"/>
      <w:marRight w:val="0"/>
      <w:marTop w:val="0"/>
      <w:marBottom w:val="0"/>
      <w:divBdr>
        <w:top w:val="none" w:sz="0" w:space="0" w:color="auto"/>
        <w:left w:val="none" w:sz="0" w:space="0" w:color="auto"/>
        <w:bottom w:val="none" w:sz="0" w:space="0" w:color="auto"/>
        <w:right w:val="none" w:sz="0" w:space="0" w:color="auto"/>
      </w:divBdr>
    </w:div>
    <w:div w:id="306471087">
      <w:bodyDiv w:val="1"/>
      <w:marLeft w:val="0"/>
      <w:marRight w:val="0"/>
      <w:marTop w:val="0"/>
      <w:marBottom w:val="0"/>
      <w:divBdr>
        <w:top w:val="none" w:sz="0" w:space="0" w:color="auto"/>
        <w:left w:val="none" w:sz="0" w:space="0" w:color="auto"/>
        <w:bottom w:val="none" w:sz="0" w:space="0" w:color="auto"/>
        <w:right w:val="none" w:sz="0" w:space="0" w:color="auto"/>
      </w:divBdr>
    </w:div>
    <w:div w:id="306595411">
      <w:bodyDiv w:val="1"/>
      <w:marLeft w:val="0"/>
      <w:marRight w:val="0"/>
      <w:marTop w:val="0"/>
      <w:marBottom w:val="0"/>
      <w:divBdr>
        <w:top w:val="none" w:sz="0" w:space="0" w:color="auto"/>
        <w:left w:val="none" w:sz="0" w:space="0" w:color="auto"/>
        <w:bottom w:val="none" w:sz="0" w:space="0" w:color="auto"/>
        <w:right w:val="none" w:sz="0" w:space="0" w:color="auto"/>
      </w:divBdr>
    </w:div>
    <w:div w:id="307709007">
      <w:bodyDiv w:val="1"/>
      <w:marLeft w:val="0"/>
      <w:marRight w:val="0"/>
      <w:marTop w:val="0"/>
      <w:marBottom w:val="0"/>
      <w:divBdr>
        <w:top w:val="none" w:sz="0" w:space="0" w:color="auto"/>
        <w:left w:val="none" w:sz="0" w:space="0" w:color="auto"/>
        <w:bottom w:val="none" w:sz="0" w:space="0" w:color="auto"/>
        <w:right w:val="none" w:sz="0" w:space="0" w:color="auto"/>
      </w:divBdr>
    </w:div>
    <w:div w:id="309091482">
      <w:bodyDiv w:val="1"/>
      <w:marLeft w:val="0"/>
      <w:marRight w:val="0"/>
      <w:marTop w:val="0"/>
      <w:marBottom w:val="0"/>
      <w:divBdr>
        <w:top w:val="none" w:sz="0" w:space="0" w:color="auto"/>
        <w:left w:val="none" w:sz="0" w:space="0" w:color="auto"/>
        <w:bottom w:val="none" w:sz="0" w:space="0" w:color="auto"/>
        <w:right w:val="none" w:sz="0" w:space="0" w:color="auto"/>
      </w:divBdr>
    </w:div>
    <w:div w:id="309289435">
      <w:bodyDiv w:val="1"/>
      <w:marLeft w:val="0"/>
      <w:marRight w:val="0"/>
      <w:marTop w:val="0"/>
      <w:marBottom w:val="0"/>
      <w:divBdr>
        <w:top w:val="none" w:sz="0" w:space="0" w:color="auto"/>
        <w:left w:val="none" w:sz="0" w:space="0" w:color="auto"/>
        <w:bottom w:val="none" w:sz="0" w:space="0" w:color="auto"/>
        <w:right w:val="none" w:sz="0" w:space="0" w:color="auto"/>
      </w:divBdr>
    </w:div>
    <w:div w:id="309794062">
      <w:bodyDiv w:val="1"/>
      <w:marLeft w:val="0"/>
      <w:marRight w:val="0"/>
      <w:marTop w:val="0"/>
      <w:marBottom w:val="0"/>
      <w:divBdr>
        <w:top w:val="none" w:sz="0" w:space="0" w:color="auto"/>
        <w:left w:val="none" w:sz="0" w:space="0" w:color="auto"/>
        <w:bottom w:val="none" w:sz="0" w:space="0" w:color="auto"/>
        <w:right w:val="none" w:sz="0" w:space="0" w:color="auto"/>
      </w:divBdr>
    </w:div>
    <w:div w:id="310867263">
      <w:bodyDiv w:val="1"/>
      <w:marLeft w:val="0"/>
      <w:marRight w:val="0"/>
      <w:marTop w:val="0"/>
      <w:marBottom w:val="0"/>
      <w:divBdr>
        <w:top w:val="none" w:sz="0" w:space="0" w:color="auto"/>
        <w:left w:val="none" w:sz="0" w:space="0" w:color="auto"/>
        <w:bottom w:val="none" w:sz="0" w:space="0" w:color="auto"/>
        <w:right w:val="none" w:sz="0" w:space="0" w:color="auto"/>
      </w:divBdr>
    </w:div>
    <w:div w:id="310910274">
      <w:bodyDiv w:val="1"/>
      <w:marLeft w:val="0"/>
      <w:marRight w:val="0"/>
      <w:marTop w:val="0"/>
      <w:marBottom w:val="0"/>
      <w:divBdr>
        <w:top w:val="none" w:sz="0" w:space="0" w:color="auto"/>
        <w:left w:val="none" w:sz="0" w:space="0" w:color="auto"/>
        <w:bottom w:val="none" w:sz="0" w:space="0" w:color="auto"/>
        <w:right w:val="none" w:sz="0" w:space="0" w:color="auto"/>
      </w:divBdr>
    </w:div>
    <w:div w:id="312680314">
      <w:bodyDiv w:val="1"/>
      <w:marLeft w:val="0"/>
      <w:marRight w:val="0"/>
      <w:marTop w:val="0"/>
      <w:marBottom w:val="0"/>
      <w:divBdr>
        <w:top w:val="none" w:sz="0" w:space="0" w:color="auto"/>
        <w:left w:val="none" w:sz="0" w:space="0" w:color="auto"/>
        <w:bottom w:val="none" w:sz="0" w:space="0" w:color="auto"/>
        <w:right w:val="none" w:sz="0" w:space="0" w:color="auto"/>
      </w:divBdr>
    </w:div>
    <w:div w:id="312833968">
      <w:bodyDiv w:val="1"/>
      <w:marLeft w:val="0"/>
      <w:marRight w:val="0"/>
      <w:marTop w:val="0"/>
      <w:marBottom w:val="0"/>
      <w:divBdr>
        <w:top w:val="none" w:sz="0" w:space="0" w:color="auto"/>
        <w:left w:val="none" w:sz="0" w:space="0" w:color="auto"/>
        <w:bottom w:val="none" w:sz="0" w:space="0" w:color="auto"/>
        <w:right w:val="none" w:sz="0" w:space="0" w:color="auto"/>
      </w:divBdr>
    </w:div>
    <w:div w:id="312952243">
      <w:bodyDiv w:val="1"/>
      <w:marLeft w:val="0"/>
      <w:marRight w:val="0"/>
      <w:marTop w:val="0"/>
      <w:marBottom w:val="0"/>
      <w:divBdr>
        <w:top w:val="none" w:sz="0" w:space="0" w:color="auto"/>
        <w:left w:val="none" w:sz="0" w:space="0" w:color="auto"/>
        <w:bottom w:val="none" w:sz="0" w:space="0" w:color="auto"/>
        <w:right w:val="none" w:sz="0" w:space="0" w:color="auto"/>
      </w:divBdr>
    </w:div>
    <w:div w:id="313875227">
      <w:bodyDiv w:val="1"/>
      <w:marLeft w:val="0"/>
      <w:marRight w:val="0"/>
      <w:marTop w:val="0"/>
      <w:marBottom w:val="0"/>
      <w:divBdr>
        <w:top w:val="none" w:sz="0" w:space="0" w:color="auto"/>
        <w:left w:val="none" w:sz="0" w:space="0" w:color="auto"/>
        <w:bottom w:val="none" w:sz="0" w:space="0" w:color="auto"/>
        <w:right w:val="none" w:sz="0" w:space="0" w:color="auto"/>
      </w:divBdr>
    </w:div>
    <w:div w:id="314191061">
      <w:bodyDiv w:val="1"/>
      <w:marLeft w:val="0"/>
      <w:marRight w:val="0"/>
      <w:marTop w:val="0"/>
      <w:marBottom w:val="0"/>
      <w:divBdr>
        <w:top w:val="none" w:sz="0" w:space="0" w:color="auto"/>
        <w:left w:val="none" w:sz="0" w:space="0" w:color="auto"/>
        <w:bottom w:val="none" w:sz="0" w:space="0" w:color="auto"/>
        <w:right w:val="none" w:sz="0" w:space="0" w:color="auto"/>
      </w:divBdr>
    </w:div>
    <w:div w:id="314342121">
      <w:bodyDiv w:val="1"/>
      <w:marLeft w:val="0"/>
      <w:marRight w:val="0"/>
      <w:marTop w:val="0"/>
      <w:marBottom w:val="0"/>
      <w:divBdr>
        <w:top w:val="none" w:sz="0" w:space="0" w:color="auto"/>
        <w:left w:val="none" w:sz="0" w:space="0" w:color="auto"/>
        <w:bottom w:val="none" w:sz="0" w:space="0" w:color="auto"/>
        <w:right w:val="none" w:sz="0" w:space="0" w:color="auto"/>
      </w:divBdr>
    </w:div>
    <w:div w:id="314838503">
      <w:bodyDiv w:val="1"/>
      <w:marLeft w:val="0"/>
      <w:marRight w:val="0"/>
      <w:marTop w:val="0"/>
      <w:marBottom w:val="0"/>
      <w:divBdr>
        <w:top w:val="none" w:sz="0" w:space="0" w:color="auto"/>
        <w:left w:val="none" w:sz="0" w:space="0" w:color="auto"/>
        <w:bottom w:val="none" w:sz="0" w:space="0" w:color="auto"/>
        <w:right w:val="none" w:sz="0" w:space="0" w:color="auto"/>
      </w:divBdr>
    </w:div>
    <w:div w:id="315306136">
      <w:bodyDiv w:val="1"/>
      <w:marLeft w:val="0"/>
      <w:marRight w:val="0"/>
      <w:marTop w:val="0"/>
      <w:marBottom w:val="0"/>
      <w:divBdr>
        <w:top w:val="none" w:sz="0" w:space="0" w:color="auto"/>
        <w:left w:val="none" w:sz="0" w:space="0" w:color="auto"/>
        <w:bottom w:val="none" w:sz="0" w:space="0" w:color="auto"/>
        <w:right w:val="none" w:sz="0" w:space="0" w:color="auto"/>
      </w:divBdr>
    </w:div>
    <w:div w:id="315689667">
      <w:bodyDiv w:val="1"/>
      <w:marLeft w:val="0"/>
      <w:marRight w:val="0"/>
      <w:marTop w:val="0"/>
      <w:marBottom w:val="0"/>
      <w:divBdr>
        <w:top w:val="none" w:sz="0" w:space="0" w:color="auto"/>
        <w:left w:val="none" w:sz="0" w:space="0" w:color="auto"/>
        <w:bottom w:val="none" w:sz="0" w:space="0" w:color="auto"/>
        <w:right w:val="none" w:sz="0" w:space="0" w:color="auto"/>
      </w:divBdr>
    </w:div>
    <w:div w:id="315694506">
      <w:bodyDiv w:val="1"/>
      <w:marLeft w:val="0"/>
      <w:marRight w:val="0"/>
      <w:marTop w:val="0"/>
      <w:marBottom w:val="0"/>
      <w:divBdr>
        <w:top w:val="none" w:sz="0" w:space="0" w:color="auto"/>
        <w:left w:val="none" w:sz="0" w:space="0" w:color="auto"/>
        <w:bottom w:val="none" w:sz="0" w:space="0" w:color="auto"/>
        <w:right w:val="none" w:sz="0" w:space="0" w:color="auto"/>
      </w:divBdr>
    </w:div>
    <w:div w:id="316614901">
      <w:bodyDiv w:val="1"/>
      <w:marLeft w:val="0"/>
      <w:marRight w:val="0"/>
      <w:marTop w:val="0"/>
      <w:marBottom w:val="0"/>
      <w:divBdr>
        <w:top w:val="none" w:sz="0" w:space="0" w:color="auto"/>
        <w:left w:val="none" w:sz="0" w:space="0" w:color="auto"/>
        <w:bottom w:val="none" w:sz="0" w:space="0" w:color="auto"/>
        <w:right w:val="none" w:sz="0" w:space="0" w:color="auto"/>
      </w:divBdr>
    </w:div>
    <w:div w:id="316999802">
      <w:bodyDiv w:val="1"/>
      <w:marLeft w:val="0"/>
      <w:marRight w:val="0"/>
      <w:marTop w:val="0"/>
      <w:marBottom w:val="0"/>
      <w:divBdr>
        <w:top w:val="none" w:sz="0" w:space="0" w:color="auto"/>
        <w:left w:val="none" w:sz="0" w:space="0" w:color="auto"/>
        <w:bottom w:val="none" w:sz="0" w:space="0" w:color="auto"/>
        <w:right w:val="none" w:sz="0" w:space="0" w:color="auto"/>
      </w:divBdr>
    </w:div>
    <w:div w:id="317851148">
      <w:bodyDiv w:val="1"/>
      <w:marLeft w:val="0"/>
      <w:marRight w:val="0"/>
      <w:marTop w:val="0"/>
      <w:marBottom w:val="0"/>
      <w:divBdr>
        <w:top w:val="none" w:sz="0" w:space="0" w:color="auto"/>
        <w:left w:val="none" w:sz="0" w:space="0" w:color="auto"/>
        <w:bottom w:val="none" w:sz="0" w:space="0" w:color="auto"/>
        <w:right w:val="none" w:sz="0" w:space="0" w:color="auto"/>
      </w:divBdr>
    </w:div>
    <w:div w:id="318659946">
      <w:bodyDiv w:val="1"/>
      <w:marLeft w:val="0"/>
      <w:marRight w:val="0"/>
      <w:marTop w:val="0"/>
      <w:marBottom w:val="0"/>
      <w:divBdr>
        <w:top w:val="none" w:sz="0" w:space="0" w:color="auto"/>
        <w:left w:val="none" w:sz="0" w:space="0" w:color="auto"/>
        <w:bottom w:val="none" w:sz="0" w:space="0" w:color="auto"/>
        <w:right w:val="none" w:sz="0" w:space="0" w:color="auto"/>
      </w:divBdr>
    </w:div>
    <w:div w:id="319962163">
      <w:bodyDiv w:val="1"/>
      <w:marLeft w:val="0"/>
      <w:marRight w:val="0"/>
      <w:marTop w:val="0"/>
      <w:marBottom w:val="0"/>
      <w:divBdr>
        <w:top w:val="none" w:sz="0" w:space="0" w:color="auto"/>
        <w:left w:val="none" w:sz="0" w:space="0" w:color="auto"/>
        <w:bottom w:val="none" w:sz="0" w:space="0" w:color="auto"/>
        <w:right w:val="none" w:sz="0" w:space="0" w:color="auto"/>
      </w:divBdr>
    </w:div>
    <w:div w:id="321279778">
      <w:bodyDiv w:val="1"/>
      <w:marLeft w:val="0"/>
      <w:marRight w:val="0"/>
      <w:marTop w:val="0"/>
      <w:marBottom w:val="0"/>
      <w:divBdr>
        <w:top w:val="none" w:sz="0" w:space="0" w:color="auto"/>
        <w:left w:val="none" w:sz="0" w:space="0" w:color="auto"/>
        <w:bottom w:val="none" w:sz="0" w:space="0" w:color="auto"/>
        <w:right w:val="none" w:sz="0" w:space="0" w:color="auto"/>
      </w:divBdr>
    </w:div>
    <w:div w:id="321396848">
      <w:bodyDiv w:val="1"/>
      <w:marLeft w:val="0"/>
      <w:marRight w:val="0"/>
      <w:marTop w:val="0"/>
      <w:marBottom w:val="0"/>
      <w:divBdr>
        <w:top w:val="none" w:sz="0" w:space="0" w:color="auto"/>
        <w:left w:val="none" w:sz="0" w:space="0" w:color="auto"/>
        <w:bottom w:val="none" w:sz="0" w:space="0" w:color="auto"/>
        <w:right w:val="none" w:sz="0" w:space="0" w:color="auto"/>
      </w:divBdr>
    </w:div>
    <w:div w:id="321814168">
      <w:bodyDiv w:val="1"/>
      <w:marLeft w:val="0"/>
      <w:marRight w:val="0"/>
      <w:marTop w:val="0"/>
      <w:marBottom w:val="0"/>
      <w:divBdr>
        <w:top w:val="none" w:sz="0" w:space="0" w:color="auto"/>
        <w:left w:val="none" w:sz="0" w:space="0" w:color="auto"/>
        <w:bottom w:val="none" w:sz="0" w:space="0" w:color="auto"/>
        <w:right w:val="none" w:sz="0" w:space="0" w:color="auto"/>
      </w:divBdr>
    </w:div>
    <w:div w:id="322053011">
      <w:bodyDiv w:val="1"/>
      <w:marLeft w:val="0"/>
      <w:marRight w:val="0"/>
      <w:marTop w:val="0"/>
      <w:marBottom w:val="0"/>
      <w:divBdr>
        <w:top w:val="none" w:sz="0" w:space="0" w:color="auto"/>
        <w:left w:val="none" w:sz="0" w:space="0" w:color="auto"/>
        <w:bottom w:val="none" w:sz="0" w:space="0" w:color="auto"/>
        <w:right w:val="none" w:sz="0" w:space="0" w:color="auto"/>
      </w:divBdr>
    </w:div>
    <w:div w:id="322588671">
      <w:bodyDiv w:val="1"/>
      <w:marLeft w:val="0"/>
      <w:marRight w:val="0"/>
      <w:marTop w:val="0"/>
      <w:marBottom w:val="0"/>
      <w:divBdr>
        <w:top w:val="none" w:sz="0" w:space="0" w:color="auto"/>
        <w:left w:val="none" w:sz="0" w:space="0" w:color="auto"/>
        <w:bottom w:val="none" w:sz="0" w:space="0" w:color="auto"/>
        <w:right w:val="none" w:sz="0" w:space="0" w:color="auto"/>
      </w:divBdr>
    </w:div>
    <w:div w:id="322708087">
      <w:bodyDiv w:val="1"/>
      <w:marLeft w:val="0"/>
      <w:marRight w:val="0"/>
      <w:marTop w:val="0"/>
      <w:marBottom w:val="0"/>
      <w:divBdr>
        <w:top w:val="none" w:sz="0" w:space="0" w:color="auto"/>
        <w:left w:val="none" w:sz="0" w:space="0" w:color="auto"/>
        <w:bottom w:val="none" w:sz="0" w:space="0" w:color="auto"/>
        <w:right w:val="none" w:sz="0" w:space="0" w:color="auto"/>
      </w:divBdr>
    </w:div>
    <w:div w:id="323439707">
      <w:bodyDiv w:val="1"/>
      <w:marLeft w:val="0"/>
      <w:marRight w:val="0"/>
      <w:marTop w:val="0"/>
      <w:marBottom w:val="0"/>
      <w:divBdr>
        <w:top w:val="none" w:sz="0" w:space="0" w:color="auto"/>
        <w:left w:val="none" w:sz="0" w:space="0" w:color="auto"/>
        <w:bottom w:val="none" w:sz="0" w:space="0" w:color="auto"/>
        <w:right w:val="none" w:sz="0" w:space="0" w:color="auto"/>
      </w:divBdr>
    </w:div>
    <w:div w:id="323628586">
      <w:bodyDiv w:val="1"/>
      <w:marLeft w:val="0"/>
      <w:marRight w:val="0"/>
      <w:marTop w:val="0"/>
      <w:marBottom w:val="0"/>
      <w:divBdr>
        <w:top w:val="none" w:sz="0" w:space="0" w:color="auto"/>
        <w:left w:val="none" w:sz="0" w:space="0" w:color="auto"/>
        <w:bottom w:val="none" w:sz="0" w:space="0" w:color="auto"/>
        <w:right w:val="none" w:sz="0" w:space="0" w:color="auto"/>
      </w:divBdr>
    </w:div>
    <w:div w:id="323944600">
      <w:bodyDiv w:val="1"/>
      <w:marLeft w:val="0"/>
      <w:marRight w:val="0"/>
      <w:marTop w:val="0"/>
      <w:marBottom w:val="0"/>
      <w:divBdr>
        <w:top w:val="none" w:sz="0" w:space="0" w:color="auto"/>
        <w:left w:val="none" w:sz="0" w:space="0" w:color="auto"/>
        <w:bottom w:val="none" w:sz="0" w:space="0" w:color="auto"/>
        <w:right w:val="none" w:sz="0" w:space="0" w:color="auto"/>
      </w:divBdr>
    </w:div>
    <w:div w:id="324600317">
      <w:bodyDiv w:val="1"/>
      <w:marLeft w:val="0"/>
      <w:marRight w:val="0"/>
      <w:marTop w:val="0"/>
      <w:marBottom w:val="0"/>
      <w:divBdr>
        <w:top w:val="none" w:sz="0" w:space="0" w:color="auto"/>
        <w:left w:val="none" w:sz="0" w:space="0" w:color="auto"/>
        <w:bottom w:val="none" w:sz="0" w:space="0" w:color="auto"/>
        <w:right w:val="none" w:sz="0" w:space="0" w:color="auto"/>
      </w:divBdr>
    </w:div>
    <w:div w:id="324943863">
      <w:bodyDiv w:val="1"/>
      <w:marLeft w:val="0"/>
      <w:marRight w:val="0"/>
      <w:marTop w:val="0"/>
      <w:marBottom w:val="0"/>
      <w:divBdr>
        <w:top w:val="none" w:sz="0" w:space="0" w:color="auto"/>
        <w:left w:val="none" w:sz="0" w:space="0" w:color="auto"/>
        <w:bottom w:val="none" w:sz="0" w:space="0" w:color="auto"/>
        <w:right w:val="none" w:sz="0" w:space="0" w:color="auto"/>
      </w:divBdr>
    </w:div>
    <w:div w:id="325977286">
      <w:bodyDiv w:val="1"/>
      <w:marLeft w:val="0"/>
      <w:marRight w:val="0"/>
      <w:marTop w:val="0"/>
      <w:marBottom w:val="0"/>
      <w:divBdr>
        <w:top w:val="none" w:sz="0" w:space="0" w:color="auto"/>
        <w:left w:val="none" w:sz="0" w:space="0" w:color="auto"/>
        <w:bottom w:val="none" w:sz="0" w:space="0" w:color="auto"/>
        <w:right w:val="none" w:sz="0" w:space="0" w:color="auto"/>
      </w:divBdr>
    </w:div>
    <w:div w:id="326128076">
      <w:bodyDiv w:val="1"/>
      <w:marLeft w:val="0"/>
      <w:marRight w:val="0"/>
      <w:marTop w:val="0"/>
      <w:marBottom w:val="0"/>
      <w:divBdr>
        <w:top w:val="none" w:sz="0" w:space="0" w:color="auto"/>
        <w:left w:val="none" w:sz="0" w:space="0" w:color="auto"/>
        <w:bottom w:val="none" w:sz="0" w:space="0" w:color="auto"/>
        <w:right w:val="none" w:sz="0" w:space="0" w:color="auto"/>
      </w:divBdr>
    </w:div>
    <w:div w:id="326136773">
      <w:bodyDiv w:val="1"/>
      <w:marLeft w:val="0"/>
      <w:marRight w:val="0"/>
      <w:marTop w:val="0"/>
      <w:marBottom w:val="0"/>
      <w:divBdr>
        <w:top w:val="none" w:sz="0" w:space="0" w:color="auto"/>
        <w:left w:val="none" w:sz="0" w:space="0" w:color="auto"/>
        <w:bottom w:val="none" w:sz="0" w:space="0" w:color="auto"/>
        <w:right w:val="none" w:sz="0" w:space="0" w:color="auto"/>
      </w:divBdr>
    </w:div>
    <w:div w:id="326784711">
      <w:bodyDiv w:val="1"/>
      <w:marLeft w:val="0"/>
      <w:marRight w:val="0"/>
      <w:marTop w:val="0"/>
      <w:marBottom w:val="0"/>
      <w:divBdr>
        <w:top w:val="none" w:sz="0" w:space="0" w:color="auto"/>
        <w:left w:val="none" w:sz="0" w:space="0" w:color="auto"/>
        <w:bottom w:val="none" w:sz="0" w:space="0" w:color="auto"/>
        <w:right w:val="none" w:sz="0" w:space="0" w:color="auto"/>
      </w:divBdr>
    </w:div>
    <w:div w:id="327251731">
      <w:bodyDiv w:val="1"/>
      <w:marLeft w:val="0"/>
      <w:marRight w:val="0"/>
      <w:marTop w:val="0"/>
      <w:marBottom w:val="0"/>
      <w:divBdr>
        <w:top w:val="none" w:sz="0" w:space="0" w:color="auto"/>
        <w:left w:val="none" w:sz="0" w:space="0" w:color="auto"/>
        <w:bottom w:val="none" w:sz="0" w:space="0" w:color="auto"/>
        <w:right w:val="none" w:sz="0" w:space="0" w:color="auto"/>
      </w:divBdr>
    </w:div>
    <w:div w:id="327560552">
      <w:bodyDiv w:val="1"/>
      <w:marLeft w:val="0"/>
      <w:marRight w:val="0"/>
      <w:marTop w:val="0"/>
      <w:marBottom w:val="0"/>
      <w:divBdr>
        <w:top w:val="none" w:sz="0" w:space="0" w:color="auto"/>
        <w:left w:val="none" w:sz="0" w:space="0" w:color="auto"/>
        <w:bottom w:val="none" w:sz="0" w:space="0" w:color="auto"/>
        <w:right w:val="none" w:sz="0" w:space="0" w:color="auto"/>
      </w:divBdr>
    </w:div>
    <w:div w:id="327944018">
      <w:bodyDiv w:val="1"/>
      <w:marLeft w:val="0"/>
      <w:marRight w:val="0"/>
      <w:marTop w:val="0"/>
      <w:marBottom w:val="0"/>
      <w:divBdr>
        <w:top w:val="none" w:sz="0" w:space="0" w:color="auto"/>
        <w:left w:val="none" w:sz="0" w:space="0" w:color="auto"/>
        <w:bottom w:val="none" w:sz="0" w:space="0" w:color="auto"/>
        <w:right w:val="none" w:sz="0" w:space="0" w:color="auto"/>
      </w:divBdr>
    </w:div>
    <w:div w:id="328018304">
      <w:bodyDiv w:val="1"/>
      <w:marLeft w:val="0"/>
      <w:marRight w:val="0"/>
      <w:marTop w:val="0"/>
      <w:marBottom w:val="0"/>
      <w:divBdr>
        <w:top w:val="none" w:sz="0" w:space="0" w:color="auto"/>
        <w:left w:val="none" w:sz="0" w:space="0" w:color="auto"/>
        <w:bottom w:val="none" w:sz="0" w:space="0" w:color="auto"/>
        <w:right w:val="none" w:sz="0" w:space="0" w:color="auto"/>
      </w:divBdr>
    </w:div>
    <w:div w:id="328097194">
      <w:bodyDiv w:val="1"/>
      <w:marLeft w:val="0"/>
      <w:marRight w:val="0"/>
      <w:marTop w:val="0"/>
      <w:marBottom w:val="0"/>
      <w:divBdr>
        <w:top w:val="none" w:sz="0" w:space="0" w:color="auto"/>
        <w:left w:val="none" w:sz="0" w:space="0" w:color="auto"/>
        <w:bottom w:val="none" w:sz="0" w:space="0" w:color="auto"/>
        <w:right w:val="none" w:sz="0" w:space="0" w:color="auto"/>
      </w:divBdr>
    </w:div>
    <w:div w:id="329599262">
      <w:bodyDiv w:val="1"/>
      <w:marLeft w:val="0"/>
      <w:marRight w:val="0"/>
      <w:marTop w:val="0"/>
      <w:marBottom w:val="0"/>
      <w:divBdr>
        <w:top w:val="none" w:sz="0" w:space="0" w:color="auto"/>
        <w:left w:val="none" w:sz="0" w:space="0" w:color="auto"/>
        <w:bottom w:val="none" w:sz="0" w:space="0" w:color="auto"/>
        <w:right w:val="none" w:sz="0" w:space="0" w:color="auto"/>
      </w:divBdr>
    </w:div>
    <w:div w:id="329648421">
      <w:bodyDiv w:val="1"/>
      <w:marLeft w:val="0"/>
      <w:marRight w:val="0"/>
      <w:marTop w:val="0"/>
      <w:marBottom w:val="0"/>
      <w:divBdr>
        <w:top w:val="none" w:sz="0" w:space="0" w:color="auto"/>
        <w:left w:val="none" w:sz="0" w:space="0" w:color="auto"/>
        <w:bottom w:val="none" w:sz="0" w:space="0" w:color="auto"/>
        <w:right w:val="none" w:sz="0" w:space="0" w:color="auto"/>
      </w:divBdr>
    </w:div>
    <w:div w:id="330135561">
      <w:bodyDiv w:val="1"/>
      <w:marLeft w:val="0"/>
      <w:marRight w:val="0"/>
      <w:marTop w:val="0"/>
      <w:marBottom w:val="0"/>
      <w:divBdr>
        <w:top w:val="none" w:sz="0" w:space="0" w:color="auto"/>
        <w:left w:val="none" w:sz="0" w:space="0" w:color="auto"/>
        <w:bottom w:val="none" w:sz="0" w:space="0" w:color="auto"/>
        <w:right w:val="none" w:sz="0" w:space="0" w:color="auto"/>
      </w:divBdr>
    </w:div>
    <w:div w:id="331109978">
      <w:bodyDiv w:val="1"/>
      <w:marLeft w:val="0"/>
      <w:marRight w:val="0"/>
      <w:marTop w:val="0"/>
      <w:marBottom w:val="0"/>
      <w:divBdr>
        <w:top w:val="none" w:sz="0" w:space="0" w:color="auto"/>
        <w:left w:val="none" w:sz="0" w:space="0" w:color="auto"/>
        <w:bottom w:val="none" w:sz="0" w:space="0" w:color="auto"/>
        <w:right w:val="none" w:sz="0" w:space="0" w:color="auto"/>
      </w:divBdr>
    </w:div>
    <w:div w:id="332881505">
      <w:bodyDiv w:val="1"/>
      <w:marLeft w:val="0"/>
      <w:marRight w:val="0"/>
      <w:marTop w:val="0"/>
      <w:marBottom w:val="0"/>
      <w:divBdr>
        <w:top w:val="none" w:sz="0" w:space="0" w:color="auto"/>
        <w:left w:val="none" w:sz="0" w:space="0" w:color="auto"/>
        <w:bottom w:val="none" w:sz="0" w:space="0" w:color="auto"/>
        <w:right w:val="none" w:sz="0" w:space="0" w:color="auto"/>
      </w:divBdr>
    </w:div>
    <w:div w:id="333458744">
      <w:bodyDiv w:val="1"/>
      <w:marLeft w:val="0"/>
      <w:marRight w:val="0"/>
      <w:marTop w:val="0"/>
      <w:marBottom w:val="0"/>
      <w:divBdr>
        <w:top w:val="none" w:sz="0" w:space="0" w:color="auto"/>
        <w:left w:val="none" w:sz="0" w:space="0" w:color="auto"/>
        <w:bottom w:val="none" w:sz="0" w:space="0" w:color="auto"/>
        <w:right w:val="none" w:sz="0" w:space="0" w:color="auto"/>
      </w:divBdr>
    </w:div>
    <w:div w:id="333533697">
      <w:bodyDiv w:val="1"/>
      <w:marLeft w:val="0"/>
      <w:marRight w:val="0"/>
      <w:marTop w:val="0"/>
      <w:marBottom w:val="0"/>
      <w:divBdr>
        <w:top w:val="none" w:sz="0" w:space="0" w:color="auto"/>
        <w:left w:val="none" w:sz="0" w:space="0" w:color="auto"/>
        <w:bottom w:val="none" w:sz="0" w:space="0" w:color="auto"/>
        <w:right w:val="none" w:sz="0" w:space="0" w:color="auto"/>
      </w:divBdr>
    </w:div>
    <w:div w:id="333996493">
      <w:bodyDiv w:val="1"/>
      <w:marLeft w:val="0"/>
      <w:marRight w:val="0"/>
      <w:marTop w:val="0"/>
      <w:marBottom w:val="0"/>
      <w:divBdr>
        <w:top w:val="none" w:sz="0" w:space="0" w:color="auto"/>
        <w:left w:val="none" w:sz="0" w:space="0" w:color="auto"/>
        <w:bottom w:val="none" w:sz="0" w:space="0" w:color="auto"/>
        <w:right w:val="none" w:sz="0" w:space="0" w:color="auto"/>
      </w:divBdr>
    </w:div>
    <w:div w:id="334187753">
      <w:bodyDiv w:val="1"/>
      <w:marLeft w:val="0"/>
      <w:marRight w:val="0"/>
      <w:marTop w:val="0"/>
      <w:marBottom w:val="0"/>
      <w:divBdr>
        <w:top w:val="none" w:sz="0" w:space="0" w:color="auto"/>
        <w:left w:val="none" w:sz="0" w:space="0" w:color="auto"/>
        <w:bottom w:val="none" w:sz="0" w:space="0" w:color="auto"/>
        <w:right w:val="none" w:sz="0" w:space="0" w:color="auto"/>
      </w:divBdr>
    </w:div>
    <w:div w:id="334235944">
      <w:bodyDiv w:val="1"/>
      <w:marLeft w:val="0"/>
      <w:marRight w:val="0"/>
      <w:marTop w:val="0"/>
      <w:marBottom w:val="0"/>
      <w:divBdr>
        <w:top w:val="none" w:sz="0" w:space="0" w:color="auto"/>
        <w:left w:val="none" w:sz="0" w:space="0" w:color="auto"/>
        <w:bottom w:val="none" w:sz="0" w:space="0" w:color="auto"/>
        <w:right w:val="none" w:sz="0" w:space="0" w:color="auto"/>
      </w:divBdr>
    </w:div>
    <w:div w:id="334306990">
      <w:bodyDiv w:val="1"/>
      <w:marLeft w:val="0"/>
      <w:marRight w:val="0"/>
      <w:marTop w:val="0"/>
      <w:marBottom w:val="0"/>
      <w:divBdr>
        <w:top w:val="none" w:sz="0" w:space="0" w:color="auto"/>
        <w:left w:val="none" w:sz="0" w:space="0" w:color="auto"/>
        <w:bottom w:val="none" w:sz="0" w:space="0" w:color="auto"/>
        <w:right w:val="none" w:sz="0" w:space="0" w:color="auto"/>
      </w:divBdr>
    </w:div>
    <w:div w:id="334458166">
      <w:bodyDiv w:val="1"/>
      <w:marLeft w:val="0"/>
      <w:marRight w:val="0"/>
      <w:marTop w:val="0"/>
      <w:marBottom w:val="0"/>
      <w:divBdr>
        <w:top w:val="none" w:sz="0" w:space="0" w:color="auto"/>
        <w:left w:val="none" w:sz="0" w:space="0" w:color="auto"/>
        <w:bottom w:val="none" w:sz="0" w:space="0" w:color="auto"/>
        <w:right w:val="none" w:sz="0" w:space="0" w:color="auto"/>
      </w:divBdr>
    </w:div>
    <w:div w:id="334765308">
      <w:bodyDiv w:val="1"/>
      <w:marLeft w:val="0"/>
      <w:marRight w:val="0"/>
      <w:marTop w:val="0"/>
      <w:marBottom w:val="0"/>
      <w:divBdr>
        <w:top w:val="none" w:sz="0" w:space="0" w:color="auto"/>
        <w:left w:val="none" w:sz="0" w:space="0" w:color="auto"/>
        <w:bottom w:val="none" w:sz="0" w:space="0" w:color="auto"/>
        <w:right w:val="none" w:sz="0" w:space="0" w:color="auto"/>
      </w:divBdr>
    </w:div>
    <w:div w:id="334768161">
      <w:bodyDiv w:val="1"/>
      <w:marLeft w:val="0"/>
      <w:marRight w:val="0"/>
      <w:marTop w:val="0"/>
      <w:marBottom w:val="0"/>
      <w:divBdr>
        <w:top w:val="none" w:sz="0" w:space="0" w:color="auto"/>
        <w:left w:val="none" w:sz="0" w:space="0" w:color="auto"/>
        <w:bottom w:val="none" w:sz="0" w:space="0" w:color="auto"/>
        <w:right w:val="none" w:sz="0" w:space="0" w:color="auto"/>
      </w:divBdr>
    </w:div>
    <w:div w:id="336348931">
      <w:bodyDiv w:val="1"/>
      <w:marLeft w:val="0"/>
      <w:marRight w:val="0"/>
      <w:marTop w:val="0"/>
      <w:marBottom w:val="0"/>
      <w:divBdr>
        <w:top w:val="none" w:sz="0" w:space="0" w:color="auto"/>
        <w:left w:val="none" w:sz="0" w:space="0" w:color="auto"/>
        <w:bottom w:val="none" w:sz="0" w:space="0" w:color="auto"/>
        <w:right w:val="none" w:sz="0" w:space="0" w:color="auto"/>
      </w:divBdr>
    </w:div>
    <w:div w:id="337005387">
      <w:bodyDiv w:val="1"/>
      <w:marLeft w:val="0"/>
      <w:marRight w:val="0"/>
      <w:marTop w:val="0"/>
      <w:marBottom w:val="0"/>
      <w:divBdr>
        <w:top w:val="none" w:sz="0" w:space="0" w:color="auto"/>
        <w:left w:val="none" w:sz="0" w:space="0" w:color="auto"/>
        <w:bottom w:val="none" w:sz="0" w:space="0" w:color="auto"/>
        <w:right w:val="none" w:sz="0" w:space="0" w:color="auto"/>
      </w:divBdr>
    </w:div>
    <w:div w:id="337386497">
      <w:bodyDiv w:val="1"/>
      <w:marLeft w:val="0"/>
      <w:marRight w:val="0"/>
      <w:marTop w:val="0"/>
      <w:marBottom w:val="0"/>
      <w:divBdr>
        <w:top w:val="none" w:sz="0" w:space="0" w:color="auto"/>
        <w:left w:val="none" w:sz="0" w:space="0" w:color="auto"/>
        <w:bottom w:val="none" w:sz="0" w:space="0" w:color="auto"/>
        <w:right w:val="none" w:sz="0" w:space="0" w:color="auto"/>
      </w:divBdr>
    </w:div>
    <w:div w:id="338626601">
      <w:bodyDiv w:val="1"/>
      <w:marLeft w:val="0"/>
      <w:marRight w:val="0"/>
      <w:marTop w:val="0"/>
      <w:marBottom w:val="0"/>
      <w:divBdr>
        <w:top w:val="none" w:sz="0" w:space="0" w:color="auto"/>
        <w:left w:val="none" w:sz="0" w:space="0" w:color="auto"/>
        <w:bottom w:val="none" w:sz="0" w:space="0" w:color="auto"/>
        <w:right w:val="none" w:sz="0" w:space="0" w:color="auto"/>
      </w:divBdr>
    </w:div>
    <w:div w:id="338655146">
      <w:bodyDiv w:val="1"/>
      <w:marLeft w:val="0"/>
      <w:marRight w:val="0"/>
      <w:marTop w:val="0"/>
      <w:marBottom w:val="0"/>
      <w:divBdr>
        <w:top w:val="none" w:sz="0" w:space="0" w:color="auto"/>
        <w:left w:val="none" w:sz="0" w:space="0" w:color="auto"/>
        <w:bottom w:val="none" w:sz="0" w:space="0" w:color="auto"/>
        <w:right w:val="none" w:sz="0" w:space="0" w:color="auto"/>
      </w:divBdr>
    </w:div>
    <w:div w:id="340085540">
      <w:bodyDiv w:val="1"/>
      <w:marLeft w:val="0"/>
      <w:marRight w:val="0"/>
      <w:marTop w:val="0"/>
      <w:marBottom w:val="0"/>
      <w:divBdr>
        <w:top w:val="none" w:sz="0" w:space="0" w:color="auto"/>
        <w:left w:val="none" w:sz="0" w:space="0" w:color="auto"/>
        <w:bottom w:val="none" w:sz="0" w:space="0" w:color="auto"/>
        <w:right w:val="none" w:sz="0" w:space="0" w:color="auto"/>
      </w:divBdr>
    </w:div>
    <w:div w:id="341057478">
      <w:bodyDiv w:val="1"/>
      <w:marLeft w:val="0"/>
      <w:marRight w:val="0"/>
      <w:marTop w:val="0"/>
      <w:marBottom w:val="0"/>
      <w:divBdr>
        <w:top w:val="none" w:sz="0" w:space="0" w:color="auto"/>
        <w:left w:val="none" w:sz="0" w:space="0" w:color="auto"/>
        <w:bottom w:val="none" w:sz="0" w:space="0" w:color="auto"/>
        <w:right w:val="none" w:sz="0" w:space="0" w:color="auto"/>
      </w:divBdr>
    </w:div>
    <w:div w:id="341127870">
      <w:bodyDiv w:val="1"/>
      <w:marLeft w:val="0"/>
      <w:marRight w:val="0"/>
      <w:marTop w:val="0"/>
      <w:marBottom w:val="0"/>
      <w:divBdr>
        <w:top w:val="none" w:sz="0" w:space="0" w:color="auto"/>
        <w:left w:val="none" w:sz="0" w:space="0" w:color="auto"/>
        <w:bottom w:val="none" w:sz="0" w:space="0" w:color="auto"/>
        <w:right w:val="none" w:sz="0" w:space="0" w:color="auto"/>
      </w:divBdr>
    </w:div>
    <w:div w:id="341666129">
      <w:bodyDiv w:val="1"/>
      <w:marLeft w:val="0"/>
      <w:marRight w:val="0"/>
      <w:marTop w:val="0"/>
      <w:marBottom w:val="0"/>
      <w:divBdr>
        <w:top w:val="none" w:sz="0" w:space="0" w:color="auto"/>
        <w:left w:val="none" w:sz="0" w:space="0" w:color="auto"/>
        <w:bottom w:val="none" w:sz="0" w:space="0" w:color="auto"/>
        <w:right w:val="none" w:sz="0" w:space="0" w:color="auto"/>
      </w:divBdr>
    </w:div>
    <w:div w:id="341934038">
      <w:bodyDiv w:val="1"/>
      <w:marLeft w:val="0"/>
      <w:marRight w:val="0"/>
      <w:marTop w:val="0"/>
      <w:marBottom w:val="0"/>
      <w:divBdr>
        <w:top w:val="none" w:sz="0" w:space="0" w:color="auto"/>
        <w:left w:val="none" w:sz="0" w:space="0" w:color="auto"/>
        <w:bottom w:val="none" w:sz="0" w:space="0" w:color="auto"/>
        <w:right w:val="none" w:sz="0" w:space="0" w:color="auto"/>
      </w:divBdr>
    </w:div>
    <w:div w:id="342049732">
      <w:bodyDiv w:val="1"/>
      <w:marLeft w:val="0"/>
      <w:marRight w:val="0"/>
      <w:marTop w:val="0"/>
      <w:marBottom w:val="0"/>
      <w:divBdr>
        <w:top w:val="none" w:sz="0" w:space="0" w:color="auto"/>
        <w:left w:val="none" w:sz="0" w:space="0" w:color="auto"/>
        <w:bottom w:val="none" w:sz="0" w:space="0" w:color="auto"/>
        <w:right w:val="none" w:sz="0" w:space="0" w:color="auto"/>
      </w:divBdr>
    </w:div>
    <w:div w:id="343823037">
      <w:bodyDiv w:val="1"/>
      <w:marLeft w:val="0"/>
      <w:marRight w:val="0"/>
      <w:marTop w:val="0"/>
      <w:marBottom w:val="0"/>
      <w:divBdr>
        <w:top w:val="none" w:sz="0" w:space="0" w:color="auto"/>
        <w:left w:val="none" w:sz="0" w:space="0" w:color="auto"/>
        <w:bottom w:val="none" w:sz="0" w:space="0" w:color="auto"/>
        <w:right w:val="none" w:sz="0" w:space="0" w:color="auto"/>
      </w:divBdr>
    </w:div>
    <w:div w:id="344089109">
      <w:bodyDiv w:val="1"/>
      <w:marLeft w:val="0"/>
      <w:marRight w:val="0"/>
      <w:marTop w:val="0"/>
      <w:marBottom w:val="0"/>
      <w:divBdr>
        <w:top w:val="none" w:sz="0" w:space="0" w:color="auto"/>
        <w:left w:val="none" w:sz="0" w:space="0" w:color="auto"/>
        <w:bottom w:val="none" w:sz="0" w:space="0" w:color="auto"/>
        <w:right w:val="none" w:sz="0" w:space="0" w:color="auto"/>
      </w:divBdr>
    </w:div>
    <w:div w:id="344601062">
      <w:bodyDiv w:val="1"/>
      <w:marLeft w:val="0"/>
      <w:marRight w:val="0"/>
      <w:marTop w:val="0"/>
      <w:marBottom w:val="0"/>
      <w:divBdr>
        <w:top w:val="none" w:sz="0" w:space="0" w:color="auto"/>
        <w:left w:val="none" w:sz="0" w:space="0" w:color="auto"/>
        <w:bottom w:val="none" w:sz="0" w:space="0" w:color="auto"/>
        <w:right w:val="none" w:sz="0" w:space="0" w:color="auto"/>
      </w:divBdr>
    </w:div>
    <w:div w:id="344751895">
      <w:bodyDiv w:val="1"/>
      <w:marLeft w:val="0"/>
      <w:marRight w:val="0"/>
      <w:marTop w:val="0"/>
      <w:marBottom w:val="0"/>
      <w:divBdr>
        <w:top w:val="none" w:sz="0" w:space="0" w:color="auto"/>
        <w:left w:val="none" w:sz="0" w:space="0" w:color="auto"/>
        <w:bottom w:val="none" w:sz="0" w:space="0" w:color="auto"/>
        <w:right w:val="none" w:sz="0" w:space="0" w:color="auto"/>
      </w:divBdr>
    </w:div>
    <w:div w:id="345862963">
      <w:bodyDiv w:val="1"/>
      <w:marLeft w:val="0"/>
      <w:marRight w:val="0"/>
      <w:marTop w:val="0"/>
      <w:marBottom w:val="0"/>
      <w:divBdr>
        <w:top w:val="none" w:sz="0" w:space="0" w:color="auto"/>
        <w:left w:val="none" w:sz="0" w:space="0" w:color="auto"/>
        <w:bottom w:val="none" w:sz="0" w:space="0" w:color="auto"/>
        <w:right w:val="none" w:sz="0" w:space="0" w:color="auto"/>
      </w:divBdr>
    </w:div>
    <w:div w:id="347490497">
      <w:bodyDiv w:val="1"/>
      <w:marLeft w:val="0"/>
      <w:marRight w:val="0"/>
      <w:marTop w:val="0"/>
      <w:marBottom w:val="0"/>
      <w:divBdr>
        <w:top w:val="none" w:sz="0" w:space="0" w:color="auto"/>
        <w:left w:val="none" w:sz="0" w:space="0" w:color="auto"/>
        <w:bottom w:val="none" w:sz="0" w:space="0" w:color="auto"/>
        <w:right w:val="none" w:sz="0" w:space="0" w:color="auto"/>
      </w:divBdr>
    </w:div>
    <w:div w:id="347757244">
      <w:bodyDiv w:val="1"/>
      <w:marLeft w:val="0"/>
      <w:marRight w:val="0"/>
      <w:marTop w:val="0"/>
      <w:marBottom w:val="0"/>
      <w:divBdr>
        <w:top w:val="none" w:sz="0" w:space="0" w:color="auto"/>
        <w:left w:val="none" w:sz="0" w:space="0" w:color="auto"/>
        <w:bottom w:val="none" w:sz="0" w:space="0" w:color="auto"/>
        <w:right w:val="none" w:sz="0" w:space="0" w:color="auto"/>
      </w:divBdr>
    </w:div>
    <w:div w:id="348289629">
      <w:bodyDiv w:val="1"/>
      <w:marLeft w:val="0"/>
      <w:marRight w:val="0"/>
      <w:marTop w:val="0"/>
      <w:marBottom w:val="0"/>
      <w:divBdr>
        <w:top w:val="none" w:sz="0" w:space="0" w:color="auto"/>
        <w:left w:val="none" w:sz="0" w:space="0" w:color="auto"/>
        <w:bottom w:val="none" w:sz="0" w:space="0" w:color="auto"/>
        <w:right w:val="none" w:sz="0" w:space="0" w:color="auto"/>
      </w:divBdr>
    </w:div>
    <w:div w:id="349263721">
      <w:bodyDiv w:val="1"/>
      <w:marLeft w:val="0"/>
      <w:marRight w:val="0"/>
      <w:marTop w:val="0"/>
      <w:marBottom w:val="0"/>
      <w:divBdr>
        <w:top w:val="none" w:sz="0" w:space="0" w:color="auto"/>
        <w:left w:val="none" w:sz="0" w:space="0" w:color="auto"/>
        <w:bottom w:val="none" w:sz="0" w:space="0" w:color="auto"/>
        <w:right w:val="none" w:sz="0" w:space="0" w:color="auto"/>
      </w:divBdr>
    </w:div>
    <w:div w:id="350182398">
      <w:bodyDiv w:val="1"/>
      <w:marLeft w:val="0"/>
      <w:marRight w:val="0"/>
      <w:marTop w:val="0"/>
      <w:marBottom w:val="0"/>
      <w:divBdr>
        <w:top w:val="none" w:sz="0" w:space="0" w:color="auto"/>
        <w:left w:val="none" w:sz="0" w:space="0" w:color="auto"/>
        <w:bottom w:val="none" w:sz="0" w:space="0" w:color="auto"/>
        <w:right w:val="none" w:sz="0" w:space="0" w:color="auto"/>
      </w:divBdr>
    </w:div>
    <w:div w:id="350227759">
      <w:bodyDiv w:val="1"/>
      <w:marLeft w:val="0"/>
      <w:marRight w:val="0"/>
      <w:marTop w:val="0"/>
      <w:marBottom w:val="0"/>
      <w:divBdr>
        <w:top w:val="none" w:sz="0" w:space="0" w:color="auto"/>
        <w:left w:val="none" w:sz="0" w:space="0" w:color="auto"/>
        <w:bottom w:val="none" w:sz="0" w:space="0" w:color="auto"/>
        <w:right w:val="none" w:sz="0" w:space="0" w:color="auto"/>
      </w:divBdr>
    </w:div>
    <w:div w:id="351611000">
      <w:bodyDiv w:val="1"/>
      <w:marLeft w:val="0"/>
      <w:marRight w:val="0"/>
      <w:marTop w:val="0"/>
      <w:marBottom w:val="0"/>
      <w:divBdr>
        <w:top w:val="none" w:sz="0" w:space="0" w:color="auto"/>
        <w:left w:val="none" w:sz="0" w:space="0" w:color="auto"/>
        <w:bottom w:val="none" w:sz="0" w:space="0" w:color="auto"/>
        <w:right w:val="none" w:sz="0" w:space="0" w:color="auto"/>
      </w:divBdr>
    </w:div>
    <w:div w:id="352193812">
      <w:bodyDiv w:val="1"/>
      <w:marLeft w:val="0"/>
      <w:marRight w:val="0"/>
      <w:marTop w:val="0"/>
      <w:marBottom w:val="0"/>
      <w:divBdr>
        <w:top w:val="none" w:sz="0" w:space="0" w:color="auto"/>
        <w:left w:val="none" w:sz="0" w:space="0" w:color="auto"/>
        <w:bottom w:val="none" w:sz="0" w:space="0" w:color="auto"/>
        <w:right w:val="none" w:sz="0" w:space="0" w:color="auto"/>
      </w:divBdr>
    </w:div>
    <w:div w:id="352922076">
      <w:bodyDiv w:val="1"/>
      <w:marLeft w:val="0"/>
      <w:marRight w:val="0"/>
      <w:marTop w:val="0"/>
      <w:marBottom w:val="0"/>
      <w:divBdr>
        <w:top w:val="none" w:sz="0" w:space="0" w:color="auto"/>
        <w:left w:val="none" w:sz="0" w:space="0" w:color="auto"/>
        <w:bottom w:val="none" w:sz="0" w:space="0" w:color="auto"/>
        <w:right w:val="none" w:sz="0" w:space="0" w:color="auto"/>
      </w:divBdr>
    </w:div>
    <w:div w:id="352926875">
      <w:bodyDiv w:val="1"/>
      <w:marLeft w:val="0"/>
      <w:marRight w:val="0"/>
      <w:marTop w:val="0"/>
      <w:marBottom w:val="0"/>
      <w:divBdr>
        <w:top w:val="none" w:sz="0" w:space="0" w:color="auto"/>
        <w:left w:val="none" w:sz="0" w:space="0" w:color="auto"/>
        <w:bottom w:val="none" w:sz="0" w:space="0" w:color="auto"/>
        <w:right w:val="none" w:sz="0" w:space="0" w:color="auto"/>
      </w:divBdr>
    </w:div>
    <w:div w:id="353846942">
      <w:bodyDiv w:val="1"/>
      <w:marLeft w:val="0"/>
      <w:marRight w:val="0"/>
      <w:marTop w:val="0"/>
      <w:marBottom w:val="0"/>
      <w:divBdr>
        <w:top w:val="none" w:sz="0" w:space="0" w:color="auto"/>
        <w:left w:val="none" w:sz="0" w:space="0" w:color="auto"/>
        <w:bottom w:val="none" w:sz="0" w:space="0" w:color="auto"/>
        <w:right w:val="none" w:sz="0" w:space="0" w:color="auto"/>
      </w:divBdr>
    </w:div>
    <w:div w:id="354308396">
      <w:bodyDiv w:val="1"/>
      <w:marLeft w:val="0"/>
      <w:marRight w:val="0"/>
      <w:marTop w:val="0"/>
      <w:marBottom w:val="0"/>
      <w:divBdr>
        <w:top w:val="none" w:sz="0" w:space="0" w:color="auto"/>
        <w:left w:val="none" w:sz="0" w:space="0" w:color="auto"/>
        <w:bottom w:val="none" w:sz="0" w:space="0" w:color="auto"/>
        <w:right w:val="none" w:sz="0" w:space="0" w:color="auto"/>
      </w:divBdr>
    </w:div>
    <w:div w:id="354381871">
      <w:bodyDiv w:val="1"/>
      <w:marLeft w:val="0"/>
      <w:marRight w:val="0"/>
      <w:marTop w:val="0"/>
      <w:marBottom w:val="0"/>
      <w:divBdr>
        <w:top w:val="none" w:sz="0" w:space="0" w:color="auto"/>
        <w:left w:val="none" w:sz="0" w:space="0" w:color="auto"/>
        <w:bottom w:val="none" w:sz="0" w:space="0" w:color="auto"/>
        <w:right w:val="none" w:sz="0" w:space="0" w:color="auto"/>
      </w:divBdr>
    </w:div>
    <w:div w:id="355276331">
      <w:bodyDiv w:val="1"/>
      <w:marLeft w:val="0"/>
      <w:marRight w:val="0"/>
      <w:marTop w:val="0"/>
      <w:marBottom w:val="0"/>
      <w:divBdr>
        <w:top w:val="none" w:sz="0" w:space="0" w:color="auto"/>
        <w:left w:val="none" w:sz="0" w:space="0" w:color="auto"/>
        <w:bottom w:val="none" w:sz="0" w:space="0" w:color="auto"/>
        <w:right w:val="none" w:sz="0" w:space="0" w:color="auto"/>
      </w:divBdr>
    </w:div>
    <w:div w:id="356010167">
      <w:bodyDiv w:val="1"/>
      <w:marLeft w:val="0"/>
      <w:marRight w:val="0"/>
      <w:marTop w:val="0"/>
      <w:marBottom w:val="0"/>
      <w:divBdr>
        <w:top w:val="none" w:sz="0" w:space="0" w:color="auto"/>
        <w:left w:val="none" w:sz="0" w:space="0" w:color="auto"/>
        <w:bottom w:val="none" w:sz="0" w:space="0" w:color="auto"/>
        <w:right w:val="none" w:sz="0" w:space="0" w:color="auto"/>
      </w:divBdr>
    </w:div>
    <w:div w:id="357774377">
      <w:bodyDiv w:val="1"/>
      <w:marLeft w:val="0"/>
      <w:marRight w:val="0"/>
      <w:marTop w:val="0"/>
      <w:marBottom w:val="0"/>
      <w:divBdr>
        <w:top w:val="none" w:sz="0" w:space="0" w:color="auto"/>
        <w:left w:val="none" w:sz="0" w:space="0" w:color="auto"/>
        <w:bottom w:val="none" w:sz="0" w:space="0" w:color="auto"/>
        <w:right w:val="none" w:sz="0" w:space="0" w:color="auto"/>
      </w:divBdr>
    </w:div>
    <w:div w:id="358699385">
      <w:bodyDiv w:val="1"/>
      <w:marLeft w:val="0"/>
      <w:marRight w:val="0"/>
      <w:marTop w:val="0"/>
      <w:marBottom w:val="0"/>
      <w:divBdr>
        <w:top w:val="none" w:sz="0" w:space="0" w:color="auto"/>
        <w:left w:val="none" w:sz="0" w:space="0" w:color="auto"/>
        <w:bottom w:val="none" w:sz="0" w:space="0" w:color="auto"/>
        <w:right w:val="none" w:sz="0" w:space="0" w:color="auto"/>
      </w:divBdr>
    </w:div>
    <w:div w:id="359361577">
      <w:bodyDiv w:val="1"/>
      <w:marLeft w:val="0"/>
      <w:marRight w:val="0"/>
      <w:marTop w:val="0"/>
      <w:marBottom w:val="0"/>
      <w:divBdr>
        <w:top w:val="none" w:sz="0" w:space="0" w:color="auto"/>
        <w:left w:val="none" w:sz="0" w:space="0" w:color="auto"/>
        <w:bottom w:val="none" w:sz="0" w:space="0" w:color="auto"/>
        <w:right w:val="none" w:sz="0" w:space="0" w:color="auto"/>
      </w:divBdr>
    </w:div>
    <w:div w:id="360403023">
      <w:bodyDiv w:val="1"/>
      <w:marLeft w:val="0"/>
      <w:marRight w:val="0"/>
      <w:marTop w:val="0"/>
      <w:marBottom w:val="0"/>
      <w:divBdr>
        <w:top w:val="none" w:sz="0" w:space="0" w:color="auto"/>
        <w:left w:val="none" w:sz="0" w:space="0" w:color="auto"/>
        <w:bottom w:val="none" w:sz="0" w:space="0" w:color="auto"/>
        <w:right w:val="none" w:sz="0" w:space="0" w:color="auto"/>
      </w:divBdr>
    </w:div>
    <w:div w:id="360521063">
      <w:bodyDiv w:val="1"/>
      <w:marLeft w:val="0"/>
      <w:marRight w:val="0"/>
      <w:marTop w:val="0"/>
      <w:marBottom w:val="0"/>
      <w:divBdr>
        <w:top w:val="none" w:sz="0" w:space="0" w:color="auto"/>
        <w:left w:val="none" w:sz="0" w:space="0" w:color="auto"/>
        <w:bottom w:val="none" w:sz="0" w:space="0" w:color="auto"/>
        <w:right w:val="none" w:sz="0" w:space="0" w:color="auto"/>
      </w:divBdr>
    </w:div>
    <w:div w:id="361445728">
      <w:bodyDiv w:val="1"/>
      <w:marLeft w:val="0"/>
      <w:marRight w:val="0"/>
      <w:marTop w:val="0"/>
      <w:marBottom w:val="0"/>
      <w:divBdr>
        <w:top w:val="none" w:sz="0" w:space="0" w:color="auto"/>
        <w:left w:val="none" w:sz="0" w:space="0" w:color="auto"/>
        <w:bottom w:val="none" w:sz="0" w:space="0" w:color="auto"/>
        <w:right w:val="none" w:sz="0" w:space="0" w:color="auto"/>
      </w:divBdr>
    </w:div>
    <w:div w:id="361789491">
      <w:bodyDiv w:val="1"/>
      <w:marLeft w:val="0"/>
      <w:marRight w:val="0"/>
      <w:marTop w:val="0"/>
      <w:marBottom w:val="0"/>
      <w:divBdr>
        <w:top w:val="none" w:sz="0" w:space="0" w:color="auto"/>
        <w:left w:val="none" w:sz="0" w:space="0" w:color="auto"/>
        <w:bottom w:val="none" w:sz="0" w:space="0" w:color="auto"/>
        <w:right w:val="none" w:sz="0" w:space="0" w:color="auto"/>
      </w:divBdr>
    </w:div>
    <w:div w:id="361790385">
      <w:bodyDiv w:val="1"/>
      <w:marLeft w:val="0"/>
      <w:marRight w:val="0"/>
      <w:marTop w:val="0"/>
      <w:marBottom w:val="0"/>
      <w:divBdr>
        <w:top w:val="none" w:sz="0" w:space="0" w:color="auto"/>
        <w:left w:val="none" w:sz="0" w:space="0" w:color="auto"/>
        <w:bottom w:val="none" w:sz="0" w:space="0" w:color="auto"/>
        <w:right w:val="none" w:sz="0" w:space="0" w:color="auto"/>
      </w:divBdr>
    </w:div>
    <w:div w:id="362173710">
      <w:bodyDiv w:val="1"/>
      <w:marLeft w:val="0"/>
      <w:marRight w:val="0"/>
      <w:marTop w:val="0"/>
      <w:marBottom w:val="0"/>
      <w:divBdr>
        <w:top w:val="none" w:sz="0" w:space="0" w:color="auto"/>
        <w:left w:val="none" w:sz="0" w:space="0" w:color="auto"/>
        <w:bottom w:val="none" w:sz="0" w:space="0" w:color="auto"/>
        <w:right w:val="none" w:sz="0" w:space="0" w:color="auto"/>
      </w:divBdr>
    </w:div>
    <w:div w:id="362756537">
      <w:bodyDiv w:val="1"/>
      <w:marLeft w:val="0"/>
      <w:marRight w:val="0"/>
      <w:marTop w:val="0"/>
      <w:marBottom w:val="0"/>
      <w:divBdr>
        <w:top w:val="none" w:sz="0" w:space="0" w:color="auto"/>
        <w:left w:val="none" w:sz="0" w:space="0" w:color="auto"/>
        <w:bottom w:val="none" w:sz="0" w:space="0" w:color="auto"/>
        <w:right w:val="none" w:sz="0" w:space="0" w:color="auto"/>
      </w:divBdr>
    </w:div>
    <w:div w:id="363135081">
      <w:bodyDiv w:val="1"/>
      <w:marLeft w:val="0"/>
      <w:marRight w:val="0"/>
      <w:marTop w:val="0"/>
      <w:marBottom w:val="0"/>
      <w:divBdr>
        <w:top w:val="none" w:sz="0" w:space="0" w:color="auto"/>
        <w:left w:val="none" w:sz="0" w:space="0" w:color="auto"/>
        <w:bottom w:val="none" w:sz="0" w:space="0" w:color="auto"/>
        <w:right w:val="none" w:sz="0" w:space="0" w:color="auto"/>
      </w:divBdr>
    </w:div>
    <w:div w:id="363362040">
      <w:bodyDiv w:val="1"/>
      <w:marLeft w:val="0"/>
      <w:marRight w:val="0"/>
      <w:marTop w:val="0"/>
      <w:marBottom w:val="0"/>
      <w:divBdr>
        <w:top w:val="none" w:sz="0" w:space="0" w:color="auto"/>
        <w:left w:val="none" w:sz="0" w:space="0" w:color="auto"/>
        <w:bottom w:val="none" w:sz="0" w:space="0" w:color="auto"/>
        <w:right w:val="none" w:sz="0" w:space="0" w:color="auto"/>
      </w:divBdr>
    </w:div>
    <w:div w:id="363948039">
      <w:bodyDiv w:val="1"/>
      <w:marLeft w:val="0"/>
      <w:marRight w:val="0"/>
      <w:marTop w:val="0"/>
      <w:marBottom w:val="0"/>
      <w:divBdr>
        <w:top w:val="none" w:sz="0" w:space="0" w:color="auto"/>
        <w:left w:val="none" w:sz="0" w:space="0" w:color="auto"/>
        <w:bottom w:val="none" w:sz="0" w:space="0" w:color="auto"/>
        <w:right w:val="none" w:sz="0" w:space="0" w:color="auto"/>
      </w:divBdr>
    </w:div>
    <w:div w:id="365642037">
      <w:bodyDiv w:val="1"/>
      <w:marLeft w:val="0"/>
      <w:marRight w:val="0"/>
      <w:marTop w:val="0"/>
      <w:marBottom w:val="0"/>
      <w:divBdr>
        <w:top w:val="none" w:sz="0" w:space="0" w:color="auto"/>
        <w:left w:val="none" w:sz="0" w:space="0" w:color="auto"/>
        <w:bottom w:val="none" w:sz="0" w:space="0" w:color="auto"/>
        <w:right w:val="none" w:sz="0" w:space="0" w:color="auto"/>
      </w:divBdr>
    </w:div>
    <w:div w:id="365956100">
      <w:bodyDiv w:val="1"/>
      <w:marLeft w:val="0"/>
      <w:marRight w:val="0"/>
      <w:marTop w:val="0"/>
      <w:marBottom w:val="0"/>
      <w:divBdr>
        <w:top w:val="none" w:sz="0" w:space="0" w:color="auto"/>
        <w:left w:val="none" w:sz="0" w:space="0" w:color="auto"/>
        <w:bottom w:val="none" w:sz="0" w:space="0" w:color="auto"/>
        <w:right w:val="none" w:sz="0" w:space="0" w:color="auto"/>
      </w:divBdr>
    </w:div>
    <w:div w:id="366296017">
      <w:bodyDiv w:val="1"/>
      <w:marLeft w:val="0"/>
      <w:marRight w:val="0"/>
      <w:marTop w:val="0"/>
      <w:marBottom w:val="0"/>
      <w:divBdr>
        <w:top w:val="none" w:sz="0" w:space="0" w:color="auto"/>
        <w:left w:val="none" w:sz="0" w:space="0" w:color="auto"/>
        <w:bottom w:val="none" w:sz="0" w:space="0" w:color="auto"/>
        <w:right w:val="none" w:sz="0" w:space="0" w:color="auto"/>
      </w:divBdr>
    </w:div>
    <w:div w:id="366682256">
      <w:bodyDiv w:val="1"/>
      <w:marLeft w:val="0"/>
      <w:marRight w:val="0"/>
      <w:marTop w:val="0"/>
      <w:marBottom w:val="0"/>
      <w:divBdr>
        <w:top w:val="none" w:sz="0" w:space="0" w:color="auto"/>
        <w:left w:val="none" w:sz="0" w:space="0" w:color="auto"/>
        <w:bottom w:val="none" w:sz="0" w:space="0" w:color="auto"/>
        <w:right w:val="none" w:sz="0" w:space="0" w:color="auto"/>
      </w:divBdr>
    </w:div>
    <w:div w:id="366956454">
      <w:bodyDiv w:val="1"/>
      <w:marLeft w:val="0"/>
      <w:marRight w:val="0"/>
      <w:marTop w:val="0"/>
      <w:marBottom w:val="0"/>
      <w:divBdr>
        <w:top w:val="none" w:sz="0" w:space="0" w:color="auto"/>
        <w:left w:val="none" w:sz="0" w:space="0" w:color="auto"/>
        <w:bottom w:val="none" w:sz="0" w:space="0" w:color="auto"/>
        <w:right w:val="none" w:sz="0" w:space="0" w:color="auto"/>
      </w:divBdr>
    </w:div>
    <w:div w:id="368377992">
      <w:bodyDiv w:val="1"/>
      <w:marLeft w:val="0"/>
      <w:marRight w:val="0"/>
      <w:marTop w:val="0"/>
      <w:marBottom w:val="0"/>
      <w:divBdr>
        <w:top w:val="none" w:sz="0" w:space="0" w:color="auto"/>
        <w:left w:val="none" w:sz="0" w:space="0" w:color="auto"/>
        <w:bottom w:val="none" w:sz="0" w:space="0" w:color="auto"/>
        <w:right w:val="none" w:sz="0" w:space="0" w:color="auto"/>
      </w:divBdr>
    </w:div>
    <w:div w:id="369956760">
      <w:bodyDiv w:val="1"/>
      <w:marLeft w:val="0"/>
      <w:marRight w:val="0"/>
      <w:marTop w:val="0"/>
      <w:marBottom w:val="0"/>
      <w:divBdr>
        <w:top w:val="none" w:sz="0" w:space="0" w:color="auto"/>
        <w:left w:val="none" w:sz="0" w:space="0" w:color="auto"/>
        <w:bottom w:val="none" w:sz="0" w:space="0" w:color="auto"/>
        <w:right w:val="none" w:sz="0" w:space="0" w:color="auto"/>
      </w:divBdr>
    </w:div>
    <w:div w:id="371345389">
      <w:bodyDiv w:val="1"/>
      <w:marLeft w:val="0"/>
      <w:marRight w:val="0"/>
      <w:marTop w:val="0"/>
      <w:marBottom w:val="0"/>
      <w:divBdr>
        <w:top w:val="none" w:sz="0" w:space="0" w:color="auto"/>
        <w:left w:val="none" w:sz="0" w:space="0" w:color="auto"/>
        <w:bottom w:val="none" w:sz="0" w:space="0" w:color="auto"/>
        <w:right w:val="none" w:sz="0" w:space="0" w:color="auto"/>
      </w:divBdr>
    </w:div>
    <w:div w:id="371656165">
      <w:bodyDiv w:val="1"/>
      <w:marLeft w:val="0"/>
      <w:marRight w:val="0"/>
      <w:marTop w:val="0"/>
      <w:marBottom w:val="0"/>
      <w:divBdr>
        <w:top w:val="none" w:sz="0" w:space="0" w:color="auto"/>
        <w:left w:val="none" w:sz="0" w:space="0" w:color="auto"/>
        <w:bottom w:val="none" w:sz="0" w:space="0" w:color="auto"/>
        <w:right w:val="none" w:sz="0" w:space="0" w:color="auto"/>
      </w:divBdr>
    </w:div>
    <w:div w:id="371736442">
      <w:bodyDiv w:val="1"/>
      <w:marLeft w:val="0"/>
      <w:marRight w:val="0"/>
      <w:marTop w:val="0"/>
      <w:marBottom w:val="0"/>
      <w:divBdr>
        <w:top w:val="none" w:sz="0" w:space="0" w:color="auto"/>
        <w:left w:val="none" w:sz="0" w:space="0" w:color="auto"/>
        <w:bottom w:val="none" w:sz="0" w:space="0" w:color="auto"/>
        <w:right w:val="none" w:sz="0" w:space="0" w:color="auto"/>
      </w:divBdr>
    </w:div>
    <w:div w:id="372199026">
      <w:bodyDiv w:val="1"/>
      <w:marLeft w:val="0"/>
      <w:marRight w:val="0"/>
      <w:marTop w:val="0"/>
      <w:marBottom w:val="0"/>
      <w:divBdr>
        <w:top w:val="none" w:sz="0" w:space="0" w:color="auto"/>
        <w:left w:val="none" w:sz="0" w:space="0" w:color="auto"/>
        <w:bottom w:val="none" w:sz="0" w:space="0" w:color="auto"/>
        <w:right w:val="none" w:sz="0" w:space="0" w:color="auto"/>
      </w:divBdr>
    </w:div>
    <w:div w:id="372383859">
      <w:bodyDiv w:val="1"/>
      <w:marLeft w:val="0"/>
      <w:marRight w:val="0"/>
      <w:marTop w:val="0"/>
      <w:marBottom w:val="0"/>
      <w:divBdr>
        <w:top w:val="none" w:sz="0" w:space="0" w:color="auto"/>
        <w:left w:val="none" w:sz="0" w:space="0" w:color="auto"/>
        <w:bottom w:val="none" w:sz="0" w:space="0" w:color="auto"/>
        <w:right w:val="none" w:sz="0" w:space="0" w:color="auto"/>
      </w:divBdr>
    </w:div>
    <w:div w:id="372773290">
      <w:bodyDiv w:val="1"/>
      <w:marLeft w:val="0"/>
      <w:marRight w:val="0"/>
      <w:marTop w:val="0"/>
      <w:marBottom w:val="0"/>
      <w:divBdr>
        <w:top w:val="none" w:sz="0" w:space="0" w:color="auto"/>
        <w:left w:val="none" w:sz="0" w:space="0" w:color="auto"/>
        <w:bottom w:val="none" w:sz="0" w:space="0" w:color="auto"/>
        <w:right w:val="none" w:sz="0" w:space="0" w:color="auto"/>
      </w:divBdr>
    </w:div>
    <w:div w:id="375356113">
      <w:bodyDiv w:val="1"/>
      <w:marLeft w:val="0"/>
      <w:marRight w:val="0"/>
      <w:marTop w:val="0"/>
      <w:marBottom w:val="0"/>
      <w:divBdr>
        <w:top w:val="none" w:sz="0" w:space="0" w:color="auto"/>
        <w:left w:val="none" w:sz="0" w:space="0" w:color="auto"/>
        <w:bottom w:val="none" w:sz="0" w:space="0" w:color="auto"/>
        <w:right w:val="none" w:sz="0" w:space="0" w:color="auto"/>
      </w:divBdr>
    </w:div>
    <w:div w:id="375739788">
      <w:bodyDiv w:val="1"/>
      <w:marLeft w:val="0"/>
      <w:marRight w:val="0"/>
      <w:marTop w:val="0"/>
      <w:marBottom w:val="0"/>
      <w:divBdr>
        <w:top w:val="none" w:sz="0" w:space="0" w:color="auto"/>
        <w:left w:val="none" w:sz="0" w:space="0" w:color="auto"/>
        <w:bottom w:val="none" w:sz="0" w:space="0" w:color="auto"/>
        <w:right w:val="none" w:sz="0" w:space="0" w:color="auto"/>
      </w:divBdr>
    </w:div>
    <w:div w:id="376784771">
      <w:bodyDiv w:val="1"/>
      <w:marLeft w:val="0"/>
      <w:marRight w:val="0"/>
      <w:marTop w:val="0"/>
      <w:marBottom w:val="0"/>
      <w:divBdr>
        <w:top w:val="none" w:sz="0" w:space="0" w:color="auto"/>
        <w:left w:val="none" w:sz="0" w:space="0" w:color="auto"/>
        <w:bottom w:val="none" w:sz="0" w:space="0" w:color="auto"/>
        <w:right w:val="none" w:sz="0" w:space="0" w:color="auto"/>
      </w:divBdr>
    </w:div>
    <w:div w:id="377435955">
      <w:bodyDiv w:val="1"/>
      <w:marLeft w:val="0"/>
      <w:marRight w:val="0"/>
      <w:marTop w:val="0"/>
      <w:marBottom w:val="0"/>
      <w:divBdr>
        <w:top w:val="none" w:sz="0" w:space="0" w:color="auto"/>
        <w:left w:val="none" w:sz="0" w:space="0" w:color="auto"/>
        <w:bottom w:val="none" w:sz="0" w:space="0" w:color="auto"/>
        <w:right w:val="none" w:sz="0" w:space="0" w:color="auto"/>
      </w:divBdr>
    </w:div>
    <w:div w:id="378171025">
      <w:bodyDiv w:val="1"/>
      <w:marLeft w:val="0"/>
      <w:marRight w:val="0"/>
      <w:marTop w:val="0"/>
      <w:marBottom w:val="0"/>
      <w:divBdr>
        <w:top w:val="none" w:sz="0" w:space="0" w:color="auto"/>
        <w:left w:val="none" w:sz="0" w:space="0" w:color="auto"/>
        <w:bottom w:val="none" w:sz="0" w:space="0" w:color="auto"/>
        <w:right w:val="none" w:sz="0" w:space="0" w:color="auto"/>
      </w:divBdr>
    </w:div>
    <w:div w:id="378481522">
      <w:bodyDiv w:val="1"/>
      <w:marLeft w:val="0"/>
      <w:marRight w:val="0"/>
      <w:marTop w:val="0"/>
      <w:marBottom w:val="0"/>
      <w:divBdr>
        <w:top w:val="none" w:sz="0" w:space="0" w:color="auto"/>
        <w:left w:val="none" w:sz="0" w:space="0" w:color="auto"/>
        <w:bottom w:val="none" w:sz="0" w:space="0" w:color="auto"/>
        <w:right w:val="none" w:sz="0" w:space="0" w:color="auto"/>
      </w:divBdr>
    </w:div>
    <w:div w:id="379786264">
      <w:bodyDiv w:val="1"/>
      <w:marLeft w:val="0"/>
      <w:marRight w:val="0"/>
      <w:marTop w:val="0"/>
      <w:marBottom w:val="0"/>
      <w:divBdr>
        <w:top w:val="none" w:sz="0" w:space="0" w:color="auto"/>
        <w:left w:val="none" w:sz="0" w:space="0" w:color="auto"/>
        <w:bottom w:val="none" w:sz="0" w:space="0" w:color="auto"/>
        <w:right w:val="none" w:sz="0" w:space="0" w:color="auto"/>
      </w:divBdr>
    </w:div>
    <w:div w:id="380710640">
      <w:bodyDiv w:val="1"/>
      <w:marLeft w:val="0"/>
      <w:marRight w:val="0"/>
      <w:marTop w:val="0"/>
      <w:marBottom w:val="0"/>
      <w:divBdr>
        <w:top w:val="none" w:sz="0" w:space="0" w:color="auto"/>
        <w:left w:val="none" w:sz="0" w:space="0" w:color="auto"/>
        <w:bottom w:val="none" w:sz="0" w:space="0" w:color="auto"/>
        <w:right w:val="none" w:sz="0" w:space="0" w:color="auto"/>
      </w:divBdr>
    </w:div>
    <w:div w:id="381321147">
      <w:bodyDiv w:val="1"/>
      <w:marLeft w:val="0"/>
      <w:marRight w:val="0"/>
      <w:marTop w:val="0"/>
      <w:marBottom w:val="0"/>
      <w:divBdr>
        <w:top w:val="none" w:sz="0" w:space="0" w:color="auto"/>
        <w:left w:val="none" w:sz="0" w:space="0" w:color="auto"/>
        <w:bottom w:val="none" w:sz="0" w:space="0" w:color="auto"/>
        <w:right w:val="none" w:sz="0" w:space="0" w:color="auto"/>
      </w:divBdr>
    </w:div>
    <w:div w:id="381756638">
      <w:bodyDiv w:val="1"/>
      <w:marLeft w:val="0"/>
      <w:marRight w:val="0"/>
      <w:marTop w:val="0"/>
      <w:marBottom w:val="0"/>
      <w:divBdr>
        <w:top w:val="none" w:sz="0" w:space="0" w:color="auto"/>
        <w:left w:val="none" w:sz="0" w:space="0" w:color="auto"/>
        <w:bottom w:val="none" w:sz="0" w:space="0" w:color="auto"/>
        <w:right w:val="none" w:sz="0" w:space="0" w:color="auto"/>
      </w:divBdr>
    </w:div>
    <w:div w:id="382867607">
      <w:bodyDiv w:val="1"/>
      <w:marLeft w:val="0"/>
      <w:marRight w:val="0"/>
      <w:marTop w:val="0"/>
      <w:marBottom w:val="0"/>
      <w:divBdr>
        <w:top w:val="none" w:sz="0" w:space="0" w:color="auto"/>
        <w:left w:val="none" w:sz="0" w:space="0" w:color="auto"/>
        <w:bottom w:val="none" w:sz="0" w:space="0" w:color="auto"/>
        <w:right w:val="none" w:sz="0" w:space="0" w:color="auto"/>
      </w:divBdr>
    </w:div>
    <w:div w:id="382869394">
      <w:bodyDiv w:val="1"/>
      <w:marLeft w:val="0"/>
      <w:marRight w:val="0"/>
      <w:marTop w:val="0"/>
      <w:marBottom w:val="0"/>
      <w:divBdr>
        <w:top w:val="none" w:sz="0" w:space="0" w:color="auto"/>
        <w:left w:val="none" w:sz="0" w:space="0" w:color="auto"/>
        <w:bottom w:val="none" w:sz="0" w:space="0" w:color="auto"/>
        <w:right w:val="none" w:sz="0" w:space="0" w:color="auto"/>
      </w:divBdr>
    </w:div>
    <w:div w:id="383062111">
      <w:bodyDiv w:val="1"/>
      <w:marLeft w:val="0"/>
      <w:marRight w:val="0"/>
      <w:marTop w:val="0"/>
      <w:marBottom w:val="0"/>
      <w:divBdr>
        <w:top w:val="none" w:sz="0" w:space="0" w:color="auto"/>
        <w:left w:val="none" w:sz="0" w:space="0" w:color="auto"/>
        <w:bottom w:val="none" w:sz="0" w:space="0" w:color="auto"/>
        <w:right w:val="none" w:sz="0" w:space="0" w:color="auto"/>
      </w:divBdr>
    </w:div>
    <w:div w:id="383070399">
      <w:bodyDiv w:val="1"/>
      <w:marLeft w:val="0"/>
      <w:marRight w:val="0"/>
      <w:marTop w:val="0"/>
      <w:marBottom w:val="0"/>
      <w:divBdr>
        <w:top w:val="none" w:sz="0" w:space="0" w:color="auto"/>
        <w:left w:val="none" w:sz="0" w:space="0" w:color="auto"/>
        <w:bottom w:val="none" w:sz="0" w:space="0" w:color="auto"/>
        <w:right w:val="none" w:sz="0" w:space="0" w:color="auto"/>
      </w:divBdr>
    </w:div>
    <w:div w:id="383527738">
      <w:bodyDiv w:val="1"/>
      <w:marLeft w:val="0"/>
      <w:marRight w:val="0"/>
      <w:marTop w:val="0"/>
      <w:marBottom w:val="0"/>
      <w:divBdr>
        <w:top w:val="none" w:sz="0" w:space="0" w:color="auto"/>
        <w:left w:val="none" w:sz="0" w:space="0" w:color="auto"/>
        <w:bottom w:val="none" w:sz="0" w:space="0" w:color="auto"/>
        <w:right w:val="none" w:sz="0" w:space="0" w:color="auto"/>
      </w:divBdr>
    </w:div>
    <w:div w:id="383986606">
      <w:bodyDiv w:val="1"/>
      <w:marLeft w:val="0"/>
      <w:marRight w:val="0"/>
      <w:marTop w:val="0"/>
      <w:marBottom w:val="0"/>
      <w:divBdr>
        <w:top w:val="none" w:sz="0" w:space="0" w:color="auto"/>
        <w:left w:val="none" w:sz="0" w:space="0" w:color="auto"/>
        <w:bottom w:val="none" w:sz="0" w:space="0" w:color="auto"/>
        <w:right w:val="none" w:sz="0" w:space="0" w:color="auto"/>
      </w:divBdr>
    </w:div>
    <w:div w:id="384258286">
      <w:bodyDiv w:val="1"/>
      <w:marLeft w:val="0"/>
      <w:marRight w:val="0"/>
      <w:marTop w:val="0"/>
      <w:marBottom w:val="0"/>
      <w:divBdr>
        <w:top w:val="none" w:sz="0" w:space="0" w:color="auto"/>
        <w:left w:val="none" w:sz="0" w:space="0" w:color="auto"/>
        <w:bottom w:val="none" w:sz="0" w:space="0" w:color="auto"/>
        <w:right w:val="none" w:sz="0" w:space="0" w:color="auto"/>
      </w:divBdr>
    </w:div>
    <w:div w:id="384914547">
      <w:bodyDiv w:val="1"/>
      <w:marLeft w:val="0"/>
      <w:marRight w:val="0"/>
      <w:marTop w:val="0"/>
      <w:marBottom w:val="0"/>
      <w:divBdr>
        <w:top w:val="none" w:sz="0" w:space="0" w:color="auto"/>
        <w:left w:val="none" w:sz="0" w:space="0" w:color="auto"/>
        <w:bottom w:val="none" w:sz="0" w:space="0" w:color="auto"/>
        <w:right w:val="none" w:sz="0" w:space="0" w:color="auto"/>
      </w:divBdr>
    </w:div>
    <w:div w:id="385836742">
      <w:bodyDiv w:val="1"/>
      <w:marLeft w:val="0"/>
      <w:marRight w:val="0"/>
      <w:marTop w:val="0"/>
      <w:marBottom w:val="0"/>
      <w:divBdr>
        <w:top w:val="none" w:sz="0" w:space="0" w:color="auto"/>
        <w:left w:val="none" w:sz="0" w:space="0" w:color="auto"/>
        <w:bottom w:val="none" w:sz="0" w:space="0" w:color="auto"/>
        <w:right w:val="none" w:sz="0" w:space="0" w:color="auto"/>
      </w:divBdr>
    </w:div>
    <w:div w:id="385841547">
      <w:bodyDiv w:val="1"/>
      <w:marLeft w:val="0"/>
      <w:marRight w:val="0"/>
      <w:marTop w:val="0"/>
      <w:marBottom w:val="0"/>
      <w:divBdr>
        <w:top w:val="none" w:sz="0" w:space="0" w:color="auto"/>
        <w:left w:val="none" w:sz="0" w:space="0" w:color="auto"/>
        <w:bottom w:val="none" w:sz="0" w:space="0" w:color="auto"/>
        <w:right w:val="none" w:sz="0" w:space="0" w:color="auto"/>
      </w:divBdr>
    </w:div>
    <w:div w:id="385882895">
      <w:bodyDiv w:val="1"/>
      <w:marLeft w:val="0"/>
      <w:marRight w:val="0"/>
      <w:marTop w:val="0"/>
      <w:marBottom w:val="0"/>
      <w:divBdr>
        <w:top w:val="none" w:sz="0" w:space="0" w:color="auto"/>
        <w:left w:val="none" w:sz="0" w:space="0" w:color="auto"/>
        <w:bottom w:val="none" w:sz="0" w:space="0" w:color="auto"/>
        <w:right w:val="none" w:sz="0" w:space="0" w:color="auto"/>
      </w:divBdr>
    </w:div>
    <w:div w:id="385883356">
      <w:bodyDiv w:val="1"/>
      <w:marLeft w:val="0"/>
      <w:marRight w:val="0"/>
      <w:marTop w:val="0"/>
      <w:marBottom w:val="0"/>
      <w:divBdr>
        <w:top w:val="none" w:sz="0" w:space="0" w:color="auto"/>
        <w:left w:val="none" w:sz="0" w:space="0" w:color="auto"/>
        <w:bottom w:val="none" w:sz="0" w:space="0" w:color="auto"/>
        <w:right w:val="none" w:sz="0" w:space="0" w:color="auto"/>
      </w:divBdr>
    </w:div>
    <w:div w:id="385952507">
      <w:bodyDiv w:val="1"/>
      <w:marLeft w:val="0"/>
      <w:marRight w:val="0"/>
      <w:marTop w:val="0"/>
      <w:marBottom w:val="0"/>
      <w:divBdr>
        <w:top w:val="none" w:sz="0" w:space="0" w:color="auto"/>
        <w:left w:val="none" w:sz="0" w:space="0" w:color="auto"/>
        <w:bottom w:val="none" w:sz="0" w:space="0" w:color="auto"/>
        <w:right w:val="none" w:sz="0" w:space="0" w:color="auto"/>
      </w:divBdr>
    </w:div>
    <w:div w:id="387537935">
      <w:bodyDiv w:val="1"/>
      <w:marLeft w:val="0"/>
      <w:marRight w:val="0"/>
      <w:marTop w:val="0"/>
      <w:marBottom w:val="0"/>
      <w:divBdr>
        <w:top w:val="none" w:sz="0" w:space="0" w:color="auto"/>
        <w:left w:val="none" w:sz="0" w:space="0" w:color="auto"/>
        <w:bottom w:val="none" w:sz="0" w:space="0" w:color="auto"/>
        <w:right w:val="none" w:sz="0" w:space="0" w:color="auto"/>
      </w:divBdr>
    </w:div>
    <w:div w:id="387609960">
      <w:bodyDiv w:val="1"/>
      <w:marLeft w:val="0"/>
      <w:marRight w:val="0"/>
      <w:marTop w:val="0"/>
      <w:marBottom w:val="0"/>
      <w:divBdr>
        <w:top w:val="none" w:sz="0" w:space="0" w:color="auto"/>
        <w:left w:val="none" w:sz="0" w:space="0" w:color="auto"/>
        <w:bottom w:val="none" w:sz="0" w:space="0" w:color="auto"/>
        <w:right w:val="none" w:sz="0" w:space="0" w:color="auto"/>
      </w:divBdr>
    </w:div>
    <w:div w:id="388187655">
      <w:bodyDiv w:val="1"/>
      <w:marLeft w:val="0"/>
      <w:marRight w:val="0"/>
      <w:marTop w:val="0"/>
      <w:marBottom w:val="0"/>
      <w:divBdr>
        <w:top w:val="none" w:sz="0" w:space="0" w:color="auto"/>
        <w:left w:val="none" w:sz="0" w:space="0" w:color="auto"/>
        <w:bottom w:val="none" w:sz="0" w:space="0" w:color="auto"/>
        <w:right w:val="none" w:sz="0" w:space="0" w:color="auto"/>
      </w:divBdr>
    </w:div>
    <w:div w:id="389040003">
      <w:bodyDiv w:val="1"/>
      <w:marLeft w:val="0"/>
      <w:marRight w:val="0"/>
      <w:marTop w:val="0"/>
      <w:marBottom w:val="0"/>
      <w:divBdr>
        <w:top w:val="none" w:sz="0" w:space="0" w:color="auto"/>
        <w:left w:val="none" w:sz="0" w:space="0" w:color="auto"/>
        <w:bottom w:val="none" w:sz="0" w:space="0" w:color="auto"/>
        <w:right w:val="none" w:sz="0" w:space="0" w:color="auto"/>
      </w:divBdr>
    </w:div>
    <w:div w:id="389427267">
      <w:bodyDiv w:val="1"/>
      <w:marLeft w:val="0"/>
      <w:marRight w:val="0"/>
      <w:marTop w:val="0"/>
      <w:marBottom w:val="0"/>
      <w:divBdr>
        <w:top w:val="none" w:sz="0" w:space="0" w:color="auto"/>
        <w:left w:val="none" w:sz="0" w:space="0" w:color="auto"/>
        <w:bottom w:val="none" w:sz="0" w:space="0" w:color="auto"/>
        <w:right w:val="none" w:sz="0" w:space="0" w:color="auto"/>
      </w:divBdr>
    </w:div>
    <w:div w:id="389764699">
      <w:bodyDiv w:val="1"/>
      <w:marLeft w:val="0"/>
      <w:marRight w:val="0"/>
      <w:marTop w:val="0"/>
      <w:marBottom w:val="0"/>
      <w:divBdr>
        <w:top w:val="none" w:sz="0" w:space="0" w:color="auto"/>
        <w:left w:val="none" w:sz="0" w:space="0" w:color="auto"/>
        <w:bottom w:val="none" w:sz="0" w:space="0" w:color="auto"/>
        <w:right w:val="none" w:sz="0" w:space="0" w:color="auto"/>
      </w:divBdr>
    </w:div>
    <w:div w:id="390887396">
      <w:bodyDiv w:val="1"/>
      <w:marLeft w:val="0"/>
      <w:marRight w:val="0"/>
      <w:marTop w:val="0"/>
      <w:marBottom w:val="0"/>
      <w:divBdr>
        <w:top w:val="none" w:sz="0" w:space="0" w:color="auto"/>
        <w:left w:val="none" w:sz="0" w:space="0" w:color="auto"/>
        <w:bottom w:val="none" w:sz="0" w:space="0" w:color="auto"/>
        <w:right w:val="none" w:sz="0" w:space="0" w:color="auto"/>
      </w:divBdr>
    </w:div>
    <w:div w:id="391345167">
      <w:bodyDiv w:val="1"/>
      <w:marLeft w:val="0"/>
      <w:marRight w:val="0"/>
      <w:marTop w:val="0"/>
      <w:marBottom w:val="0"/>
      <w:divBdr>
        <w:top w:val="none" w:sz="0" w:space="0" w:color="auto"/>
        <w:left w:val="none" w:sz="0" w:space="0" w:color="auto"/>
        <w:bottom w:val="none" w:sz="0" w:space="0" w:color="auto"/>
        <w:right w:val="none" w:sz="0" w:space="0" w:color="auto"/>
      </w:divBdr>
    </w:div>
    <w:div w:id="392310756">
      <w:bodyDiv w:val="1"/>
      <w:marLeft w:val="0"/>
      <w:marRight w:val="0"/>
      <w:marTop w:val="0"/>
      <w:marBottom w:val="0"/>
      <w:divBdr>
        <w:top w:val="none" w:sz="0" w:space="0" w:color="auto"/>
        <w:left w:val="none" w:sz="0" w:space="0" w:color="auto"/>
        <w:bottom w:val="none" w:sz="0" w:space="0" w:color="auto"/>
        <w:right w:val="none" w:sz="0" w:space="0" w:color="auto"/>
      </w:divBdr>
    </w:div>
    <w:div w:id="393117670">
      <w:bodyDiv w:val="1"/>
      <w:marLeft w:val="0"/>
      <w:marRight w:val="0"/>
      <w:marTop w:val="0"/>
      <w:marBottom w:val="0"/>
      <w:divBdr>
        <w:top w:val="none" w:sz="0" w:space="0" w:color="auto"/>
        <w:left w:val="none" w:sz="0" w:space="0" w:color="auto"/>
        <w:bottom w:val="none" w:sz="0" w:space="0" w:color="auto"/>
        <w:right w:val="none" w:sz="0" w:space="0" w:color="auto"/>
      </w:divBdr>
    </w:div>
    <w:div w:id="393479483">
      <w:bodyDiv w:val="1"/>
      <w:marLeft w:val="0"/>
      <w:marRight w:val="0"/>
      <w:marTop w:val="0"/>
      <w:marBottom w:val="0"/>
      <w:divBdr>
        <w:top w:val="none" w:sz="0" w:space="0" w:color="auto"/>
        <w:left w:val="none" w:sz="0" w:space="0" w:color="auto"/>
        <w:bottom w:val="none" w:sz="0" w:space="0" w:color="auto"/>
        <w:right w:val="none" w:sz="0" w:space="0" w:color="auto"/>
      </w:divBdr>
    </w:div>
    <w:div w:id="395125275">
      <w:bodyDiv w:val="1"/>
      <w:marLeft w:val="0"/>
      <w:marRight w:val="0"/>
      <w:marTop w:val="0"/>
      <w:marBottom w:val="0"/>
      <w:divBdr>
        <w:top w:val="none" w:sz="0" w:space="0" w:color="auto"/>
        <w:left w:val="none" w:sz="0" w:space="0" w:color="auto"/>
        <w:bottom w:val="none" w:sz="0" w:space="0" w:color="auto"/>
        <w:right w:val="none" w:sz="0" w:space="0" w:color="auto"/>
      </w:divBdr>
    </w:div>
    <w:div w:id="395204192">
      <w:bodyDiv w:val="1"/>
      <w:marLeft w:val="0"/>
      <w:marRight w:val="0"/>
      <w:marTop w:val="0"/>
      <w:marBottom w:val="0"/>
      <w:divBdr>
        <w:top w:val="none" w:sz="0" w:space="0" w:color="auto"/>
        <w:left w:val="none" w:sz="0" w:space="0" w:color="auto"/>
        <w:bottom w:val="none" w:sz="0" w:space="0" w:color="auto"/>
        <w:right w:val="none" w:sz="0" w:space="0" w:color="auto"/>
      </w:divBdr>
    </w:div>
    <w:div w:id="396169418">
      <w:bodyDiv w:val="1"/>
      <w:marLeft w:val="0"/>
      <w:marRight w:val="0"/>
      <w:marTop w:val="0"/>
      <w:marBottom w:val="0"/>
      <w:divBdr>
        <w:top w:val="none" w:sz="0" w:space="0" w:color="auto"/>
        <w:left w:val="none" w:sz="0" w:space="0" w:color="auto"/>
        <w:bottom w:val="none" w:sz="0" w:space="0" w:color="auto"/>
        <w:right w:val="none" w:sz="0" w:space="0" w:color="auto"/>
      </w:divBdr>
    </w:div>
    <w:div w:id="397441868">
      <w:bodyDiv w:val="1"/>
      <w:marLeft w:val="0"/>
      <w:marRight w:val="0"/>
      <w:marTop w:val="0"/>
      <w:marBottom w:val="0"/>
      <w:divBdr>
        <w:top w:val="none" w:sz="0" w:space="0" w:color="auto"/>
        <w:left w:val="none" w:sz="0" w:space="0" w:color="auto"/>
        <w:bottom w:val="none" w:sz="0" w:space="0" w:color="auto"/>
        <w:right w:val="none" w:sz="0" w:space="0" w:color="auto"/>
      </w:divBdr>
    </w:div>
    <w:div w:id="398138496">
      <w:bodyDiv w:val="1"/>
      <w:marLeft w:val="0"/>
      <w:marRight w:val="0"/>
      <w:marTop w:val="0"/>
      <w:marBottom w:val="0"/>
      <w:divBdr>
        <w:top w:val="none" w:sz="0" w:space="0" w:color="auto"/>
        <w:left w:val="none" w:sz="0" w:space="0" w:color="auto"/>
        <w:bottom w:val="none" w:sz="0" w:space="0" w:color="auto"/>
        <w:right w:val="none" w:sz="0" w:space="0" w:color="auto"/>
      </w:divBdr>
    </w:div>
    <w:div w:id="398787549">
      <w:bodyDiv w:val="1"/>
      <w:marLeft w:val="0"/>
      <w:marRight w:val="0"/>
      <w:marTop w:val="0"/>
      <w:marBottom w:val="0"/>
      <w:divBdr>
        <w:top w:val="none" w:sz="0" w:space="0" w:color="auto"/>
        <w:left w:val="none" w:sz="0" w:space="0" w:color="auto"/>
        <w:bottom w:val="none" w:sz="0" w:space="0" w:color="auto"/>
        <w:right w:val="none" w:sz="0" w:space="0" w:color="auto"/>
      </w:divBdr>
    </w:div>
    <w:div w:id="399905558">
      <w:bodyDiv w:val="1"/>
      <w:marLeft w:val="0"/>
      <w:marRight w:val="0"/>
      <w:marTop w:val="0"/>
      <w:marBottom w:val="0"/>
      <w:divBdr>
        <w:top w:val="none" w:sz="0" w:space="0" w:color="auto"/>
        <w:left w:val="none" w:sz="0" w:space="0" w:color="auto"/>
        <w:bottom w:val="none" w:sz="0" w:space="0" w:color="auto"/>
        <w:right w:val="none" w:sz="0" w:space="0" w:color="auto"/>
      </w:divBdr>
    </w:div>
    <w:div w:id="401605963">
      <w:bodyDiv w:val="1"/>
      <w:marLeft w:val="0"/>
      <w:marRight w:val="0"/>
      <w:marTop w:val="0"/>
      <w:marBottom w:val="0"/>
      <w:divBdr>
        <w:top w:val="none" w:sz="0" w:space="0" w:color="auto"/>
        <w:left w:val="none" w:sz="0" w:space="0" w:color="auto"/>
        <w:bottom w:val="none" w:sz="0" w:space="0" w:color="auto"/>
        <w:right w:val="none" w:sz="0" w:space="0" w:color="auto"/>
      </w:divBdr>
    </w:div>
    <w:div w:id="402261346">
      <w:bodyDiv w:val="1"/>
      <w:marLeft w:val="0"/>
      <w:marRight w:val="0"/>
      <w:marTop w:val="0"/>
      <w:marBottom w:val="0"/>
      <w:divBdr>
        <w:top w:val="none" w:sz="0" w:space="0" w:color="auto"/>
        <w:left w:val="none" w:sz="0" w:space="0" w:color="auto"/>
        <w:bottom w:val="none" w:sz="0" w:space="0" w:color="auto"/>
        <w:right w:val="none" w:sz="0" w:space="0" w:color="auto"/>
      </w:divBdr>
    </w:div>
    <w:div w:id="402290816">
      <w:bodyDiv w:val="1"/>
      <w:marLeft w:val="0"/>
      <w:marRight w:val="0"/>
      <w:marTop w:val="0"/>
      <w:marBottom w:val="0"/>
      <w:divBdr>
        <w:top w:val="none" w:sz="0" w:space="0" w:color="auto"/>
        <w:left w:val="none" w:sz="0" w:space="0" w:color="auto"/>
        <w:bottom w:val="none" w:sz="0" w:space="0" w:color="auto"/>
        <w:right w:val="none" w:sz="0" w:space="0" w:color="auto"/>
      </w:divBdr>
    </w:div>
    <w:div w:id="402292082">
      <w:bodyDiv w:val="1"/>
      <w:marLeft w:val="0"/>
      <w:marRight w:val="0"/>
      <w:marTop w:val="0"/>
      <w:marBottom w:val="0"/>
      <w:divBdr>
        <w:top w:val="none" w:sz="0" w:space="0" w:color="auto"/>
        <w:left w:val="none" w:sz="0" w:space="0" w:color="auto"/>
        <w:bottom w:val="none" w:sz="0" w:space="0" w:color="auto"/>
        <w:right w:val="none" w:sz="0" w:space="0" w:color="auto"/>
      </w:divBdr>
    </w:div>
    <w:div w:id="402336752">
      <w:bodyDiv w:val="1"/>
      <w:marLeft w:val="0"/>
      <w:marRight w:val="0"/>
      <w:marTop w:val="0"/>
      <w:marBottom w:val="0"/>
      <w:divBdr>
        <w:top w:val="none" w:sz="0" w:space="0" w:color="auto"/>
        <w:left w:val="none" w:sz="0" w:space="0" w:color="auto"/>
        <w:bottom w:val="none" w:sz="0" w:space="0" w:color="auto"/>
        <w:right w:val="none" w:sz="0" w:space="0" w:color="auto"/>
      </w:divBdr>
    </w:div>
    <w:div w:id="402533902">
      <w:bodyDiv w:val="1"/>
      <w:marLeft w:val="0"/>
      <w:marRight w:val="0"/>
      <w:marTop w:val="0"/>
      <w:marBottom w:val="0"/>
      <w:divBdr>
        <w:top w:val="none" w:sz="0" w:space="0" w:color="auto"/>
        <w:left w:val="none" w:sz="0" w:space="0" w:color="auto"/>
        <w:bottom w:val="none" w:sz="0" w:space="0" w:color="auto"/>
        <w:right w:val="none" w:sz="0" w:space="0" w:color="auto"/>
      </w:divBdr>
    </w:div>
    <w:div w:id="402727035">
      <w:bodyDiv w:val="1"/>
      <w:marLeft w:val="0"/>
      <w:marRight w:val="0"/>
      <w:marTop w:val="0"/>
      <w:marBottom w:val="0"/>
      <w:divBdr>
        <w:top w:val="none" w:sz="0" w:space="0" w:color="auto"/>
        <w:left w:val="none" w:sz="0" w:space="0" w:color="auto"/>
        <w:bottom w:val="none" w:sz="0" w:space="0" w:color="auto"/>
        <w:right w:val="none" w:sz="0" w:space="0" w:color="auto"/>
      </w:divBdr>
    </w:div>
    <w:div w:id="403526978">
      <w:bodyDiv w:val="1"/>
      <w:marLeft w:val="0"/>
      <w:marRight w:val="0"/>
      <w:marTop w:val="0"/>
      <w:marBottom w:val="0"/>
      <w:divBdr>
        <w:top w:val="none" w:sz="0" w:space="0" w:color="auto"/>
        <w:left w:val="none" w:sz="0" w:space="0" w:color="auto"/>
        <w:bottom w:val="none" w:sz="0" w:space="0" w:color="auto"/>
        <w:right w:val="none" w:sz="0" w:space="0" w:color="auto"/>
      </w:divBdr>
    </w:div>
    <w:div w:id="404257118">
      <w:bodyDiv w:val="1"/>
      <w:marLeft w:val="0"/>
      <w:marRight w:val="0"/>
      <w:marTop w:val="0"/>
      <w:marBottom w:val="0"/>
      <w:divBdr>
        <w:top w:val="none" w:sz="0" w:space="0" w:color="auto"/>
        <w:left w:val="none" w:sz="0" w:space="0" w:color="auto"/>
        <w:bottom w:val="none" w:sz="0" w:space="0" w:color="auto"/>
        <w:right w:val="none" w:sz="0" w:space="0" w:color="auto"/>
      </w:divBdr>
    </w:div>
    <w:div w:id="405230324">
      <w:bodyDiv w:val="1"/>
      <w:marLeft w:val="0"/>
      <w:marRight w:val="0"/>
      <w:marTop w:val="0"/>
      <w:marBottom w:val="0"/>
      <w:divBdr>
        <w:top w:val="none" w:sz="0" w:space="0" w:color="auto"/>
        <w:left w:val="none" w:sz="0" w:space="0" w:color="auto"/>
        <w:bottom w:val="none" w:sz="0" w:space="0" w:color="auto"/>
        <w:right w:val="none" w:sz="0" w:space="0" w:color="auto"/>
      </w:divBdr>
    </w:div>
    <w:div w:id="405231464">
      <w:bodyDiv w:val="1"/>
      <w:marLeft w:val="0"/>
      <w:marRight w:val="0"/>
      <w:marTop w:val="0"/>
      <w:marBottom w:val="0"/>
      <w:divBdr>
        <w:top w:val="none" w:sz="0" w:space="0" w:color="auto"/>
        <w:left w:val="none" w:sz="0" w:space="0" w:color="auto"/>
        <w:bottom w:val="none" w:sz="0" w:space="0" w:color="auto"/>
        <w:right w:val="none" w:sz="0" w:space="0" w:color="auto"/>
      </w:divBdr>
    </w:div>
    <w:div w:id="405692914">
      <w:bodyDiv w:val="1"/>
      <w:marLeft w:val="0"/>
      <w:marRight w:val="0"/>
      <w:marTop w:val="0"/>
      <w:marBottom w:val="0"/>
      <w:divBdr>
        <w:top w:val="none" w:sz="0" w:space="0" w:color="auto"/>
        <w:left w:val="none" w:sz="0" w:space="0" w:color="auto"/>
        <w:bottom w:val="none" w:sz="0" w:space="0" w:color="auto"/>
        <w:right w:val="none" w:sz="0" w:space="0" w:color="auto"/>
      </w:divBdr>
    </w:div>
    <w:div w:id="406658260">
      <w:bodyDiv w:val="1"/>
      <w:marLeft w:val="0"/>
      <w:marRight w:val="0"/>
      <w:marTop w:val="0"/>
      <w:marBottom w:val="0"/>
      <w:divBdr>
        <w:top w:val="none" w:sz="0" w:space="0" w:color="auto"/>
        <w:left w:val="none" w:sz="0" w:space="0" w:color="auto"/>
        <w:bottom w:val="none" w:sz="0" w:space="0" w:color="auto"/>
        <w:right w:val="none" w:sz="0" w:space="0" w:color="auto"/>
      </w:divBdr>
    </w:div>
    <w:div w:id="406805158">
      <w:bodyDiv w:val="1"/>
      <w:marLeft w:val="0"/>
      <w:marRight w:val="0"/>
      <w:marTop w:val="0"/>
      <w:marBottom w:val="0"/>
      <w:divBdr>
        <w:top w:val="none" w:sz="0" w:space="0" w:color="auto"/>
        <w:left w:val="none" w:sz="0" w:space="0" w:color="auto"/>
        <w:bottom w:val="none" w:sz="0" w:space="0" w:color="auto"/>
        <w:right w:val="none" w:sz="0" w:space="0" w:color="auto"/>
      </w:divBdr>
    </w:div>
    <w:div w:id="406806772">
      <w:bodyDiv w:val="1"/>
      <w:marLeft w:val="0"/>
      <w:marRight w:val="0"/>
      <w:marTop w:val="0"/>
      <w:marBottom w:val="0"/>
      <w:divBdr>
        <w:top w:val="none" w:sz="0" w:space="0" w:color="auto"/>
        <w:left w:val="none" w:sz="0" w:space="0" w:color="auto"/>
        <w:bottom w:val="none" w:sz="0" w:space="0" w:color="auto"/>
        <w:right w:val="none" w:sz="0" w:space="0" w:color="auto"/>
      </w:divBdr>
    </w:div>
    <w:div w:id="407113906">
      <w:bodyDiv w:val="1"/>
      <w:marLeft w:val="0"/>
      <w:marRight w:val="0"/>
      <w:marTop w:val="0"/>
      <w:marBottom w:val="0"/>
      <w:divBdr>
        <w:top w:val="none" w:sz="0" w:space="0" w:color="auto"/>
        <w:left w:val="none" w:sz="0" w:space="0" w:color="auto"/>
        <w:bottom w:val="none" w:sz="0" w:space="0" w:color="auto"/>
        <w:right w:val="none" w:sz="0" w:space="0" w:color="auto"/>
      </w:divBdr>
    </w:div>
    <w:div w:id="407652172">
      <w:bodyDiv w:val="1"/>
      <w:marLeft w:val="0"/>
      <w:marRight w:val="0"/>
      <w:marTop w:val="0"/>
      <w:marBottom w:val="0"/>
      <w:divBdr>
        <w:top w:val="none" w:sz="0" w:space="0" w:color="auto"/>
        <w:left w:val="none" w:sz="0" w:space="0" w:color="auto"/>
        <w:bottom w:val="none" w:sz="0" w:space="0" w:color="auto"/>
        <w:right w:val="none" w:sz="0" w:space="0" w:color="auto"/>
      </w:divBdr>
    </w:div>
    <w:div w:id="407727235">
      <w:bodyDiv w:val="1"/>
      <w:marLeft w:val="0"/>
      <w:marRight w:val="0"/>
      <w:marTop w:val="0"/>
      <w:marBottom w:val="0"/>
      <w:divBdr>
        <w:top w:val="none" w:sz="0" w:space="0" w:color="auto"/>
        <w:left w:val="none" w:sz="0" w:space="0" w:color="auto"/>
        <w:bottom w:val="none" w:sz="0" w:space="0" w:color="auto"/>
        <w:right w:val="none" w:sz="0" w:space="0" w:color="auto"/>
      </w:divBdr>
    </w:div>
    <w:div w:id="408500594">
      <w:bodyDiv w:val="1"/>
      <w:marLeft w:val="0"/>
      <w:marRight w:val="0"/>
      <w:marTop w:val="0"/>
      <w:marBottom w:val="0"/>
      <w:divBdr>
        <w:top w:val="none" w:sz="0" w:space="0" w:color="auto"/>
        <w:left w:val="none" w:sz="0" w:space="0" w:color="auto"/>
        <w:bottom w:val="none" w:sz="0" w:space="0" w:color="auto"/>
        <w:right w:val="none" w:sz="0" w:space="0" w:color="auto"/>
      </w:divBdr>
    </w:div>
    <w:div w:id="409540950">
      <w:bodyDiv w:val="1"/>
      <w:marLeft w:val="0"/>
      <w:marRight w:val="0"/>
      <w:marTop w:val="0"/>
      <w:marBottom w:val="0"/>
      <w:divBdr>
        <w:top w:val="none" w:sz="0" w:space="0" w:color="auto"/>
        <w:left w:val="none" w:sz="0" w:space="0" w:color="auto"/>
        <w:bottom w:val="none" w:sz="0" w:space="0" w:color="auto"/>
        <w:right w:val="none" w:sz="0" w:space="0" w:color="auto"/>
      </w:divBdr>
    </w:div>
    <w:div w:id="409548653">
      <w:bodyDiv w:val="1"/>
      <w:marLeft w:val="0"/>
      <w:marRight w:val="0"/>
      <w:marTop w:val="0"/>
      <w:marBottom w:val="0"/>
      <w:divBdr>
        <w:top w:val="none" w:sz="0" w:space="0" w:color="auto"/>
        <w:left w:val="none" w:sz="0" w:space="0" w:color="auto"/>
        <w:bottom w:val="none" w:sz="0" w:space="0" w:color="auto"/>
        <w:right w:val="none" w:sz="0" w:space="0" w:color="auto"/>
      </w:divBdr>
    </w:div>
    <w:div w:id="410657746">
      <w:bodyDiv w:val="1"/>
      <w:marLeft w:val="0"/>
      <w:marRight w:val="0"/>
      <w:marTop w:val="0"/>
      <w:marBottom w:val="0"/>
      <w:divBdr>
        <w:top w:val="none" w:sz="0" w:space="0" w:color="auto"/>
        <w:left w:val="none" w:sz="0" w:space="0" w:color="auto"/>
        <w:bottom w:val="none" w:sz="0" w:space="0" w:color="auto"/>
        <w:right w:val="none" w:sz="0" w:space="0" w:color="auto"/>
      </w:divBdr>
    </w:div>
    <w:div w:id="411657994">
      <w:bodyDiv w:val="1"/>
      <w:marLeft w:val="0"/>
      <w:marRight w:val="0"/>
      <w:marTop w:val="0"/>
      <w:marBottom w:val="0"/>
      <w:divBdr>
        <w:top w:val="none" w:sz="0" w:space="0" w:color="auto"/>
        <w:left w:val="none" w:sz="0" w:space="0" w:color="auto"/>
        <w:bottom w:val="none" w:sz="0" w:space="0" w:color="auto"/>
        <w:right w:val="none" w:sz="0" w:space="0" w:color="auto"/>
      </w:divBdr>
    </w:div>
    <w:div w:id="412625835">
      <w:bodyDiv w:val="1"/>
      <w:marLeft w:val="0"/>
      <w:marRight w:val="0"/>
      <w:marTop w:val="0"/>
      <w:marBottom w:val="0"/>
      <w:divBdr>
        <w:top w:val="none" w:sz="0" w:space="0" w:color="auto"/>
        <w:left w:val="none" w:sz="0" w:space="0" w:color="auto"/>
        <w:bottom w:val="none" w:sz="0" w:space="0" w:color="auto"/>
        <w:right w:val="none" w:sz="0" w:space="0" w:color="auto"/>
      </w:divBdr>
    </w:div>
    <w:div w:id="413161551">
      <w:bodyDiv w:val="1"/>
      <w:marLeft w:val="0"/>
      <w:marRight w:val="0"/>
      <w:marTop w:val="0"/>
      <w:marBottom w:val="0"/>
      <w:divBdr>
        <w:top w:val="none" w:sz="0" w:space="0" w:color="auto"/>
        <w:left w:val="none" w:sz="0" w:space="0" w:color="auto"/>
        <w:bottom w:val="none" w:sz="0" w:space="0" w:color="auto"/>
        <w:right w:val="none" w:sz="0" w:space="0" w:color="auto"/>
      </w:divBdr>
    </w:div>
    <w:div w:id="413430493">
      <w:bodyDiv w:val="1"/>
      <w:marLeft w:val="0"/>
      <w:marRight w:val="0"/>
      <w:marTop w:val="0"/>
      <w:marBottom w:val="0"/>
      <w:divBdr>
        <w:top w:val="none" w:sz="0" w:space="0" w:color="auto"/>
        <w:left w:val="none" w:sz="0" w:space="0" w:color="auto"/>
        <w:bottom w:val="none" w:sz="0" w:space="0" w:color="auto"/>
        <w:right w:val="none" w:sz="0" w:space="0" w:color="auto"/>
      </w:divBdr>
    </w:div>
    <w:div w:id="413432939">
      <w:bodyDiv w:val="1"/>
      <w:marLeft w:val="0"/>
      <w:marRight w:val="0"/>
      <w:marTop w:val="0"/>
      <w:marBottom w:val="0"/>
      <w:divBdr>
        <w:top w:val="none" w:sz="0" w:space="0" w:color="auto"/>
        <w:left w:val="none" w:sz="0" w:space="0" w:color="auto"/>
        <w:bottom w:val="none" w:sz="0" w:space="0" w:color="auto"/>
        <w:right w:val="none" w:sz="0" w:space="0" w:color="auto"/>
      </w:divBdr>
    </w:div>
    <w:div w:id="413476412">
      <w:bodyDiv w:val="1"/>
      <w:marLeft w:val="0"/>
      <w:marRight w:val="0"/>
      <w:marTop w:val="0"/>
      <w:marBottom w:val="0"/>
      <w:divBdr>
        <w:top w:val="none" w:sz="0" w:space="0" w:color="auto"/>
        <w:left w:val="none" w:sz="0" w:space="0" w:color="auto"/>
        <w:bottom w:val="none" w:sz="0" w:space="0" w:color="auto"/>
        <w:right w:val="none" w:sz="0" w:space="0" w:color="auto"/>
      </w:divBdr>
    </w:div>
    <w:div w:id="413824331">
      <w:bodyDiv w:val="1"/>
      <w:marLeft w:val="0"/>
      <w:marRight w:val="0"/>
      <w:marTop w:val="0"/>
      <w:marBottom w:val="0"/>
      <w:divBdr>
        <w:top w:val="none" w:sz="0" w:space="0" w:color="auto"/>
        <w:left w:val="none" w:sz="0" w:space="0" w:color="auto"/>
        <w:bottom w:val="none" w:sz="0" w:space="0" w:color="auto"/>
        <w:right w:val="none" w:sz="0" w:space="0" w:color="auto"/>
      </w:divBdr>
    </w:div>
    <w:div w:id="414398567">
      <w:bodyDiv w:val="1"/>
      <w:marLeft w:val="0"/>
      <w:marRight w:val="0"/>
      <w:marTop w:val="0"/>
      <w:marBottom w:val="0"/>
      <w:divBdr>
        <w:top w:val="none" w:sz="0" w:space="0" w:color="auto"/>
        <w:left w:val="none" w:sz="0" w:space="0" w:color="auto"/>
        <w:bottom w:val="none" w:sz="0" w:space="0" w:color="auto"/>
        <w:right w:val="none" w:sz="0" w:space="0" w:color="auto"/>
      </w:divBdr>
    </w:div>
    <w:div w:id="414741656">
      <w:bodyDiv w:val="1"/>
      <w:marLeft w:val="0"/>
      <w:marRight w:val="0"/>
      <w:marTop w:val="0"/>
      <w:marBottom w:val="0"/>
      <w:divBdr>
        <w:top w:val="none" w:sz="0" w:space="0" w:color="auto"/>
        <w:left w:val="none" w:sz="0" w:space="0" w:color="auto"/>
        <w:bottom w:val="none" w:sz="0" w:space="0" w:color="auto"/>
        <w:right w:val="none" w:sz="0" w:space="0" w:color="auto"/>
      </w:divBdr>
    </w:div>
    <w:div w:id="416096923">
      <w:bodyDiv w:val="1"/>
      <w:marLeft w:val="0"/>
      <w:marRight w:val="0"/>
      <w:marTop w:val="0"/>
      <w:marBottom w:val="0"/>
      <w:divBdr>
        <w:top w:val="none" w:sz="0" w:space="0" w:color="auto"/>
        <w:left w:val="none" w:sz="0" w:space="0" w:color="auto"/>
        <w:bottom w:val="none" w:sz="0" w:space="0" w:color="auto"/>
        <w:right w:val="none" w:sz="0" w:space="0" w:color="auto"/>
      </w:divBdr>
    </w:div>
    <w:div w:id="416099774">
      <w:bodyDiv w:val="1"/>
      <w:marLeft w:val="0"/>
      <w:marRight w:val="0"/>
      <w:marTop w:val="0"/>
      <w:marBottom w:val="0"/>
      <w:divBdr>
        <w:top w:val="none" w:sz="0" w:space="0" w:color="auto"/>
        <w:left w:val="none" w:sz="0" w:space="0" w:color="auto"/>
        <w:bottom w:val="none" w:sz="0" w:space="0" w:color="auto"/>
        <w:right w:val="none" w:sz="0" w:space="0" w:color="auto"/>
      </w:divBdr>
    </w:div>
    <w:div w:id="416362375">
      <w:bodyDiv w:val="1"/>
      <w:marLeft w:val="0"/>
      <w:marRight w:val="0"/>
      <w:marTop w:val="0"/>
      <w:marBottom w:val="0"/>
      <w:divBdr>
        <w:top w:val="none" w:sz="0" w:space="0" w:color="auto"/>
        <w:left w:val="none" w:sz="0" w:space="0" w:color="auto"/>
        <w:bottom w:val="none" w:sz="0" w:space="0" w:color="auto"/>
        <w:right w:val="none" w:sz="0" w:space="0" w:color="auto"/>
      </w:divBdr>
    </w:div>
    <w:div w:id="417215885">
      <w:bodyDiv w:val="1"/>
      <w:marLeft w:val="0"/>
      <w:marRight w:val="0"/>
      <w:marTop w:val="0"/>
      <w:marBottom w:val="0"/>
      <w:divBdr>
        <w:top w:val="none" w:sz="0" w:space="0" w:color="auto"/>
        <w:left w:val="none" w:sz="0" w:space="0" w:color="auto"/>
        <w:bottom w:val="none" w:sz="0" w:space="0" w:color="auto"/>
        <w:right w:val="none" w:sz="0" w:space="0" w:color="auto"/>
      </w:divBdr>
    </w:div>
    <w:div w:id="417219442">
      <w:bodyDiv w:val="1"/>
      <w:marLeft w:val="0"/>
      <w:marRight w:val="0"/>
      <w:marTop w:val="0"/>
      <w:marBottom w:val="0"/>
      <w:divBdr>
        <w:top w:val="none" w:sz="0" w:space="0" w:color="auto"/>
        <w:left w:val="none" w:sz="0" w:space="0" w:color="auto"/>
        <w:bottom w:val="none" w:sz="0" w:space="0" w:color="auto"/>
        <w:right w:val="none" w:sz="0" w:space="0" w:color="auto"/>
      </w:divBdr>
    </w:div>
    <w:div w:id="417824373">
      <w:bodyDiv w:val="1"/>
      <w:marLeft w:val="0"/>
      <w:marRight w:val="0"/>
      <w:marTop w:val="0"/>
      <w:marBottom w:val="0"/>
      <w:divBdr>
        <w:top w:val="none" w:sz="0" w:space="0" w:color="auto"/>
        <w:left w:val="none" w:sz="0" w:space="0" w:color="auto"/>
        <w:bottom w:val="none" w:sz="0" w:space="0" w:color="auto"/>
        <w:right w:val="none" w:sz="0" w:space="0" w:color="auto"/>
      </w:divBdr>
    </w:div>
    <w:div w:id="419907905">
      <w:bodyDiv w:val="1"/>
      <w:marLeft w:val="0"/>
      <w:marRight w:val="0"/>
      <w:marTop w:val="0"/>
      <w:marBottom w:val="0"/>
      <w:divBdr>
        <w:top w:val="none" w:sz="0" w:space="0" w:color="auto"/>
        <w:left w:val="none" w:sz="0" w:space="0" w:color="auto"/>
        <w:bottom w:val="none" w:sz="0" w:space="0" w:color="auto"/>
        <w:right w:val="none" w:sz="0" w:space="0" w:color="auto"/>
      </w:divBdr>
    </w:div>
    <w:div w:id="419911694">
      <w:bodyDiv w:val="1"/>
      <w:marLeft w:val="0"/>
      <w:marRight w:val="0"/>
      <w:marTop w:val="0"/>
      <w:marBottom w:val="0"/>
      <w:divBdr>
        <w:top w:val="none" w:sz="0" w:space="0" w:color="auto"/>
        <w:left w:val="none" w:sz="0" w:space="0" w:color="auto"/>
        <w:bottom w:val="none" w:sz="0" w:space="0" w:color="auto"/>
        <w:right w:val="none" w:sz="0" w:space="0" w:color="auto"/>
      </w:divBdr>
    </w:div>
    <w:div w:id="421535690">
      <w:bodyDiv w:val="1"/>
      <w:marLeft w:val="0"/>
      <w:marRight w:val="0"/>
      <w:marTop w:val="0"/>
      <w:marBottom w:val="0"/>
      <w:divBdr>
        <w:top w:val="none" w:sz="0" w:space="0" w:color="auto"/>
        <w:left w:val="none" w:sz="0" w:space="0" w:color="auto"/>
        <w:bottom w:val="none" w:sz="0" w:space="0" w:color="auto"/>
        <w:right w:val="none" w:sz="0" w:space="0" w:color="auto"/>
      </w:divBdr>
    </w:div>
    <w:div w:id="421725836">
      <w:bodyDiv w:val="1"/>
      <w:marLeft w:val="0"/>
      <w:marRight w:val="0"/>
      <w:marTop w:val="0"/>
      <w:marBottom w:val="0"/>
      <w:divBdr>
        <w:top w:val="none" w:sz="0" w:space="0" w:color="auto"/>
        <w:left w:val="none" w:sz="0" w:space="0" w:color="auto"/>
        <w:bottom w:val="none" w:sz="0" w:space="0" w:color="auto"/>
        <w:right w:val="none" w:sz="0" w:space="0" w:color="auto"/>
      </w:divBdr>
    </w:div>
    <w:div w:id="422338121">
      <w:bodyDiv w:val="1"/>
      <w:marLeft w:val="0"/>
      <w:marRight w:val="0"/>
      <w:marTop w:val="0"/>
      <w:marBottom w:val="0"/>
      <w:divBdr>
        <w:top w:val="none" w:sz="0" w:space="0" w:color="auto"/>
        <w:left w:val="none" w:sz="0" w:space="0" w:color="auto"/>
        <w:bottom w:val="none" w:sz="0" w:space="0" w:color="auto"/>
        <w:right w:val="none" w:sz="0" w:space="0" w:color="auto"/>
      </w:divBdr>
    </w:div>
    <w:div w:id="424113116">
      <w:bodyDiv w:val="1"/>
      <w:marLeft w:val="0"/>
      <w:marRight w:val="0"/>
      <w:marTop w:val="0"/>
      <w:marBottom w:val="0"/>
      <w:divBdr>
        <w:top w:val="none" w:sz="0" w:space="0" w:color="auto"/>
        <w:left w:val="none" w:sz="0" w:space="0" w:color="auto"/>
        <w:bottom w:val="none" w:sz="0" w:space="0" w:color="auto"/>
        <w:right w:val="none" w:sz="0" w:space="0" w:color="auto"/>
      </w:divBdr>
    </w:div>
    <w:div w:id="424544803">
      <w:bodyDiv w:val="1"/>
      <w:marLeft w:val="0"/>
      <w:marRight w:val="0"/>
      <w:marTop w:val="0"/>
      <w:marBottom w:val="0"/>
      <w:divBdr>
        <w:top w:val="none" w:sz="0" w:space="0" w:color="auto"/>
        <w:left w:val="none" w:sz="0" w:space="0" w:color="auto"/>
        <w:bottom w:val="none" w:sz="0" w:space="0" w:color="auto"/>
        <w:right w:val="none" w:sz="0" w:space="0" w:color="auto"/>
      </w:divBdr>
    </w:div>
    <w:div w:id="424617595">
      <w:bodyDiv w:val="1"/>
      <w:marLeft w:val="0"/>
      <w:marRight w:val="0"/>
      <w:marTop w:val="0"/>
      <w:marBottom w:val="0"/>
      <w:divBdr>
        <w:top w:val="none" w:sz="0" w:space="0" w:color="auto"/>
        <w:left w:val="none" w:sz="0" w:space="0" w:color="auto"/>
        <w:bottom w:val="none" w:sz="0" w:space="0" w:color="auto"/>
        <w:right w:val="none" w:sz="0" w:space="0" w:color="auto"/>
      </w:divBdr>
    </w:div>
    <w:div w:id="425225474">
      <w:bodyDiv w:val="1"/>
      <w:marLeft w:val="0"/>
      <w:marRight w:val="0"/>
      <w:marTop w:val="0"/>
      <w:marBottom w:val="0"/>
      <w:divBdr>
        <w:top w:val="none" w:sz="0" w:space="0" w:color="auto"/>
        <w:left w:val="none" w:sz="0" w:space="0" w:color="auto"/>
        <w:bottom w:val="none" w:sz="0" w:space="0" w:color="auto"/>
        <w:right w:val="none" w:sz="0" w:space="0" w:color="auto"/>
      </w:divBdr>
    </w:div>
    <w:div w:id="426190649">
      <w:bodyDiv w:val="1"/>
      <w:marLeft w:val="0"/>
      <w:marRight w:val="0"/>
      <w:marTop w:val="0"/>
      <w:marBottom w:val="0"/>
      <w:divBdr>
        <w:top w:val="none" w:sz="0" w:space="0" w:color="auto"/>
        <w:left w:val="none" w:sz="0" w:space="0" w:color="auto"/>
        <w:bottom w:val="none" w:sz="0" w:space="0" w:color="auto"/>
        <w:right w:val="none" w:sz="0" w:space="0" w:color="auto"/>
      </w:divBdr>
    </w:div>
    <w:div w:id="426508428">
      <w:bodyDiv w:val="1"/>
      <w:marLeft w:val="0"/>
      <w:marRight w:val="0"/>
      <w:marTop w:val="0"/>
      <w:marBottom w:val="0"/>
      <w:divBdr>
        <w:top w:val="none" w:sz="0" w:space="0" w:color="auto"/>
        <w:left w:val="none" w:sz="0" w:space="0" w:color="auto"/>
        <w:bottom w:val="none" w:sz="0" w:space="0" w:color="auto"/>
        <w:right w:val="none" w:sz="0" w:space="0" w:color="auto"/>
      </w:divBdr>
    </w:div>
    <w:div w:id="426773223">
      <w:bodyDiv w:val="1"/>
      <w:marLeft w:val="0"/>
      <w:marRight w:val="0"/>
      <w:marTop w:val="0"/>
      <w:marBottom w:val="0"/>
      <w:divBdr>
        <w:top w:val="none" w:sz="0" w:space="0" w:color="auto"/>
        <w:left w:val="none" w:sz="0" w:space="0" w:color="auto"/>
        <w:bottom w:val="none" w:sz="0" w:space="0" w:color="auto"/>
        <w:right w:val="none" w:sz="0" w:space="0" w:color="auto"/>
      </w:divBdr>
    </w:div>
    <w:div w:id="427779060">
      <w:bodyDiv w:val="1"/>
      <w:marLeft w:val="0"/>
      <w:marRight w:val="0"/>
      <w:marTop w:val="0"/>
      <w:marBottom w:val="0"/>
      <w:divBdr>
        <w:top w:val="none" w:sz="0" w:space="0" w:color="auto"/>
        <w:left w:val="none" w:sz="0" w:space="0" w:color="auto"/>
        <w:bottom w:val="none" w:sz="0" w:space="0" w:color="auto"/>
        <w:right w:val="none" w:sz="0" w:space="0" w:color="auto"/>
      </w:divBdr>
    </w:div>
    <w:div w:id="427964658">
      <w:bodyDiv w:val="1"/>
      <w:marLeft w:val="0"/>
      <w:marRight w:val="0"/>
      <w:marTop w:val="0"/>
      <w:marBottom w:val="0"/>
      <w:divBdr>
        <w:top w:val="none" w:sz="0" w:space="0" w:color="auto"/>
        <w:left w:val="none" w:sz="0" w:space="0" w:color="auto"/>
        <w:bottom w:val="none" w:sz="0" w:space="0" w:color="auto"/>
        <w:right w:val="none" w:sz="0" w:space="0" w:color="auto"/>
      </w:divBdr>
    </w:div>
    <w:div w:id="428545360">
      <w:bodyDiv w:val="1"/>
      <w:marLeft w:val="0"/>
      <w:marRight w:val="0"/>
      <w:marTop w:val="0"/>
      <w:marBottom w:val="0"/>
      <w:divBdr>
        <w:top w:val="none" w:sz="0" w:space="0" w:color="auto"/>
        <w:left w:val="none" w:sz="0" w:space="0" w:color="auto"/>
        <w:bottom w:val="none" w:sz="0" w:space="0" w:color="auto"/>
        <w:right w:val="none" w:sz="0" w:space="0" w:color="auto"/>
      </w:divBdr>
    </w:div>
    <w:div w:id="428700820">
      <w:bodyDiv w:val="1"/>
      <w:marLeft w:val="0"/>
      <w:marRight w:val="0"/>
      <w:marTop w:val="0"/>
      <w:marBottom w:val="0"/>
      <w:divBdr>
        <w:top w:val="none" w:sz="0" w:space="0" w:color="auto"/>
        <w:left w:val="none" w:sz="0" w:space="0" w:color="auto"/>
        <w:bottom w:val="none" w:sz="0" w:space="0" w:color="auto"/>
        <w:right w:val="none" w:sz="0" w:space="0" w:color="auto"/>
      </w:divBdr>
    </w:div>
    <w:div w:id="428964680">
      <w:bodyDiv w:val="1"/>
      <w:marLeft w:val="0"/>
      <w:marRight w:val="0"/>
      <w:marTop w:val="0"/>
      <w:marBottom w:val="0"/>
      <w:divBdr>
        <w:top w:val="none" w:sz="0" w:space="0" w:color="auto"/>
        <w:left w:val="none" w:sz="0" w:space="0" w:color="auto"/>
        <w:bottom w:val="none" w:sz="0" w:space="0" w:color="auto"/>
        <w:right w:val="none" w:sz="0" w:space="0" w:color="auto"/>
      </w:divBdr>
    </w:div>
    <w:div w:id="429199725">
      <w:bodyDiv w:val="1"/>
      <w:marLeft w:val="0"/>
      <w:marRight w:val="0"/>
      <w:marTop w:val="0"/>
      <w:marBottom w:val="0"/>
      <w:divBdr>
        <w:top w:val="none" w:sz="0" w:space="0" w:color="auto"/>
        <w:left w:val="none" w:sz="0" w:space="0" w:color="auto"/>
        <w:bottom w:val="none" w:sz="0" w:space="0" w:color="auto"/>
        <w:right w:val="none" w:sz="0" w:space="0" w:color="auto"/>
      </w:divBdr>
    </w:div>
    <w:div w:id="429351268">
      <w:bodyDiv w:val="1"/>
      <w:marLeft w:val="0"/>
      <w:marRight w:val="0"/>
      <w:marTop w:val="0"/>
      <w:marBottom w:val="0"/>
      <w:divBdr>
        <w:top w:val="none" w:sz="0" w:space="0" w:color="auto"/>
        <w:left w:val="none" w:sz="0" w:space="0" w:color="auto"/>
        <w:bottom w:val="none" w:sz="0" w:space="0" w:color="auto"/>
        <w:right w:val="none" w:sz="0" w:space="0" w:color="auto"/>
      </w:divBdr>
    </w:div>
    <w:div w:id="431901290">
      <w:bodyDiv w:val="1"/>
      <w:marLeft w:val="0"/>
      <w:marRight w:val="0"/>
      <w:marTop w:val="0"/>
      <w:marBottom w:val="0"/>
      <w:divBdr>
        <w:top w:val="none" w:sz="0" w:space="0" w:color="auto"/>
        <w:left w:val="none" w:sz="0" w:space="0" w:color="auto"/>
        <w:bottom w:val="none" w:sz="0" w:space="0" w:color="auto"/>
        <w:right w:val="none" w:sz="0" w:space="0" w:color="auto"/>
      </w:divBdr>
    </w:div>
    <w:div w:id="432019425">
      <w:bodyDiv w:val="1"/>
      <w:marLeft w:val="0"/>
      <w:marRight w:val="0"/>
      <w:marTop w:val="0"/>
      <w:marBottom w:val="0"/>
      <w:divBdr>
        <w:top w:val="none" w:sz="0" w:space="0" w:color="auto"/>
        <w:left w:val="none" w:sz="0" w:space="0" w:color="auto"/>
        <w:bottom w:val="none" w:sz="0" w:space="0" w:color="auto"/>
        <w:right w:val="none" w:sz="0" w:space="0" w:color="auto"/>
      </w:divBdr>
    </w:div>
    <w:div w:id="432166711">
      <w:bodyDiv w:val="1"/>
      <w:marLeft w:val="0"/>
      <w:marRight w:val="0"/>
      <w:marTop w:val="0"/>
      <w:marBottom w:val="0"/>
      <w:divBdr>
        <w:top w:val="none" w:sz="0" w:space="0" w:color="auto"/>
        <w:left w:val="none" w:sz="0" w:space="0" w:color="auto"/>
        <w:bottom w:val="none" w:sz="0" w:space="0" w:color="auto"/>
        <w:right w:val="none" w:sz="0" w:space="0" w:color="auto"/>
      </w:divBdr>
    </w:div>
    <w:div w:id="432212271">
      <w:bodyDiv w:val="1"/>
      <w:marLeft w:val="0"/>
      <w:marRight w:val="0"/>
      <w:marTop w:val="0"/>
      <w:marBottom w:val="0"/>
      <w:divBdr>
        <w:top w:val="none" w:sz="0" w:space="0" w:color="auto"/>
        <w:left w:val="none" w:sz="0" w:space="0" w:color="auto"/>
        <w:bottom w:val="none" w:sz="0" w:space="0" w:color="auto"/>
        <w:right w:val="none" w:sz="0" w:space="0" w:color="auto"/>
      </w:divBdr>
    </w:div>
    <w:div w:id="432824647">
      <w:bodyDiv w:val="1"/>
      <w:marLeft w:val="0"/>
      <w:marRight w:val="0"/>
      <w:marTop w:val="0"/>
      <w:marBottom w:val="0"/>
      <w:divBdr>
        <w:top w:val="none" w:sz="0" w:space="0" w:color="auto"/>
        <w:left w:val="none" w:sz="0" w:space="0" w:color="auto"/>
        <w:bottom w:val="none" w:sz="0" w:space="0" w:color="auto"/>
        <w:right w:val="none" w:sz="0" w:space="0" w:color="auto"/>
      </w:divBdr>
    </w:div>
    <w:div w:id="432867969">
      <w:bodyDiv w:val="1"/>
      <w:marLeft w:val="0"/>
      <w:marRight w:val="0"/>
      <w:marTop w:val="0"/>
      <w:marBottom w:val="0"/>
      <w:divBdr>
        <w:top w:val="none" w:sz="0" w:space="0" w:color="auto"/>
        <w:left w:val="none" w:sz="0" w:space="0" w:color="auto"/>
        <w:bottom w:val="none" w:sz="0" w:space="0" w:color="auto"/>
        <w:right w:val="none" w:sz="0" w:space="0" w:color="auto"/>
      </w:divBdr>
    </w:div>
    <w:div w:id="433328807">
      <w:bodyDiv w:val="1"/>
      <w:marLeft w:val="0"/>
      <w:marRight w:val="0"/>
      <w:marTop w:val="0"/>
      <w:marBottom w:val="0"/>
      <w:divBdr>
        <w:top w:val="none" w:sz="0" w:space="0" w:color="auto"/>
        <w:left w:val="none" w:sz="0" w:space="0" w:color="auto"/>
        <w:bottom w:val="none" w:sz="0" w:space="0" w:color="auto"/>
        <w:right w:val="none" w:sz="0" w:space="0" w:color="auto"/>
      </w:divBdr>
    </w:div>
    <w:div w:id="433550716">
      <w:bodyDiv w:val="1"/>
      <w:marLeft w:val="0"/>
      <w:marRight w:val="0"/>
      <w:marTop w:val="0"/>
      <w:marBottom w:val="0"/>
      <w:divBdr>
        <w:top w:val="none" w:sz="0" w:space="0" w:color="auto"/>
        <w:left w:val="none" w:sz="0" w:space="0" w:color="auto"/>
        <w:bottom w:val="none" w:sz="0" w:space="0" w:color="auto"/>
        <w:right w:val="none" w:sz="0" w:space="0" w:color="auto"/>
      </w:divBdr>
    </w:div>
    <w:div w:id="433674563">
      <w:bodyDiv w:val="1"/>
      <w:marLeft w:val="0"/>
      <w:marRight w:val="0"/>
      <w:marTop w:val="0"/>
      <w:marBottom w:val="0"/>
      <w:divBdr>
        <w:top w:val="none" w:sz="0" w:space="0" w:color="auto"/>
        <w:left w:val="none" w:sz="0" w:space="0" w:color="auto"/>
        <w:bottom w:val="none" w:sz="0" w:space="0" w:color="auto"/>
        <w:right w:val="none" w:sz="0" w:space="0" w:color="auto"/>
      </w:divBdr>
    </w:div>
    <w:div w:id="434446756">
      <w:bodyDiv w:val="1"/>
      <w:marLeft w:val="0"/>
      <w:marRight w:val="0"/>
      <w:marTop w:val="0"/>
      <w:marBottom w:val="0"/>
      <w:divBdr>
        <w:top w:val="none" w:sz="0" w:space="0" w:color="auto"/>
        <w:left w:val="none" w:sz="0" w:space="0" w:color="auto"/>
        <w:bottom w:val="none" w:sz="0" w:space="0" w:color="auto"/>
        <w:right w:val="none" w:sz="0" w:space="0" w:color="auto"/>
      </w:divBdr>
    </w:div>
    <w:div w:id="435295786">
      <w:bodyDiv w:val="1"/>
      <w:marLeft w:val="0"/>
      <w:marRight w:val="0"/>
      <w:marTop w:val="0"/>
      <w:marBottom w:val="0"/>
      <w:divBdr>
        <w:top w:val="none" w:sz="0" w:space="0" w:color="auto"/>
        <w:left w:val="none" w:sz="0" w:space="0" w:color="auto"/>
        <w:bottom w:val="none" w:sz="0" w:space="0" w:color="auto"/>
        <w:right w:val="none" w:sz="0" w:space="0" w:color="auto"/>
      </w:divBdr>
    </w:div>
    <w:div w:id="435640061">
      <w:bodyDiv w:val="1"/>
      <w:marLeft w:val="0"/>
      <w:marRight w:val="0"/>
      <w:marTop w:val="0"/>
      <w:marBottom w:val="0"/>
      <w:divBdr>
        <w:top w:val="none" w:sz="0" w:space="0" w:color="auto"/>
        <w:left w:val="none" w:sz="0" w:space="0" w:color="auto"/>
        <w:bottom w:val="none" w:sz="0" w:space="0" w:color="auto"/>
        <w:right w:val="none" w:sz="0" w:space="0" w:color="auto"/>
      </w:divBdr>
    </w:div>
    <w:div w:id="436174567">
      <w:bodyDiv w:val="1"/>
      <w:marLeft w:val="0"/>
      <w:marRight w:val="0"/>
      <w:marTop w:val="0"/>
      <w:marBottom w:val="0"/>
      <w:divBdr>
        <w:top w:val="none" w:sz="0" w:space="0" w:color="auto"/>
        <w:left w:val="none" w:sz="0" w:space="0" w:color="auto"/>
        <w:bottom w:val="none" w:sz="0" w:space="0" w:color="auto"/>
        <w:right w:val="none" w:sz="0" w:space="0" w:color="auto"/>
      </w:divBdr>
    </w:div>
    <w:div w:id="436802067">
      <w:bodyDiv w:val="1"/>
      <w:marLeft w:val="0"/>
      <w:marRight w:val="0"/>
      <w:marTop w:val="0"/>
      <w:marBottom w:val="0"/>
      <w:divBdr>
        <w:top w:val="none" w:sz="0" w:space="0" w:color="auto"/>
        <w:left w:val="none" w:sz="0" w:space="0" w:color="auto"/>
        <w:bottom w:val="none" w:sz="0" w:space="0" w:color="auto"/>
        <w:right w:val="none" w:sz="0" w:space="0" w:color="auto"/>
      </w:divBdr>
    </w:div>
    <w:div w:id="437531042">
      <w:bodyDiv w:val="1"/>
      <w:marLeft w:val="0"/>
      <w:marRight w:val="0"/>
      <w:marTop w:val="0"/>
      <w:marBottom w:val="0"/>
      <w:divBdr>
        <w:top w:val="none" w:sz="0" w:space="0" w:color="auto"/>
        <w:left w:val="none" w:sz="0" w:space="0" w:color="auto"/>
        <w:bottom w:val="none" w:sz="0" w:space="0" w:color="auto"/>
        <w:right w:val="none" w:sz="0" w:space="0" w:color="auto"/>
      </w:divBdr>
    </w:div>
    <w:div w:id="438066448">
      <w:bodyDiv w:val="1"/>
      <w:marLeft w:val="0"/>
      <w:marRight w:val="0"/>
      <w:marTop w:val="0"/>
      <w:marBottom w:val="0"/>
      <w:divBdr>
        <w:top w:val="none" w:sz="0" w:space="0" w:color="auto"/>
        <w:left w:val="none" w:sz="0" w:space="0" w:color="auto"/>
        <w:bottom w:val="none" w:sz="0" w:space="0" w:color="auto"/>
        <w:right w:val="none" w:sz="0" w:space="0" w:color="auto"/>
      </w:divBdr>
    </w:div>
    <w:div w:id="438332665">
      <w:bodyDiv w:val="1"/>
      <w:marLeft w:val="0"/>
      <w:marRight w:val="0"/>
      <w:marTop w:val="0"/>
      <w:marBottom w:val="0"/>
      <w:divBdr>
        <w:top w:val="none" w:sz="0" w:space="0" w:color="auto"/>
        <w:left w:val="none" w:sz="0" w:space="0" w:color="auto"/>
        <w:bottom w:val="none" w:sz="0" w:space="0" w:color="auto"/>
        <w:right w:val="none" w:sz="0" w:space="0" w:color="auto"/>
      </w:divBdr>
    </w:div>
    <w:div w:id="438795555">
      <w:bodyDiv w:val="1"/>
      <w:marLeft w:val="0"/>
      <w:marRight w:val="0"/>
      <w:marTop w:val="0"/>
      <w:marBottom w:val="0"/>
      <w:divBdr>
        <w:top w:val="none" w:sz="0" w:space="0" w:color="auto"/>
        <w:left w:val="none" w:sz="0" w:space="0" w:color="auto"/>
        <w:bottom w:val="none" w:sz="0" w:space="0" w:color="auto"/>
        <w:right w:val="none" w:sz="0" w:space="0" w:color="auto"/>
      </w:divBdr>
    </w:div>
    <w:div w:id="440296479">
      <w:bodyDiv w:val="1"/>
      <w:marLeft w:val="0"/>
      <w:marRight w:val="0"/>
      <w:marTop w:val="0"/>
      <w:marBottom w:val="0"/>
      <w:divBdr>
        <w:top w:val="none" w:sz="0" w:space="0" w:color="auto"/>
        <w:left w:val="none" w:sz="0" w:space="0" w:color="auto"/>
        <w:bottom w:val="none" w:sz="0" w:space="0" w:color="auto"/>
        <w:right w:val="none" w:sz="0" w:space="0" w:color="auto"/>
      </w:divBdr>
    </w:div>
    <w:div w:id="440564011">
      <w:bodyDiv w:val="1"/>
      <w:marLeft w:val="0"/>
      <w:marRight w:val="0"/>
      <w:marTop w:val="0"/>
      <w:marBottom w:val="0"/>
      <w:divBdr>
        <w:top w:val="none" w:sz="0" w:space="0" w:color="auto"/>
        <w:left w:val="none" w:sz="0" w:space="0" w:color="auto"/>
        <w:bottom w:val="none" w:sz="0" w:space="0" w:color="auto"/>
        <w:right w:val="none" w:sz="0" w:space="0" w:color="auto"/>
      </w:divBdr>
    </w:div>
    <w:div w:id="440881746">
      <w:bodyDiv w:val="1"/>
      <w:marLeft w:val="0"/>
      <w:marRight w:val="0"/>
      <w:marTop w:val="0"/>
      <w:marBottom w:val="0"/>
      <w:divBdr>
        <w:top w:val="none" w:sz="0" w:space="0" w:color="auto"/>
        <w:left w:val="none" w:sz="0" w:space="0" w:color="auto"/>
        <w:bottom w:val="none" w:sz="0" w:space="0" w:color="auto"/>
        <w:right w:val="none" w:sz="0" w:space="0" w:color="auto"/>
      </w:divBdr>
    </w:div>
    <w:div w:id="440883909">
      <w:bodyDiv w:val="1"/>
      <w:marLeft w:val="0"/>
      <w:marRight w:val="0"/>
      <w:marTop w:val="0"/>
      <w:marBottom w:val="0"/>
      <w:divBdr>
        <w:top w:val="none" w:sz="0" w:space="0" w:color="auto"/>
        <w:left w:val="none" w:sz="0" w:space="0" w:color="auto"/>
        <w:bottom w:val="none" w:sz="0" w:space="0" w:color="auto"/>
        <w:right w:val="none" w:sz="0" w:space="0" w:color="auto"/>
      </w:divBdr>
    </w:div>
    <w:div w:id="441071675">
      <w:bodyDiv w:val="1"/>
      <w:marLeft w:val="0"/>
      <w:marRight w:val="0"/>
      <w:marTop w:val="0"/>
      <w:marBottom w:val="0"/>
      <w:divBdr>
        <w:top w:val="none" w:sz="0" w:space="0" w:color="auto"/>
        <w:left w:val="none" w:sz="0" w:space="0" w:color="auto"/>
        <w:bottom w:val="none" w:sz="0" w:space="0" w:color="auto"/>
        <w:right w:val="none" w:sz="0" w:space="0" w:color="auto"/>
      </w:divBdr>
    </w:div>
    <w:div w:id="441461151">
      <w:bodyDiv w:val="1"/>
      <w:marLeft w:val="0"/>
      <w:marRight w:val="0"/>
      <w:marTop w:val="0"/>
      <w:marBottom w:val="0"/>
      <w:divBdr>
        <w:top w:val="none" w:sz="0" w:space="0" w:color="auto"/>
        <w:left w:val="none" w:sz="0" w:space="0" w:color="auto"/>
        <w:bottom w:val="none" w:sz="0" w:space="0" w:color="auto"/>
        <w:right w:val="none" w:sz="0" w:space="0" w:color="auto"/>
      </w:divBdr>
    </w:div>
    <w:div w:id="443113375">
      <w:bodyDiv w:val="1"/>
      <w:marLeft w:val="0"/>
      <w:marRight w:val="0"/>
      <w:marTop w:val="0"/>
      <w:marBottom w:val="0"/>
      <w:divBdr>
        <w:top w:val="none" w:sz="0" w:space="0" w:color="auto"/>
        <w:left w:val="none" w:sz="0" w:space="0" w:color="auto"/>
        <w:bottom w:val="none" w:sz="0" w:space="0" w:color="auto"/>
        <w:right w:val="none" w:sz="0" w:space="0" w:color="auto"/>
      </w:divBdr>
    </w:div>
    <w:div w:id="443308186">
      <w:bodyDiv w:val="1"/>
      <w:marLeft w:val="0"/>
      <w:marRight w:val="0"/>
      <w:marTop w:val="0"/>
      <w:marBottom w:val="0"/>
      <w:divBdr>
        <w:top w:val="none" w:sz="0" w:space="0" w:color="auto"/>
        <w:left w:val="none" w:sz="0" w:space="0" w:color="auto"/>
        <w:bottom w:val="none" w:sz="0" w:space="0" w:color="auto"/>
        <w:right w:val="none" w:sz="0" w:space="0" w:color="auto"/>
      </w:divBdr>
    </w:div>
    <w:div w:id="443496676">
      <w:bodyDiv w:val="1"/>
      <w:marLeft w:val="0"/>
      <w:marRight w:val="0"/>
      <w:marTop w:val="0"/>
      <w:marBottom w:val="0"/>
      <w:divBdr>
        <w:top w:val="none" w:sz="0" w:space="0" w:color="auto"/>
        <w:left w:val="none" w:sz="0" w:space="0" w:color="auto"/>
        <w:bottom w:val="none" w:sz="0" w:space="0" w:color="auto"/>
        <w:right w:val="none" w:sz="0" w:space="0" w:color="auto"/>
      </w:divBdr>
    </w:div>
    <w:div w:id="443690764">
      <w:bodyDiv w:val="1"/>
      <w:marLeft w:val="0"/>
      <w:marRight w:val="0"/>
      <w:marTop w:val="0"/>
      <w:marBottom w:val="0"/>
      <w:divBdr>
        <w:top w:val="none" w:sz="0" w:space="0" w:color="auto"/>
        <w:left w:val="none" w:sz="0" w:space="0" w:color="auto"/>
        <w:bottom w:val="none" w:sz="0" w:space="0" w:color="auto"/>
        <w:right w:val="none" w:sz="0" w:space="0" w:color="auto"/>
      </w:divBdr>
    </w:div>
    <w:div w:id="444933223">
      <w:bodyDiv w:val="1"/>
      <w:marLeft w:val="0"/>
      <w:marRight w:val="0"/>
      <w:marTop w:val="0"/>
      <w:marBottom w:val="0"/>
      <w:divBdr>
        <w:top w:val="none" w:sz="0" w:space="0" w:color="auto"/>
        <w:left w:val="none" w:sz="0" w:space="0" w:color="auto"/>
        <w:bottom w:val="none" w:sz="0" w:space="0" w:color="auto"/>
        <w:right w:val="none" w:sz="0" w:space="0" w:color="auto"/>
      </w:divBdr>
    </w:div>
    <w:div w:id="445002065">
      <w:bodyDiv w:val="1"/>
      <w:marLeft w:val="0"/>
      <w:marRight w:val="0"/>
      <w:marTop w:val="0"/>
      <w:marBottom w:val="0"/>
      <w:divBdr>
        <w:top w:val="none" w:sz="0" w:space="0" w:color="auto"/>
        <w:left w:val="none" w:sz="0" w:space="0" w:color="auto"/>
        <w:bottom w:val="none" w:sz="0" w:space="0" w:color="auto"/>
        <w:right w:val="none" w:sz="0" w:space="0" w:color="auto"/>
      </w:divBdr>
    </w:div>
    <w:div w:id="445736279">
      <w:bodyDiv w:val="1"/>
      <w:marLeft w:val="0"/>
      <w:marRight w:val="0"/>
      <w:marTop w:val="0"/>
      <w:marBottom w:val="0"/>
      <w:divBdr>
        <w:top w:val="none" w:sz="0" w:space="0" w:color="auto"/>
        <w:left w:val="none" w:sz="0" w:space="0" w:color="auto"/>
        <w:bottom w:val="none" w:sz="0" w:space="0" w:color="auto"/>
        <w:right w:val="none" w:sz="0" w:space="0" w:color="auto"/>
      </w:divBdr>
    </w:div>
    <w:div w:id="445780084">
      <w:bodyDiv w:val="1"/>
      <w:marLeft w:val="0"/>
      <w:marRight w:val="0"/>
      <w:marTop w:val="0"/>
      <w:marBottom w:val="0"/>
      <w:divBdr>
        <w:top w:val="none" w:sz="0" w:space="0" w:color="auto"/>
        <w:left w:val="none" w:sz="0" w:space="0" w:color="auto"/>
        <w:bottom w:val="none" w:sz="0" w:space="0" w:color="auto"/>
        <w:right w:val="none" w:sz="0" w:space="0" w:color="auto"/>
      </w:divBdr>
    </w:div>
    <w:div w:id="446123478">
      <w:bodyDiv w:val="1"/>
      <w:marLeft w:val="0"/>
      <w:marRight w:val="0"/>
      <w:marTop w:val="0"/>
      <w:marBottom w:val="0"/>
      <w:divBdr>
        <w:top w:val="none" w:sz="0" w:space="0" w:color="auto"/>
        <w:left w:val="none" w:sz="0" w:space="0" w:color="auto"/>
        <w:bottom w:val="none" w:sz="0" w:space="0" w:color="auto"/>
        <w:right w:val="none" w:sz="0" w:space="0" w:color="auto"/>
      </w:divBdr>
    </w:div>
    <w:div w:id="446851600">
      <w:bodyDiv w:val="1"/>
      <w:marLeft w:val="0"/>
      <w:marRight w:val="0"/>
      <w:marTop w:val="0"/>
      <w:marBottom w:val="0"/>
      <w:divBdr>
        <w:top w:val="none" w:sz="0" w:space="0" w:color="auto"/>
        <w:left w:val="none" w:sz="0" w:space="0" w:color="auto"/>
        <w:bottom w:val="none" w:sz="0" w:space="0" w:color="auto"/>
        <w:right w:val="none" w:sz="0" w:space="0" w:color="auto"/>
      </w:divBdr>
    </w:div>
    <w:div w:id="446975152">
      <w:bodyDiv w:val="1"/>
      <w:marLeft w:val="0"/>
      <w:marRight w:val="0"/>
      <w:marTop w:val="0"/>
      <w:marBottom w:val="0"/>
      <w:divBdr>
        <w:top w:val="none" w:sz="0" w:space="0" w:color="auto"/>
        <w:left w:val="none" w:sz="0" w:space="0" w:color="auto"/>
        <w:bottom w:val="none" w:sz="0" w:space="0" w:color="auto"/>
        <w:right w:val="none" w:sz="0" w:space="0" w:color="auto"/>
      </w:divBdr>
    </w:div>
    <w:div w:id="447622718">
      <w:bodyDiv w:val="1"/>
      <w:marLeft w:val="0"/>
      <w:marRight w:val="0"/>
      <w:marTop w:val="0"/>
      <w:marBottom w:val="0"/>
      <w:divBdr>
        <w:top w:val="none" w:sz="0" w:space="0" w:color="auto"/>
        <w:left w:val="none" w:sz="0" w:space="0" w:color="auto"/>
        <w:bottom w:val="none" w:sz="0" w:space="0" w:color="auto"/>
        <w:right w:val="none" w:sz="0" w:space="0" w:color="auto"/>
      </w:divBdr>
    </w:div>
    <w:div w:id="447629167">
      <w:bodyDiv w:val="1"/>
      <w:marLeft w:val="0"/>
      <w:marRight w:val="0"/>
      <w:marTop w:val="0"/>
      <w:marBottom w:val="0"/>
      <w:divBdr>
        <w:top w:val="none" w:sz="0" w:space="0" w:color="auto"/>
        <w:left w:val="none" w:sz="0" w:space="0" w:color="auto"/>
        <w:bottom w:val="none" w:sz="0" w:space="0" w:color="auto"/>
        <w:right w:val="none" w:sz="0" w:space="0" w:color="auto"/>
      </w:divBdr>
    </w:div>
    <w:div w:id="447700623">
      <w:bodyDiv w:val="1"/>
      <w:marLeft w:val="0"/>
      <w:marRight w:val="0"/>
      <w:marTop w:val="0"/>
      <w:marBottom w:val="0"/>
      <w:divBdr>
        <w:top w:val="none" w:sz="0" w:space="0" w:color="auto"/>
        <w:left w:val="none" w:sz="0" w:space="0" w:color="auto"/>
        <w:bottom w:val="none" w:sz="0" w:space="0" w:color="auto"/>
        <w:right w:val="none" w:sz="0" w:space="0" w:color="auto"/>
      </w:divBdr>
    </w:div>
    <w:div w:id="447891110">
      <w:bodyDiv w:val="1"/>
      <w:marLeft w:val="0"/>
      <w:marRight w:val="0"/>
      <w:marTop w:val="0"/>
      <w:marBottom w:val="0"/>
      <w:divBdr>
        <w:top w:val="none" w:sz="0" w:space="0" w:color="auto"/>
        <w:left w:val="none" w:sz="0" w:space="0" w:color="auto"/>
        <w:bottom w:val="none" w:sz="0" w:space="0" w:color="auto"/>
        <w:right w:val="none" w:sz="0" w:space="0" w:color="auto"/>
      </w:divBdr>
    </w:div>
    <w:div w:id="448625159">
      <w:bodyDiv w:val="1"/>
      <w:marLeft w:val="0"/>
      <w:marRight w:val="0"/>
      <w:marTop w:val="0"/>
      <w:marBottom w:val="0"/>
      <w:divBdr>
        <w:top w:val="none" w:sz="0" w:space="0" w:color="auto"/>
        <w:left w:val="none" w:sz="0" w:space="0" w:color="auto"/>
        <w:bottom w:val="none" w:sz="0" w:space="0" w:color="auto"/>
        <w:right w:val="none" w:sz="0" w:space="0" w:color="auto"/>
      </w:divBdr>
    </w:div>
    <w:div w:id="449054491">
      <w:bodyDiv w:val="1"/>
      <w:marLeft w:val="0"/>
      <w:marRight w:val="0"/>
      <w:marTop w:val="0"/>
      <w:marBottom w:val="0"/>
      <w:divBdr>
        <w:top w:val="none" w:sz="0" w:space="0" w:color="auto"/>
        <w:left w:val="none" w:sz="0" w:space="0" w:color="auto"/>
        <w:bottom w:val="none" w:sz="0" w:space="0" w:color="auto"/>
        <w:right w:val="none" w:sz="0" w:space="0" w:color="auto"/>
      </w:divBdr>
    </w:div>
    <w:div w:id="449085191">
      <w:bodyDiv w:val="1"/>
      <w:marLeft w:val="0"/>
      <w:marRight w:val="0"/>
      <w:marTop w:val="0"/>
      <w:marBottom w:val="0"/>
      <w:divBdr>
        <w:top w:val="none" w:sz="0" w:space="0" w:color="auto"/>
        <w:left w:val="none" w:sz="0" w:space="0" w:color="auto"/>
        <w:bottom w:val="none" w:sz="0" w:space="0" w:color="auto"/>
        <w:right w:val="none" w:sz="0" w:space="0" w:color="auto"/>
      </w:divBdr>
    </w:div>
    <w:div w:id="449516027">
      <w:bodyDiv w:val="1"/>
      <w:marLeft w:val="0"/>
      <w:marRight w:val="0"/>
      <w:marTop w:val="0"/>
      <w:marBottom w:val="0"/>
      <w:divBdr>
        <w:top w:val="none" w:sz="0" w:space="0" w:color="auto"/>
        <w:left w:val="none" w:sz="0" w:space="0" w:color="auto"/>
        <w:bottom w:val="none" w:sz="0" w:space="0" w:color="auto"/>
        <w:right w:val="none" w:sz="0" w:space="0" w:color="auto"/>
      </w:divBdr>
    </w:div>
    <w:div w:id="449864728">
      <w:bodyDiv w:val="1"/>
      <w:marLeft w:val="0"/>
      <w:marRight w:val="0"/>
      <w:marTop w:val="0"/>
      <w:marBottom w:val="0"/>
      <w:divBdr>
        <w:top w:val="none" w:sz="0" w:space="0" w:color="auto"/>
        <w:left w:val="none" w:sz="0" w:space="0" w:color="auto"/>
        <w:bottom w:val="none" w:sz="0" w:space="0" w:color="auto"/>
        <w:right w:val="none" w:sz="0" w:space="0" w:color="auto"/>
      </w:divBdr>
    </w:div>
    <w:div w:id="452527428">
      <w:bodyDiv w:val="1"/>
      <w:marLeft w:val="0"/>
      <w:marRight w:val="0"/>
      <w:marTop w:val="0"/>
      <w:marBottom w:val="0"/>
      <w:divBdr>
        <w:top w:val="none" w:sz="0" w:space="0" w:color="auto"/>
        <w:left w:val="none" w:sz="0" w:space="0" w:color="auto"/>
        <w:bottom w:val="none" w:sz="0" w:space="0" w:color="auto"/>
        <w:right w:val="none" w:sz="0" w:space="0" w:color="auto"/>
      </w:divBdr>
    </w:div>
    <w:div w:id="452672389">
      <w:bodyDiv w:val="1"/>
      <w:marLeft w:val="0"/>
      <w:marRight w:val="0"/>
      <w:marTop w:val="0"/>
      <w:marBottom w:val="0"/>
      <w:divBdr>
        <w:top w:val="none" w:sz="0" w:space="0" w:color="auto"/>
        <w:left w:val="none" w:sz="0" w:space="0" w:color="auto"/>
        <w:bottom w:val="none" w:sz="0" w:space="0" w:color="auto"/>
        <w:right w:val="none" w:sz="0" w:space="0" w:color="auto"/>
      </w:divBdr>
    </w:div>
    <w:div w:id="453251609">
      <w:bodyDiv w:val="1"/>
      <w:marLeft w:val="0"/>
      <w:marRight w:val="0"/>
      <w:marTop w:val="0"/>
      <w:marBottom w:val="0"/>
      <w:divBdr>
        <w:top w:val="none" w:sz="0" w:space="0" w:color="auto"/>
        <w:left w:val="none" w:sz="0" w:space="0" w:color="auto"/>
        <w:bottom w:val="none" w:sz="0" w:space="0" w:color="auto"/>
        <w:right w:val="none" w:sz="0" w:space="0" w:color="auto"/>
      </w:divBdr>
    </w:div>
    <w:div w:id="453721190">
      <w:bodyDiv w:val="1"/>
      <w:marLeft w:val="0"/>
      <w:marRight w:val="0"/>
      <w:marTop w:val="0"/>
      <w:marBottom w:val="0"/>
      <w:divBdr>
        <w:top w:val="none" w:sz="0" w:space="0" w:color="auto"/>
        <w:left w:val="none" w:sz="0" w:space="0" w:color="auto"/>
        <w:bottom w:val="none" w:sz="0" w:space="0" w:color="auto"/>
        <w:right w:val="none" w:sz="0" w:space="0" w:color="auto"/>
      </w:divBdr>
    </w:div>
    <w:div w:id="456410464">
      <w:bodyDiv w:val="1"/>
      <w:marLeft w:val="0"/>
      <w:marRight w:val="0"/>
      <w:marTop w:val="0"/>
      <w:marBottom w:val="0"/>
      <w:divBdr>
        <w:top w:val="none" w:sz="0" w:space="0" w:color="auto"/>
        <w:left w:val="none" w:sz="0" w:space="0" w:color="auto"/>
        <w:bottom w:val="none" w:sz="0" w:space="0" w:color="auto"/>
        <w:right w:val="none" w:sz="0" w:space="0" w:color="auto"/>
      </w:divBdr>
    </w:div>
    <w:div w:id="456947835">
      <w:bodyDiv w:val="1"/>
      <w:marLeft w:val="0"/>
      <w:marRight w:val="0"/>
      <w:marTop w:val="0"/>
      <w:marBottom w:val="0"/>
      <w:divBdr>
        <w:top w:val="none" w:sz="0" w:space="0" w:color="auto"/>
        <w:left w:val="none" w:sz="0" w:space="0" w:color="auto"/>
        <w:bottom w:val="none" w:sz="0" w:space="0" w:color="auto"/>
        <w:right w:val="none" w:sz="0" w:space="0" w:color="auto"/>
      </w:divBdr>
    </w:div>
    <w:div w:id="456991508">
      <w:bodyDiv w:val="1"/>
      <w:marLeft w:val="0"/>
      <w:marRight w:val="0"/>
      <w:marTop w:val="0"/>
      <w:marBottom w:val="0"/>
      <w:divBdr>
        <w:top w:val="none" w:sz="0" w:space="0" w:color="auto"/>
        <w:left w:val="none" w:sz="0" w:space="0" w:color="auto"/>
        <w:bottom w:val="none" w:sz="0" w:space="0" w:color="auto"/>
        <w:right w:val="none" w:sz="0" w:space="0" w:color="auto"/>
      </w:divBdr>
    </w:div>
    <w:div w:id="458453167">
      <w:bodyDiv w:val="1"/>
      <w:marLeft w:val="0"/>
      <w:marRight w:val="0"/>
      <w:marTop w:val="0"/>
      <w:marBottom w:val="0"/>
      <w:divBdr>
        <w:top w:val="none" w:sz="0" w:space="0" w:color="auto"/>
        <w:left w:val="none" w:sz="0" w:space="0" w:color="auto"/>
        <w:bottom w:val="none" w:sz="0" w:space="0" w:color="auto"/>
        <w:right w:val="none" w:sz="0" w:space="0" w:color="auto"/>
      </w:divBdr>
    </w:div>
    <w:div w:id="458645354">
      <w:bodyDiv w:val="1"/>
      <w:marLeft w:val="0"/>
      <w:marRight w:val="0"/>
      <w:marTop w:val="0"/>
      <w:marBottom w:val="0"/>
      <w:divBdr>
        <w:top w:val="none" w:sz="0" w:space="0" w:color="auto"/>
        <w:left w:val="none" w:sz="0" w:space="0" w:color="auto"/>
        <w:bottom w:val="none" w:sz="0" w:space="0" w:color="auto"/>
        <w:right w:val="none" w:sz="0" w:space="0" w:color="auto"/>
      </w:divBdr>
    </w:div>
    <w:div w:id="458769143">
      <w:bodyDiv w:val="1"/>
      <w:marLeft w:val="0"/>
      <w:marRight w:val="0"/>
      <w:marTop w:val="0"/>
      <w:marBottom w:val="0"/>
      <w:divBdr>
        <w:top w:val="none" w:sz="0" w:space="0" w:color="auto"/>
        <w:left w:val="none" w:sz="0" w:space="0" w:color="auto"/>
        <w:bottom w:val="none" w:sz="0" w:space="0" w:color="auto"/>
        <w:right w:val="none" w:sz="0" w:space="0" w:color="auto"/>
      </w:divBdr>
    </w:div>
    <w:div w:id="458839025">
      <w:bodyDiv w:val="1"/>
      <w:marLeft w:val="0"/>
      <w:marRight w:val="0"/>
      <w:marTop w:val="0"/>
      <w:marBottom w:val="0"/>
      <w:divBdr>
        <w:top w:val="none" w:sz="0" w:space="0" w:color="auto"/>
        <w:left w:val="none" w:sz="0" w:space="0" w:color="auto"/>
        <w:bottom w:val="none" w:sz="0" w:space="0" w:color="auto"/>
        <w:right w:val="none" w:sz="0" w:space="0" w:color="auto"/>
      </w:divBdr>
    </w:div>
    <w:div w:id="458912358">
      <w:bodyDiv w:val="1"/>
      <w:marLeft w:val="0"/>
      <w:marRight w:val="0"/>
      <w:marTop w:val="0"/>
      <w:marBottom w:val="0"/>
      <w:divBdr>
        <w:top w:val="none" w:sz="0" w:space="0" w:color="auto"/>
        <w:left w:val="none" w:sz="0" w:space="0" w:color="auto"/>
        <w:bottom w:val="none" w:sz="0" w:space="0" w:color="auto"/>
        <w:right w:val="none" w:sz="0" w:space="0" w:color="auto"/>
      </w:divBdr>
    </w:div>
    <w:div w:id="459299174">
      <w:bodyDiv w:val="1"/>
      <w:marLeft w:val="0"/>
      <w:marRight w:val="0"/>
      <w:marTop w:val="0"/>
      <w:marBottom w:val="0"/>
      <w:divBdr>
        <w:top w:val="none" w:sz="0" w:space="0" w:color="auto"/>
        <w:left w:val="none" w:sz="0" w:space="0" w:color="auto"/>
        <w:bottom w:val="none" w:sz="0" w:space="0" w:color="auto"/>
        <w:right w:val="none" w:sz="0" w:space="0" w:color="auto"/>
      </w:divBdr>
    </w:div>
    <w:div w:id="459496342">
      <w:bodyDiv w:val="1"/>
      <w:marLeft w:val="0"/>
      <w:marRight w:val="0"/>
      <w:marTop w:val="0"/>
      <w:marBottom w:val="0"/>
      <w:divBdr>
        <w:top w:val="none" w:sz="0" w:space="0" w:color="auto"/>
        <w:left w:val="none" w:sz="0" w:space="0" w:color="auto"/>
        <w:bottom w:val="none" w:sz="0" w:space="0" w:color="auto"/>
        <w:right w:val="none" w:sz="0" w:space="0" w:color="auto"/>
      </w:divBdr>
    </w:div>
    <w:div w:id="459953363">
      <w:bodyDiv w:val="1"/>
      <w:marLeft w:val="0"/>
      <w:marRight w:val="0"/>
      <w:marTop w:val="0"/>
      <w:marBottom w:val="0"/>
      <w:divBdr>
        <w:top w:val="none" w:sz="0" w:space="0" w:color="auto"/>
        <w:left w:val="none" w:sz="0" w:space="0" w:color="auto"/>
        <w:bottom w:val="none" w:sz="0" w:space="0" w:color="auto"/>
        <w:right w:val="none" w:sz="0" w:space="0" w:color="auto"/>
      </w:divBdr>
    </w:div>
    <w:div w:id="461507140">
      <w:bodyDiv w:val="1"/>
      <w:marLeft w:val="0"/>
      <w:marRight w:val="0"/>
      <w:marTop w:val="0"/>
      <w:marBottom w:val="0"/>
      <w:divBdr>
        <w:top w:val="none" w:sz="0" w:space="0" w:color="auto"/>
        <w:left w:val="none" w:sz="0" w:space="0" w:color="auto"/>
        <w:bottom w:val="none" w:sz="0" w:space="0" w:color="auto"/>
        <w:right w:val="none" w:sz="0" w:space="0" w:color="auto"/>
      </w:divBdr>
    </w:div>
    <w:div w:id="461580773">
      <w:bodyDiv w:val="1"/>
      <w:marLeft w:val="0"/>
      <w:marRight w:val="0"/>
      <w:marTop w:val="0"/>
      <w:marBottom w:val="0"/>
      <w:divBdr>
        <w:top w:val="none" w:sz="0" w:space="0" w:color="auto"/>
        <w:left w:val="none" w:sz="0" w:space="0" w:color="auto"/>
        <w:bottom w:val="none" w:sz="0" w:space="0" w:color="auto"/>
        <w:right w:val="none" w:sz="0" w:space="0" w:color="auto"/>
      </w:divBdr>
    </w:div>
    <w:div w:id="462432260">
      <w:bodyDiv w:val="1"/>
      <w:marLeft w:val="0"/>
      <w:marRight w:val="0"/>
      <w:marTop w:val="0"/>
      <w:marBottom w:val="0"/>
      <w:divBdr>
        <w:top w:val="none" w:sz="0" w:space="0" w:color="auto"/>
        <w:left w:val="none" w:sz="0" w:space="0" w:color="auto"/>
        <w:bottom w:val="none" w:sz="0" w:space="0" w:color="auto"/>
        <w:right w:val="none" w:sz="0" w:space="0" w:color="auto"/>
      </w:divBdr>
    </w:div>
    <w:div w:id="462700675">
      <w:bodyDiv w:val="1"/>
      <w:marLeft w:val="0"/>
      <w:marRight w:val="0"/>
      <w:marTop w:val="0"/>
      <w:marBottom w:val="0"/>
      <w:divBdr>
        <w:top w:val="none" w:sz="0" w:space="0" w:color="auto"/>
        <w:left w:val="none" w:sz="0" w:space="0" w:color="auto"/>
        <w:bottom w:val="none" w:sz="0" w:space="0" w:color="auto"/>
        <w:right w:val="none" w:sz="0" w:space="0" w:color="auto"/>
      </w:divBdr>
    </w:div>
    <w:div w:id="463275456">
      <w:bodyDiv w:val="1"/>
      <w:marLeft w:val="0"/>
      <w:marRight w:val="0"/>
      <w:marTop w:val="0"/>
      <w:marBottom w:val="0"/>
      <w:divBdr>
        <w:top w:val="none" w:sz="0" w:space="0" w:color="auto"/>
        <w:left w:val="none" w:sz="0" w:space="0" w:color="auto"/>
        <w:bottom w:val="none" w:sz="0" w:space="0" w:color="auto"/>
        <w:right w:val="none" w:sz="0" w:space="0" w:color="auto"/>
      </w:divBdr>
    </w:div>
    <w:div w:id="463423398">
      <w:bodyDiv w:val="1"/>
      <w:marLeft w:val="0"/>
      <w:marRight w:val="0"/>
      <w:marTop w:val="0"/>
      <w:marBottom w:val="0"/>
      <w:divBdr>
        <w:top w:val="none" w:sz="0" w:space="0" w:color="auto"/>
        <w:left w:val="none" w:sz="0" w:space="0" w:color="auto"/>
        <w:bottom w:val="none" w:sz="0" w:space="0" w:color="auto"/>
        <w:right w:val="none" w:sz="0" w:space="0" w:color="auto"/>
      </w:divBdr>
    </w:div>
    <w:div w:id="463500651">
      <w:bodyDiv w:val="1"/>
      <w:marLeft w:val="0"/>
      <w:marRight w:val="0"/>
      <w:marTop w:val="0"/>
      <w:marBottom w:val="0"/>
      <w:divBdr>
        <w:top w:val="none" w:sz="0" w:space="0" w:color="auto"/>
        <w:left w:val="none" w:sz="0" w:space="0" w:color="auto"/>
        <w:bottom w:val="none" w:sz="0" w:space="0" w:color="auto"/>
        <w:right w:val="none" w:sz="0" w:space="0" w:color="auto"/>
      </w:divBdr>
    </w:div>
    <w:div w:id="465124345">
      <w:bodyDiv w:val="1"/>
      <w:marLeft w:val="0"/>
      <w:marRight w:val="0"/>
      <w:marTop w:val="0"/>
      <w:marBottom w:val="0"/>
      <w:divBdr>
        <w:top w:val="none" w:sz="0" w:space="0" w:color="auto"/>
        <w:left w:val="none" w:sz="0" w:space="0" w:color="auto"/>
        <w:bottom w:val="none" w:sz="0" w:space="0" w:color="auto"/>
        <w:right w:val="none" w:sz="0" w:space="0" w:color="auto"/>
      </w:divBdr>
    </w:div>
    <w:div w:id="466436356">
      <w:bodyDiv w:val="1"/>
      <w:marLeft w:val="0"/>
      <w:marRight w:val="0"/>
      <w:marTop w:val="0"/>
      <w:marBottom w:val="0"/>
      <w:divBdr>
        <w:top w:val="none" w:sz="0" w:space="0" w:color="auto"/>
        <w:left w:val="none" w:sz="0" w:space="0" w:color="auto"/>
        <w:bottom w:val="none" w:sz="0" w:space="0" w:color="auto"/>
        <w:right w:val="none" w:sz="0" w:space="0" w:color="auto"/>
      </w:divBdr>
    </w:div>
    <w:div w:id="466506538">
      <w:bodyDiv w:val="1"/>
      <w:marLeft w:val="0"/>
      <w:marRight w:val="0"/>
      <w:marTop w:val="0"/>
      <w:marBottom w:val="0"/>
      <w:divBdr>
        <w:top w:val="none" w:sz="0" w:space="0" w:color="auto"/>
        <w:left w:val="none" w:sz="0" w:space="0" w:color="auto"/>
        <w:bottom w:val="none" w:sz="0" w:space="0" w:color="auto"/>
        <w:right w:val="none" w:sz="0" w:space="0" w:color="auto"/>
      </w:divBdr>
    </w:div>
    <w:div w:id="467864155">
      <w:bodyDiv w:val="1"/>
      <w:marLeft w:val="0"/>
      <w:marRight w:val="0"/>
      <w:marTop w:val="0"/>
      <w:marBottom w:val="0"/>
      <w:divBdr>
        <w:top w:val="none" w:sz="0" w:space="0" w:color="auto"/>
        <w:left w:val="none" w:sz="0" w:space="0" w:color="auto"/>
        <w:bottom w:val="none" w:sz="0" w:space="0" w:color="auto"/>
        <w:right w:val="none" w:sz="0" w:space="0" w:color="auto"/>
      </w:divBdr>
    </w:div>
    <w:div w:id="467940611">
      <w:bodyDiv w:val="1"/>
      <w:marLeft w:val="0"/>
      <w:marRight w:val="0"/>
      <w:marTop w:val="0"/>
      <w:marBottom w:val="0"/>
      <w:divBdr>
        <w:top w:val="none" w:sz="0" w:space="0" w:color="auto"/>
        <w:left w:val="none" w:sz="0" w:space="0" w:color="auto"/>
        <w:bottom w:val="none" w:sz="0" w:space="0" w:color="auto"/>
        <w:right w:val="none" w:sz="0" w:space="0" w:color="auto"/>
      </w:divBdr>
    </w:div>
    <w:div w:id="468135049">
      <w:bodyDiv w:val="1"/>
      <w:marLeft w:val="0"/>
      <w:marRight w:val="0"/>
      <w:marTop w:val="0"/>
      <w:marBottom w:val="0"/>
      <w:divBdr>
        <w:top w:val="none" w:sz="0" w:space="0" w:color="auto"/>
        <w:left w:val="none" w:sz="0" w:space="0" w:color="auto"/>
        <w:bottom w:val="none" w:sz="0" w:space="0" w:color="auto"/>
        <w:right w:val="none" w:sz="0" w:space="0" w:color="auto"/>
      </w:divBdr>
    </w:div>
    <w:div w:id="468547309">
      <w:bodyDiv w:val="1"/>
      <w:marLeft w:val="0"/>
      <w:marRight w:val="0"/>
      <w:marTop w:val="0"/>
      <w:marBottom w:val="0"/>
      <w:divBdr>
        <w:top w:val="none" w:sz="0" w:space="0" w:color="auto"/>
        <w:left w:val="none" w:sz="0" w:space="0" w:color="auto"/>
        <w:bottom w:val="none" w:sz="0" w:space="0" w:color="auto"/>
        <w:right w:val="none" w:sz="0" w:space="0" w:color="auto"/>
      </w:divBdr>
    </w:div>
    <w:div w:id="468983353">
      <w:bodyDiv w:val="1"/>
      <w:marLeft w:val="0"/>
      <w:marRight w:val="0"/>
      <w:marTop w:val="0"/>
      <w:marBottom w:val="0"/>
      <w:divBdr>
        <w:top w:val="none" w:sz="0" w:space="0" w:color="auto"/>
        <w:left w:val="none" w:sz="0" w:space="0" w:color="auto"/>
        <w:bottom w:val="none" w:sz="0" w:space="0" w:color="auto"/>
        <w:right w:val="none" w:sz="0" w:space="0" w:color="auto"/>
      </w:divBdr>
    </w:div>
    <w:div w:id="469372294">
      <w:bodyDiv w:val="1"/>
      <w:marLeft w:val="0"/>
      <w:marRight w:val="0"/>
      <w:marTop w:val="0"/>
      <w:marBottom w:val="0"/>
      <w:divBdr>
        <w:top w:val="none" w:sz="0" w:space="0" w:color="auto"/>
        <w:left w:val="none" w:sz="0" w:space="0" w:color="auto"/>
        <w:bottom w:val="none" w:sz="0" w:space="0" w:color="auto"/>
        <w:right w:val="none" w:sz="0" w:space="0" w:color="auto"/>
      </w:divBdr>
    </w:div>
    <w:div w:id="469594133">
      <w:bodyDiv w:val="1"/>
      <w:marLeft w:val="0"/>
      <w:marRight w:val="0"/>
      <w:marTop w:val="0"/>
      <w:marBottom w:val="0"/>
      <w:divBdr>
        <w:top w:val="none" w:sz="0" w:space="0" w:color="auto"/>
        <w:left w:val="none" w:sz="0" w:space="0" w:color="auto"/>
        <w:bottom w:val="none" w:sz="0" w:space="0" w:color="auto"/>
        <w:right w:val="none" w:sz="0" w:space="0" w:color="auto"/>
      </w:divBdr>
    </w:div>
    <w:div w:id="469635976">
      <w:bodyDiv w:val="1"/>
      <w:marLeft w:val="0"/>
      <w:marRight w:val="0"/>
      <w:marTop w:val="0"/>
      <w:marBottom w:val="0"/>
      <w:divBdr>
        <w:top w:val="none" w:sz="0" w:space="0" w:color="auto"/>
        <w:left w:val="none" w:sz="0" w:space="0" w:color="auto"/>
        <w:bottom w:val="none" w:sz="0" w:space="0" w:color="auto"/>
        <w:right w:val="none" w:sz="0" w:space="0" w:color="auto"/>
      </w:divBdr>
    </w:div>
    <w:div w:id="470098459">
      <w:bodyDiv w:val="1"/>
      <w:marLeft w:val="0"/>
      <w:marRight w:val="0"/>
      <w:marTop w:val="0"/>
      <w:marBottom w:val="0"/>
      <w:divBdr>
        <w:top w:val="none" w:sz="0" w:space="0" w:color="auto"/>
        <w:left w:val="none" w:sz="0" w:space="0" w:color="auto"/>
        <w:bottom w:val="none" w:sz="0" w:space="0" w:color="auto"/>
        <w:right w:val="none" w:sz="0" w:space="0" w:color="auto"/>
      </w:divBdr>
    </w:div>
    <w:div w:id="470443520">
      <w:bodyDiv w:val="1"/>
      <w:marLeft w:val="0"/>
      <w:marRight w:val="0"/>
      <w:marTop w:val="0"/>
      <w:marBottom w:val="0"/>
      <w:divBdr>
        <w:top w:val="none" w:sz="0" w:space="0" w:color="auto"/>
        <w:left w:val="none" w:sz="0" w:space="0" w:color="auto"/>
        <w:bottom w:val="none" w:sz="0" w:space="0" w:color="auto"/>
        <w:right w:val="none" w:sz="0" w:space="0" w:color="auto"/>
      </w:divBdr>
    </w:div>
    <w:div w:id="470447030">
      <w:bodyDiv w:val="1"/>
      <w:marLeft w:val="0"/>
      <w:marRight w:val="0"/>
      <w:marTop w:val="0"/>
      <w:marBottom w:val="0"/>
      <w:divBdr>
        <w:top w:val="none" w:sz="0" w:space="0" w:color="auto"/>
        <w:left w:val="none" w:sz="0" w:space="0" w:color="auto"/>
        <w:bottom w:val="none" w:sz="0" w:space="0" w:color="auto"/>
        <w:right w:val="none" w:sz="0" w:space="0" w:color="auto"/>
      </w:divBdr>
    </w:div>
    <w:div w:id="471020764">
      <w:bodyDiv w:val="1"/>
      <w:marLeft w:val="0"/>
      <w:marRight w:val="0"/>
      <w:marTop w:val="0"/>
      <w:marBottom w:val="0"/>
      <w:divBdr>
        <w:top w:val="none" w:sz="0" w:space="0" w:color="auto"/>
        <w:left w:val="none" w:sz="0" w:space="0" w:color="auto"/>
        <w:bottom w:val="none" w:sz="0" w:space="0" w:color="auto"/>
        <w:right w:val="none" w:sz="0" w:space="0" w:color="auto"/>
      </w:divBdr>
    </w:div>
    <w:div w:id="472060588">
      <w:bodyDiv w:val="1"/>
      <w:marLeft w:val="0"/>
      <w:marRight w:val="0"/>
      <w:marTop w:val="0"/>
      <w:marBottom w:val="0"/>
      <w:divBdr>
        <w:top w:val="none" w:sz="0" w:space="0" w:color="auto"/>
        <w:left w:val="none" w:sz="0" w:space="0" w:color="auto"/>
        <w:bottom w:val="none" w:sz="0" w:space="0" w:color="auto"/>
        <w:right w:val="none" w:sz="0" w:space="0" w:color="auto"/>
      </w:divBdr>
    </w:div>
    <w:div w:id="472525377">
      <w:bodyDiv w:val="1"/>
      <w:marLeft w:val="0"/>
      <w:marRight w:val="0"/>
      <w:marTop w:val="0"/>
      <w:marBottom w:val="0"/>
      <w:divBdr>
        <w:top w:val="none" w:sz="0" w:space="0" w:color="auto"/>
        <w:left w:val="none" w:sz="0" w:space="0" w:color="auto"/>
        <w:bottom w:val="none" w:sz="0" w:space="0" w:color="auto"/>
        <w:right w:val="none" w:sz="0" w:space="0" w:color="auto"/>
      </w:divBdr>
    </w:div>
    <w:div w:id="473765446">
      <w:bodyDiv w:val="1"/>
      <w:marLeft w:val="0"/>
      <w:marRight w:val="0"/>
      <w:marTop w:val="0"/>
      <w:marBottom w:val="0"/>
      <w:divBdr>
        <w:top w:val="none" w:sz="0" w:space="0" w:color="auto"/>
        <w:left w:val="none" w:sz="0" w:space="0" w:color="auto"/>
        <w:bottom w:val="none" w:sz="0" w:space="0" w:color="auto"/>
        <w:right w:val="none" w:sz="0" w:space="0" w:color="auto"/>
      </w:divBdr>
    </w:div>
    <w:div w:id="473988994">
      <w:bodyDiv w:val="1"/>
      <w:marLeft w:val="0"/>
      <w:marRight w:val="0"/>
      <w:marTop w:val="0"/>
      <w:marBottom w:val="0"/>
      <w:divBdr>
        <w:top w:val="none" w:sz="0" w:space="0" w:color="auto"/>
        <w:left w:val="none" w:sz="0" w:space="0" w:color="auto"/>
        <w:bottom w:val="none" w:sz="0" w:space="0" w:color="auto"/>
        <w:right w:val="none" w:sz="0" w:space="0" w:color="auto"/>
      </w:divBdr>
    </w:div>
    <w:div w:id="474221364">
      <w:bodyDiv w:val="1"/>
      <w:marLeft w:val="0"/>
      <w:marRight w:val="0"/>
      <w:marTop w:val="0"/>
      <w:marBottom w:val="0"/>
      <w:divBdr>
        <w:top w:val="none" w:sz="0" w:space="0" w:color="auto"/>
        <w:left w:val="none" w:sz="0" w:space="0" w:color="auto"/>
        <w:bottom w:val="none" w:sz="0" w:space="0" w:color="auto"/>
        <w:right w:val="none" w:sz="0" w:space="0" w:color="auto"/>
      </w:divBdr>
    </w:div>
    <w:div w:id="475609839">
      <w:bodyDiv w:val="1"/>
      <w:marLeft w:val="0"/>
      <w:marRight w:val="0"/>
      <w:marTop w:val="0"/>
      <w:marBottom w:val="0"/>
      <w:divBdr>
        <w:top w:val="none" w:sz="0" w:space="0" w:color="auto"/>
        <w:left w:val="none" w:sz="0" w:space="0" w:color="auto"/>
        <w:bottom w:val="none" w:sz="0" w:space="0" w:color="auto"/>
        <w:right w:val="none" w:sz="0" w:space="0" w:color="auto"/>
      </w:divBdr>
    </w:div>
    <w:div w:id="476268272">
      <w:bodyDiv w:val="1"/>
      <w:marLeft w:val="0"/>
      <w:marRight w:val="0"/>
      <w:marTop w:val="0"/>
      <w:marBottom w:val="0"/>
      <w:divBdr>
        <w:top w:val="none" w:sz="0" w:space="0" w:color="auto"/>
        <w:left w:val="none" w:sz="0" w:space="0" w:color="auto"/>
        <w:bottom w:val="none" w:sz="0" w:space="0" w:color="auto"/>
        <w:right w:val="none" w:sz="0" w:space="0" w:color="auto"/>
      </w:divBdr>
    </w:div>
    <w:div w:id="477187249">
      <w:bodyDiv w:val="1"/>
      <w:marLeft w:val="0"/>
      <w:marRight w:val="0"/>
      <w:marTop w:val="0"/>
      <w:marBottom w:val="0"/>
      <w:divBdr>
        <w:top w:val="none" w:sz="0" w:space="0" w:color="auto"/>
        <w:left w:val="none" w:sz="0" w:space="0" w:color="auto"/>
        <w:bottom w:val="none" w:sz="0" w:space="0" w:color="auto"/>
        <w:right w:val="none" w:sz="0" w:space="0" w:color="auto"/>
      </w:divBdr>
    </w:div>
    <w:div w:id="477574828">
      <w:bodyDiv w:val="1"/>
      <w:marLeft w:val="0"/>
      <w:marRight w:val="0"/>
      <w:marTop w:val="0"/>
      <w:marBottom w:val="0"/>
      <w:divBdr>
        <w:top w:val="none" w:sz="0" w:space="0" w:color="auto"/>
        <w:left w:val="none" w:sz="0" w:space="0" w:color="auto"/>
        <w:bottom w:val="none" w:sz="0" w:space="0" w:color="auto"/>
        <w:right w:val="none" w:sz="0" w:space="0" w:color="auto"/>
      </w:divBdr>
    </w:div>
    <w:div w:id="477696773">
      <w:bodyDiv w:val="1"/>
      <w:marLeft w:val="0"/>
      <w:marRight w:val="0"/>
      <w:marTop w:val="0"/>
      <w:marBottom w:val="0"/>
      <w:divBdr>
        <w:top w:val="none" w:sz="0" w:space="0" w:color="auto"/>
        <w:left w:val="none" w:sz="0" w:space="0" w:color="auto"/>
        <w:bottom w:val="none" w:sz="0" w:space="0" w:color="auto"/>
        <w:right w:val="none" w:sz="0" w:space="0" w:color="auto"/>
      </w:divBdr>
    </w:div>
    <w:div w:id="478763133">
      <w:bodyDiv w:val="1"/>
      <w:marLeft w:val="0"/>
      <w:marRight w:val="0"/>
      <w:marTop w:val="0"/>
      <w:marBottom w:val="0"/>
      <w:divBdr>
        <w:top w:val="none" w:sz="0" w:space="0" w:color="auto"/>
        <w:left w:val="none" w:sz="0" w:space="0" w:color="auto"/>
        <w:bottom w:val="none" w:sz="0" w:space="0" w:color="auto"/>
        <w:right w:val="none" w:sz="0" w:space="0" w:color="auto"/>
      </w:divBdr>
    </w:div>
    <w:div w:id="478883203">
      <w:bodyDiv w:val="1"/>
      <w:marLeft w:val="0"/>
      <w:marRight w:val="0"/>
      <w:marTop w:val="0"/>
      <w:marBottom w:val="0"/>
      <w:divBdr>
        <w:top w:val="none" w:sz="0" w:space="0" w:color="auto"/>
        <w:left w:val="none" w:sz="0" w:space="0" w:color="auto"/>
        <w:bottom w:val="none" w:sz="0" w:space="0" w:color="auto"/>
        <w:right w:val="none" w:sz="0" w:space="0" w:color="auto"/>
      </w:divBdr>
    </w:div>
    <w:div w:id="479153396">
      <w:bodyDiv w:val="1"/>
      <w:marLeft w:val="0"/>
      <w:marRight w:val="0"/>
      <w:marTop w:val="0"/>
      <w:marBottom w:val="0"/>
      <w:divBdr>
        <w:top w:val="none" w:sz="0" w:space="0" w:color="auto"/>
        <w:left w:val="none" w:sz="0" w:space="0" w:color="auto"/>
        <w:bottom w:val="none" w:sz="0" w:space="0" w:color="auto"/>
        <w:right w:val="none" w:sz="0" w:space="0" w:color="auto"/>
      </w:divBdr>
    </w:div>
    <w:div w:id="479730086">
      <w:bodyDiv w:val="1"/>
      <w:marLeft w:val="0"/>
      <w:marRight w:val="0"/>
      <w:marTop w:val="0"/>
      <w:marBottom w:val="0"/>
      <w:divBdr>
        <w:top w:val="none" w:sz="0" w:space="0" w:color="auto"/>
        <w:left w:val="none" w:sz="0" w:space="0" w:color="auto"/>
        <w:bottom w:val="none" w:sz="0" w:space="0" w:color="auto"/>
        <w:right w:val="none" w:sz="0" w:space="0" w:color="auto"/>
      </w:divBdr>
    </w:div>
    <w:div w:id="480344579">
      <w:bodyDiv w:val="1"/>
      <w:marLeft w:val="0"/>
      <w:marRight w:val="0"/>
      <w:marTop w:val="0"/>
      <w:marBottom w:val="0"/>
      <w:divBdr>
        <w:top w:val="none" w:sz="0" w:space="0" w:color="auto"/>
        <w:left w:val="none" w:sz="0" w:space="0" w:color="auto"/>
        <w:bottom w:val="none" w:sz="0" w:space="0" w:color="auto"/>
        <w:right w:val="none" w:sz="0" w:space="0" w:color="auto"/>
      </w:divBdr>
    </w:div>
    <w:div w:id="481166626">
      <w:bodyDiv w:val="1"/>
      <w:marLeft w:val="0"/>
      <w:marRight w:val="0"/>
      <w:marTop w:val="0"/>
      <w:marBottom w:val="0"/>
      <w:divBdr>
        <w:top w:val="none" w:sz="0" w:space="0" w:color="auto"/>
        <w:left w:val="none" w:sz="0" w:space="0" w:color="auto"/>
        <w:bottom w:val="none" w:sz="0" w:space="0" w:color="auto"/>
        <w:right w:val="none" w:sz="0" w:space="0" w:color="auto"/>
      </w:divBdr>
    </w:div>
    <w:div w:id="481387032">
      <w:bodyDiv w:val="1"/>
      <w:marLeft w:val="0"/>
      <w:marRight w:val="0"/>
      <w:marTop w:val="0"/>
      <w:marBottom w:val="0"/>
      <w:divBdr>
        <w:top w:val="none" w:sz="0" w:space="0" w:color="auto"/>
        <w:left w:val="none" w:sz="0" w:space="0" w:color="auto"/>
        <w:bottom w:val="none" w:sz="0" w:space="0" w:color="auto"/>
        <w:right w:val="none" w:sz="0" w:space="0" w:color="auto"/>
      </w:divBdr>
    </w:div>
    <w:div w:id="481777323">
      <w:bodyDiv w:val="1"/>
      <w:marLeft w:val="0"/>
      <w:marRight w:val="0"/>
      <w:marTop w:val="0"/>
      <w:marBottom w:val="0"/>
      <w:divBdr>
        <w:top w:val="none" w:sz="0" w:space="0" w:color="auto"/>
        <w:left w:val="none" w:sz="0" w:space="0" w:color="auto"/>
        <w:bottom w:val="none" w:sz="0" w:space="0" w:color="auto"/>
        <w:right w:val="none" w:sz="0" w:space="0" w:color="auto"/>
      </w:divBdr>
    </w:div>
    <w:div w:id="482159929">
      <w:bodyDiv w:val="1"/>
      <w:marLeft w:val="0"/>
      <w:marRight w:val="0"/>
      <w:marTop w:val="0"/>
      <w:marBottom w:val="0"/>
      <w:divBdr>
        <w:top w:val="none" w:sz="0" w:space="0" w:color="auto"/>
        <w:left w:val="none" w:sz="0" w:space="0" w:color="auto"/>
        <w:bottom w:val="none" w:sz="0" w:space="0" w:color="auto"/>
        <w:right w:val="none" w:sz="0" w:space="0" w:color="auto"/>
      </w:divBdr>
    </w:div>
    <w:div w:id="483088710">
      <w:bodyDiv w:val="1"/>
      <w:marLeft w:val="0"/>
      <w:marRight w:val="0"/>
      <w:marTop w:val="0"/>
      <w:marBottom w:val="0"/>
      <w:divBdr>
        <w:top w:val="none" w:sz="0" w:space="0" w:color="auto"/>
        <w:left w:val="none" w:sz="0" w:space="0" w:color="auto"/>
        <w:bottom w:val="none" w:sz="0" w:space="0" w:color="auto"/>
        <w:right w:val="none" w:sz="0" w:space="0" w:color="auto"/>
      </w:divBdr>
    </w:div>
    <w:div w:id="483548720">
      <w:bodyDiv w:val="1"/>
      <w:marLeft w:val="0"/>
      <w:marRight w:val="0"/>
      <w:marTop w:val="0"/>
      <w:marBottom w:val="0"/>
      <w:divBdr>
        <w:top w:val="none" w:sz="0" w:space="0" w:color="auto"/>
        <w:left w:val="none" w:sz="0" w:space="0" w:color="auto"/>
        <w:bottom w:val="none" w:sz="0" w:space="0" w:color="auto"/>
        <w:right w:val="none" w:sz="0" w:space="0" w:color="auto"/>
      </w:divBdr>
    </w:div>
    <w:div w:id="483815935">
      <w:bodyDiv w:val="1"/>
      <w:marLeft w:val="0"/>
      <w:marRight w:val="0"/>
      <w:marTop w:val="0"/>
      <w:marBottom w:val="0"/>
      <w:divBdr>
        <w:top w:val="none" w:sz="0" w:space="0" w:color="auto"/>
        <w:left w:val="none" w:sz="0" w:space="0" w:color="auto"/>
        <w:bottom w:val="none" w:sz="0" w:space="0" w:color="auto"/>
        <w:right w:val="none" w:sz="0" w:space="0" w:color="auto"/>
      </w:divBdr>
    </w:div>
    <w:div w:id="484247392">
      <w:bodyDiv w:val="1"/>
      <w:marLeft w:val="0"/>
      <w:marRight w:val="0"/>
      <w:marTop w:val="0"/>
      <w:marBottom w:val="0"/>
      <w:divBdr>
        <w:top w:val="none" w:sz="0" w:space="0" w:color="auto"/>
        <w:left w:val="none" w:sz="0" w:space="0" w:color="auto"/>
        <w:bottom w:val="none" w:sz="0" w:space="0" w:color="auto"/>
        <w:right w:val="none" w:sz="0" w:space="0" w:color="auto"/>
      </w:divBdr>
    </w:div>
    <w:div w:id="484860280">
      <w:bodyDiv w:val="1"/>
      <w:marLeft w:val="0"/>
      <w:marRight w:val="0"/>
      <w:marTop w:val="0"/>
      <w:marBottom w:val="0"/>
      <w:divBdr>
        <w:top w:val="none" w:sz="0" w:space="0" w:color="auto"/>
        <w:left w:val="none" w:sz="0" w:space="0" w:color="auto"/>
        <w:bottom w:val="none" w:sz="0" w:space="0" w:color="auto"/>
        <w:right w:val="none" w:sz="0" w:space="0" w:color="auto"/>
      </w:divBdr>
    </w:div>
    <w:div w:id="486481995">
      <w:bodyDiv w:val="1"/>
      <w:marLeft w:val="0"/>
      <w:marRight w:val="0"/>
      <w:marTop w:val="0"/>
      <w:marBottom w:val="0"/>
      <w:divBdr>
        <w:top w:val="none" w:sz="0" w:space="0" w:color="auto"/>
        <w:left w:val="none" w:sz="0" w:space="0" w:color="auto"/>
        <w:bottom w:val="none" w:sz="0" w:space="0" w:color="auto"/>
        <w:right w:val="none" w:sz="0" w:space="0" w:color="auto"/>
      </w:divBdr>
    </w:div>
    <w:div w:id="486749175">
      <w:bodyDiv w:val="1"/>
      <w:marLeft w:val="0"/>
      <w:marRight w:val="0"/>
      <w:marTop w:val="0"/>
      <w:marBottom w:val="0"/>
      <w:divBdr>
        <w:top w:val="none" w:sz="0" w:space="0" w:color="auto"/>
        <w:left w:val="none" w:sz="0" w:space="0" w:color="auto"/>
        <w:bottom w:val="none" w:sz="0" w:space="0" w:color="auto"/>
        <w:right w:val="none" w:sz="0" w:space="0" w:color="auto"/>
      </w:divBdr>
    </w:div>
    <w:div w:id="486895036">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487478547">
      <w:bodyDiv w:val="1"/>
      <w:marLeft w:val="0"/>
      <w:marRight w:val="0"/>
      <w:marTop w:val="0"/>
      <w:marBottom w:val="0"/>
      <w:divBdr>
        <w:top w:val="none" w:sz="0" w:space="0" w:color="auto"/>
        <w:left w:val="none" w:sz="0" w:space="0" w:color="auto"/>
        <w:bottom w:val="none" w:sz="0" w:space="0" w:color="auto"/>
        <w:right w:val="none" w:sz="0" w:space="0" w:color="auto"/>
      </w:divBdr>
    </w:div>
    <w:div w:id="488444145">
      <w:bodyDiv w:val="1"/>
      <w:marLeft w:val="0"/>
      <w:marRight w:val="0"/>
      <w:marTop w:val="0"/>
      <w:marBottom w:val="0"/>
      <w:divBdr>
        <w:top w:val="none" w:sz="0" w:space="0" w:color="auto"/>
        <w:left w:val="none" w:sz="0" w:space="0" w:color="auto"/>
        <w:bottom w:val="none" w:sz="0" w:space="0" w:color="auto"/>
        <w:right w:val="none" w:sz="0" w:space="0" w:color="auto"/>
      </w:divBdr>
    </w:div>
    <w:div w:id="488860549">
      <w:bodyDiv w:val="1"/>
      <w:marLeft w:val="0"/>
      <w:marRight w:val="0"/>
      <w:marTop w:val="0"/>
      <w:marBottom w:val="0"/>
      <w:divBdr>
        <w:top w:val="none" w:sz="0" w:space="0" w:color="auto"/>
        <w:left w:val="none" w:sz="0" w:space="0" w:color="auto"/>
        <w:bottom w:val="none" w:sz="0" w:space="0" w:color="auto"/>
        <w:right w:val="none" w:sz="0" w:space="0" w:color="auto"/>
      </w:divBdr>
    </w:div>
    <w:div w:id="489446748">
      <w:bodyDiv w:val="1"/>
      <w:marLeft w:val="0"/>
      <w:marRight w:val="0"/>
      <w:marTop w:val="0"/>
      <w:marBottom w:val="0"/>
      <w:divBdr>
        <w:top w:val="none" w:sz="0" w:space="0" w:color="auto"/>
        <w:left w:val="none" w:sz="0" w:space="0" w:color="auto"/>
        <w:bottom w:val="none" w:sz="0" w:space="0" w:color="auto"/>
        <w:right w:val="none" w:sz="0" w:space="0" w:color="auto"/>
      </w:divBdr>
    </w:div>
    <w:div w:id="491456995">
      <w:bodyDiv w:val="1"/>
      <w:marLeft w:val="0"/>
      <w:marRight w:val="0"/>
      <w:marTop w:val="0"/>
      <w:marBottom w:val="0"/>
      <w:divBdr>
        <w:top w:val="none" w:sz="0" w:space="0" w:color="auto"/>
        <w:left w:val="none" w:sz="0" w:space="0" w:color="auto"/>
        <w:bottom w:val="none" w:sz="0" w:space="0" w:color="auto"/>
        <w:right w:val="none" w:sz="0" w:space="0" w:color="auto"/>
      </w:divBdr>
    </w:div>
    <w:div w:id="492380184">
      <w:bodyDiv w:val="1"/>
      <w:marLeft w:val="0"/>
      <w:marRight w:val="0"/>
      <w:marTop w:val="0"/>
      <w:marBottom w:val="0"/>
      <w:divBdr>
        <w:top w:val="none" w:sz="0" w:space="0" w:color="auto"/>
        <w:left w:val="none" w:sz="0" w:space="0" w:color="auto"/>
        <w:bottom w:val="none" w:sz="0" w:space="0" w:color="auto"/>
        <w:right w:val="none" w:sz="0" w:space="0" w:color="auto"/>
      </w:divBdr>
    </w:div>
    <w:div w:id="492525246">
      <w:bodyDiv w:val="1"/>
      <w:marLeft w:val="0"/>
      <w:marRight w:val="0"/>
      <w:marTop w:val="0"/>
      <w:marBottom w:val="0"/>
      <w:divBdr>
        <w:top w:val="none" w:sz="0" w:space="0" w:color="auto"/>
        <w:left w:val="none" w:sz="0" w:space="0" w:color="auto"/>
        <w:bottom w:val="none" w:sz="0" w:space="0" w:color="auto"/>
        <w:right w:val="none" w:sz="0" w:space="0" w:color="auto"/>
      </w:divBdr>
    </w:div>
    <w:div w:id="492765404">
      <w:bodyDiv w:val="1"/>
      <w:marLeft w:val="0"/>
      <w:marRight w:val="0"/>
      <w:marTop w:val="0"/>
      <w:marBottom w:val="0"/>
      <w:divBdr>
        <w:top w:val="none" w:sz="0" w:space="0" w:color="auto"/>
        <w:left w:val="none" w:sz="0" w:space="0" w:color="auto"/>
        <w:bottom w:val="none" w:sz="0" w:space="0" w:color="auto"/>
        <w:right w:val="none" w:sz="0" w:space="0" w:color="auto"/>
      </w:divBdr>
    </w:div>
    <w:div w:id="492917620">
      <w:bodyDiv w:val="1"/>
      <w:marLeft w:val="0"/>
      <w:marRight w:val="0"/>
      <w:marTop w:val="0"/>
      <w:marBottom w:val="0"/>
      <w:divBdr>
        <w:top w:val="none" w:sz="0" w:space="0" w:color="auto"/>
        <w:left w:val="none" w:sz="0" w:space="0" w:color="auto"/>
        <w:bottom w:val="none" w:sz="0" w:space="0" w:color="auto"/>
        <w:right w:val="none" w:sz="0" w:space="0" w:color="auto"/>
      </w:divBdr>
    </w:div>
    <w:div w:id="493224769">
      <w:bodyDiv w:val="1"/>
      <w:marLeft w:val="0"/>
      <w:marRight w:val="0"/>
      <w:marTop w:val="0"/>
      <w:marBottom w:val="0"/>
      <w:divBdr>
        <w:top w:val="none" w:sz="0" w:space="0" w:color="auto"/>
        <w:left w:val="none" w:sz="0" w:space="0" w:color="auto"/>
        <w:bottom w:val="none" w:sz="0" w:space="0" w:color="auto"/>
        <w:right w:val="none" w:sz="0" w:space="0" w:color="auto"/>
      </w:divBdr>
    </w:div>
    <w:div w:id="493230659">
      <w:bodyDiv w:val="1"/>
      <w:marLeft w:val="0"/>
      <w:marRight w:val="0"/>
      <w:marTop w:val="0"/>
      <w:marBottom w:val="0"/>
      <w:divBdr>
        <w:top w:val="none" w:sz="0" w:space="0" w:color="auto"/>
        <w:left w:val="none" w:sz="0" w:space="0" w:color="auto"/>
        <w:bottom w:val="none" w:sz="0" w:space="0" w:color="auto"/>
        <w:right w:val="none" w:sz="0" w:space="0" w:color="auto"/>
      </w:divBdr>
    </w:div>
    <w:div w:id="493447947">
      <w:bodyDiv w:val="1"/>
      <w:marLeft w:val="0"/>
      <w:marRight w:val="0"/>
      <w:marTop w:val="0"/>
      <w:marBottom w:val="0"/>
      <w:divBdr>
        <w:top w:val="none" w:sz="0" w:space="0" w:color="auto"/>
        <w:left w:val="none" w:sz="0" w:space="0" w:color="auto"/>
        <w:bottom w:val="none" w:sz="0" w:space="0" w:color="auto"/>
        <w:right w:val="none" w:sz="0" w:space="0" w:color="auto"/>
      </w:divBdr>
    </w:div>
    <w:div w:id="494303211">
      <w:bodyDiv w:val="1"/>
      <w:marLeft w:val="0"/>
      <w:marRight w:val="0"/>
      <w:marTop w:val="0"/>
      <w:marBottom w:val="0"/>
      <w:divBdr>
        <w:top w:val="none" w:sz="0" w:space="0" w:color="auto"/>
        <w:left w:val="none" w:sz="0" w:space="0" w:color="auto"/>
        <w:bottom w:val="none" w:sz="0" w:space="0" w:color="auto"/>
        <w:right w:val="none" w:sz="0" w:space="0" w:color="auto"/>
      </w:divBdr>
    </w:div>
    <w:div w:id="494952644">
      <w:bodyDiv w:val="1"/>
      <w:marLeft w:val="0"/>
      <w:marRight w:val="0"/>
      <w:marTop w:val="0"/>
      <w:marBottom w:val="0"/>
      <w:divBdr>
        <w:top w:val="none" w:sz="0" w:space="0" w:color="auto"/>
        <w:left w:val="none" w:sz="0" w:space="0" w:color="auto"/>
        <w:bottom w:val="none" w:sz="0" w:space="0" w:color="auto"/>
        <w:right w:val="none" w:sz="0" w:space="0" w:color="auto"/>
      </w:divBdr>
    </w:div>
    <w:div w:id="495271976">
      <w:bodyDiv w:val="1"/>
      <w:marLeft w:val="0"/>
      <w:marRight w:val="0"/>
      <w:marTop w:val="0"/>
      <w:marBottom w:val="0"/>
      <w:divBdr>
        <w:top w:val="none" w:sz="0" w:space="0" w:color="auto"/>
        <w:left w:val="none" w:sz="0" w:space="0" w:color="auto"/>
        <w:bottom w:val="none" w:sz="0" w:space="0" w:color="auto"/>
        <w:right w:val="none" w:sz="0" w:space="0" w:color="auto"/>
      </w:divBdr>
    </w:div>
    <w:div w:id="497044544">
      <w:bodyDiv w:val="1"/>
      <w:marLeft w:val="0"/>
      <w:marRight w:val="0"/>
      <w:marTop w:val="0"/>
      <w:marBottom w:val="0"/>
      <w:divBdr>
        <w:top w:val="none" w:sz="0" w:space="0" w:color="auto"/>
        <w:left w:val="none" w:sz="0" w:space="0" w:color="auto"/>
        <w:bottom w:val="none" w:sz="0" w:space="0" w:color="auto"/>
        <w:right w:val="none" w:sz="0" w:space="0" w:color="auto"/>
      </w:divBdr>
    </w:div>
    <w:div w:id="497692918">
      <w:bodyDiv w:val="1"/>
      <w:marLeft w:val="0"/>
      <w:marRight w:val="0"/>
      <w:marTop w:val="0"/>
      <w:marBottom w:val="0"/>
      <w:divBdr>
        <w:top w:val="none" w:sz="0" w:space="0" w:color="auto"/>
        <w:left w:val="none" w:sz="0" w:space="0" w:color="auto"/>
        <w:bottom w:val="none" w:sz="0" w:space="0" w:color="auto"/>
        <w:right w:val="none" w:sz="0" w:space="0" w:color="auto"/>
      </w:divBdr>
    </w:div>
    <w:div w:id="498545654">
      <w:bodyDiv w:val="1"/>
      <w:marLeft w:val="0"/>
      <w:marRight w:val="0"/>
      <w:marTop w:val="0"/>
      <w:marBottom w:val="0"/>
      <w:divBdr>
        <w:top w:val="none" w:sz="0" w:space="0" w:color="auto"/>
        <w:left w:val="none" w:sz="0" w:space="0" w:color="auto"/>
        <w:bottom w:val="none" w:sz="0" w:space="0" w:color="auto"/>
        <w:right w:val="none" w:sz="0" w:space="0" w:color="auto"/>
      </w:divBdr>
    </w:div>
    <w:div w:id="498691121">
      <w:bodyDiv w:val="1"/>
      <w:marLeft w:val="0"/>
      <w:marRight w:val="0"/>
      <w:marTop w:val="0"/>
      <w:marBottom w:val="0"/>
      <w:divBdr>
        <w:top w:val="none" w:sz="0" w:space="0" w:color="auto"/>
        <w:left w:val="none" w:sz="0" w:space="0" w:color="auto"/>
        <w:bottom w:val="none" w:sz="0" w:space="0" w:color="auto"/>
        <w:right w:val="none" w:sz="0" w:space="0" w:color="auto"/>
      </w:divBdr>
    </w:div>
    <w:div w:id="499391594">
      <w:bodyDiv w:val="1"/>
      <w:marLeft w:val="0"/>
      <w:marRight w:val="0"/>
      <w:marTop w:val="0"/>
      <w:marBottom w:val="0"/>
      <w:divBdr>
        <w:top w:val="none" w:sz="0" w:space="0" w:color="auto"/>
        <w:left w:val="none" w:sz="0" w:space="0" w:color="auto"/>
        <w:bottom w:val="none" w:sz="0" w:space="0" w:color="auto"/>
        <w:right w:val="none" w:sz="0" w:space="0" w:color="auto"/>
      </w:divBdr>
    </w:div>
    <w:div w:id="500656818">
      <w:bodyDiv w:val="1"/>
      <w:marLeft w:val="0"/>
      <w:marRight w:val="0"/>
      <w:marTop w:val="0"/>
      <w:marBottom w:val="0"/>
      <w:divBdr>
        <w:top w:val="none" w:sz="0" w:space="0" w:color="auto"/>
        <w:left w:val="none" w:sz="0" w:space="0" w:color="auto"/>
        <w:bottom w:val="none" w:sz="0" w:space="0" w:color="auto"/>
        <w:right w:val="none" w:sz="0" w:space="0" w:color="auto"/>
      </w:divBdr>
    </w:div>
    <w:div w:id="500894064">
      <w:bodyDiv w:val="1"/>
      <w:marLeft w:val="0"/>
      <w:marRight w:val="0"/>
      <w:marTop w:val="0"/>
      <w:marBottom w:val="0"/>
      <w:divBdr>
        <w:top w:val="none" w:sz="0" w:space="0" w:color="auto"/>
        <w:left w:val="none" w:sz="0" w:space="0" w:color="auto"/>
        <w:bottom w:val="none" w:sz="0" w:space="0" w:color="auto"/>
        <w:right w:val="none" w:sz="0" w:space="0" w:color="auto"/>
      </w:divBdr>
    </w:div>
    <w:div w:id="501118239">
      <w:bodyDiv w:val="1"/>
      <w:marLeft w:val="0"/>
      <w:marRight w:val="0"/>
      <w:marTop w:val="0"/>
      <w:marBottom w:val="0"/>
      <w:divBdr>
        <w:top w:val="none" w:sz="0" w:space="0" w:color="auto"/>
        <w:left w:val="none" w:sz="0" w:space="0" w:color="auto"/>
        <w:bottom w:val="none" w:sz="0" w:space="0" w:color="auto"/>
        <w:right w:val="none" w:sz="0" w:space="0" w:color="auto"/>
      </w:divBdr>
    </w:div>
    <w:div w:id="502092240">
      <w:bodyDiv w:val="1"/>
      <w:marLeft w:val="0"/>
      <w:marRight w:val="0"/>
      <w:marTop w:val="0"/>
      <w:marBottom w:val="0"/>
      <w:divBdr>
        <w:top w:val="none" w:sz="0" w:space="0" w:color="auto"/>
        <w:left w:val="none" w:sz="0" w:space="0" w:color="auto"/>
        <w:bottom w:val="none" w:sz="0" w:space="0" w:color="auto"/>
        <w:right w:val="none" w:sz="0" w:space="0" w:color="auto"/>
      </w:divBdr>
    </w:div>
    <w:div w:id="502938001">
      <w:bodyDiv w:val="1"/>
      <w:marLeft w:val="0"/>
      <w:marRight w:val="0"/>
      <w:marTop w:val="0"/>
      <w:marBottom w:val="0"/>
      <w:divBdr>
        <w:top w:val="none" w:sz="0" w:space="0" w:color="auto"/>
        <w:left w:val="none" w:sz="0" w:space="0" w:color="auto"/>
        <w:bottom w:val="none" w:sz="0" w:space="0" w:color="auto"/>
        <w:right w:val="none" w:sz="0" w:space="0" w:color="auto"/>
      </w:divBdr>
    </w:div>
    <w:div w:id="503084745">
      <w:bodyDiv w:val="1"/>
      <w:marLeft w:val="0"/>
      <w:marRight w:val="0"/>
      <w:marTop w:val="0"/>
      <w:marBottom w:val="0"/>
      <w:divBdr>
        <w:top w:val="none" w:sz="0" w:space="0" w:color="auto"/>
        <w:left w:val="none" w:sz="0" w:space="0" w:color="auto"/>
        <w:bottom w:val="none" w:sz="0" w:space="0" w:color="auto"/>
        <w:right w:val="none" w:sz="0" w:space="0" w:color="auto"/>
      </w:divBdr>
    </w:div>
    <w:div w:id="503209733">
      <w:bodyDiv w:val="1"/>
      <w:marLeft w:val="0"/>
      <w:marRight w:val="0"/>
      <w:marTop w:val="0"/>
      <w:marBottom w:val="0"/>
      <w:divBdr>
        <w:top w:val="none" w:sz="0" w:space="0" w:color="auto"/>
        <w:left w:val="none" w:sz="0" w:space="0" w:color="auto"/>
        <w:bottom w:val="none" w:sz="0" w:space="0" w:color="auto"/>
        <w:right w:val="none" w:sz="0" w:space="0" w:color="auto"/>
      </w:divBdr>
    </w:div>
    <w:div w:id="503401432">
      <w:bodyDiv w:val="1"/>
      <w:marLeft w:val="0"/>
      <w:marRight w:val="0"/>
      <w:marTop w:val="0"/>
      <w:marBottom w:val="0"/>
      <w:divBdr>
        <w:top w:val="none" w:sz="0" w:space="0" w:color="auto"/>
        <w:left w:val="none" w:sz="0" w:space="0" w:color="auto"/>
        <w:bottom w:val="none" w:sz="0" w:space="0" w:color="auto"/>
        <w:right w:val="none" w:sz="0" w:space="0" w:color="auto"/>
      </w:divBdr>
    </w:div>
    <w:div w:id="503589054">
      <w:bodyDiv w:val="1"/>
      <w:marLeft w:val="0"/>
      <w:marRight w:val="0"/>
      <w:marTop w:val="0"/>
      <w:marBottom w:val="0"/>
      <w:divBdr>
        <w:top w:val="none" w:sz="0" w:space="0" w:color="auto"/>
        <w:left w:val="none" w:sz="0" w:space="0" w:color="auto"/>
        <w:bottom w:val="none" w:sz="0" w:space="0" w:color="auto"/>
        <w:right w:val="none" w:sz="0" w:space="0" w:color="auto"/>
      </w:divBdr>
    </w:div>
    <w:div w:id="504176351">
      <w:bodyDiv w:val="1"/>
      <w:marLeft w:val="0"/>
      <w:marRight w:val="0"/>
      <w:marTop w:val="0"/>
      <w:marBottom w:val="0"/>
      <w:divBdr>
        <w:top w:val="none" w:sz="0" w:space="0" w:color="auto"/>
        <w:left w:val="none" w:sz="0" w:space="0" w:color="auto"/>
        <w:bottom w:val="none" w:sz="0" w:space="0" w:color="auto"/>
        <w:right w:val="none" w:sz="0" w:space="0" w:color="auto"/>
      </w:divBdr>
    </w:div>
    <w:div w:id="504830892">
      <w:bodyDiv w:val="1"/>
      <w:marLeft w:val="0"/>
      <w:marRight w:val="0"/>
      <w:marTop w:val="0"/>
      <w:marBottom w:val="0"/>
      <w:divBdr>
        <w:top w:val="none" w:sz="0" w:space="0" w:color="auto"/>
        <w:left w:val="none" w:sz="0" w:space="0" w:color="auto"/>
        <w:bottom w:val="none" w:sz="0" w:space="0" w:color="auto"/>
        <w:right w:val="none" w:sz="0" w:space="0" w:color="auto"/>
      </w:divBdr>
    </w:div>
    <w:div w:id="505167774">
      <w:bodyDiv w:val="1"/>
      <w:marLeft w:val="0"/>
      <w:marRight w:val="0"/>
      <w:marTop w:val="0"/>
      <w:marBottom w:val="0"/>
      <w:divBdr>
        <w:top w:val="none" w:sz="0" w:space="0" w:color="auto"/>
        <w:left w:val="none" w:sz="0" w:space="0" w:color="auto"/>
        <w:bottom w:val="none" w:sz="0" w:space="0" w:color="auto"/>
        <w:right w:val="none" w:sz="0" w:space="0" w:color="auto"/>
      </w:divBdr>
    </w:div>
    <w:div w:id="505360817">
      <w:bodyDiv w:val="1"/>
      <w:marLeft w:val="0"/>
      <w:marRight w:val="0"/>
      <w:marTop w:val="0"/>
      <w:marBottom w:val="0"/>
      <w:divBdr>
        <w:top w:val="none" w:sz="0" w:space="0" w:color="auto"/>
        <w:left w:val="none" w:sz="0" w:space="0" w:color="auto"/>
        <w:bottom w:val="none" w:sz="0" w:space="0" w:color="auto"/>
        <w:right w:val="none" w:sz="0" w:space="0" w:color="auto"/>
      </w:divBdr>
    </w:div>
    <w:div w:id="505553933">
      <w:bodyDiv w:val="1"/>
      <w:marLeft w:val="0"/>
      <w:marRight w:val="0"/>
      <w:marTop w:val="0"/>
      <w:marBottom w:val="0"/>
      <w:divBdr>
        <w:top w:val="none" w:sz="0" w:space="0" w:color="auto"/>
        <w:left w:val="none" w:sz="0" w:space="0" w:color="auto"/>
        <w:bottom w:val="none" w:sz="0" w:space="0" w:color="auto"/>
        <w:right w:val="none" w:sz="0" w:space="0" w:color="auto"/>
      </w:divBdr>
    </w:div>
    <w:div w:id="506404799">
      <w:bodyDiv w:val="1"/>
      <w:marLeft w:val="0"/>
      <w:marRight w:val="0"/>
      <w:marTop w:val="0"/>
      <w:marBottom w:val="0"/>
      <w:divBdr>
        <w:top w:val="none" w:sz="0" w:space="0" w:color="auto"/>
        <w:left w:val="none" w:sz="0" w:space="0" w:color="auto"/>
        <w:bottom w:val="none" w:sz="0" w:space="0" w:color="auto"/>
        <w:right w:val="none" w:sz="0" w:space="0" w:color="auto"/>
      </w:divBdr>
    </w:div>
    <w:div w:id="508911965">
      <w:bodyDiv w:val="1"/>
      <w:marLeft w:val="0"/>
      <w:marRight w:val="0"/>
      <w:marTop w:val="0"/>
      <w:marBottom w:val="0"/>
      <w:divBdr>
        <w:top w:val="none" w:sz="0" w:space="0" w:color="auto"/>
        <w:left w:val="none" w:sz="0" w:space="0" w:color="auto"/>
        <w:bottom w:val="none" w:sz="0" w:space="0" w:color="auto"/>
        <w:right w:val="none" w:sz="0" w:space="0" w:color="auto"/>
      </w:divBdr>
    </w:div>
    <w:div w:id="511724105">
      <w:bodyDiv w:val="1"/>
      <w:marLeft w:val="0"/>
      <w:marRight w:val="0"/>
      <w:marTop w:val="0"/>
      <w:marBottom w:val="0"/>
      <w:divBdr>
        <w:top w:val="none" w:sz="0" w:space="0" w:color="auto"/>
        <w:left w:val="none" w:sz="0" w:space="0" w:color="auto"/>
        <w:bottom w:val="none" w:sz="0" w:space="0" w:color="auto"/>
        <w:right w:val="none" w:sz="0" w:space="0" w:color="auto"/>
      </w:divBdr>
    </w:div>
    <w:div w:id="511922282">
      <w:bodyDiv w:val="1"/>
      <w:marLeft w:val="0"/>
      <w:marRight w:val="0"/>
      <w:marTop w:val="0"/>
      <w:marBottom w:val="0"/>
      <w:divBdr>
        <w:top w:val="none" w:sz="0" w:space="0" w:color="auto"/>
        <w:left w:val="none" w:sz="0" w:space="0" w:color="auto"/>
        <w:bottom w:val="none" w:sz="0" w:space="0" w:color="auto"/>
        <w:right w:val="none" w:sz="0" w:space="0" w:color="auto"/>
      </w:divBdr>
    </w:div>
    <w:div w:id="512260243">
      <w:bodyDiv w:val="1"/>
      <w:marLeft w:val="0"/>
      <w:marRight w:val="0"/>
      <w:marTop w:val="0"/>
      <w:marBottom w:val="0"/>
      <w:divBdr>
        <w:top w:val="none" w:sz="0" w:space="0" w:color="auto"/>
        <w:left w:val="none" w:sz="0" w:space="0" w:color="auto"/>
        <w:bottom w:val="none" w:sz="0" w:space="0" w:color="auto"/>
        <w:right w:val="none" w:sz="0" w:space="0" w:color="auto"/>
      </w:divBdr>
    </w:div>
    <w:div w:id="514424312">
      <w:bodyDiv w:val="1"/>
      <w:marLeft w:val="0"/>
      <w:marRight w:val="0"/>
      <w:marTop w:val="0"/>
      <w:marBottom w:val="0"/>
      <w:divBdr>
        <w:top w:val="none" w:sz="0" w:space="0" w:color="auto"/>
        <w:left w:val="none" w:sz="0" w:space="0" w:color="auto"/>
        <w:bottom w:val="none" w:sz="0" w:space="0" w:color="auto"/>
        <w:right w:val="none" w:sz="0" w:space="0" w:color="auto"/>
      </w:divBdr>
    </w:div>
    <w:div w:id="514467611">
      <w:bodyDiv w:val="1"/>
      <w:marLeft w:val="0"/>
      <w:marRight w:val="0"/>
      <w:marTop w:val="0"/>
      <w:marBottom w:val="0"/>
      <w:divBdr>
        <w:top w:val="none" w:sz="0" w:space="0" w:color="auto"/>
        <w:left w:val="none" w:sz="0" w:space="0" w:color="auto"/>
        <w:bottom w:val="none" w:sz="0" w:space="0" w:color="auto"/>
        <w:right w:val="none" w:sz="0" w:space="0" w:color="auto"/>
      </w:divBdr>
    </w:div>
    <w:div w:id="515003895">
      <w:bodyDiv w:val="1"/>
      <w:marLeft w:val="0"/>
      <w:marRight w:val="0"/>
      <w:marTop w:val="0"/>
      <w:marBottom w:val="0"/>
      <w:divBdr>
        <w:top w:val="none" w:sz="0" w:space="0" w:color="auto"/>
        <w:left w:val="none" w:sz="0" w:space="0" w:color="auto"/>
        <w:bottom w:val="none" w:sz="0" w:space="0" w:color="auto"/>
        <w:right w:val="none" w:sz="0" w:space="0" w:color="auto"/>
      </w:divBdr>
    </w:div>
    <w:div w:id="516387783">
      <w:bodyDiv w:val="1"/>
      <w:marLeft w:val="0"/>
      <w:marRight w:val="0"/>
      <w:marTop w:val="0"/>
      <w:marBottom w:val="0"/>
      <w:divBdr>
        <w:top w:val="none" w:sz="0" w:space="0" w:color="auto"/>
        <w:left w:val="none" w:sz="0" w:space="0" w:color="auto"/>
        <w:bottom w:val="none" w:sz="0" w:space="0" w:color="auto"/>
        <w:right w:val="none" w:sz="0" w:space="0" w:color="auto"/>
      </w:divBdr>
    </w:div>
    <w:div w:id="517813652">
      <w:bodyDiv w:val="1"/>
      <w:marLeft w:val="0"/>
      <w:marRight w:val="0"/>
      <w:marTop w:val="0"/>
      <w:marBottom w:val="0"/>
      <w:divBdr>
        <w:top w:val="none" w:sz="0" w:space="0" w:color="auto"/>
        <w:left w:val="none" w:sz="0" w:space="0" w:color="auto"/>
        <w:bottom w:val="none" w:sz="0" w:space="0" w:color="auto"/>
        <w:right w:val="none" w:sz="0" w:space="0" w:color="auto"/>
      </w:divBdr>
    </w:div>
    <w:div w:id="518156020">
      <w:bodyDiv w:val="1"/>
      <w:marLeft w:val="0"/>
      <w:marRight w:val="0"/>
      <w:marTop w:val="0"/>
      <w:marBottom w:val="0"/>
      <w:divBdr>
        <w:top w:val="none" w:sz="0" w:space="0" w:color="auto"/>
        <w:left w:val="none" w:sz="0" w:space="0" w:color="auto"/>
        <w:bottom w:val="none" w:sz="0" w:space="0" w:color="auto"/>
        <w:right w:val="none" w:sz="0" w:space="0" w:color="auto"/>
      </w:divBdr>
    </w:div>
    <w:div w:id="518853099">
      <w:bodyDiv w:val="1"/>
      <w:marLeft w:val="0"/>
      <w:marRight w:val="0"/>
      <w:marTop w:val="0"/>
      <w:marBottom w:val="0"/>
      <w:divBdr>
        <w:top w:val="none" w:sz="0" w:space="0" w:color="auto"/>
        <w:left w:val="none" w:sz="0" w:space="0" w:color="auto"/>
        <w:bottom w:val="none" w:sz="0" w:space="0" w:color="auto"/>
        <w:right w:val="none" w:sz="0" w:space="0" w:color="auto"/>
      </w:divBdr>
    </w:div>
    <w:div w:id="519439747">
      <w:bodyDiv w:val="1"/>
      <w:marLeft w:val="0"/>
      <w:marRight w:val="0"/>
      <w:marTop w:val="0"/>
      <w:marBottom w:val="0"/>
      <w:divBdr>
        <w:top w:val="none" w:sz="0" w:space="0" w:color="auto"/>
        <w:left w:val="none" w:sz="0" w:space="0" w:color="auto"/>
        <w:bottom w:val="none" w:sz="0" w:space="0" w:color="auto"/>
        <w:right w:val="none" w:sz="0" w:space="0" w:color="auto"/>
      </w:divBdr>
    </w:div>
    <w:div w:id="519470799">
      <w:bodyDiv w:val="1"/>
      <w:marLeft w:val="0"/>
      <w:marRight w:val="0"/>
      <w:marTop w:val="0"/>
      <w:marBottom w:val="0"/>
      <w:divBdr>
        <w:top w:val="none" w:sz="0" w:space="0" w:color="auto"/>
        <w:left w:val="none" w:sz="0" w:space="0" w:color="auto"/>
        <w:bottom w:val="none" w:sz="0" w:space="0" w:color="auto"/>
        <w:right w:val="none" w:sz="0" w:space="0" w:color="auto"/>
      </w:divBdr>
    </w:div>
    <w:div w:id="520323032">
      <w:bodyDiv w:val="1"/>
      <w:marLeft w:val="0"/>
      <w:marRight w:val="0"/>
      <w:marTop w:val="0"/>
      <w:marBottom w:val="0"/>
      <w:divBdr>
        <w:top w:val="none" w:sz="0" w:space="0" w:color="auto"/>
        <w:left w:val="none" w:sz="0" w:space="0" w:color="auto"/>
        <w:bottom w:val="none" w:sz="0" w:space="0" w:color="auto"/>
        <w:right w:val="none" w:sz="0" w:space="0" w:color="auto"/>
      </w:divBdr>
    </w:div>
    <w:div w:id="521011907">
      <w:bodyDiv w:val="1"/>
      <w:marLeft w:val="0"/>
      <w:marRight w:val="0"/>
      <w:marTop w:val="0"/>
      <w:marBottom w:val="0"/>
      <w:divBdr>
        <w:top w:val="none" w:sz="0" w:space="0" w:color="auto"/>
        <w:left w:val="none" w:sz="0" w:space="0" w:color="auto"/>
        <w:bottom w:val="none" w:sz="0" w:space="0" w:color="auto"/>
        <w:right w:val="none" w:sz="0" w:space="0" w:color="auto"/>
      </w:divBdr>
    </w:div>
    <w:div w:id="521824287">
      <w:bodyDiv w:val="1"/>
      <w:marLeft w:val="0"/>
      <w:marRight w:val="0"/>
      <w:marTop w:val="0"/>
      <w:marBottom w:val="0"/>
      <w:divBdr>
        <w:top w:val="none" w:sz="0" w:space="0" w:color="auto"/>
        <w:left w:val="none" w:sz="0" w:space="0" w:color="auto"/>
        <w:bottom w:val="none" w:sz="0" w:space="0" w:color="auto"/>
        <w:right w:val="none" w:sz="0" w:space="0" w:color="auto"/>
      </w:divBdr>
    </w:div>
    <w:div w:id="522062042">
      <w:bodyDiv w:val="1"/>
      <w:marLeft w:val="0"/>
      <w:marRight w:val="0"/>
      <w:marTop w:val="0"/>
      <w:marBottom w:val="0"/>
      <w:divBdr>
        <w:top w:val="none" w:sz="0" w:space="0" w:color="auto"/>
        <w:left w:val="none" w:sz="0" w:space="0" w:color="auto"/>
        <w:bottom w:val="none" w:sz="0" w:space="0" w:color="auto"/>
        <w:right w:val="none" w:sz="0" w:space="0" w:color="auto"/>
      </w:divBdr>
    </w:div>
    <w:div w:id="522325556">
      <w:bodyDiv w:val="1"/>
      <w:marLeft w:val="0"/>
      <w:marRight w:val="0"/>
      <w:marTop w:val="0"/>
      <w:marBottom w:val="0"/>
      <w:divBdr>
        <w:top w:val="none" w:sz="0" w:space="0" w:color="auto"/>
        <w:left w:val="none" w:sz="0" w:space="0" w:color="auto"/>
        <w:bottom w:val="none" w:sz="0" w:space="0" w:color="auto"/>
        <w:right w:val="none" w:sz="0" w:space="0" w:color="auto"/>
      </w:divBdr>
    </w:div>
    <w:div w:id="522590527">
      <w:bodyDiv w:val="1"/>
      <w:marLeft w:val="0"/>
      <w:marRight w:val="0"/>
      <w:marTop w:val="0"/>
      <w:marBottom w:val="0"/>
      <w:divBdr>
        <w:top w:val="none" w:sz="0" w:space="0" w:color="auto"/>
        <w:left w:val="none" w:sz="0" w:space="0" w:color="auto"/>
        <w:bottom w:val="none" w:sz="0" w:space="0" w:color="auto"/>
        <w:right w:val="none" w:sz="0" w:space="0" w:color="auto"/>
      </w:divBdr>
    </w:div>
    <w:div w:id="522859821">
      <w:bodyDiv w:val="1"/>
      <w:marLeft w:val="0"/>
      <w:marRight w:val="0"/>
      <w:marTop w:val="0"/>
      <w:marBottom w:val="0"/>
      <w:divBdr>
        <w:top w:val="none" w:sz="0" w:space="0" w:color="auto"/>
        <w:left w:val="none" w:sz="0" w:space="0" w:color="auto"/>
        <w:bottom w:val="none" w:sz="0" w:space="0" w:color="auto"/>
        <w:right w:val="none" w:sz="0" w:space="0" w:color="auto"/>
      </w:divBdr>
    </w:div>
    <w:div w:id="523328123">
      <w:bodyDiv w:val="1"/>
      <w:marLeft w:val="0"/>
      <w:marRight w:val="0"/>
      <w:marTop w:val="0"/>
      <w:marBottom w:val="0"/>
      <w:divBdr>
        <w:top w:val="none" w:sz="0" w:space="0" w:color="auto"/>
        <w:left w:val="none" w:sz="0" w:space="0" w:color="auto"/>
        <w:bottom w:val="none" w:sz="0" w:space="0" w:color="auto"/>
        <w:right w:val="none" w:sz="0" w:space="0" w:color="auto"/>
      </w:divBdr>
    </w:div>
    <w:div w:id="523402345">
      <w:bodyDiv w:val="1"/>
      <w:marLeft w:val="0"/>
      <w:marRight w:val="0"/>
      <w:marTop w:val="0"/>
      <w:marBottom w:val="0"/>
      <w:divBdr>
        <w:top w:val="none" w:sz="0" w:space="0" w:color="auto"/>
        <w:left w:val="none" w:sz="0" w:space="0" w:color="auto"/>
        <w:bottom w:val="none" w:sz="0" w:space="0" w:color="auto"/>
        <w:right w:val="none" w:sz="0" w:space="0" w:color="auto"/>
      </w:divBdr>
    </w:div>
    <w:div w:id="523446113">
      <w:bodyDiv w:val="1"/>
      <w:marLeft w:val="0"/>
      <w:marRight w:val="0"/>
      <w:marTop w:val="0"/>
      <w:marBottom w:val="0"/>
      <w:divBdr>
        <w:top w:val="none" w:sz="0" w:space="0" w:color="auto"/>
        <w:left w:val="none" w:sz="0" w:space="0" w:color="auto"/>
        <w:bottom w:val="none" w:sz="0" w:space="0" w:color="auto"/>
        <w:right w:val="none" w:sz="0" w:space="0" w:color="auto"/>
      </w:divBdr>
    </w:div>
    <w:div w:id="523905514">
      <w:bodyDiv w:val="1"/>
      <w:marLeft w:val="0"/>
      <w:marRight w:val="0"/>
      <w:marTop w:val="0"/>
      <w:marBottom w:val="0"/>
      <w:divBdr>
        <w:top w:val="none" w:sz="0" w:space="0" w:color="auto"/>
        <w:left w:val="none" w:sz="0" w:space="0" w:color="auto"/>
        <w:bottom w:val="none" w:sz="0" w:space="0" w:color="auto"/>
        <w:right w:val="none" w:sz="0" w:space="0" w:color="auto"/>
      </w:divBdr>
    </w:div>
    <w:div w:id="524949893">
      <w:bodyDiv w:val="1"/>
      <w:marLeft w:val="0"/>
      <w:marRight w:val="0"/>
      <w:marTop w:val="0"/>
      <w:marBottom w:val="0"/>
      <w:divBdr>
        <w:top w:val="none" w:sz="0" w:space="0" w:color="auto"/>
        <w:left w:val="none" w:sz="0" w:space="0" w:color="auto"/>
        <w:bottom w:val="none" w:sz="0" w:space="0" w:color="auto"/>
        <w:right w:val="none" w:sz="0" w:space="0" w:color="auto"/>
      </w:divBdr>
    </w:div>
    <w:div w:id="525220754">
      <w:bodyDiv w:val="1"/>
      <w:marLeft w:val="0"/>
      <w:marRight w:val="0"/>
      <w:marTop w:val="0"/>
      <w:marBottom w:val="0"/>
      <w:divBdr>
        <w:top w:val="none" w:sz="0" w:space="0" w:color="auto"/>
        <w:left w:val="none" w:sz="0" w:space="0" w:color="auto"/>
        <w:bottom w:val="none" w:sz="0" w:space="0" w:color="auto"/>
        <w:right w:val="none" w:sz="0" w:space="0" w:color="auto"/>
      </w:divBdr>
    </w:div>
    <w:div w:id="527185197">
      <w:bodyDiv w:val="1"/>
      <w:marLeft w:val="0"/>
      <w:marRight w:val="0"/>
      <w:marTop w:val="0"/>
      <w:marBottom w:val="0"/>
      <w:divBdr>
        <w:top w:val="none" w:sz="0" w:space="0" w:color="auto"/>
        <w:left w:val="none" w:sz="0" w:space="0" w:color="auto"/>
        <w:bottom w:val="none" w:sz="0" w:space="0" w:color="auto"/>
        <w:right w:val="none" w:sz="0" w:space="0" w:color="auto"/>
      </w:divBdr>
    </w:div>
    <w:div w:id="528495989">
      <w:bodyDiv w:val="1"/>
      <w:marLeft w:val="0"/>
      <w:marRight w:val="0"/>
      <w:marTop w:val="0"/>
      <w:marBottom w:val="0"/>
      <w:divBdr>
        <w:top w:val="none" w:sz="0" w:space="0" w:color="auto"/>
        <w:left w:val="none" w:sz="0" w:space="0" w:color="auto"/>
        <w:bottom w:val="none" w:sz="0" w:space="0" w:color="auto"/>
        <w:right w:val="none" w:sz="0" w:space="0" w:color="auto"/>
      </w:divBdr>
    </w:div>
    <w:div w:id="528496524">
      <w:bodyDiv w:val="1"/>
      <w:marLeft w:val="0"/>
      <w:marRight w:val="0"/>
      <w:marTop w:val="0"/>
      <w:marBottom w:val="0"/>
      <w:divBdr>
        <w:top w:val="none" w:sz="0" w:space="0" w:color="auto"/>
        <w:left w:val="none" w:sz="0" w:space="0" w:color="auto"/>
        <w:bottom w:val="none" w:sz="0" w:space="0" w:color="auto"/>
        <w:right w:val="none" w:sz="0" w:space="0" w:color="auto"/>
      </w:divBdr>
    </w:div>
    <w:div w:id="528883014">
      <w:bodyDiv w:val="1"/>
      <w:marLeft w:val="0"/>
      <w:marRight w:val="0"/>
      <w:marTop w:val="0"/>
      <w:marBottom w:val="0"/>
      <w:divBdr>
        <w:top w:val="none" w:sz="0" w:space="0" w:color="auto"/>
        <w:left w:val="none" w:sz="0" w:space="0" w:color="auto"/>
        <w:bottom w:val="none" w:sz="0" w:space="0" w:color="auto"/>
        <w:right w:val="none" w:sz="0" w:space="0" w:color="auto"/>
      </w:divBdr>
    </w:div>
    <w:div w:id="531652617">
      <w:bodyDiv w:val="1"/>
      <w:marLeft w:val="0"/>
      <w:marRight w:val="0"/>
      <w:marTop w:val="0"/>
      <w:marBottom w:val="0"/>
      <w:divBdr>
        <w:top w:val="none" w:sz="0" w:space="0" w:color="auto"/>
        <w:left w:val="none" w:sz="0" w:space="0" w:color="auto"/>
        <w:bottom w:val="none" w:sz="0" w:space="0" w:color="auto"/>
        <w:right w:val="none" w:sz="0" w:space="0" w:color="auto"/>
      </w:divBdr>
    </w:div>
    <w:div w:id="532425375">
      <w:bodyDiv w:val="1"/>
      <w:marLeft w:val="0"/>
      <w:marRight w:val="0"/>
      <w:marTop w:val="0"/>
      <w:marBottom w:val="0"/>
      <w:divBdr>
        <w:top w:val="none" w:sz="0" w:space="0" w:color="auto"/>
        <w:left w:val="none" w:sz="0" w:space="0" w:color="auto"/>
        <w:bottom w:val="none" w:sz="0" w:space="0" w:color="auto"/>
        <w:right w:val="none" w:sz="0" w:space="0" w:color="auto"/>
      </w:divBdr>
    </w:div>
    <w:div w:id="532500292">
      <w:bodyDiv w:val="1"/>
      <w:marLeft w:val="0"/>
      <w:marRight w:val="0"/>
      <w:marTop w:val="0"/>
      <w:marBottom w:val="0"/>
      <w:divBdr>
        <w:top w:val="none" w:sz="0" w:space="0" w:color="auto"/>
        <w:left w:val="none" w:sz="0" w:space="0" w:color="auto"/>
        <w:bottom w:val="none" w:sz="0" w:space="0" w:color="auto"/>
        <w:right w:val="none" w:sz="0" w:space="0" w:color="auto"/>
      </w:divBdr>
    </w:div>
    <w:div w:id="533153726">
      <w:bodyDiv w:val="1"/>
      <w:marLeft w:val="0"/>
      <w:marRight w:val="0"/>
      <w:marTop w:val="0"/>
      <w:marBottom w:val="0"/>
      <w:divBdr>
        <w:top w:val="none" w:sz="0" w:space="0" w:color="auto"/>
        <w:left w:val="none" w:sz="0" w:space="0" w:color="auto"/>
        <w:bottom w:val="none" w:sz="0" w:space="0" w:color="auto"/>
        <w:right w:val="none" w:sz="0" w:space="0" w:color="auto"/>
      </w:divBdr>
    </w:div>
    <w:div w:id="535168102">
      <w:bodyDiv w:val="1"/>
      <w:marLeft w:val="0"/>
      <w:marRight w:val="0"/>
      <w:marTop w:val="0"/>
      <w:marBottom w:val="0"/>
      <w:divBdr>
        <w:top w:val="none" w:sz="0" w:space="0" w:color="auto"/>
        <w:left w:val="none" w:sz="0" w:space="0" w:color="auto"/>
        <w:bottom w:val="none" w:sz="0" w:space="0" w:color="auto"/>
        <w:right w:val="none" w:sz="0" w:space="0" w:color="auto"/>
      </w:divBdr>
    </w:div>
    <w:div w:id="535898196">
      <w:bodyDiv w:val="1"/>
      <w:marLeft w:val="0"/>
      <w:marRight w:val="0"/>
      <w:marTop w:val="0"/>
      <w:marBottom w:val="0"/>
      <w:divBdr>
        <w:top w:val="none" w:sz="0" w:space="0" w:color="auto"/>
        <w:left w:val="none" w:sz="0" w:space="0" w:color="auto"/>
        <w:bottom w:val="none" w:sz="0" w:space="0" w:color="auto"/>
        <w:right w:val="none" w:sz="0" w:space="0" w:color="auto"/>
      </w:divBdr>
    </w:div>
    <w:div w:id="536047782">
      <w:bodyDiv w:val="1"/>
      <w:marLeft w:val="0"/>
      <w:marRight w:val="0"/>
      <w:marTop w:val="0"/>
      <w:marBottom w:val="0"/>
      <w:divBdr>
        <w:top w:val="none" w:sz="0" w:space="0" w:color="auto"/>
        <w:left w:val="none" w:sz="0" w:space="0" w:color="auto"/>
        <w:bottom w:val="none" w:sz="0" w:space="0" w:color="auto"/>
        <w:right w:val="none" w:sz="0" w:space="0" w:color="auto"/>
      </w:divBdr>
    </w:div>
    <w:div w:id="536354288">
      <w:bodyDiv w:val="1"/>
      <w:marLeft w:val="0"/>
      <w:marRight w:val="0"/>
      <w:marTop w:val="0"/>
      <w:marBottom w:val="0"/>
      <w:divBdr>
        <w:top w:val="none" w:sz="0" w:space="0" w:color="auto"/>
        <w:left w:val="none" w:sz="0" w:space="0" w:color="auto"/>
        <w:bottom w:val="none" w:sz="0" w:space="0" w:color="auto"/>
        <w:right w:val="none" w:sz="0" w:space="0" w:color="auto"/>
      </w:divBdr>
    </w:div>
    <w:div w:id="536818547">
      <w:bodyDiv w:val="1"/>
      <w:marLeft w:val="0"/>
      <w:marRight w:val="0"/>
      <w:marTop w:val="0"/>
      <w:marBottom w:val="0"/>
      <w:divBdr>
        <w:top w:val="none" w:sz="0" w:space="0" w:color="auto"/>
        <w:left w:val="none" w:sz="0" w:space="0" w:color="auto"/>
        <w:bottom w:val="none" w:sz="0" w:space="0" w:color="auto"/>
        <w:right w:val="none" w:sz="0" w:space="0" w:color="auto"/>
      </w:divBdr>
    </w:div>
    <w:div w:id="537622379">
      <w:bodyDiv w:val="1"/>
      <w:marLeft w:val="0"/>
      <w:marRight w:val="0"/>
      <w:marTop w:val="0"/>
      <w:marBottom w:val="0"/>
      <w:divBdr>
        <w:top w:val="none" w:sz="0" w:space="0" w:color="auto"/>
        <w:left w:val="none" w:sz="0" w:space="0" w:color="auto"/>
        <w:bottom w:val="none" w:sz="0" w:space="0" w:color="auto"/>
        <w:right w:val="none" w:sz="0" w:space="0" w:color="auto"/>
      </w:divBdr>
    </w:div>
    <w:div w:id="539516013">
      <w:bodyDiv w:val="1"/>
      <w:marLeft w:val="0"/>
      <w:marRight w:val="0"/>
      <w:marTop w:val="0"/>
      <w:marBottom w:val="0"/>
      <w:divBdr>
        <w:top w:val="none" w:sz="0" w:space="0" w:color="auto"/>
        <w:left w:val="none" w:sz="0" w:space="0" w:color="auto"/>
        <w:bottom w:val="none" w:sz="0" w:space="0" w:color="auto"/>
        <w:right w:val="none" w:sz="0" w:space="0" w:color="auto"/>
      </w:divBdr>
    </w:div>
    <w:div w:id="539899537">
      <w:bodyDiv w:val="1"/>
      <w:marLeft w:val="0"/>
      <w:marRight w:val="0"/>
      <w:marTop w:val="0"/>
      <w:marBottom w:val="0"/>
      <w:divBdr>
        <w:top w:val="none" w:sz="0" w:space="0" w:color="auto"/>
        <w:left w:val="none" w:sz="0" w:space="0" w:color="auto"/>
        <w:bottom w:val="none" w:sz="0" w:space="0" w:color="auto"/>
        <w:right w:val="none" w:sz="0" w:space="0" w:color="auto"/>
      </w:divBdr>
    </w:div>
    <w:div w:id="540291181">
      <w:bodyDiv w:val="1"/>
      <w:marLeft w:val="0"/>
      <w:marRight w:val="0"/>
      <w:marTop w:val="0"/>
      <w:marBottom w:val="0"/>
      <w:divBdr>
        <w:top w:val="none" w:sz="0" w:space="0" w:color="auto"/>
        <w:left w:val="none" w:sz="0" w:space="0" w:color="auto"/>
        <w:bottom w:val="none" w:sz="0" w:space="0" w:color="auto"/>
        <w:right w:val="none" w:sz="0" w:space="0" w:color="auto"/>
      </w:divBdr>
    </w:div>
    <w:div w:id="541599749">
      <w:bodyDiv w:val="1"/>
      <w:marLeft w:val="0"/>
      <w:marRight w:val="0"/>
      <w:marTop w:val="0"/>
      <w:marBottom w:val="0"/>
      <w:divBdr>
        <w:top w:val="none" w:sz="0" w:space="0" w:color="auto"/>
        <w:left w:val="none" w:sz="0" w:space="0" w:color="auto"/>
        <w:bottom w:val="none" w:sz="0" w:space="0" w:color="auto"/>
        <w:right w:val="none" w:sz="0" w:space="0" w:color="auto"/>
      </w:divBdr>
    </w:div>
    <w:div w:id="541745922">
      <w:bodyDiv w:val="1"/>
      <w:marLeft w:val="0"/>
      <w:marRight w:val="0"/>
      <w:marTop w:val="0"/>
      <w:marBottom w:val="0"/>
      <w:divBdr>
        <w:top w:val="none" w:sz="0" w:space="0" w:color="auto"/>
        <w:left w:val="none" w:sz="0" w:space="0" w:color="auto"/>
        <w:bottom w:val="none" w:sz="0" w:space="0" w:color="auto"/>
        <w:right w:val="none" w:sz="0" w:space="0" w:color="auto"/>
      </w:divBdr>
    </w:div>
    <w:div w:id="543059995">
      <w:bodyDiv w:val="1"/>
      <w:marLeft w:val="0"/>
      <w:marRight w:val="0"/>
      <w:marTop w:val="0"/>
      <w:marBottom w:val="0"/>
      <w:divBdr>
        <w:top w:val="none" w:sz="0" w:space="0" w:color="auto"/>
        <w:left w:val="none" w:sz="0" w:space="0" w:color="auto"/>
        <w:bottom w:val="none" w:sz="0" w:space="0" w:color="auto"/>
        <w:right w:val="none" w:sz="0" w:space="0" w:color="auto"/>
      </w:divBdr>
    </w:div>
    <w:div w:id="543178678">
      <w:bodyDiv w:val="1"/>
      <w:marLeft w:val="0"/>
      <w:marRight w:val="0"/>
      <w:marTop w:val="0"/>
      <w:marBottom w:val="0"/>
      <w:divBdr>
        <w:top w:val="none" w:sz="0" w:space="0" w:color="auto"/>
        <w:left w:val="none" w:sz="0" w:space="0" w:color="auto"/>
        <w:bottom w:val="none" w:sz="0" w:space="0" w:color="auto"/>
        <w:right w:val="none" w:sz="0" w:space="0" w:color="auto"/>
      </w:divBdr>
    </w:div>
    <w:div w:id="543180755">
      <w:bodyDiv w:val="1"/>
      <w:marLeft w:val="0"/>
      <w:marRight w:val="0"/>
      <w:marTop w:val="0"/>
      <w:marBottom w:val="0"/>
      <w:divBdr>
        <w:top w:val="none" w:sz="0" w:space="0" w:color="auto"/>
        <w:left w:val="none" w:sz="0" w:space="0" w:color="auto"/>
        <w:bottom w:val="none" w:sz="0" w:space="0" w:color="auto"/>
        <w:right w:val="none" w:sz="0" w:space="0" w:color="auto"/>
      </w:divBdr>
    </w:div>
    <w:div w:id="544414974">
      <w:bodyDiv w:val="1"/>
      <w:marLeft w:val="0"/>
      <w:marRight w:val="0"/>
      <w:marTop w:val="0"/>
      <w:marBottom w:val="0"/>
      <w:divBdr>
        <w:top w:val="none" w:sz="0" w:space="0" w:color="auto"/>
        <w:left w:val="none" w:sz="0" w:space="0" w:color="auto"/>
        <w:bottom w:val="none" w:sz="0" w:space="0" w:color="auto"/>
        <w:right w:val="none" w:sz="0" w:space="0" w:color="auto"/>
      </w:divBdr>
    </w:div>
    <w:div w:id="544679712">
      <w:bodyDiv w:val="1"/>
      <w:marLeft w:val="0"/>
      <w:marRight w:val="0"/>
      <w:marTop w:val="0"/>
      <w:marBottom w:val="0"/>
      <w:divBdr>
        <w:top w:val="none" w:sz="0" w:space="0" w:color="auto"/>
        <w:left w:val="none" w:sz="0" w:space="0" w:color="auto"/>
        <w:bottom w:val="none" w:sz="0" w:space="0" w:color="auto"/>
        <w:right w:val="none" w:sz="0" w:space="0" w:color="auto"/>
      </w:divBdr>
    </w:div>
    <w:div w:id="545600759">
      <w:bodyDiv w:val="1"/>
      <w:marLeft w:val="0"/>
      <w:marRight w:val="0"/>
      <w:marTop w:val="0"/>
      <w:marBottom w:val="0"/>
      <w:divBdr>
        <w:top w:val="none" w:sz="0" w:space="0" w:color="auto"/>
        <w:left w:val="none" w:sz="0" w:space="0" w:color="auto"/>
        <w:bottom w:val="none" w:sz="0" w:space="0" w:color="auto"/>
        <w:right w:val="none" w:sz="0" w:space="0" w:color="auto"/>
      </w:divBdr>
    </w:div>
    <w:div w:id="545723086">
      <w:bodyDiv w:val="1"/>
      <w:marLeft w:val="0"/>
      <w:marRight w:val="0"/>
      <w:marTop w:val="0"/>
      <w:marBottom w:val="0"/>
      <w:divBdr>
        <w:top w:val="none" w:sz="0" w:space="0" w:color="auto"/>
        <w:left w:val="none" w:sz="0" w:space="0" w:color="auto"/>
        <w:bottom w:val="none" w:sz="0" w:space="0" w:color="auto"/>
        <w:right w:val="none" w:sz="0" w:space="0" w:color="auto"/>
      </w:divBdr>
    </w:div>
    <w:div w:id="546114639">
      <w:bodyDiv w:val="1"/>
      <w:marLeft w:val="0"/>
      <w:marRight w:val="0"/>
      <w:marTop w:val="0"/>
      <w:marBottom w:val="0"/>
      <w:divBdr>
        <w:top w:val="none" w:sz="0" w:space="0" w:color="auto"/>
        <w:left w:val="none" w:sz="0" w:space="0" w:color="auto"/>
        <w:bottom w:val="none" w:sz="0" w:space="0" w:color="auto"/>
        <w:right w:val="none" w:sz="0" w:space="0" w:color="auto"/>
      </w:divBdr>
    </w:div>
    <w:div w:id="547884271">
      <w:bodyDiv w:val="1"/>
      <w:marLeft w:val="0"/>
      <w:marRight w:val="0"/>
      <w:marTop w:val="0"/>
      <w:marBottom w:val="0"/>
      <w:divBdr>
        <w:top w:val="none" w:sz="0" w:space="0" w:color="auto"/>
        <w:left w:val="none" w:sz="0" w:space="0" w:color="auto"/>
        <w:bottom w:val="none" w:sz="0" w:space="0" w:color="auto"/>
        <w:right w:val="none" w:sz="0" w:space="0" w:color="auto"/>
      </w:divBdr>
    </w:div>
    <w:div w:id="548105940">
      <w:bodyDiv w:val="1"/>
      <w:marLeft w:val="0"/>
      <w:marRight w:val="0"/>
      <w:marTop w:val="0"/>
      <w:marBottom w:val="0"/>
      <w:divBdr>
        <w:top w:val="none" w:sz="0" w:space="0" w:color="auto"/>
        <w:left w:val="none" w:sz="0" w:space="0" w:color="auto"/>
        <w:bottom w:val="none" w:sz="0" w:space="0" w:color="auto"/>
        <w:right w:val="none" w:sz="0" w:space="0" w:color="auto"/>
      </w:divBdr>
    </w:div>
    <w:div w:id="549729270">
      <w:bodyDiv w:val="1"/>
      <w:marLeft w:val="0"/>
      <w:marRight w:val="0"/>
      <w:marTop w:val="0"/>
      <w:marBottom w:val="0"/>
      <w:divBdr>
        <w:top w:val="none" w:sz="0" w:space="0" w:color="auto"/>
        <w:left w:val="none" w:sz="0" w:space="0" w:color="auto"/>
        <w:bottom w:val="none" w:sz="0" w:space="0" w:color="auto"/>
        <w:right w:val="none" w:sz="0" w:space="0" w:color="auto"/>
      </w:divBdr>
    </w:div>
    <w:div w:id="550844104">
      <w:bodyDiv w:val="1"/>
      <w:marLeft w:val="0"/>
      <w:marRight w:val="0"/>
      <w:marTop w:val="0"/>
      <w:marBottom w:val="0"/>
      <w:divBdr>
        <w:top w:val="none" w:sz="0" w:space="0" w:color="auto"/>
        <w:left w:val="none" w:sz="0" w:space="0" w:color="auto"/>
        <w:bottom w:val="none" w:sz="0" w:space="0" w:color="auto"/>
        <w:right w:val="none" w:sz="0" w:space="0" w:color="auto"/>
      </w:divBdr>
    </w:div>
    <w:div w:id="550993397">
      <w:bodyDiv w:val="1"/>
      <w:marLeft w:val="0"/>
      <w:marRight w:val="0"/>
      <w:marTop w:val="0"/>
      <w:marBottom w:val="0"/>
      <w:divBdr>
        <w:top w:val="none" w:sz="0" w:space="0" w:color="auto"/>
        <w:left w:val="none" w:sz="0" w:space="0" w:color="auto"/>
        <w:bottom w:val="none" w:sz="0" w:space="0" w:color="auto"/>
        <w:right w:val="none" w:sz="0" w:space="0" w:color="auto"/>
      </w:divBdr>
    </w:div>
    <w:div w:id="551308700">
      <w:bodyDiv w:val="1"/>
      <w:marLeft w:val="0"/>
      <w:marRight w:val="0"/>
      <w:marTop w:val="0"/>
      <w:marBottom w:val="0"/>
      <w:divBdr>
        <w:top w:val="none" w:sz="0" w:space="0" w:color="auto"/>
        <w:left w:val="none" w:sz="0" w:space="0" w:color="auto"/>
        <w:bottom w:val="none" w:sz="0" w:space="0" w:color="auto"/>
        <w:right w:val="none" w:sz="0" w:space="0" w:color="auto"/>
      </w:divBdr>
    </w:div>
    <w:div w:id="552349072">
      <w:bodyDiv w:val="1"/>
      <w:marLeft w:val="0"/>
      <w:marRight w:val="0"/>
      <w:marTop w:val="0"/>
      <w:marBottom w:val="0"/>
      <w:divBdr>
        <w:top w:val="none" w:sz="0" w:space="0" w:color="auto"/>
        <w:left w:val="none" w:sz="0" w:space="0" w:color="auto"/>
        <w:bottom w:val="none" w:sz="0" w:space="0" w:color="auto"/>
        <w:right w:val="none" w:sz="0" w:space="0" w:color="auto"/>
      </w:divBdr>
    </w:div>
    <w:div w:id="553665891">
      <w:bodyDiv w:val="1"/>
      <w:marLeft w:val="0"/>
      <w:marRight w:val="0"/>
      <w:marTop w:val="0"/>
      <w:marBottom w:val="0"/>
      <w:divBdr>
        <w:top w:val="none" w:sz="0" w:space="0" w:color="auto"/>
        <w:left w:val="none" w:sz="0" w:space="0" w:color="auto"/>
        <w:bottom w:val="none" w:sz="0" w:space="0" w:color="auto"/>
        <w:right w:val="none" w:sz="0" w:space="0" w:color="auto"/>
      </w:divBdr>
    </w:div>
    <w:div w:id="554003553">
      <w:bodyDiv w:val="1"/>
      <w:marLeft w:val="0"/>
      <w:marRight w:val="0"/>
      <w:marTop w:val="0"/>
      <w:marBottom w:val="0"/>
      <w:divBdr>
        <w:top w:val="none" w:sz="0" w:space="0" w:color="auto"/>
        <w:left w:val="none" w:sz="0" w:space="0" w:color="auto"/>
        <w:bottom w:val="none" w:sz="0" w:space="0" w:color="auto"/>
        <w:right w:val="none" w:sz="0" w:space="0" w:color="auto"/>
      </w:divBdr>
    </w:div>
    <w:div w:id="554702524">
      <w:bodyDiv w:val="1"/>
      <w:marLeft w:val="0"/>
      <w:marRight w:val="0"/>
      <w:marTop w:val="0"/>
      <w:marBottom w:val="0"/>
      <w:divBdr>
        <w:top w:val="none" w:sz="0" w:space="0" w:color="auto"/>
        <w:left w:val="none" w:sz="0" w:space="0" w:color="auto"/>
        <w:bottom w:val="none" w:sz="0" w:space="0" w:color="auto"/>
        <w:right w:val="none" w:sz="0" w:space="0" w:color="auto"/>
      </w:divBdr>
    </w:div>
    <w:div w:id="555896498">
      <w:bodyDiv w:val="1"/>
      <w:marLeft w:val="0"/>
      <w:marRight w:val="0"/>
      <w:marTop w:val="0"/>
      <w:marBottom w:val="0"/>
      <w:divBdr>
        <w:top w:val="none" w:sz="0" w:space="0" w:color="auto"/>
        <w:left w:val="none" w:sz="0" w:space="0" w:color="auto"/>
        <w:bottom w:val="none" w:sz="0" w:space="0" w:color="auto"/>
        <w:right w:val="none" w:sz="0" w:space="0" w:color="auto"/>
      </w:divBdr>
      <w:divsChild>
        <w:div w:id="1832257290">
          <w:marLeft w:val="0"/>
          <w:marRight w:val="0"/>
          <w:marTop w:val="0"/>
          <w:marBottom w:val="0"/>
          <w:divBdr>
            <w:top w:val="none" w:sz="0" w:space="0" w:color="auto"/>
            <w:left w:val="none" w:sz="0" w:space="0" w:color="auto"/>
            <w:bottom w:val="none" w:sz="0" w:space="0" w:color="auto"/>
            <w:right w:val="none" w:sz="0" w:space="0" w:color="auto"/>
          </w:divBdr>
          <w:divsChild>
            <w:div w:id="241452446">
              <w:marLeft w:val="0"/>
              <w:marRight w:val="0"/>
              <w:marTop w:val="0"/>
              <w:marBottom w:val="0"/>
              <w:divBdr>
                <w:top w:val="none" w:sz="0" w:space="0" w:color="auto"/>
                <w:left w:val="none" w:sz="0" w:space="0" w:color="auto"/>
                <w:bottom w:val="none" w:sz="0" w:space="0" w:color="auto"/>
                <w:right w:val="none" w:sz="0" w:space="0" w:color="auto"/>
              </w:divBdr>
              <w:divsChild>
                <w:div w:id="1923173672">
                  <w:marLeft w:val="0"/>
                  <w:marRight w:val="0"/>
                  <w:marTop w:val="0"/>
                  <w:marBottom w:val="0"/>
                  <w:divBdr>
                    <w:top w:val="none" w:sz="0" w:space="0" w:color="auto"/>
                    <w:left w:val="none" w:sz="0" w:space="0" w:color="auto"/>
                    <w:bottom w:val="none" w:sz="0" w:space="0" w:color="auto"/>
                    <w:right w:val="none" w:sz="0" w:space="0" w:color="auto"/>
                  </w:divBdr>
                  <w:divsChild>
                    <w:div w:id="21387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3837">
      <w:bodyDiv w:val="1"/>
      <w:marLeft w:val="0"/>
      <w:marRight w:val="0"/>
      <w:marTop w:val="0"/>
      <w:marBottom w:val="0"/>
      <w:divBdr>
        <w:top w:val="none" w:sz="0" w:space="0" w:color="auto"/>
        <w:left w:val="none" w:sz="0" w:space="0" w:color="auto"/>
        <w:bottom w:val="none" w:sz="0" w:space="0" w:color="auto"/>
        <w:right w:val="none" w:sz="0" w:space="0" w:color="auto"/>
      </w:divBdr>
    </w:div>
    <w:div w:id="557131763">
      <w:bodyDiv w:val="1"/>
      <w:marLeft w:val="0"/>
      <w:marRight w:val="0"/>
      <w:marTop w:val="0"/>
      <w:marBottom w:val="0"/>
      <w:divBdr>
        <w:top w:val="none" w:sz="0" w:space="0" w:color="auto"/>
        <w:left w:val="none" w:sz="0" w:space="0" w:color="auto"/>
        <w:bottom w:val="none" w:sz="0" w:space="0" w:color="auto"/>
        <w:right w:val="none" w:sz="0" w:space="0" w:color="auto"/>
      </w:divBdr>
    </w:div>
    <w:div w:id="557589864">
      <w:bodyDiv w:val="1"/>
      <w:marLeft w:val="0"/>
      <w:marRight w:val="0"/>
      <w:marTop w:val="0"/>
      <w:marBottom w:val="0"/>
      <w:divBdr>
        <w:top w:val="none" w:sz="0" w:space="0" w:color="auto"/>
        <w:left w:val="none" w:sz="0" w:space="0" w:color="auto"/>
        <w:bottom w:val="none" w:sz="0" w:space="0" w:color="auto"/>
        <w:right w:val="none" w:sz="0" w:space="0" w:color="auto"/>
      </w:divBdr>
    </w:div>
    <w:div w:id="558246112">
      <w:bodyDiv w:val="1"/>
      <w:marLeft w:val="0"/>
      <w:marRight w:val="0"/>
      <w:marTop w:val="0"/>
      <w:marBottom w:val="0"/>
      <w:divBdr>
        <w:top w:val="none" w:sz="0" w:space="0" w:color="auto"/>
        <w:left w:val="none" w:sz="0" w:space="0" w:color="auto"/>
        <w:bottom w:val="none" w:sz="0" w:space="0" w:color="auto"/>
        <w:right w:val="none" w:sz="0" w:space="0" w:color="auto"/>
      </w:divBdr>
    </w:div>
    <w:div w:id="558324014">
      <w:bodyDiv w:val="1"/>
      <w:marLeft w:val="0"/>
      <w:marRight w:val="0"/>
      <w:marTop w:val="0"/>
      <w:marBottom w:val="0"/>
      <w:divBdr>
        <w:top w:val="none" w:sz="0" w:space="0" w:color="auto"/>
        <w:left w:val="none" w:sz="0" w:space="0" w:color="auto"/>
        <w:bottom w:val="none" w:sz="0" w:space="0" w:color="auto"/>
        <w:right w:val="none" w:sz="0" w:space="0" w:color="auto"/>
      </w:divBdr>
    </w:div>
    <w:div w:id="558831127">
      <w:bodyDiv w:val="1"/>
      <w:marLeft w:val="0"/>
      <w:marRight w:val="0"/>
      <w:marTop w:val="0"/>
      <w:marBottom w:val="0"/>
      <w:divBdr>
        <w:top w:val="none" w:sz="0" w:space="0" w:color="auto"/>
        <w:left w:val="none" w:sz="0" w:space="0" w:color="auto"/>
        <w:bottom w:val="none" w:sz="0" w:space="0" w:color="auto"/>
        <w:right w:val="none" w:sz="0" w:space="0" w:color="auto"/>
      </w:divBdr>
    </w:div>
    <w:div w:id="558901686">
      <w:bodyDiv w:val="1"/>
      <w:marLeft w:val="0"/>
      <w:marRight w:val="0"/>
      <w:marTop w:val="0"/>
      <w:marBottom w:val="0"/>
      <w:divBdr>
        <w:top w:val="none" w:sz="0" w:space="0" w:color="auto"/>
        <w:left w:val="none" w:sz="0" w:space="0" w:color="auto"/>
        <w:bottom w:val="none" w:sz="0" w:space="0" w:color="auto"/>
        <w:right w:val="none" w:sz="0" w:space="0" w:color="auto"/>
      </w:divBdr>
    </w:div>
    <w:div w:id="560167736">
      <w:bodyDiv w:val="1"/>
      <w:marLeft w:val="0"/>
      <w:marRight w:val="0"/>
      <w:marTop w:val="0"/>
      <w:marBottom w:val="0"/>
      <w:divBdr>
        <w:top w:val="none" w:sz="0" w:space="0" w:color="auto"/>
        <w:left w:val="none" w:sz="0" w:space="0" w:color="auto"/>
        <w:bottom w:val="none" w:sz="0" w:space="0" w:color="auto"/>
        <w:right w:val="none" w:sz="0" w:space="0" w:color="auto"/>
      </w:divBdr>
    </w:div>
    <w:div w:id="560216314">
      <w:bodyDiv w:val="1"/>
      <w:marLeft w:val="0"/>
      <w:marRight w:val="0"/>
      <w:marTop w:val="0"/>
      <w:marBottom w:val="0"/>
      <w:divBdr>
        <w:top w:val="none" w:sz="0" w:space="0" w:color="auto"/>
        <w:left w:val="none" w:sz="0" w:space="0" w:color="auto"/>
        <w:bottom w:val="none" w:sz="0" w:space="0" w:color="auto"/>
        <w:right w:val="none" w:sz="0" w:space="0" w:color="auto"/>
      </w:divBdr>
    </w:div>
    <w:div w:id="560287216">
      <w:bodyDiv w:val="1"/>
      <w:marLeft w:val="0"/>
      <w:marRight w:val="0"/>
      <w:marTop w:val="0"/>
      <w:marBottom w:val="0"/>
      <w:divBdr>
        <w:top w:val="none" w:sz="0" w:space="0" w:color="auto"/>
        <w:left w:val="none" w:sz="0" w:space="0" w:color="auto"/>
        <w:bottom w:val="none" w:sz="0" w:space="0" w:color="auto"/>
        <w:right w:val="none" w:sz="0" w:space="0" w:color="auto"/>
      </w:divBdr>
    </w:div>
    <w:div w:id="560558313">
      <w:bodyDiv w:val="1"/>
      <w:marLeft w:val="0"/>
      <w:marRight w:val="0"/>
      <w:marTop w:val="0"/>
      <w:marBottom w:val="0"/>
      <w:divBdr>
        <w:top w:val="none" w:sz="0" w:space="0" w:color="auto"/>
        <w:left w:val="none" w:sz="0" w:space="0" w:color="auto"/>
        <w:bottom w:val="none" w:sz="0" w:space="0" w:color="auto"/>
        <w:right w:val="none" w:sz="0" w:space="0" w:color="auto"/>
      </w:divBdr>
    </w:div>
    <w:div w:id="561334574">
      <w:bodyDiv w:val="1"/>
      <w:marLeft w:val="0"/>
      <w:marRight w:val="0"/>
      <w:marTop w:val="0"/>
      <w:marBottom w:val="0"/>
      <w:divBdr>
        <w:top w:val="none" w:sz="0" w:space="0" w:color="auto"/>
        <w:left w:val="none" w:sz="0" w:space="0" w:color="auto"/>
        <w:bottom w:val="none" w:sz="0" w:space="0" w:color="auto"/>
        <w:right w:val="none" w:sz="0" w:space="0" w:color="auto"/>
      </w:divBdr>
    </w:div>
    <w:div w:id="561914911">
      <w:bodyDiv w:val="1"/>
      <w:marLeft w:val="0"/>
      <w:marRight w:val="0"/>
      <w:marTop w:val="0"/>
      <w:marBottom w:val="0"/>
      <w:divBdr>
        <w:top w:val="none" w:sz="0" w:space="0" w:color="auto"/>
        <w:left w:val="none" w:sz="0" w:space="0" w:color="auto"/>
        <w:bottom w:val="none" w:sz="0" w:space="0" w:color="auto"/>
        <w:right w:val="none" w:sz="0" w:space="0" w:color="auto"/>
      </w:divBdr>
    </w:div>
    <w:div w:id="563376201">
      <w:bodyDiv w:val="1"/>
      <w:marLeft w:val="0"/>
      <w:marRight w:val="0"/>
      <w:marTop w:val="0"/>
      <w:marBottom w:val="0"/>
      <w:divBdr>
        <w:top w:val="none" w:sz="0" w:space="0" w:color="auto"/>
        <w:left w:val="none" w:sz="0" w:space="0" w:color="auto"/>
        <w:bottom w:val="none" w:sz="0" w:space="0" w:color="auto"/>
        <w:right w:val="none" w:sz="0" w:space="0" w:color="auto"/>
      </w:divBdr>
    </w:div>
    <w:div w:id="564724636">
      <w:bodyDiv w:val="1"/>
      <w:marLeft w:val="0"/>
      <w:marRight w:val="0"/>
      <w:marTop w:val="0"/>
      <w:marBottom w:val="0"/>
      <w:divBdr>
        <w:top w:val="none" w:sz="0" w:space="0" w:color="auto"/>
        <w:left w:val="none" w:sz="0" w:space="0" w:color="auto"/>
        <w:bottom w:val="none" w:sz="0" w:space="0" w:color="auto"/>
        <w:right w:val="none" w:sz="0" w:space="0" w:color="auto"/>
      </w:divBdr>
    </w:div>
    <w:div w:id="567692574">
      <w:bodyDiv w:val="1"/>
      <w:marLeft w:val="0"/>
      <w:marRight w:val="0"/>
      <w:marTop w:val="0"/>
      <w:marBottom w:val="0"/>
      <w:divBdr>
        <w:top w:val="none" w:sz="0" w:space="0" w:color="auto"/>
        <w:left w:val="none" w:sz="0" w:space="0" w:color="auto"/>
        <w:bottom w:val="none" w:sz="0" w:space="0" w:color="auto"/>
        <w:right w:val="none" w:sz="0" w:space="0" w:color="auto"/>
      </w:divBdr>
    </w:div>
    <w:div w:id="568422420">
      <w:bodyDiv w:val="1"/>
      <w:marLeft w:val="0"/>
      <w:marRight w:val="0"/>
      <w:marTop w:val="0"/>
      <w:marBottom w:val="0"/>
      <w:divBdr>
        <w:top w:val="none" w:sz="0" w:space="0" w:color="auto"/>
        <w:left w:val="none" w:sz="0" w:space="0" w:color="auto"/>
        <w:bottom w:val="none" w:sz="0" w:space="0" w:color="auto"/>
        <w:right w:val="none" w:sz="0" w:space="0" w:color="auto"/>
      </w:divBdr>
    </w:div>
    <w:div w:id="568468918">
      <w:bodyDiv w:val="1"/>
      <w:marLeft w:val="0"/>
      <w:marRight w:val="0"/>
      <w:marTop w:val="0"/>
      <w:marBottom w:val="0"/>
      <w:divBdr>
        <w:top w:val="none" w:sz="0" w:space="0" w:color="auto"/>
        <w:left w:val="none" w:sz="0" w:space="0" w:color="auto"/>
        <w:bottom w:val="none" w:sz="0" w:space="0" w:color="auto"/>
        <w:right w:val="none" w:sz="0" w:space="0" w:color="auto"/>
      </w:divBdr>
    </w:div>
    <w:div w:id="568921573">
      <w:bodyDiv w:val="1"/>
      <w:marLeft w:val="0"/>
      <w:marRight w:val="0"/>
      <w:marTop w:val="0"/>
      <w:marBottom w:val="0"/>
      <w:divBdr>
        <w:top w:val="none" w:sz="0" w:space="0" w:color="auto"/>
        <w:left w:val="none" w:sz="0" w:space="0" w:color="auto"/>
        <w:bottom w:val="none" w:sz="0" w:space="0" w:color="auto"/>
        <w:right w:val="none" w:sz="0" w:space="0" w:color="auto"/>
      </w:divBdr>
    </w:div>
    <w:div w:id="569315710">
      <w:bodyDiv w:val="1"/>
      <w:marLeft w:val="0"/>
      <w:marRight w:val="0"/>
      <w:marTop w:val="0"/>
      <w:marBottom w:val="0"/>
      <w:divBdr>
        <w:top w:val="none" w:sz="0" w:space="0" w:color="auto"/>
        <w:left w:val="none" w:sz="0" w:space="0" w:color="auto"/>
        <w:bottom w:val="none" w:sz="0" w:space="0" w:color="auto"/>
        <w:right w:val="none" w:sz="0" w:space="0" w:color="auto"/>
      </w:divBdr>
    </w:div>
    <w:div w:id="569926488">
      <w:bodyDiv w:val="1"/>
      <w:marLeft w:val="0"/>
      <w:marRight w:val="0"/>
      <w:marTop w:val="0"/>
      <w:marBottom w:val="0"/>
      <w:divBdr>
        <w:top w:val="none" w:sz="0" w:space="0" w:color="auto"/>
        <w:left w:val="none" w:sz="0" w:space="0" w:color="auto"/>
        <w:bottom w:val="none" w:sz="0" w:space="0" w:color="auto"/>
        <w:right w:val="none" w:sz="0" w:space="0" w:color="auto"/>
      </w:divBdr>
    </w:div>
    <w:div w:id="570577543">
      <w:bodyDiv w:val="1"/>
      <w:marLeft w:val="0"/>
      <w:marRight w:val="0"/>
      <w:marTop w:val="0"/>
      <w:marBottom w:val="0"/>
      <w:divBdr>
        <w:top w:val="none" w:sz="0" w:space="0" w:color="auto"/>
        <w:left w:val="none" w:sz="0" w:space="0" w:color="auto"/>
        <w:bottom w:val="none" w:sz="0" w:space="0" w:color="auto"/>
        <w:right w:val="none" w:sz="0" w:space="0" w:color="auto"/>
      </w:divBdr>
    </w:div>
    <w:div w:id="570896371">
      <w:bodyDiv w:val="1"/>
      <w:marLeft w:val="0"/>
      <w:marRight w:val="0"/>
      <w:marTop w:val="0"/>
      <w:marBottom w:val="0"/>
      <w:divBdr>
        <w:top w:val="none" w:sz="0" w:space="0" w:color="auto"/>
        <w:left w:val="none" w:sz="0" w:space="0" w:color="auto"/>
        <w:bottom w:val="none" w:sz="0" w:space="0" w:color="auto"/>
        <w:right w:val="none" w:sz="0" w:space="0" w:color="auto"/>
      </w:divBdr>
    </w:div>
    <w:div w:id="571083590">
      <w:bodyDiv w:val="1"/>
      <w:marLeft w:val="0"/>
      <w:marRight w:val="0"/>
      <w:marTop w:val="0"/>
      <w:marBottom w:val="0"/>
      <w:divBdr>
        <w:top w:val="none" w:sz="0" w:space="0" w:color="auto"/>
        <w:left w:val="none" w:sz="0" w:space="0" w:color="auto"/>
        <w:bottom w:val="none" w:sz="0" w:space="0" w:color="auto"/>
        <w:right w:val="none" w:sz="0" w:space="0" w:color="auto"/>
      </w:divBdr>
    </w:div>
    <w:div w:id="571550721">
      <w:bodyDiv w:val="1"/>
      <w:marLeft w:val="0"/>
      <w:marRight w:val="0"/>
      <w:marTop w:val="0"/>
      <w:marBottom w:val="0"/>
      <w:divBdr>
        <w:top w:val="none" w:sz="0" w:space="0" w:color="auto"/>
        <w:left w:val="none" w:sz="0" w:space="0" w:color="auto"/>
        <w:bottom w:val="none" w:sz="0" w:space="0" w:color="auto"/>
        <w:right w:val="none" w:sz="0" w:space="0" w:color="auto"/>
      </w:divBdr>
    </w:div>
    <w:div w:id="571962503">
      <w:bodyDiv w:val="1"/>
      <w:marLeft w:val="0"/>
      <w:marRight w:val="0"/>
      <w:marTop w:val="0"/>
      <w:marBottom w:val="0"/>
      <w:divBdr>
        <w:top w:val="none" w:sz="0" w:space="0" w:color="auto"/>
        <w:left w:val="none" w:sz="0" w:space="0" w:color="auto"/>
        <w:bottom w:val="none" w:sz="0" w:space="0" w:color="auto"/>
        <w:right w:val="none" w:sz="0" w:space="0" w:color="auto"/>
      </w:divBdr>
    </w:div>
    <w:div w:id="571963775">
      <w:bodyDiv w:val="1"/>
      <w:marLeft w:val="0"/>
      <w:marRight w:val="0"/>
      <w:marTop w:val="0"/>
      <w:marBottom w:val="0"/>
      <w:divBdr>
        <w:top w:val="none" w:sz="0" w:space="0" w:color="auto"/>
        <w:left w:val="none" w:sz="0" w:space="0" w:color="auto"/>
        <w:bottom w:val="none" w:sz="0" w:space="0" w:color="auto"/>
        <w:right w:val="none" w:sz="0" w:space="0" w:color="auto"/>
      </w:divBdr>
    </w:div>
    <w:div w:id="572397972">
      <w:bodyDiv w:val="1"/>
      <w:marLeft w:val="0"/>
      <w:marRight w:val="0"/>
      <w:marTop w:val="0"/>
      <w:marBottom w:val="0"/>
      <w:divBdr>
        <w:top w:val="none" w:sz="0" w:space="0" w:color="auto"/>
        <w:left w:val="none" w:sz="0" w:space="0" w:color="auto"/>
        <w:bottom w:val="none" w:sz="0" w:space="0" w:color="auto"/>
        <w:right w:val="none" w:sz="0" w:space="0" w:color="auto"/>
      </w:divBdr>
    </w:div>
    <w:div w:id="572400386">
      <w:bodyDiv w:val="1"/>
      <w:marLeft w:val="0"/>
      <w:marRight w:val="0"/>
      <w:marTop w:val="0"/>
      <w:marBottom w:val="0"/>
      <w:divBdr>
        <w:top w:val="none" w:sz="0" w:space="0" w:color="auto"/>
        <w:left w:val="none" w:sz="0" w:space="0" w:color="auto"/>
        <w:bottom w:val="none" w:sz="0" w:space="0" w:color="auto"/>
        <w:right w:val="none" w:sz="0" w:space="0" w:color="auto"/>
      </w:divBdr>
    </w:div>
    <w:div w:id="572467041">
      <w:bodyDiv w:val="1"/>
      <w:marLeft w:val="0"/>
      <w:marRight w:val="0"/>
      <w:marTop w:val="0"/>
      <w:marBottom w:val="0"/>
      <w:divBdr>
        <w:top w:val="none" w:sz="0" w:space="0" w:color="auto"/>
        <w:left w:val="none" w:sz="0" w:space="0" w:color="auto"/>
        <w:bottom w:val="none" w:sz="0" w:space="0" w:color="auto"/>
        <w:right w:val="none" w:sz="0" w:space="0" w:color="auto"/>
      </w:divBdr>
    </w:div>
    <w:div w:id="572546699">
      <w:bodyDiv w:val="1"/>
      <w:marLeft w:val="0"/>
      <w:marRight w:val="0"/>
      <w:marTop w:val="0"/>
      <w:marBottom w:val="0"/>
      <w:divBdr>
        <w:top w:val="none" w:sz="0" w:space="0" w:color="auto"/>
        <w:left w:val="none" w:sz="0" w:space="0" w:color="auto"/>
        <w:bottom w:val="none" w:sz="0" w:space="0" w:color="auto"/>
        <w:right w:val="none" w:sz="0" w:space="0" w:color="auto"/>
      </w:divBdr>
    </w:div>
    <w:div w:id="572663657">
      <w:bodyDiv w:val="1"/>
      <w:marLeft w:val="0"/>
      <w:marRight w:val="0"/>
      <w:marTop w:val="0"/>
      <w:marBottom w:val="0"/>
      <w:divBdr>
        <w:top w:val="none" w:sz="0" w:space="0" w:color="auto"/>
        <w:left w:val="none" w:sz="0" w:space="0" w:color="auto"/>
        <w:bottom w:val="none" w:sz="0" w:space="0" w:color="auto"/>
        <w:right w:val="none" w:sz="0" w:space="0" w:color="auto"/>
      </w:divBdr>
    </w:div>
    <w:div w:id="573010436">
      <w:bodyDiv w:val="1"/>
      <w:marLeft w:val="0"/>
      <w:marRight w:val="0"/>
      <w:marTop w:val="0"/>
      <w:marBottom w:val="0"/>
      <w:divBdr>
        <w:top w:val="none" w:sz="0" w:space="0" w:color="auto"/>
        <w:left w:val="none" w:sz="0" w:space="0" w:color="auto"/>
        <w:bottom w:val="none" w:sz="0" w:space="0" w:color="auto"/>
        <w:right w:val="none" w:sz="0" w:space="0" w:color="auto"/>
      </w:divBdr>
    </w:div>
    <w:div w:id="573321392">
      <w:bodyDiv w:val="1"/>
      <w:marLeft w:val="0"/>
      <w:marRight w:val="0"/>
      <w:marTop w:val="0"/>
      <w:marBottom w:val="0"/>
      <w:divBdr>
        <w:top w:val="none" w:sz="0" w:space="0" w:color="auto"/>
        <w:left w:val="none" w:sz="0" w:space="0" w:color="auto"/>
        <w:bottom w:val="none" w:sz="0" w:space="0" w:color="auto"/>
        <w:right w:val="none" w:sz="0" w:space="0" w:color="auto"/>
      </w:divBdr>
    </w:div>
    <w:div w:id="574971413">
      <w:bodyDiv w:val="1"/>
      <w:marLeft w:val="0"/>
      <w:marRight w:val="0"/>
      <w:marTop w:val="0"/>
      <w:marBottom w:val="0"/>
      <w:divBdr>
        <w:top w:val="none" w:sz="0" w:space="0" w:color="auto"/>
        <w:left w:val="none" w:sz="0" w:space="0" w:color="auto"/>
        <w:bottom w:val="none" w:sz="0" w:space="0" w:color="auto"/>
        <w:right w:val="none" w:sz="0" w:space="0" w:color="auto"/>
      </w:divBdr>
    </w:div>
    <w:div w:id="575553010">
      <w:bodyDiv w:val="1"/>
      <w:marLeft w:val="0"/>
      <w:marRight w:val="0"/>
      <w:marTop w:val="0"/>
      <w:marBottom w:val="0"/>
      <w:divBdr>
        <w:top w:val="none" w:sz="0" w:space="0" w:color="auto"/>
        <w:left w:val="none" w:sz="0" w:space="0" w:color="auto"/>
        <w:bottom w:val="none" w:sz="0" w:space="0" w:color="auto"/>
        <w:right w:val="none" w:sz="0" w:space="0" w:color="auto"/>
      </w:divBdr>
    </w:div>
    <w:div w:id="575752403">
      <w:bodyDiv w:val="1"/>
      <w:marLeft w:val="0"/>
      <w:marRight w:val="0"/>
      <w:marTop w:val="0"/>
      <w:marBottom w:val="0"/>
      <w:divBdr>
        <w:top w:val="none" w:sz="0" w:space="0" w:color="auto"/>
        <w:left w:val="none" w:sz="0" w:space="0" w:color="auto"/>
        <w:bottom w:val="none" w:sz="0" w:space="0" w:color="auto"/>
        <w:right w:val="none" w:sz="0" w:space="0" w:color="auto"/>
      </w:divBdr>
    </w:div>
    <w:div w:id="576476769">
      <w:bodyDiv w:val="1"/>
      <w:marLeft w:val="0"/>
      <w:marRight w:val="0"/>
      <w:marTop w:val="0"/>
      <w:marBottom w:val="0"/>
      <w:divBdr>
        <w:top w:val="none" w:sz="0" w:space="0" w:color="auto"/>
        <w:left w:val="none" w:sz="0" w:space="0" w:color="auto"/>
        <w:bottom w:val="none" w:sz="0" w:space="0" w:color="auto"/>
        <w:right w:val="none" w:sz="0" w:space="0" w:color="auto"/>
      </w:divBdr>
    </w:div>
    <w:div w:id="576785465">
      <w:bodyDiv w:val="1"/>
      <w:marLeft w:val="0"/>
      <w:marRight w:val="0"/>
      <w:marTop w:val="0"/>
      <w:marBottom w:val="0"/>
      <w:divBdr>
        <w:top w:val="none" w:sz="0" w:space="0" w:color="auto"/>
        <w:left w:val="none" w:sz="0" w:space="0" w:color="auto"/>
        <w:bottom w:val="none" w:sz="0" w:space="0" w:color="auto"/>
        <w:right w:val="none" w:sz="0" w:space="0" w:color="auto"/>
      </w:divBdr>
    </w:div>
    <w:div w:id="578367410">
      <w:bodyDiv w:val="1"/>
      <w:marLeft w:val="0"/>
      <w:marRight w:val="0"/>
      <w:marTop w:val="0"/>
      <w:marBottom w:val="0"/>
      <w:divBdr>
        <w:top w:val="none" w:sz="0" w:space="0" w:color="auto"/>
        <w:left w:val="none" w:sz="0" w:space="0" w:color="auto"/>
        <w:bottom w:val="none" w:sz="0" w:space="0" w:color="auto"/>
        <w:right w:val="none" w:sz="0" w:space="0" w:color="auto"/>
      </w:divBdr>
    </w:div>
    <w:div w:id="580607568">
      <w:bodyDiv w:val="1"/>
      <w:marLeft w:val="0"/>
      <w:marRight w:val="0"/>
      <w:marTop w:val="0"/>
      <w:marBottom w:val="0"/>
      <w:divBdr>
        <w:top w:val="none" w:sz="0" w:space="0" w:color="auto"/>
        <w:left w:val="none" w:sz="0" w:space="0" w:color="auto"/>
        <w:bottom w:val="none" w:sz="0" w:space="0" w:color="auto"/>
        <w:right w:val="none" w:sz="0" w:space="0" w:color="auto"/>
      </w:divBdr>
    </w:div>
    <w:div w:id="580870141">
      <w:bodyDiv w:val="1"/>
      <w:marLeft w:val="0"/>
      <w:marRight w:val="0"/>
      <w:marTop w:val="0"/>
      <w:marBottom w:val="0"/>
      <w:divBdr>
        <w:top w:val="none" w:sz="0" w:space="0" w:color="auto"/>
        <w:left w:val="none" w:sz="0" w:space="0" w:color="auto"/>
        <w:bottom w:val="none" w:sz="0" w:space="0" w:color="auto"/>
        <w:right w:val="none" w:sz="0" w:space="0" w:color="auto"/>
      </w:divBdr>
    </w:div>
    <w:div w:id="581381005">
      <w:bodyDiv w:val="1"/>
      <w:marLeft w:val="0"/>
      <w:marRight w:val="0"/>
      <w:marTop w:val="0"/>
      <w:marBottom w:val="0"/>
      <w:divBdr>
        <w:top w:val="none" w:sz="0" w:space="0" w:color="auto"/>
        <w:left w:val="none" w:sz="0" w:space="0" w:color="auto"/>
        <w:bottom w:val="none" w:sz="0" w:space="0" w:color="auto"/>
        <w:right w:val="none" w:sz="0" w:space="0" w:color="auto"/>
      </w:divBdr>
    </w:div>
    <w:div w:id="581640486">
      <w:bodyDiv w:val="1"/>
      <w:marLeft w:val="0"/>
      <w:marRight w:val="0"/>
      <w:marTop w:val="0"/>
      <w:marBottom w:val="0"/>
      <w:divBdr>
        <w:top w:val="none" w:sz="0" w:space="0" w:color="auto"/>
        <w:left w:val="none" w:sz="0" w:space="0" w:color="auto"/>
        <w:bottom w:val="none" w:sz="0" w:space="0" w:color="auto"/>
        <w:right w:val="none" w:sz="0" w:space="0" w:color="auto"/>
      </w:divBdr>
    </w:div>
    <w:div w:id="581765643">
      <w:bodyDiv w:val="1"/>
      <w:marLeft w:val="0"/>
      <w:marRight w:val="0"/>
      <w:marTop w:val="0"/>
      <w:marBottom w:val="0"/>
      <w:divBdr>
        <w:top w:val="none" w:sz="0" w:space="0" w:color="auto"/>
        <w:left w:val="none" w:sz="0" w:space="0" w:color="auto"/>
        <w:bottom w:val="none" w:sz="0" w:space="0" w:color="auto"/>
        <w:right w:val="none" w:sz="0" w:space="0" w:color="auto"/>
      </w:divBdr>
    </w:div>
    <w:div w:id="584462122">
      <w:bodyDiv w:val="1"/>
      <w:marLeft w:val="0"/>
      <w:marRight w:val="0"/>
      <w:marTop w:val="0"/>
      <w:marBottom w:val="0"/>
      <w:divBdr>
        <w:top w:val="none" w:sz="0" w:space="0" w:color="auto"/>
        <w:left w:val="none" w:sz="0" w:space="0" w:color="auto"/>
        <w:bottom w:val="none" w:sz="0" w:space="0" w:color="auto"/>
        <w:right w:val="none" w:sz="0" w:space="0" w:color="auto"/>
      </w:divBdr>
    </w:div>
    <w:div w:id="585111131">
      <w:bodyDiv w:val="1"/>
      <w:marLeft w:val="0"/>
      <w:marRight w:val="0"/>
      <w:marTop w:val="0"/>
      <w:marBottom w:val="0"/>
      <w:divBdr>
        <w:top w:val="none" w:sz="0" w:space="0" w:color="auto"/>
        <w:left w:val="none" w:sz="0" w:space="0" w:color="auto"/>
        <w:bottom w:val="none" w:sz="0" w:space="0" w:color="auto"/>
        <w:right w:val="none" w:sz="0" w:space="0" w:color="auto"/>
      </w:divBdr>
    </w:div>
    <w:div w:id="585386730">
      <w:bodyDiv w:val="1"/>
      <w:marLeft w:val="0"/>
      <w:marRight w:val="0"/>
      <w:marTop w:val="0"/>
      <w:marBottom w:val="0"/>
      <w:divBdr>
        <w:top w:val="none" w:sz="0" w:space="0" w:color="auto"/>
        <w:left w:val="none" w:sz="0" w:space="0" w:color="auto"/>
        <w:bottom w:val="none" w:sz="0" w:space="0" w:color="auto"/>
        <w:right w:val="none" w:sz="0" w:space="0" w:color="auto"/>
      </w:divBdr>
    </w:div>
    <w:div w:id="585531190">
      <w:bodyDiv w:val="1"/>
      <w:marLeft w:val="0"/>
      <w:marRight w:val="0"/>
      <w:marTop w:val="0"/>
      <w:marBottom w:val="0"/>
      <w:divBdr>
        <w:top w:val="none" w:sz="0" w:space="0" w:color="auto"/>
        <w:left w:val="none" w:sz="0" w:space="0" w:color="auto"/>
        <w:bottom w:val="none" w:sz="0" w:space="0" w:color="auto"/>
        <w:right w:val="none" w:sz="0" w:space="0" w:color="auto"/>
      </w:divBdr>
    </w:div>
    <w:div w:id="585967508">
      <w:bodyDiv w:val="1"/>
      <w:marLeft w:val="0"/>
      <w:marRight w:val="0"/>
      <w:marTop w:val="0"/>
      <w:marBottom w:val="0"/>
      <w:divBdr>
        <w:top w:val="none" w:sz="0" w:space="0" w:color="auto"/>
        <w:left w:val="none" w:sz="0" w:space="0" w:color="auto"/>
        <w:bottom w:val="none" w:sz="0" w:space="0" w:color="auto"/>
        <w:right w:val="none" w:sz="0" w:space="0" w:color="auto"/>
      </w:divBdr>
    </w:div>
    <w:div w:id="586498001">
      <w:bodyDiv w:val="1"/>
      <w:marLeft w:val="0"/>
      <w:marRight w:val="0"/>
      <w:marTop w:val="0"/>
      <w:marBottom w:val="0"/>
      <w:divBdr>
        <w:top w:val="none" w:sz="0" w:space="0" w:color="auto"/>
        <w:left w:val="none" w:sz="0" w:space="0" w:color="auto"/>
        <w:bottom w:val="none" w:sz="0" w:space="0" w:color="auto"/>
        <w:right w:val="none" w:sz="0" w:space="0" w:color="auto"/>
      </w:divBdr>
    </w:div>
    <w:div w:id="586574938">
      <w:bodyDiv w:val="1"/>
      <w:marLeft w:val="0"/>
      <w:marRight w:val="0"/>
      <w:marTop w:val="0"/>
      <w:marBottom w:val="0"/>
      <w:divBdr>
        <w:top w:val="none" w:sz="0" w:space="0" w:color="auto"/>
        <w:left w:val="none" w:sz="0" w:space="0" w:color="auto"/>
        <w:bottom w:val="none" w:sz="0" w:space="0" w:color="auto"/>
        <w:right w:val="none" w:sz="0" w:space="0" w:color="auto"/>
      </w:divBdr>
    </w:div>
    <w:div w:id="587469703">
      <w:bodyDiv w:val="1"/>
      <w:marLeft w:val="0"/>
      <w:marRight w:val="0"/>
      <w:marTop w:val="0"/>
      <w:marBottom w:val="0"/>
      <w:divBdr>
        <w:top w:val="none" w:sz="0" w:space="0" w:color="auto"/>
        <w:left w:val="none" w:sz="0" w:space="0" w:color="auto"/>
        <w:bottom w:val="none" w:sz="0" w:space="0" w:color="auto"/>
        <w:right w:val="none" w:sz="0" w:space="0" w:color="auto"/>
      </w:divBdr>
    </w:div>
    <w:div w:id="587889552">
      <w:bodyDiv w:val="1"/>
      <w:marLeft w:val="0"/>
      <w:marRight w:val="0"/>
      <w:marTop w:val="0"/>
      <w:marBottom w:val="0"/>
      <w:divBdr>
        <w:top w:val="none" w:sz="0" w:space="0" w:color="auto"/>
        <w:left w:val="none" w:sz="0" w:space="0" w:color="auto"/>
        <w:bottom w:val="none" w:sz="0" w:space="0" w:color="auto"/>
        <w:right w:val="none" w:sz="0" w:space="0" w:color="auto"/>
      </w:divBdr>
    </w:div>
    <w:div w:id="588346147">
      <w:bodyDiv w:val="1"/>
      <w:marLeft w:val="0"/>
      <w:marRight w:val="0"/>
      <w:marTop w:val="0"/>
      <w:marBottom w:val="0"/>
      <w:divBdr>
        <w:top w:val="none" w:sz="0" w:space="0" w:color="auto"/>
        <w:left w:val="none" w:sz="0" w:space="0" w:color="auto"/>
        <w:bottom w:val="none" w:sz="0" w:space="0" w:color="auto"/>
        <w:right w:val="none" w:sz="0" w:space="0" w:color="auto"/>
      </w:divBdr>
    </w:div>
    <w:div w:id="588538452">
      <w:bodyDiv w:val="1"/>
      <w:marLeft w:val="0"/>
      <w:marRight w:val="0"/>
      <w:marTop w:val="0"/>
      <w:marBottom w:val="0"/>
      <w:divBdr>
        <w:top w:val="none" w:sz="0" w:space="0" w:color="auto"/>
        <w:left w:val="none" w:sz="0" w:space="0" w:color="auto"/>
        <w:bottom w:val="none" w:sz="0" w:space="0" w:color="auto"/>
        <w:right w:val="none" w:sz="0" w:space="0" w:color="auto"/>
      </w:divBdr>
    </w:div>
    <w:div w:id="589120991">
      <w:bodyDiv w:val="1"/>
      <w:marLeft w:val="0"/>
      <w:marRight w:val="0"/>
      <w:marTop w:val="0"/>
      <w:marBottom w:val="0"/>
      <w:divBdr>
        <w:top w:val="none" w:sz="0" w:space="0" w:color="auto"/>
        <w:left w:val="none" w:sz="0" w:space="0" w:color="auto"/>
        <w:bottom w:val="none" w:sz="0" w:space="0" w:color="auto"/>
        <w:right w:val="none" w:sz="0" w:space="0" w:color="auto"/>
      </w:divBdr>
    </w:div>
    <w:div w:id="589897260">
      <w:bodyDiv w:val="1"/>
      <w:marLeft w:val="0"/>
      <w:marRight w:val="0"/>
      <w:marTop w:val="0"/>
      <w:marBottom w:val="0"/>
      <w:divBdr>
        <w:top w:val="none" w:sz="0" w:space="0" w:color="auto"/>
        <w:left w:val="none" w:sz="0" w:space="0" w:color="auto"/>
        <w:bottom w:val="none" w:sz="0" w:space="0" w:color="auto"/>
        <w:right w:val="none" w:sz="0" w:space="0" w:color="auto"/>
      </w:divBdr>
    </w:div>
    <w:div w:id="590745871">
      <w:bodyDiv w:val="1"/>
      <w:marLeft w:val="0"/>
      <w:marRight w:val="0"/>
      <w:marTop w:val="0"/>
      <w:marBottom w:val="0"/>
      <w:divBdr>
        <w:top w:val="none" w:sz="0" w:space="0" w:color="auto"/>
        <w:left w:val="none" w:sz="0" w:space="0" w:color="auto"/>
        <w:bottom w:val="none" w:sz="0" w:space="0" w:color="auto"/>
        <w:right w:val="none" w:sz="0" w:space="0" w:color="auto"/>
      </w:divBdr>
    </w:div>
    <w:div w:id="591477709">
      <w:bodyDiv w:val="1"/>
      <w:marLeft w:val="0"/>
      <w:marRight w:val="0"/>
      <w:marTop w:val="0"/>
      <w:marBottom w:val="0"/>
      <w:divBdr>
        <w:top w:val="none" w:sz="0" w:space="0" w:color="auto"/>
        <w:left w:val="none" w:sz="0" w:space="0" w:color="auto"/>
        <w:bottom w:val="none" w:sz="0" w:space="0" w:color="auto"/>
        <w:right w:val="none" w:sz="0" w:space="0" w:color="auto"/>
      </w:divBdr>
    </w:div>
    <w:div w:id="591816865">
      <w:bodyDiv w:val="1"/>
      <w:marLeft w:val="0"/>
      <w:marRight w:val="0"/>
      <w:marTop w:val="0"/>
      <w:marBottom w:val="0"/>
      <w:divBdr>
        <w:top w:val="none" w:sz="0" w:space="0" w:color="auto"/>
        <w:left w:val="none" w:sz="0" w:space="0" w:color="auto"/>
        <w:bottom w:val="none" w:sz="0" w:space="0" w:color="auto"/>
        <w:right w:val="none" w:sz="0" w:space="0" w:color="auto"/>
      </w:divBdr>
    </w:div>
    <w:div w:id="592514326">
      <w:bodyDiv w:val="1"/>
      <w:marLeft w:val="0"/>
      <w:marRight w:val="0"/>
      <w:marTop w:val="0"/>
      <w:marBottom w:val="0"/>
      <w:divBdr>
        <w:top w:val="none" w:sz="0" w:space="0" w:color="auto"/>
        <w:left w:val="none" w:sz="0" w:space="0" w:color="auto"/>
        <w:bottom w:val="none" w:sz="0" w:space="0" w:color="auto"/>
        <w:right w:val="none" w:sz="0" w:space="0" w:color="auto"/>
      </w:divBdr>
    </w:div>
    <w:div w:id="592863885">
      <w:bodyDiv w:val="1"/>
      <w:marLeft w:val="0"/>
      <w:marRight w:val="0"/>
      <w:marTop w:val="0"/>
      <w:marBottom w:val="0"/>
      <w:divBdr>
        <w:top w:val="none" w:sz="0" w:space="0" w:color="auto"/>
        <w:left w:val="none" w:sz="0" w:space="0" w:color="auto"/>
        <w:bottom w:val="none" w:sz="0" w:space="0" w:color="auto"/>
        <w:right w:val="none" w:sz="0" w:space="0" w:color="auto"/>
      </w:divBdr>
    </w:div>
    <w:div w:id="595334095">
      <w:bodyDiv w:val="1"/>
      <w:marLeft w:val="0"/>
      <w:marRight w:val="0"/>
      <w:marTop w:val="0"/>
      <w:marBottom w:val="0"/>
      <w:divBdr>
        <w:top w:val="none" w:sz="0" w:space="0" w:color="auto"/>
        <w:left w:val="none" w:sz="0" w:space="0" w:color="auto"/>
        <w:bottom w:val="none" w:sz="0" w:space="0" w:color="auto"/>
        <w:right w:val="none" w:sz="0" w:space="0" w:color="auto"/>
      </w:divBdr>
    </w:div>
    <w:div w:id="595556749">
      <w:bodyDiv w:val="1"/>
      <w:marLeft w:val="0"/>
      <w:marRight w:val="0"/>
      <w:marTop w:val="0"/>
      <w:marBottom w:val="0"/>
      <w:divBdr>
        <w:top w:val="none" w:sz="0" w:space="0" w:color="auto"/>
        <w:left w:val="none" w:sz="0" w:space="0" w:color="auto"/>
        <w:bottom w:val="none" w:sz="0" w:space="0" w:color="auto"/>
        <w:right w:val="none" w:sz="0" w:space="0" w:color="auto"/>
      </w:divBdr>
    </w:div>
    <w:div w:id="595946025">
      <w:bodyDiv w:val="1"/>
      <w:marLeft w:val="0"/>
      <w:marRight w:val="0"/>
      <w:marTop w:val="0"/>
      <w:marBottom w:val="0"/>
      <w:divBdr>
        <w:top w:val="none" w:sz="0" w:space="0" w:color="auto"/>
        <w:left w:val="none" w:sz="0" w:space="0" w:color="auto"/>
        <w:bottom w:val="none" w:sz="0" w:space="0" w:color="auto"/>
        <w:right w:val="none" w:sz="0" w:space="0" w:color="auto"/>
      </w:divBdr>
    </w:div>
    <w:div w:id="596134133">
      <w:bodyDiv w:val="1"/>
      <w:marLeft w:val="0"/>
      <w:marRight w:val="0"/>
      <w:marTop w:val="0"/>
      <w:marBottom w:val="0"/>
      <w:divBdr>
        <w:top w:val="none" w:sz="0" w:space="0" w:color="auto"/>
        <w:left w:val="none" w:sz="0" w:space="0" w:color="auto"/>
        <w:bottom w:val="none" w:sz="0" w:space="0" w:color="auto"/>
        <w:right w:val="none" w:sz="0" w:space="0" w:color="auto"/>
      </w:divBdr>
    </w:div>
    <w:div w:id="596671880">
      <w:bodyDiv w:val="1"/>
      <w:marLeft w:val="0"/>
      <w:marRight w:val="0"/>
      <w:marTop w:val="0"/>
      <w:marBottom w:val="0"/>
      <w:divBdr>
        <w:top w:val="none" w:sz="0" w:space="0" w:color="auto"/>
        <w:left w:val="none" w:sz="0" w:space="0" w:color="auto"/>
        <w:bottom w:val="none" w:sz="0" w:space="0" w:color="auto"/>
        <w:right w:val="none" w:sz="0" w:space="0" w:color="auto"/>
      </w:divBdr>
    </w:div>
    <w:div w:id="596788685">
      <w:bodyDiv w:val="1"/>
      <w:marLeft w:val="0"/>
      <w:marRight w:val="0"/>
      <w:marTop w:val="0"/>
      <w:marBottom w:val="0"/>
      <w:divBdr>
        <w:top w:val="none" w:sz="0" w:space="0" w:color="auto"/>
        <w:left w:val="none" w:sz="0" w:space="0" w:color="auto"/>
        <w:bottom w:val="none" w:sz="0" w:space="0" w:color="auto"/>
        <w:right w:val="none" w:sz="0" w:space="0" w:color="auto"/>
      </w:divBdr>
    </w:div>
    <w:div w:id="596868692">
      <w:bodyDiv w:val="1"/>
      <w:marLeft w:val="0"/>
      <w:marRight w:val="0"/>
      <w:marTop w:val="0"/>
      <w:marBottom w:val="0"/>
      <w:divBdr>
        <w:top w:val="none" w:sz="0" w:space="0" w:color="auto"/>
        <w:left w:val="none" w:sz="0" w:space="0" w:color="auto"/>
        <w:bottom w:val="none" w:sz="0" w:space="0" w:color="auto"/>
        <w:right w:val="none" w:sz="0" w:space="0" w:color="auto"/>
      </w:divBdr>
    </w:div>
    <w:div w:id="597064361">
      <w:bodyDiv w:val="1"/>
      <w:marLeft w:val="0"/>
      <w:marRight w:val="0"/>
      <w:marTop w:val="0"/>
      <w:marBottom w:val="0"/>
      <w:divBdr>
        <w:top w:val="none" w:sz="0" w:space="0" w:color="auto"/>
        <w:left w:val="none" w:sz="0" w:space="0" w:color="auto"/>
        <w:bottom w:val="none" w:sz="0" w:space="0" w:color="auto"/>
        <w:right w:val="none" w:sz="0" w:space="0" w:color="auto"/>
      </w:divBdr>
    </w:div>
    <w:div w:id="597367341">
      <w:bodyDiv w:val="1"/>
      <w:marLeft w:val="0"/>
      <w:marRight w:val="0"/>
      <w:marTop w:val="0"/>
      <w:marBottom w:val="0"/>
      <w:divBdr>
        <w:top w:val="none" w:sz="0" w:space="0" w:color="auto"/>
        <w:left w:val="none" w:sz="0" w:space="0" w:color="auto"/>
        <w:bottom w:val="none" w:sz="0" w:space="0" w:color="auto"/>
        <w:right w:val="none" w:sz="0" w:space="0" w:color="auto"/>
      </w:divBdr>
    </w:div>
    <w:div w:id="597832281">
      <w:bodyDiv w:val="1"/>
      <w:marLeft w:val="0"/>
      <w:marRight w:val="0"/>
      <w:marTop w:val="0"/>
      <w:marBottom w:val="0"/>
      <w:divBdr>
        <w:top w:val="none" w:sz="0" w:space="0" w:color="auto"/>
        <w:left w:val="none" w:sz="0" w:space="0" w:color="auto"/>
        <w:bottom w:val="none" w:sz="0" w:space="0" w:color="auto"/>
        <w:right w:val="none" w:sz="0" w:space="0" w:color="auto"/>
      </w:divBdr>
    </w:div>
    <w:div w:id="597908318">
      <w:bodyDiv w:val="1"/>
      <w:marLeft w:val="0"/>
      <w:marRight w:val="0"/>
      <w:marTop w:val="0"/>
      <w:marBottom w:val="0"/>
      <w:divBdr>
        <w:top w:val="none" w:sz="0" w:space="0" w:color="auto"/>
        <w:left w:val="none" w:sz="0" w:space="0" w:color="auto"/>
        <w:bottom w:val="none" w:sz="0" w:space="0" w:color="auto"/>
        <w:right w:val="none" w:sz="0" w:space="0" w:color="auto"/>
      </w:divBdr>
    </w:div>
    <w:div w:id="598100469">
      <w:bodyDiv w:val="1"/>
      <w:marLeft w:val="0"/>
      <w:marRight w:val="0"/>
      <w:marTop w:val="0"/>
      <w:marBottom w:val="0"/>
      <w:divBdr>
        <w:top w:val="none" w:sz="0" w:space="0" w:color="auto"/>
        <w:left w:val="none" w:sz="0" w:space="0" w:color="auto"/>
        <w:bottom w:val="none" w:sz="0" w:space="0" w:color="auto"/>
        <w:right w:val="none" w:sz="0" w:space="0" w:color="auto"/>
      </w:divBdr>
    </w:div>
    <w:div w:id="598296477">
      <w:bodyDiv w:val="1"/>
      <w:marLeft w:val="0"/>
      <w:marRight w:val="0"/>
      <w:marTop w:val="0"/>
      <w:marBottom w:val="0"/>
      <w:divBdr>
        <w:top w:val="none" w:sz="0" w:space="0" w:color="auto"/>
        <w:left w:val="none" w:sz="0" w:space="0" w:color="auto"/>
        <w:bottom w:val="none" w:sz="0" w:space="0" w:color="auto"/>
        <w:right w:val="none" w:sz="0" w:space="0" w:color="auto"/>
      </w:divBdr>
    </w:div>
    <w:div w:id="598560735">
      <w:bodyDiv w:val="1"/>
      <w:marLeft w:val="0"/>
      <w:marRight w:val="0"/>
      <w:marTop w:val="0"/>
      <w:marBottom w:val="0"/>
      <w:divBdr>
        <w:top w:val="none" w:sz="0" w:space="0" w:color="auto"/>
        <w:left w:val="none" w:sz="0" w:space="0" w:color="auto"/>
        <w:bottom w:val="none" w:sz="0" w:space="0" w:color="auto"/>
        <w:right w:val="none" w:sz="0" w:space="0" w:color="auto"/>
      </w:divBdr>
    </w:div>
    <w:div w:id="599023721">
      <w:bodyDiv w:val="1"/>
      <w:marLeft w:val="0"/>
      <w:marRight w:val="0"/>
      <w:marTop w:val="0"/>
      <w:marBottom w:val="0"/>
      <w:divBdr>
        <w:top w:val="none" w:sz="0" w:space="0" w:color="auto"/>
        <w:left w:val="none" w:sz="0" w:space="0" w:color="auto"/>
        <w:bottom w:val="none" w:sz="0" w:space="0" w:color="auto"/>
        <w:right w:val="none" w:sz="0" w:space="0" w:color="auto"/>
      </w:divBdr>
    </w:div>
    <w:div w:id="599602229">
      <w:bodyDiv w:val="1"/>
      <w:marLeft w:val="0"/>
      <w:marRight w:val="0"/>
      <w:marTop w:val="0"/>
      <w:marBottom w:val="0"/>
      <w:divBdr>
        <w:top w:val="none" w:sz="0" w:space="0" w:color="auto"/>
        <w:left w:val="none" w:sz="0" w:space="0" w:color="auto"/>
        <w:bottom w:val="none" w:sz="0" w:space="0" w:color="auto"/>
        <w:right w:val="none" w:sz="0" w:space="0" w:color="auto"/>
      </w:divBdr>
    </w:div>
    <w:div w:id="600770546">
      <w:bodyDiv w:val="1"/>
      <w:marLeft w:val="0"/>
      <w:marRight w:val="0"/>
      <w:marTop w:val="0"/>
      <w:marBottom w:val="0"/>
      <w:divBdr>
        <w:top w:val="none" w:sz="0" w:space="0" w:color="auto"/>
        <w:left w:val="none" w:sz="0" w:space="0" w:color="auto"/>
        <w:bottom w:val="none" w:sz="0" w:space="0" w:color="auto"/>
        <w:right w:val="none" w:sz="0" w:space="0" w:color="auto"/>
      </w:divBdr>
    </w:div>
    <w:div w:id="601110812">
      <w:bodyDiv w:val="1"/>
      <w:marLeft w:val="0"/>
      <w:marRight w:val="0"/>
      <w:marTop w:val="0"/>
      <w:marBottom w:val="0"/>
      <w:divBdr>
        <w:top w:val="none" w:sz="0" w:space="0" w:color="auto"/>
        <w:left w:val="none" w:sz="0" w:space="0" w:color="auto"/>
        <w:bottom w:val="none" w:sz="0" w:space="0" w:color="auto"/>
        <w:right w:val="none" w:sz="0" w:space="0" w:color="auto"/>
      </w:divBdr>
    </w:div>
    <w:div w:id="601451731">
      <w:bodyDiv w:val="1"/>
      <w:marLeft w:val="0"/>
      <w:marRight w:val="0"/>
      <w:marTop w:val="0"/>
      <w:marBottom w:val="0"/>
      <w:divBdr>
        <w:top w:val="none" w:sz="0" w:space="0" w:color="auto"/>
        <w:left w:val="none" w:sz="0" w:space="0" w:color="auto"/>
        <w:bottom w:val="none" w:sz="0" w:space="0" w:color="auto"/>
        <w:right w:val="none" w:sz="0" w:space="0" w:color="auto"/>
      </w:divBdr>
    </w:div>
    <w:div w:id="601495489">
      <w:bodyDiv w:val="1"/>
      <w:marLeft w:val="0"/>
      <w:marRight w:val="0"/>
      <w:marTop w:val="0"/>
      <w:marBottom w:val="0"/>
      <w:divBdr>
        <w:top w:val="none" w:sz="0" w:space="0" w:color="auto"/>
        <w:left w:val="none" w:sz="0" w:space="0" w:color="auto"/>
        <w:bottom w:val="none" w:sz="0" w:space="0" w:color="auto"/>
        <w:right w:val="none" w:sz="0" w:space="0" w:color="auto"/>
      </w:divBdr>
    </w:div>
    <w:div w:id="601956150">
      <w:bodyDiv w:val="1"/>
      <w:marLeft w:val="0"/>
      <w:marRight w:val="0"/>
      <w:marTop w:val="0"/>
      <w:marBottom w:val="0"/>
      <w:divBdr>
        <w:top w:val="none" w:sz="0" w:space="0" w:color="auto"/>
        <w:left w:val="none" w:sz="0" w:space="0" w:color="auto"/>
        <w:bottom w:val="none" w:sz="0" w:space="0" w:color="auto"/>
        <w:right w:val="none" w:sz="0" w:space="0" w:color="auto"/>
      </w:divBdr>
    </w:div>
    <w:div w:id="602684298">
      <w:bodyDiv w:val="1"/>
      <w:marLeft w:val="0"/>
      <w:marRight w:val="0"/>
      <w:marTop w:val="0"/>
      <w:marBottom w:val="0"/>
      <w:divBdr>
        <w:top w:val="none" w:sz="0" w:space="0" w:color="auto"/>
        <w:left w:val="none" w:sz="0" w:space="0" w:color="auto"/>
        <w:bottom w:val="none" w:sz="0" w:space="0" w:color="auto"/>
        <w:right w:val="none" w:sz="0" w:space="0" w:color="auto"/>
      </w:divBdr>
    </w:div>
    <w:div w:id="602807800">
      <w:bodyDiv w:val="1"/>
      <w:marLeft w:val="0"/>
      <w:marRight w:val="0"/>
      <w:marTop w:val="0"/>
      <w:marBottom w:val="0"/>
      <w:divBdr>
        <w:top w:val="none" w:sz="0" w:space="0" w:color="auto"/>
        <w:left w:val="none" w:sz="0" w:space="0" w:color="auto"/>
        <w:bottom w:val="none" w:sz="0" w:space="0" w:color="auto"/>
        <w:right w:val="none" w:sz="0" w:space="0" w:color="auto"/>
      </w:divBdr>
    </w:div>
    <w:div w:id="602959599">
      <w:bodyDiv w:val="1"/>
      <w:marLeft w:val="0"/>
      <w:marRight w:val="0"/>
      <w:marTop w:val="0"/>
      <w:marBottom w:val="0"/>
      <w:divBdr>
        <w:top w:val="none" w:sz="0" w:space="0" w:color="auto"/>
        <w:left w:val="none" w:sz="0" w:space="0" w:color="auto"/>
        <w:bottom w:val="none" w:sz="0" w:space="0" w:color="auto"/>
        <w:right w:val="none" w:sz="0" w:space="0" w:color="auto"/>
      </w:divBdr>
    </w:div>
    <w:div w:id="605121298">
      <w:bodyDiv w:val="1"/>
      <w:marLeft w:val="0"/>
      <w:marRight w:val="0"/>
      <w:marTop w:val="0"/>
      <w:marBottom w:val="0"/>
      <w:divBdr>
        <w:top w:val="none" w:sz="0" w:space="0" w:color="auto"/>
        <w:left w:val="none" w:sz="0" w:space="0" w:color="auto"/>
        <w:bottom w:val="none" w:sz="0" w:space="0" w:color="auto"/>
        <w:right w:val="none" w:sz="0" w:space="0" w:color="auto"/>
      </w:divBdr>
    </w:div>
    <w:div w:id="606423805">
      <w:bodyDiv w:val="1"/>
      <w:marLeft w:val="0"/>
      <w:marRight w:val="0"/>
      <w:marTop w:val="0"/>
      <w:marBottom w:val="0"/>
      <w:divBdr>
        <w:top w:val="none" w:sz="0" w:space="0" w:color="auto"/>
        <w:left w:val="none" w:sz="0" w:space="0" w:color="auto"/>
        <w:bottom w:val="none" w:sz="0" w:space="0" w:color="auto"/>
        <w:right w:val="none" w:sz="0" w:space="0" w:color="auto"/>
      </w:divBdr>
    </w:div>
    <w:div w:id="607392497">
      <w:bodyDiv w:val="1"/>
      <w:marLeft w:val="0"/>
      <w:marRight w:val="0"/>
      <w:marTop w:val="0"/>
      <w:marBottom w:val="0"/>
      <w:divBdr>
        <w:top w:val="none" w:sz="0" w:space="0" w:color="auto"/>
        <w:left w:val="none" w:sz="0" w:space="0" w:color="auto"/>
        <w:bottom w:val="none" w:sz="0" w:space="0" w:color="auto"/>
        <w:right w:val="none" w:sz="0" w:space="0" w:color="auto"/>
      </w:divBdr>
    </w:div>
    <w:div w:id="607588506">
      <w:bodyDiv w:val="1"/>
      <w:marLeft w:val="0"/>
      <w:marRight w:val="0"/>
      <w:marTop w:val="0"/>
      <w:marBottom w:val="0"/>
      <w:divBdr>
        <w:top w:val="none" w:sz="0" w:space="0" w:color="auto"/>
        <w:left w:val="none" w:sz="0" w:space="0" w:color="auto"/>
        <w:bottom w:val="none" w:sz="0" w:space="0" w:color="auto"/>
        <w:right w:val="none" w:sz="0" w:space="0" w:color="auto"/>
      </w:divBdr>
    </w:div>
    <w:div w:id="608585362">
      <w:bodyDiv w:val="1"/>
      <w:marLeft w:val="0"/>
      <w:marRight w:val="0"/>
      <w:marTop w:val="0"/>
      <w:marBottom w:val="0"/>
      <w:divBdr>
        <w:top w:val="none" w:sz="0" w:space="0" w:color="auto"/>
        <w:left w:val="none" w:sz="0" w:space="0" w:color="auto"/>
        <w:bottom w:val="none" w:sz="0" w:space="0" w:color="auto"/>
        <w:right w:val="none" w:sz="0" w:space="0" w:color="auto"/>
      </w:divBdr>
    </w:div>
    <w:div w:id="610429894">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129798">
      <w:bodyDiv w:val="1"/>
      <w:marLeft w:val="0"/>
      <w:marRight w:val="0"/>
      <w:marTop w:val="0"/>
      <w:marBottom w:val="0"/>
      <w:divBdr>
        <w:top w:val="none" w:sz="0" w:space="0" w:color="auto"/>
        <w:left w:val="none" w:sz="0" w:space="0" w:color="auto"/>
        <w:bottom w:val="none" w:sz="0" w:space="0" w:color="auto"/>
        <w:right w:val="none" w:sz="0" w:space="0" w:color="auto"/>
      </w:divBdr>
    </w:div>
    <w:div w:id="611549082">
      <w:bodyDiv w:val="1"/>
      <w:marLeft w:val="0"/>
      <w:marRight w:val="0"/>
      <w:marTop w:val="0"/>
      <w:marBottom w:val="0"/>
      <w:divBdr>
        <w:top w:val="none" w:sz="0" w:space="0" w:color="auto"/>
        <w:left w:val="none" w:sz="0" w:space="0" w:color="auto"/>
        <w:bottom w:val="none" w:sz="0" w:space="0" w:color="auto"/>
        <w:right w:val="none" w:sz="0" w:space="0" w:color="auto"/>
      </w:divBdr>
    </w:div>
    <w:div w:id="611787966">
      <w:bodyDiv w:val="1"/>
      <w:marLeft w:val="0"/>
      <w:marRight w:val="0"/>
      <w:marTop w:val="0"/>
      <w:marBottom w:val="0"/>
      <w:divBdr>
        <w:top w:val="none" w:sz="0" w:space="0" w:color="auto"/>
        <w:left w:val="none" w:sz="0" w:space="0" w:color="auto"/>
        <w:bottom w:val="none" w:sz="0" w:space="0" w:color="auto"/>
        <w:right w:val="none" w:sz="0" w:space="0" w:color="auto"/>
      </w:divBdr>
    </w:div>
    <w:div w:id="611939418">
      <w:bodyDiv w:val="1"/>
      <w:marLeft w:val="0"/>
      <w:marRight w:val="0"/>
      <w:marTop w:val="0"/>
      <w:marBottom w:val="0"/>
      <w:divBdr>
        <w:top w:val="none" w:sz="0" w:space="0" w:color="auto"/>
        <w:left w:val="none" w:sz="0" w:space="0" w:color="auto"/>
        <w:bottom w:val="none" w:sz="0" w:space="0" w:color="auto"/>
        <w:right w:val="none" w:sz="0" w:space="0" w:color="auto"/>
      </w:divBdr>
    </w:div>
    <w:div w:id="613635546">
      <w:bodyDiv w:val="1"/>
      <w:marLeft w:val="0"/>
      <w:marRight w:val="0"/>
      <w:marTop w:val="0"/>
      <w:marBottom w:val="0"/>
      <w:divBdr>
        <w:top w:val="none" w:sz="0" w:space="0" w:color="auto"/>
        <w:left w:val="none" w:sz="0" w:space="0" w:color="auto"/>
        <w:bottom w:val="none" w:sz="0" w:space="0" w:color="auto"/>
        <w:right w:val="none" w:sz="0" w:space="0" w:color="auto"/>
      </w:divBdr>
    </w:div>
    <w:div w:id="613948819">
      <w:bodyDiv w:val="1"/>
      <w:marLeft w:val="0"/>
      <w:marRight w:val="0"/>
      <w:marTop w:val="0"/>
      <w:marBottom w:val="0"/>
      <w:divBdr>
        <w:top w:val="none" w:sz="0" w:space="0" w:color="auto"/>
        <w:left w:val="none" w:sz="0" w:space="0" w:color="auto"/>
        <w:bottom w:val="none" w:sz="0" w:space="0" w:color="auto"/>
        <w:right w:val="none" w:sz="0" w:space="0" w:color="auto"/>
      </w:divBdr>
    </w:div>
    <w:div w:id="614676913">
      <w:bodyDiv w:val="1"/>
      <w:marLeft w:val="0"/>
      <w:marRight w:val="0"/>
      <w:marTop w:val="0"/>
      <w:marBottom w:val="0"/>
      <w:divBdr>
        <w:top w:val="none" w:sz="0" w:space="0" w:color="auto"/>
        <w:left w:val="none" w:sz="0" w:space="0" w:color="auto"/>
        <w:bottom w:val="none" w:sz="0" w:space="0" w:color="auto"/>
        <w:right w:val="none" w:sz="0" w:space="0" w:color="auto"/>
      </w:divBdr>
    </w:div>
    <w:div w:id="615135650">
      <w:bodyDiv w:val="1"/>
      <w:marLeft w:val="0"/>
      <w:marRight w:val="0"/>
      <w:marTop w:val="0"/>
      <w:marBottom w:val="0"/>
      <w:divBdr>
        <w:top w:val="none" w:sz="0" w:space="0" w:color="auto"/>
        <w:left w:val="none" w:sz="0" w:space="0" w:color="auto"/>
        <w:bottom w:val="none" w:sz="0" w:space="0" w:color="auto"/>
        <w:right w:val="none" w:sz="0" w:space="0" w:color="auto"/>
      </w:divBdr>
    </w:div>
    <w:div w:id="615865568">
      <w:bodyDiv w:val="1"/>
      <w:marLeft w:val="0"/>
      <w:marRight w:val="0"/>
      <w:marTop w:val="0"/>
      <w:marBottom w:val="0"/>
      <w:divBdr>
        <w:top w:val="none" w:sz="0" w:space="0" w:color="auto"/>
        <w:left w:val="none" w:sz="0" w:space="0" w:color="auto"/>
        <w:bottom w:val="none" w:sz="0" w:space="0" w:color="auto"/>
        <w:right w:val="none" w:sz="0" w:space="0" w:color="auto"/>
      </w:divBdr>
    </w:div>
    <w:div w:id="615912745">
      <w:bodyDiv w:val="1"/>
      <w:marLeft w:val="0"/>
      <w:marRight w:val="0"/>
      <w:marTop w:val="0"/>
      <w:marBottom w:val="0"/>
      <w:divBdr>
        <w:top w:val="none" w:sz="0" w:space="0" w:color="auto"/>
        <w:left w:val="none" w:sz="0" w:space="0" w:color="auto"/>
        <w:bottom w:val="none" w:sz="0" w:space="0" w:color="auto"/>
        <w:right w:val="none" w:sz="0" w:space="0" w:color="auto"/>
      </w:divBdr>
    </w:div>
    <w:div w:id="615991146">
      <w:bodyDiv w:val="1"/>
      <w:marLeft w:val="0"/>
      <w:marRight w:val="0"/>
      <w:marTop w:val="0"/>
      <w:marBottom w:val="0"/>
      <w:divBdr>
        <w:top w:val="none" w:sz="0" w:space="0" w:color="auto"/>
        <w:left w:val="none" w:sz="0" w:space="0" w:color="auto"/>
        <w:bottom w:val="none" w:sz="0" w:space="0" w:color="auto"/>
        <w:right w:val="none" w:sz="0" w:space="0" w:color="auto"/>
      </w:divBdr>
    </w:div>
    <w:div w:id="616524773">
      <w:bodyDiv w:val="1"/>
      <w:marLeft w:val="0"/>
      <w:marRight w:val="0"/>
      <w:marTop w:val="0"/>
      <w:marBottom w:val="0"/>
      <w:divBdr>
        <w:top w:val="none" w:sz="0" w:space="0" w:color="auto"/>
        <w:left w:val="none" w:sz="0" w:space="0" w:color="auto"/>
        <w:bottom w:val="none" w:sz="0" w:space="0" w:color="auto"/>
        <w:right w:val="none" w:sz="0" w:space="0" w:color="auto"/>
      </w:divBdr>
    </w:div>
    <w:div w:id="617033150">
      <w:bodyDiv w:val="1"/>
      <w:marLeft w:val="0"/>
      <w:marRight w:val="0"/>
      <w:marTop w:val="0"/>
      <w:marBottom w:val="0"/>
      <w:divBdr>
        <w:top w:val="none" w:sz="0" w:space="0" w:color="auto"/>
        <w:left w:val="none" w:sz="0" w:space="0" w:color="auto"/>
        <w:bottom w:val="none" w:sz="0" w:space="0" w:color="auto"/>
        <w:right w:val="none" w:sz="0" w:space="0" w:color="auto"/>
      </w:divBdr>
    </w:div>
    <w:div w:id="618491354">
      <w:bodyDiv w:val="1"/>
      <w:marLeft w:val="0"/>
      <w:marRight w:val="0"/>
      <w:marTop w:val="0"/>
      <w:marBottom w:val="0"/>
      <w:divBdr>
        <w:top w:val="none" w:sz="0" w:space="0" w:color="auto"/>
        <w:left w:val="none" w:sz="0" w:space="0" w:color="auto"/>
        <w:bottom w:val="none" w:sz="0" w:space="0" w:color="auto"/>
        <w:right w:val="none" w:sz="0" w:space="0" w:color="auto"/>
      </w:divBdr>
    </w:div>
    <w:div w:id="618533651">
      <w:bodyDiv w:val="1"/>
      <w:marLeft w:val="0"/>
      <w:marRight w:val="0"/>
      <w:marTop w:val="0"/>
      <w:marBottom w:val="0"/>
      <w:divBdr>
        <w:top w:val="none" w:sz="0" w:space="0" w:color="auto"/>
        <w:left w:val="none" w:sz="0" w:space="0" w:color="auto"/>
        <w:bottom w:val="none" w:sz="0" w:space="0" w:color="auto"/>
        <w:right w:val="none" w:sz="0" w:space="0" w:color="auto"/>
      </w:divBdr>
    </w:div>
    <w:div w:id="619535332">
      <w:bodyDiv w:val="1"/>
      <w:marLeft w:val="0"/>
      <w:marRight w:val="0"/>
      <w:marTop w:val="0"/>
      <w:marBottom w:val="0"/>
      <w:divBdr>
        <w:top w:val="none" w:sz="0" w:space="0" w:color="auto"/>
        <w:left w:val="none" w:sz="0" w:space="0" w:color="auto"/>
        <w:bottom w:val="none" w:sz="0" w:space="0" w:color="auto"/>
        <w:right w:val="none" w:sz="0" w:space="0" w:color="auto"/>
      </w:divBdr>
    </w:div>
    <w:div w:id="619727511">
      <w:bodyDiv w:val="1"/>
      <w:marLeft w:val="0"/>
      <w:marRight w:val="0"/>
      <w:marTop w:val="0"/>
      <w:marBottom w:val="0"/>
      <w:divBdr>
        <w:top w:val="none" w:sz="0" w:space="0" w:color="auto"/>
        <w:left w:val="none" w:sz="0" w:space="0" w:color="auto"/>
        <w:bottom w:val="none" w:sz="0" w:space="0" w:color="auto"/>
        <w:right w:val="none" w:sz="0" w:space="0" w:color="auto"/>
      </w:divBdr>
    </w:div>
    <w:div w:id="619797846">
      <w:bodyDiv w:val="1"/>
      <w:marLeft w:val="0"/>
      <w:marRight w:val="0"/>
      <w:marTop w:val="0"/>
      <w:marBottom w:val="0"/>
      <w:divBdr>
        <w:top w:val="none" w:sz="0" w:space="0" w:color="auto"/>
        <w:left w:val="none" w:sz="0" w:space="0" w:color="auto"/>
        <w:bottom w:val="none" w:sz="0" w:space="0" w:color="auto"/>
        <w:right w:val="none" w:sz="0" w:space="0" w:color="auto"/>
      </w:divBdr>
    </w:div>
    <w:div w:id="621687054">
      <w:bodyDiv w:val="1"/>
      <w:marLeft w:val="0"/>
      <w:marRight w:val="0"/>
      <w:marTop w:val="0"/>
      <w:marBottom w:val="0"/>
      <w:divBdr>
        <w:top w:val="none" w:sz="0" w:space="0" w:color="auto"/>
        <w:left w:val="none" w:sz="0" w:space="0" w:color="auto"/>
        <w:bottom w:val="none" w:sz="0" w:space="0" w:color="auto"/>
        <w:right w:val="none" w:sz="0" w:space="0" w:color="auto"/>
      </w:divBdr>
    </w:div>
    <w:div w:id="622464146">
      <w:bodyDiv w:val="1"/>
      <w:marLeft w:val="0"/>
      <w:marRight w:val="0"/>
      <w:marTop w:val="0"/>
      <w:marBottom w:val="0"/>
      <w:divBdr>
        <w:top w:val="none" w:sz="0" w:space="0" w:color="auto"/>
        <w:left w:val="none" w:sz="0" w:space="0" w:color="auto"/>
        <w:bottom w:val="none" w:sz="0" w:space="0" w:color="auto"/>
        <w:right w:val="none" w:sz="0" w:space="0" w:color="auto"/>
      </w:divBdr>
    </w:div>
    <w:div w:id="623195834">
      <w:bodyDiv w:val="1"/>
      <w:marLeft w:val="0"/>
      <w:marRight w:val="0"/>
      <w:marTop w:val="0"/>
      <w:marBottom w:val="0"/>
      <w:divBdr>
        <w:top w:val="none" w:sz="0" w:space="0" w:color="auto"/>
        <w:left w:val="none" w:sz="0" w:space="0" w:color="auto"/>
        <w:bottom w:val="none" w:sz="0" w:space="0" w:color="auto"/>
        <w:right w:val="none" w:sz="0" w:space="0" w:color="auto"/>
      </w:divBdr>
    </w:div>
    <w:div w:id="623313611">
      <w:bodyDiv w:val="1"/>
      <w:marLeft w:val="0"/>
      <w:marRight w:val="0"/>
      <w:marTop w:val="0"/>
      <w:marBottom w:val="0"/>
      <w:divBdr>
        <w:top w:val="none" w:sz="0" w:space="0" w:color="auto"/>
        <w:left w:val="none" w:sz="0" w:space="0" w:color="auto"/>
        <w:bottom w:val="none" w:sz="0" w:space="0" w:color="auto"/>
        <w:right w:val="none" w:sz="0" w:space="0" w:color="auto"/>
      </w:divBdr>
    </w:div>
    <w:div w:id="623581082">
      <w:bodyDiv w:val="1"/>
      <w:marLeft w:val="0"/>
      <w:marRight w:val="0"/>
      <w:marTop w:val="0"/>
      <w:marBottom w:val="0"/>
      <w:divBdr>
        <w:top w:val="none" w:sz="0" w:space="0" w:color="auto"/>
        <w:left w:val="none" w:sz="0" w:space="0" w:color="auto"/>
        <w:bottom w:val="none" w:sz="0" w:space="0" w:color="auto"/>
        <w:right w:val="none" w:sz="0" w:space="0" w:color="auto"/>
      </w:divBdr>
    </w:div>
    <w:div w:id="623731130">
      <w:bodyDiv w:val="1"/>
      <w:marLeft w:val="0"/>
      <w:marRight w:val="0"/>
      <w:marTop w:val="0"/>
      <w:marBottom w:val="0"/>
      <w:divBdr>
        <w:top w:val="none" w:sz="0" w:space="0" w:color="auto"/>
        <w:left w:val="none" w:sz="0" w:space="0" w:color="auto"/>
        <w:bottom w:val="none" w:sz="0" w:space="0" w:color="auto"/>
        <w:right w:val="none" w:sz="0" w:space="0" w:color="auto"/>
      </w:divBdr>
    </w:div>
    <w:div w:id="625627788">
      <w:bodyDiv w:val="1"/>
      <w:marLeft w:val="0"/>
      <w:marRight w:val="0"/>
      <w:marTop w:val="0"/>
      <w:marBottom w:val="0"/>
      <w:divBdr>
        <w:top w:val="none" w:sz="0" w:space="0" w:color="auto"/>
        <w:left w:val="none" w:sz="0" w:space="0" w:color="auto"/>
        <w:bottom w:val="none" w:sz="0" w:space="0" w:color="auto"/>
        <w:right w:val="none" w:sz="0" w:space="0" w:color="auto"/>
      </w:divBdr>
    </w:div>
    <w:div w:id="626008203">
      <w:bodyDiv w:val="1"/>
      <w:marLeft w:val="0"/>
      <w:marRight w:val="0"/>
      <w:marTop w:val="0"/>
      <w:marBottom w:val="0"/>
      <w:divBdr>
        <w:top w:val="none" w:sz="0" w:space="0" w:color="auto"/>
        <w:left w:val="none" w:sz="0" w:space="0" w:color="auto"/>
        <w:bottom w:val="none" w:sz="0" w:space="0" w:color="auto"/>
        <w:right w:val="none" w:sz="0" w:space="0" w:color="auto"/>
      </w:divBdr>
    </w:div>
    <w:div w:id="626469152">
      <w:bodyDiv w:val="1"/>
      <w:marLeft w:val="0"/>
      <w:marRight w:val="0"/>
      <w:marTop w:val="0"/>
      <w:marBottom w:val="0"/>
      <w:divBdr>
        <w:top w:val="none" w:sz="0" w:space="0" w:color="auto"/>
        <w:left w:val="none" w:sz="0" w:space="0" w:color="auto"/>
        <w:bottom w:val="none" w:sz="0" w:space="0" w:color="auto"/>
        <w:right w:val="none" w:sz="0" w:space="0" w:color="auto"/>
      </w:divBdr>
    </w:div>
    <w:div w:id="626814241">
      <w:bodyDiv w:val="1"/>
      <w:marLeft w:val="0"/>
      <w:marRight w:val="0"/>
      <w:marTop w:val="0"/>
      <w:marBottom w:val="0"/>
      <w:divBdr>
        <w:top w:val="none" w:sz="0" w:space="0" w:color="auto"/>
        <w:left w:val="none" w:sz="0" w:space="0" w:color="auto"/>
        <w:bottom w:val="none" w:sz="0" w:space="0" w:color="auto"/>
        <w:right w:val="none" w:sz="0" w:space="0" w:color="auto"/>
      </w:divBdr>
    </w:div>
    <w:div w:id="626936138">
      <w:bodyDiv w:val="1"/>
      <w:marLeft w:val="0"/>
      <w:marRight w:val="0"/>
      <w:marTop w:val="0"/>
      <w:marBottom w:val="0"/>
      <w:divBdr>
        <w:top w:val="none" w:sz="0" w:space="0" w:color="auto"/>
        <w:left w:val="none" w:sz="0" w:space="0" w:color="auto"/>
        <w:bottom w:val="none" w:sz="0" w:space="0" w:color="auto"/>
        <w:right w:val="none" w:sz="0" w:space="0" w:color="auto"/>
      </w:divBdr>
    </w:div>
    <w:div w:id="627315990">
      <w:bodyDiv w:val="1"/>
      <w:marLeft w:val="0"/>
      <w:marRight w:val="0"/>
      <w:marTop w:val="0"/>
      <w:marBottom w:val="0"/>
      <w:divBdr>
        <w:top w:val="none" w:sz="0" w:space="0" w:color="auto"/>
        <w:left w:val="none" w:sz="0" w:space="0" w:color="auto"/>
        <w:bottom w:val="none" w:sz="0" w:space="0" w:color="auto"/>
        <w:right w:val="none" w:sz="0" w:space="0" w:color="auto"/>
      </w:divBdr>
    </w:div>
    <w:div w:id="627785010">
      <w:bodyDiv w:val="1"/>
      <w:marLeft w:val="0"/>
      <w:marRight w:val="0"/>
      <w:marTop w:val="0"/>
      <w:marBottom w:val="0"/>
      <w:divBdr>
        <w:top w:val="none" w:sz="0" w:space="0" w:color="auto"/>
        <w:left w:val="none" w:sz="0" w:space="0" w:color="auto"/>
        <w:bottom w:val="none" w:sz="0" w:space="0" w:color="auto"/>
        <w:right w:val="none" w:sz="0" w:space="0" w:color="auto"/>
      </w:divBdr>
    </w:div>
    <w:div w:id="627855155">
      <w:bodyDiv w:val="1"/>
      <w:marLeft w:val="0"/>
      <w:marRight w:val="0"/>
      <w:marTop w:val="0"/>
      <w:marBottom w:val="0"/>
      <w:divBdr>
        <w:top w:val="none" w:sz="0" w:space="0" w:color="auto"/>
        <w:left w:val="none" w:sz="0" w:space="0" w:color="auto"/>
        <w:bottom w:val="none" w:sz="0" w:space="0" w:color="auto"/>
        <w:right w:val="none" w:sz="0" w:space="0" w:color="auto"/>
      </w:divBdr>
    </w:div>
    <w:div w:id="628777037">
      <w:bodyDiv w:val="1"/>
      <w:marLeft w:val="0"/>
      <w:marRight w:val="0"/>
      <w:marTop w:val="0"/>
      <w:marBottom w:val="0"/>
      <w:divBdr>
        <w:top w:val="none" w:sz="0" w:space="0" w:color="auto"/>
        <w:left w:val="none" w:sz="0" w:space="0" w:color="auto"/>
        <w:bottom w:val="none" w:sz="0" w:space="0" w:color="auto"/>
        <w:right w:val="none" w:sz="0" w:space="0" w:color="auto"/>
      </w:divBdr>
    </w:div>
    <w:div w:id="630669219">
      <w:bodyDiv w:val="1"/>
      <w:marLeft w:val="0"/>
      <w:marRight w:val="0"/>
      <w:marTop w:val="0"/>
      <w:marBottom w:val="0"/>
      <w:divBdr>
        <w:top w:val="none" w:sz="0" w:space="0" w:color="auto"/>
        <w:left w:val="none" w:sz="0" w:space="0" w:color="auto"/>
        <w:bottom w:val="none" w:sz="0" w:space="0" w:color="auto"/>
        <w:right w:val="none" w:sz="0" w:space="0" w:color="auto"/>
      </w:divBdr>
    </w:div>
    <w:div w:id="630748715">
      <w:bodyDiv w:val="1"/>
      <w:marLeft w:val="0"/>
      <w:marRight w:val="0"/>
      <w:marTop w:val="0"/>
      <w:marBottom w:val="0"/>
      <w:divBdr>
        <w:top w:val="none" w:sz="0" w:space="0" w:color="auto"/>
        <w:left w:val="none" w:sz="0" w:space="0" w:color="auto"/>
        <w:bottom w:val="none" w:sz="0" w:space="0" w:color="auto"/>
        <w:right w:val="none" w:sz="0" w:space="0" w:color="auto"/>
      </w:divBdr>
    </w:div>
    <w:div w:id="631062397">
      <w:bodyDiv w:val="1"/>
      <w:marLeft w:val="0"/>
      <w:marRight w:val="0"/>
      <w:marTop w:val="0"/>
      <w:marBottom w:val="0"/>
      <w:divBdr>
        <w:top w:val="none" w:sz="0" w:space="0" w:color="auto"/>
        <w:left w:val="none" w:sz="0" w:space="0" w:color="auto"/>
        <w:bottom w:val="none" w:sz="0" w:space="0" w:color="auto"/>
        <w:right w:val="none" w:sz="0" w:space="0" w:color="auto"/>
      </w:divBdr>
    </w:div>
    <w:div w:id="631598952">
      <w:bodyDiv w:val="1"/>
      <w:marLeft w:val="0"/>
      <w:marRight w:val="0"/>
      <w:marTop w:val="0"/>
      <w:marBottom w:val="0"/>
      <w:divBdr>
        <w:top w:val="none" w:sz="0" w:space="0" w:color="auto"/>
        <w:left w:val="none" w:sz="0" w:space="0" w:color="auto"/>
        <w:bottom w:val="none" w:sz="0" w:space="0" w:color="auto"/>
        <w:right w:val="none" w:sz="0" w:space="0" w:color="auto"/>
      </w:divBdr>
    </w:div>
    <w:div w:id="631860889">
      <w:bodyDiv w:val="1"/>
      <w:marLeft w:val="0"/>
      <w:marRight w:val="0"/>
      <w:marTop w:val="0"/>
      <w:marBottom w:val="0"/>
      <w:divBdr>
        <w:top w:val="none" w:sz="0" w:space="0" w:color="auto"/>
        <w:left w:val="none" w:sz="0" w:space="0" w:color="auto"/>
        <w:bottom w:val="none" w:sz="0" w:space="0" w:color="auto"/>
        <w:right w:val="none" w:sz="0" w:space="0" w:color="auto"/>
      </w:divBdr>
    </w:div>
    <w:div w:id="632979149">
      <w:bodyDiv w:val="1"/>
      <w:marLeft w:val="0"/>
      <w:marRight w:val="0"/>
      <w:marTop w:val="0"/>
      <w:marBottom w:val="0"/>
      <w:divBdr>
        <w:top w:val="none" w:sz="0" w:space="0" w:color="auto"/>
        <w:left w:val="none" w:sz="0" w:space="0" w:color="auto"/>
        <w:bottom w:val="none" w:sz="0" w:space="0" w:color="auto"/>
        <w:right w:val="none" w:sz="0" w:space="0" w:color="auto"/>
      </w:divBdr>
    </w:div>
    <w:div w:id="634682836">
      <w:bodyDiv w:val="1"/>
      <w:marLeft w:val="0"/>
      <w:marRight w:val="0"/>
      <w:marTop w:val="0"/>
      <w:marBottom w:val="0"/>
      <w:divBdr>
        <w:top w:val="none" w:sz="0" w:space="0" w:color="auto"/>
        <w:left w:val="none" w:sz="0" w:space="0" w:color="auto"/>
        <w:bottom w:val="none" w:sz="0" w:space="0" w:color="auto"/>
        <w:right w:val="none" w:sz="0" w:space="0" w:color="auto"/>
      </w:divBdr>
    </w:div>
    <w:div w:id="635069044">
      <w:bodyDiv w:val="1"/>
      <w:marLeft w:val="0"/>
      <w:marRight w:val="0"/>
      <w:marTop w:val="0"/>
      <w:marBottom w:val="0"/>
      <w:divBdr>
        <w:top w:val="none" w:sz="0" w:space="0" w:color="auto"/>
        <w:left w:val="none" w:sz="0" w:space="0" w:color="auto"/>
        <w:bottom w:val="none" w:sz="0" w:space="0" w:color="auto"/>
        <w:right w:val="none" w:sz="0" w:space="0" w:color="auto"/>
      </w:divBdr>
    </w:div>
    <w:div w:id="635842379">
      <w:bodyDiv w:val="1"/>
      <w:marLeft w:val="0"/>
      <w:marRight w:val="0"/>
      <w:marTop w:val="0"/>
      <w:marBottom w:val="0"/>
      <w:divBdr>
        <w:top w:val="none" w:sz="0" w:space="0" w:color="auto"/>
        <w:left w:val="none" w:sz="0" w:space="0" w:color="auto"/>
        <w:bottom w:val="none" w:sz="0" w:space="0" w:color="auto"/>
        <w:right w:val="none" w:sz="0" w:space="0" w:color="auto"/>
      </w:divBdr>
    </w:div>
    <w:div w:id="637295910">
      <w:bodyDiv w:val="1"/>
      <w:marLeft w:val="0"/>
      <w:marRight w:val="0"/>
      <w:marTop w:val="0"/>
      <w:marBottom w:val="0"/>
      <w:divBdr>
        <w:top w:val="none" w:sz="0" w:space="0" w:color="auto"/>
        <w:left w:val="none" w:sz="0" w:space="0" w:color="auto"/>
        <w:bottom w:val="none" w:sz="0" w:space="0" w:color="auto"/>
        <w:right w:val="none" w:sz="0" w:space="0" w:color="auto"/>
      </w:divBdr>
    </w:div>
    <w:div w:id="638069525">
      <w:bodyDiv w:val="1"/>
      <w:marLeft w:val="0"/>
      <w:marRight w:val="0"/>
      <w:marTop w:val="0"/>
      <w:marBottom w:val="0"/>
      <w:divBdr>
        <w:top w:val="none" w:sz="0" w:space="0" w:color="auto"/>
        <w:left w:val="none" w:sz="0" w:space="0" w:color="auto"/>
        <w:bottom w:val="none" w:sz="0" w:space="0" w:color="auto"/>
        <w:right w:val="none" w:sz="0" w:space="0" w:color="auto"/>
      </w:divBdr>
    </w:div>
    <w:div w:id="638153400">
      <w:bodyDiv w:val="1"/>
      <w:marLeft w:val="0"/>
      <w:marRight w:val="0"/>
      <w:marTop w:val="0"/>
      <w:marBottom w:val="0"/>
      <w:divBdr>
        <w:top w:val="none" w:sz="0" w:space="0" w:color="auto"/>
        <w:left w:val="none" w:sz="0" w:space="0" w:color="auto"/>
        <w:bottom w:val="none" w:sz="0" w:space="0" w:color="auto"/>
        <w:right w:val="none" w:sz="0" w:space="0" w:color="auto"/>
      </w:divBdr>
    </w:div>
    <w:div w:id="638651605">
      <w:bodyDiv w:val="1"/>
      <w:marLeft w:val="0"/>
      <w:marRight w:val="0"/>
      <w:marTop w:val="0"/>
      <w:marBottom w:val="0"/>
      <w:divBdr>
        <w:top w:val="none" w:sz="0" w:space="0" w:color="auto"/>
        <w:left w:val="none" w:sz="0" w:space="0" w:color="auto"/>
        <w:bottom w:val="none" w:sz="0" w:space="0" w:color="auto"/>
        <w:right w:val="none" w:sz="0" w:space="0" w:color="auto"/>
      </w:divBdr>
    </w:div>
    <w:div w:id="641160669">
      <w:bodyDiv w:val="1"/>
      <w:marLeft w:val="0"/>
      <w:marRight w:val="0"/>
      <w:marTop w:val="0"/>
      <w:marBottom w:val="0"/>
      <w:divBdr>
        <w:top w:val="none" w:sz="0" w:space="0" w:color="auto"/>
        <w:left w:val="none" w:sz="0" w:space="0" w:color="auto"/>
        <w:bottom w:val="none" w:sz="0" w:space="0" w:color="auto"/>
        <w:right w:val="none" w:sz="0" w:space="0" w:color="auto"/>
      </w:divBdr>
    </w:div>
    <w:div w:id="641545016">
      <w:bodyDiv w:val="1"/>
      <w:marLeft w:val="0"/>
      <w:marRight w:val="0"/>
      <w:marTop w:val="0"/>
      <w:marBottom w:val="0"/>
      <w:divBdr>
        <w:top w:val="none" w:sz="0" w:space="0" w:color="auto"/>
        <w:left w:val="none" w:sz="0" w:space="0" w:color="auto"/>
        <w:bottom w:val="none" w:sz="0" w:space="0" w:color="auto"/>
        <w:right w:val="none" w:sz="0" w:space="0" w:color="auto"/>
      </w:divBdr>
    </w:div>
    <w:div w:id="641887280">
      <w:bodyDiv w:val="1"/>
      <w:marLeft w:val="0"/>
      <w:marRight w:val="0"/>
      <w:marTop w:val="0"/>
      <w:marBottom w:val="0"/>
      <w:divBdr>
        <w:top w:val="none" w:sz="0" w:space="0" w:color="auto"/>
        <w:left w:val="none" w:sz="0" w:space="0" w:color="auto"/>
        <w:bottom w:val="none" w:sz="0" w:space="0" w:color="auto"/>
        <w:right w:val="none" w:sz="0" w:space="0" w:color="auto"/>
      </w:divBdr>
    </w:div>
    <w:div w:id="642079462">
      <w:bodyDiv w:val="1"/>
      <w:marLeft w:val="0"/>
      <w:marRight w:val="0"/>
      <w:marTop w:val="0"/>
      <w:marBottom w:val="0"/>
      <w:divBdr>
        <w:top w:val="none" w:sz="0" w:space="0" w:color="auto"/>
        <w:left w:val="none" w:sz="0" w:space="0" w:color="auto"/>
        <w:bottom w:val="none" w:sz="0" w:space="0" w:color="auto"/>
        <w:right w:val="none" w:sz="0" w:space="0" w:color="auto"/>
      </w:divBdr>
    </w:div>
    <w:div w:id="642541404">
      <w:bodyDiv w:val="1"/>
      <w:marLeft w:val="0"/>
      <w:marRight w:val="0"/>
      <w:marTop w:val="0"/>
      <w:marBottom w:val="0"/>
      <w:divBdr>
        <w:top w:val="none" w:sz="0" w:space="0" w:color="auto"/>
        <w:left w:val="none" w:sz="0" w:space="0" w:color="auto"/>
        <w:bottom w:val="none" w:sz="0" w:space="0" w:color="auto"/>
        <w:right w:val="none" w:sz="0" w:space="0" w:color="auto"/>
      </w:divBdr>
    </w:div>
    <w:div w:id="643852845">
      <w:bodyDiv w:val="1"/>
      <w:marLeft w:val="0"/>
      <w:marRight w:val="0"/>
      <w:marTop w:val="0"/>
      <w:marBottom w:val="0"/>
      <w:divBdr>
        <w:top w:val="none" w:sz="0" w:space="0" w:color="auto"/>
        <w:left w:val="none" w:sz="0" w:space="0" w:color="auto"/>
        <w:bottom w:val="none" w:sz="0" w:space="0" w:color="auto"/>
        <w:right w:val="none" w:sz="0" w:space="0" w:color="auto"/>
      </w:divBdr>
    </w:div>
    <w:div w:id="644972236">
      <w:bodyDiv w:val="1"/>
      <w:marLeft w:val="0"/>
      <w:marRight w:val="0"/>
      <w:marTop w:val="0"/>
      <w:marBottom w:val="0"/>
      <w:divBdr>
        <w:top w:val="none" w:sz="0" w:space="0" w:color="auto"/>
        <w:left w:val="none" w:sz="0" w:space="0" w:color="auto"/>
        <w:bottom w:val="none" w:sz="0" w:space="0" w:color="auto"/>
        <w:right w:val="none" w:sz="0" w:space="0" w:color="auto"/>
      </w:divBdr>
    </w:div>
    <w:div w:id="645202683">
      <w:bodyDiv w:val="1"/>
      <w:marLeft w:val="0"/>
      <w:marRight w:val="0"/>
      <w:marTop w:val="0"/>
      <w:marBottom w:val="0"/>
      <w:divBdr>
        <w:top w:val="none" w:sz="0" w:space="0" w:color="auto"/>
        <w:left w:val="none" w:sz="0" w:space="0" w:color="auto"/>
        <w:bottom w:val="none" w:sz="0" w:space="0" w:color="auto"/>
        <w:right w:val="none" w:sz="0" w:space="0" w:color="auto"/>
      </w:divBdr>
    </w:div>
    <w:div w:id="645549692">
      <w:bodyDiv w:val="1"/>
      <w:marLeft w:val="0"/>
      <w:marRight w:val="0"/>
      <w:marTop w:val="0"/>
      <w:marBottom w:val="0"/>
      <w:divBdr>
        <w:top w:val="none" w:sz="0" w:space="0" w:color="auto"/>
        <w:left w:val="none" w:sz="0" w:space="0" w:color="auto"/>
        <w:bottom w:val="none" w:sz="0" w:space="0" w:color="auto"/>
        <w:right w:val="none" w:sz="0" w:space="0" w:color="auto"/>
      </w:divBdr>
    </w:div>
    <w:div w:id="645938271">
      <w:bodyDiv w:val="1"/>
      <w:marLeft w:val="0"/>
      <w:marRight w:val="0"/>
      <w:marTop w:val="0"/>
      <w:marBottom w:val="0"/>
      <w:divBdr>
        <w:top w:val="none" w:sz="0" w:space="0" w:color="auto"/>
        <w:left w:val="none" w:sz="0" w:space="0" w:color="auto"/>
        <w:bottom w:val="none" w:sz="0" w:space="0" w:color="auto"/>
        <w:right w:val="none" w:sz="0" w:space="0" w:color="auto"/>
      </w:divBdr>
    </w:div>
    <w:div w:id="646858426">
      <w:bodyDiv w:val="1"/>
      <w:marLeft w:val="0"/>
      <w:marRight w:val="0"/>
      <w:marTop w:val="0"/>
      <w:marBottom w:val="0"/>
      <w:divBdr>
        <w:top w:val="none" w:sz="0" w:space="0" w:color="auto"/>
        <w:left w:val="none" w:sz="0" w:space="0" w:color="auto"/>
        <w:bottom w:val="none" w:sz="0" w:space="0" w:color="auto"/>
        <w:right w:val="none" w:sz="0" w:space="0" w:color="auto"/>
      </w:divBdr>
    </w:div>
    <w:div w:id="647395489">
      <w:bodyDiv w:val="1"/>
      <w:marLeft w:val="0"/>
      <w:marRight w:val="0"/>
      <w:marTop w:val="0"/>
      <w:marBottom w:val="0"/>
      <w:divBdr>
        <w:top w:val="none" w:sz="0" w:space="0" w:color="auto"/>
        <w:left w:val="none" w:sz="0" w:space="0" w:color="auto"/>
        <w:bottom w:val="none" w:sz="0" w:space="0" w:color="auto"/>
        <w:right w:val="none" w:sz="0" w:space="0" w:color="auto"/>
      </w:divBdr>
    </w:div>
    <w:div w:id="649406227">
      <w:bodyDiv w:val="1"/>
      <w:marLeft w:val="0"/>
      <w:marRight w:val="0"/>
      <w:marTop w:val="0"/>
      <w:marBottom w:val="0"/>
      <w:divBdr>
        <w:top w:val="none" w:sz="0" w:space="0" w:color="auto"/>
        <w:left w:val="none" w:sz="0" w:space="0" w:color="auto"/>
        <w:bottom w:val="none" w:sz="0" w:space="0" w:color="auto"/>
        <w:right w:val="none" w:sz="0" w:space="0" w:color="auto"/>
      </w:divBdr>
    </w:div>
    <w:div w:id="649482046">
      <w:bodyDiv w:val="1"/>
      <w:marLeft w:val="0"/>
      <w:marRight w:val="0"/>
      <w:marTop w:val="0"/>
      <w:marBottom w:val="0"/>
      <w:divBdr>
        <w:top w:val="none" w:sz="0" w:space="0" w:color="auto"/>
        <w:left w:val="none" w:sz="0" w:space="0" w:color="auto"/>
        <w:bottom w:val="none" w:sz="0" w:space="0" w:color="auto"/>
        <w:right w:val="none" w:sz="0" w:space="0" w:color="auto"/>
      </w:divBdr>
    </w:div>
    <w:div w:id="649940400">
      <w:bodyDiv w:val="1"/>
      <w:marLeft w:val="0"/>
      <w:marRight w:val="0"/>
      <w:marTop w:val="0"/>
      <w:marBottom w:val="0"/>
      <w:divBdr>
        <w:top w:val="none" w:sz="0" w:space="0" w:color="auto"/>
        <w:left w:val="none" w:sz="0" w:space="0" w:color="auto"/>
        <w:bottom w:val="none" w:sz="0" w:space="0" w:color="auto"/>
        <w:right w:val="none" w:sz="0" w:space="0" w:color="auto"/>
      </w:divBdr>
    </w:div>
    <w:div w:id="650714243">
      <w:bodyDiv w:val="1"/>
      <w:marLeft w:val="0"/>
      <w:marRight w:val="0"/>
      <w:marTop w:val="0"/>
      <w:marBottom w:val="0"/>
      <w:divBdr>
        <w:top w:val="none" w:sz="0" w:space="0" w:color="auto"/>
        <w:left w:val="none" w:sz="0" w:space="0" w:color="auto"/>
        <w:bottom w:val="none" w:sz="0" w:space="0" w:color="auto"/>
        <w:right w:val="none" w:sz="0" w:space="0" w:color="auto"/>
      </w:divBdr>
    </w:div>
    <w:div w:id="650718219">
      <w:bodyDiv w:val="1"/>
      <w:marLeft w:val="0"/>
      <w:marRight w:val="0"/>
      <w:marTop w:val="0"/>
      <w:marBottom w:val="0"/>
      <w:divBdr>
        <w:top w:val="none" w:sz="0" w:space="0" w:color="auto"/>
        <w:left w:val="none" w:sz="0" w:space="0" w:color="auto"/>
        <w:bottom w:val="none" w:sz="0" w:space="0" w:color="auto"/>
        <w:right w:val="none" w:sz="0" w:space="0" w:color="auto"/>
      </w:divBdr>
    </w:div>
    <w:div w:id="651494618">
      <w:bodyDiv w:val="1"/>
      <w:marLeft w:val="0"/>
      <w:marRight w:val="0"/>
      <w:marTop w:val="0"/>
      <w:marBottom w:val="0"/>
      <w:divBdr>
        <w:top w:val="none" w:sz="0" w:space="0" w:color="auto"/>
        <w:left w:val="none" w:sz="0" w:space="0" w:color="auto"/>
        <w:bottom w:val="none" w:sz="0" w:space="0" w:color="auto"/>
        <w:right w:val="none" w:sz="0" w:space="0" w:color="auto"/>
      </w:divBdr>
    </w:div>
    <w:div w:id="651914009">
      <w:bodyDiv w:val="1"/>
      <w:marLeft w:val="0"/>
      <w:marRight w:val="0"/>
      <w:marTop w:val="0"/>
      <w:marBottom w:val="0"/>
      <w:divBdr>
        <w:top w:val="none" w:sz="0" w:space="0" w:color="auto"/>
        <w:left w:val="none" w:sz="0" w:space="0" w:color="auto"/>
        <w:bottom w:val="none" w:sz="0" w:space="0" w:color="auto"/>
        <w:right w:val="none" w:sz="0" w:space="0" w:color="auto"/>
      </w:divBdr>
    </w:div>
    <w:div w:id="652173497">
      <w:bodyDiv w:val="1"/>
      <w:marLeft w:val="0"/>
      <w:marRight w:val="0"/>
      <w:marTop w:val="0"/>
      <w:marBottom w:val="0"/>
      <w:divBdr>
        <w:top w:val="none" w:sz="0" w:space="0" w:color="auto"/>
        <w:left w:val="none" w:sz="0" w:space="0" w:color="auto"/>
        <w:bottom w:val="none" w:sz="0" w:space="0" w:color="auto"/>
        <w:right w:val="none" w:sz="0" w:space="0" w:color="auto"/>
      </w:divBdr>
    </w:div>
    <w:div w:id="652955136">
      <w:bodyDiv w:val="1"/>
      <w:marLeft w:val="0"/>
      <w:marRight w:val="0"/>
      <w:marTop w:val="0"/>
      <w:marBottom w:val="0"/>
      <w:divBdr>
        <w:top w:val="none" w:sz="0" w:space="0" w:color="auto"/>
        <w:left w:val="none" w:sz="0" w:space="0" w:color="auto"/>
        <w:bottom w:val="none" w:sz="0" w:space="0" w:color="auto"/>
        <w:right w:val="none" w:sz="0" w:space="0" w:color="auto"/>
      </w:divBdr>
    </w:div>
    <w:div w:id="655495112">
      <w:bodyDiv w:val="1"/>
      <w:marLeft w:val="0"/>
      <w:marRight w:val="0"/>
      <w:marTop w:val="0"/>
      <w:marBottom w:val="0"/>
      <w:divBdr>
        <w:top w:val="none" w:sz="0" w:space="0" w:color="auto"/>
        <w:left w:val="none" w:sz="0" w:space="0" w:color="auto"/>
        <w:bottom w:val="none" w:sz="0" w:space="0" w:color="auto"/>
        <w:right w:val="none" w:sz="0" w:space="0" w:color="auto"/>
      </w:divBdr>
    </w:div>
    <w:div w:id="655956212">
      <w:bodyDiv w:val="1"/>
      <w:marLeft w:val="0"/>
      <w:marRight w:val="0"/>
      <w:marTop w:val="0"/>
      <w:marBottom w:val="0"/>
      <w:divBdr>
        <w:top w:val="none" w:sz="0" w:space="0" w:color="auto"/>
        <w:left w:val="none" w:sz="0" w:space="0" w:color="auto"/>
        <w:bottom w:val="none" w:sz="0" w:space="0" w:color="auto"/>
        <w:right w:val="none" w:sz="0" w:space="0" w:color="auto"/>
      </w:divBdr>
    </w:div>
    <w:div w:id="656299872">
      <w:bodyDiv w:val="1"/>
      <w:marLeft w:val="0"/>
      <w:marRight w:val="0"/>
      <w:marTop w:val="0"/>
      <w:marBottom w:val="0"/>
      <w:divBdr>
        <w:top w:val="none" w:sz="0" w:space="0" w:color="auto"/>
        <w:left w:val="none" w:sz="0" w:space="0" w:color="auto"/>
        <w:bottom w:val="none" w:sz="0" w:space="0" w:color="auto"/>
        <w:right w:val="none" w:sz="0" w:space="0" w:color="auto"/>
      </w:divBdr>
    </w:div>
    <w:div w:id="657271818">
      <w:bodyDiv w:val="1"/>
      <w:marLeft w:val="0"/>
      <w:marRight w:val="0"/>
      <w:marTop w:val="0"/>
      <w:marBottom w:val="0"/>
      <w:divBdr>
        <w:top w:val="none" w:sz="0" w:space="0" w:color="auto"/>
        <w:left w:val="none" w:sz="0" w:space="0" w:color="auto"/>
        <w:bottom w:val="none" w:sz="0" w:space="0" w:color="auto"/>
        <w:right w:val="none" w:sz="0" w:space="0" w:color="auto"/>
      </w:divBdr>
    </w:div>
    <w:div w:id="657343727">
      <w:bodyDiv w:val="1"/>
      <w:marLeft w:val="0"/>
      <w:marRight w:val="0"/>
      <w:marTop w:val="0"/>
      <w:marBottom w:val="0"/>
      <w:divBdr>
        <w:top w:val="none" w:sz="0" w:space="0" w:color="auto"/>
        <w:left w:val="none" w:sz="0" w:space="0" w:color="auto"/>
        <w:bottom w:val="none" w:sz="0" w:space="0" w:color="auto"/>
        <w:right w:val="none" w:sz="0" w:space="0" w:color="auto"/>
      </w:divBdr>
    </w:div>
    <w:div w:id="657349488">
      <w:bodyDiv w:val="1"/>
      <w:marLeft w:val="0"/>
      <w:marRight w:val="0"/>
      <w:marTop w:val="0"/>
      <w:marBottom w:val="0"/>
      <w:divBdr>
        <w:top w:val="none" w:sz="0" w:space="0" w:color="auto"/>
        <w:left w:val="none" w:sz="0" w:space="0" w:color="auto"/>
        <w:bottom w:val="none" w:sz="0" w:space="0" w:color="auto"/>
        <w:right w:val="none" w:sz="0" w:space="0" w:color="auto"/>
      </w:divBdr>
    </w:div>
    <w:div w:id="657466105">
      <w:bodyDiv w:val="1"/>
      <w:marLeft w:val="0"/>
      <w:marRight w:val="0"/>
      <w:marTop w:val="0"/>
      <w:marBottom w:val="0"/>
      <w:divBdr>
        <w:top w:val="none" w:sz="0" w:space="0" w:color="auto"/>
        <w:left w:val="none" w:sz="0" w:space="0" w:color="auto"/>
        <w:bottom w:val="none" w:sz="0" w:space="0" w:color="auto"/>
        <w:right w:val="none" w:sz="0" w:space="0" w:color="auto"/>
      </w:divBdr>
    </w:div>
    <w:div w:id="657731382">
      <w:bodyDiv w:val="1"/>
      <w:marLeft w:val="0"/>
      <w:marRight w:val="0"/>
      <w:marTop w:val="0"/>
      <w:marBottom w:val="0"/>
      <w:divBdr>
        <w:top w:val="none" w:sz="0" w:space="0" w:color="auto"/>
        <w:left w:val="none" w:sz="0" w:space="0" w:color="auto"/>
        <w:bottom w:val="none" w:sz="0" w:space="0" w:color="auto"/>
        <w:right w:val="none" w:sz="0" w:space="0" w:color="auto"/>
      </w:divBdr>
    </w:div>
    <w:div w:id="657920208">
      <w:bodyDiv w:val="1"/>
      <w:marLeft w:val="0"/>
      <w:marRight w:val="0"/>
      <w:marTop w:val="0"/>
      <w:marBottom w:val="0"/>
      <w:divBdr>
        <w:top w:val="none" w:sz="0" w:space="0" w:color="auto"/>
        <w:left w:val="none" w:sz="0" w:space="0" w:color="auto"/>
        <w:bottom w:val="none" w:sz="0" w:space="0" w:color="auto"/>
        <w:right w:val="none" w:sz="0" w:space="0" w:color="auto"/>
      </w:divBdr>
    </w:div>
    <w:div w:id="658386915">
      <w:bodyDiv w:val="1"/>
      <w:marLeft w:val="0"/>
      <w:marRight w:val="0"/>
      <w:marTop w:val="0"/>
      <w:marBottom w:val="0"/>
      <w:divBdr>
        <w:top w:val="none" w:sz="0" w:space="0" w:color="auto"/>
        <w:left w:val="none" w:sz="0" w:space="0" w:color="auto"/>
        <w:bottom w:val="none" w:sz="0" w:space="0" w:color="auto"/>
        <w:right w:val="none" w:sz="0" w:space="0" w:color="auto"/>
      </w:divBdr>
    </w:div>
    <w:div w:id="660499495">
      <w:bodyDiv w:val="1"/>
      <w:marLeft w:val="0"/>
      <w:marRight w:val="0"/>
      <w:marTop w:val="0"/>
      <w:marBottom w:val="0"/>
      <w:divBdr>
        <w:top w:val="none" w:sz="0" w:space="0" w:color="auto"/>
        <w:left w:val="none" w:sz="0" w:space="0" w:color="auto"/>
        <w:bottom w:val="none" w:sz="0" w:space="0" w:color="auto"/>
        <w:right w:val="none" w:sz="0" w:space="0" w:color="auto"/>
      </w:divBdr>
    </w:div>
    <w:div w:id="660742219">
      <w:bodyDiv w:val="1"/>
      <w:marLeft w:val="0"/>
      <w:marRight w:val="0"/>
      <w:marTop w:val="0"/>
      <w:marBottom w:val="0"/>
      <w:divBdr>
        <w:top w:val="none" w:sz="0" w:space="0" w:color="auto"/>
        <w:left w:val="none" w:sz="0" w:space="0" w:color="auto"/>
        <w:bottom w:val="none" w:sz="0" w:space="0" w:color="auto"/>
        <w:right w:val="none" w:sz="0" w:space="0" w:color="auto"/>
      </w:divBdr>
    </w:div>
    <w:div w:id="661130613">
      <w:bodyDiv w:val="1"/>
      <w:marLeft w:val="0"/>
      <w:marRight w:val="0"/>
      <w:marTop w:val="0"/>
      <w:marBottom w:val="0"/>
      <w:divBdr>
        <w:top w:val="none" w:sz="0" w:space="0" w:color="auto"/>
        <w:left w:val="none" w:sz="0" w:space="0" w:color="auto"/>
        <w:bottom w:val="none" w:sz="0" w:space="0" w:color="auto"/>
        <w:right w:val="none" w:sz="0" w:space="0" w:color="auto"/>
      </w:divBdr>
    </w:div>
    <w:div w:id="661859200">
      <w:bodyDiv w:val="1"/>
      <w:marLeft w:val="0"/>
      <w:marRight w:val="0"/>
      <w:marTop w:val="0"/>
      <w:marBottom w:val="0"/>
      <w:divBdr>
        <w:top w:val="none" w:sz="0" w:space="0" w:color="auto"/>
        <w:left w:val="none" w:sz="0" w:space="0" w:color="auto"/>
        <w:bottom w:val="none" w:sz="0" w:space="0" w:color="auto"/>
        <w:right w:val="none" w:sz="0" w:space="0" w:color="auto"/>
      </w:divBdr>
    </w:div>
    <w:div w:id="661929816">
      <w:bodyDiv w:val="1"/>
      <w:marLeft w:val="0"/>
      <w:marRight w:val="0"/>
      <w:marTop w:val="0"/>
      <w:marBottom w:val="0"/>
      <w:divBdr>
        <w:top w:val="none" w:sz="0" w:space="0" w:color="auto"/>
        <w:left w:val="none" w:sz="0" w:space="0" w:color="auto"/>
        <w:bottom w:val="none" w:sz="0" w:space="0" w:color="auto"/>
        <w:right w:val="none" w:sz="0" w:space="0" w:color="auto"/>
      </w:divBdr>
    </w:div>
    <w:div w:id="662203837">
      <w:bodyDiv w:val="1"/>
      <w:marLeft w:val="0"/>
      <w:marRight w:val="0"/>
      <w:marTop w:val="0"/>
      <w:marBottom w:val="0"/>
      <w:divBdr>
        <w:top w:val="none" w:sz="0" w:space="0" w:color="auto"/>
        <w:left w:val="none" w:sz="0" w:space="0" w:color="auto"/>
        <w:bottom w:val="none" w:sz="0" w:space="0" w:color="auto"/>
        <w:right w:val="none" w:sz="0" w:space="0" w:color="auto"/>
      </w:divBdr>
    </w:div>
    <w:div w:id="664017902">
      <w:bodyDiv w:val="1"/>
      <w:marLeft w:val="0"/>
      <w:marRight w:val="0"/>
      <w:marTop w:val="0"/>
      <w:marBottom w:val="0"/>
      <w:divBdr>
        <w:top w:val="none" w:sz="0" w:space="0" w:color="auto"/>
        <w:left w:val="none" w:sz="0" w:space="0" w:color="auto"/>
        <w:bottom w:val="none" w:sz="0" w:space="0" w:color="auto"/>
        <w:right w:val="none" w:sz="0" w:space="0" w:color="auto"/>
      </w:divBdr>
    </w:div>
    <w:div w:id="664089270">
      <w:bodyDiv w:val="1"/>
      <w:marLeft w:val="0"/>
      <w:marRight w:val="0"/>
      <w:marTop w:val="0"/>
      <w:marBottom w:val="0"/>
      <w:divBdr>
        <w:top w:val="none" w:sz="0" w:space="0" w:color="auto"/>
        <w:left w:val="none" w:sz="0" w:space="0" w:color="auto"/>
        <w:bottom w:val="none" w:sz="0" w:space="0" w:color="auto"/>
        <w:right w:val="none" w:sz="0" w:space="0" w:color="auto"/>
      </w:divBdr>
    </w:div>
    <w:div w:id="664432724">
      <w:bodyDiv w:val="1"/>
      <w:marLeft w:val="0"/>
      <w:marRight w:val="0"/>
      <w:marTop w:val="0"/>
      <w:marBottom w:val="0"/>
      <w:divBdr>
        <w:top w:val="none" w:sz="0" w:space="0" w:color="auto"/>
        <w:left w:val="none" w:sz="0" w:space="0" w:color="auto"/>
        <w:bottom w:val="none" w:sz="0" w:space="0" w:color="auto"/>
        <w:right w:val="none" w:sz="0" w:space="0" w:color="auto"/>
      </w:divBdr>
    </w:div>
    <w:div w:id="665090840">
      <w:bodyDiv w:val="1"/>
      <w:marLeft w:val="0"/>
      <w:marRight w:val="0"/>
      <w:marTop w:val="0"/>
      <w:marBottom w:val="0"/>
      <w:divBdr>
        <w:top w:val="none" w:sz="0" w:space="0" w:color="auto"/>
        <w:left w:val="none" w:sz="0" w:space="0" w:color="auto"/>
        <w:bottom w:val="none" w:sz="0" w:space="0" w:color="auto"/>
        <w:right w:val="none" w:sz="0" w:space="0" w:color="auto"/>
      </w:divBdr>
    </w:div>
    <w:div w:id="665209816">
      <w:bodyDiv w:val="1"/>
      <w:marLeft w:val="0"/>
      <w:marRight w:val="0"/>
      <w:marTop w:val="0"/>
      <w:marBottom w:val="0"/>
      <w:divBdr>
        <w:top w:val="none" w:sz="0" w:space="0" w:color="auto"/>
        <w:left w:val="none" w:sz="0" w:space="0" w:color="auto"/>
        <w:bottom w:val="none" w:sz="0" w:space="0" w:color="auto"/>
        <w:right w:val="none" w:sz="0" w:space="0" w:color="auto"/>
      </w:divBdr>
    </w:div>
    <w:div w:id="665860468">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68286585">
      <w:bodyDiv w:val="1"/>
      <w:marLeft w:val="0"/>
      <w:marRight w:val="0"/>
      <w:marTop w:val="0"/>
      <w:marBottom w:val="0"/>
      <w:divBdr>
        <w:top w:val="none" w:sz="0" w:space="0" w:color="auto"/>
        <w:left w:val="none" w:sz="0" w:space="0" w:color="auto"/>
        <w:bottom w:val="none" w:sz="0" w:space="0" w:color="auto"/>
        <w:right w:val="none" w:sz="0" w:space="0" w:color="auto"/>
      </w:divBdr>
    </w:div>
    <w:div w:id="668564421">
      <w:bodyDiv w:val="1"/>
      <w:marLeft w:val="0"/>
      <w:marRight w:val="0"/>
      <w:marTop w:val="0"/>
      <w:marBottom w:val="0"/>
      <w:divBdr>
        <w:top w:val="none" w:sz="0" w:space="0" w:color="auto"/>
        <w:left w:val="none" w:sz="0" w:space="0" w:color="auto"/>
        <w:bottom w:val="none" w:sz="0" w:space="0" w:color="auto"/>
        <w:right w:val="none" w:sz="0" w:space="0" w:color="auto"/>
      </w:divBdr>
    </w:div>
    <w:div w:id="669059542">
      <w:bodyDiv w:val="1"/>
      <w:marLeft w:val="0"/>
      <w:marRight w:val="0"/>
      <w:marTop w:val="0"/>
      <w:marBottom w:val="0"/>
      <w:divBdr>
        <w:top w:val="none" w:sz="0" w:space="0" w:color="auto"/>
        <w:left w:val="none" w:sz="0" w:space="0" w:color="auto"/>
        <w:bottom w:val="none" w:sz="0" w:space="0" w:color="auto"/>
        <w:right w:val="none" w:sz="0" w:space="0" w:color="auto"/>
      </w:divBdr>
    </w:div>
    <w:div w:id="669451411">
      <w:bodyDiv w:val="1"/>
      <w:marLeft w:val="0"/>
      <w:marRight w:val="0"/>
      <w:marTop w:val="0"/>
      <w:marBottom w:val="0"/>
      <w:divBdr>
        <w:top w:val="none" w:sz="0" w:space="0" w:color="auto"/>
        <w:left w:val="none" w:sz="0" w:space="0" w:color="auto"/>
        <w:bottom w:val="none" w:sz="0" w:space="0" w:color="auto"/>
        <w:right w:val="none" w:sz="0" w:space="0" w:color="auto"/>
      </w:divBdr>
    </w:div>
    <w:div w:id="669792708">
      <w:bodyDiv w:val="1"/>
      <w:marLeft w:val="0"/>
      <w:marRight w:val="0"/>
      <w:marTop w:val="0"/>
      <w:marBottom w:val="0"/>
      <w:divBdr>
        <w:top w:val="none" w:sz="0" w:space="0" w:color="auto"/>
        <w:left w:val="none" w:sz="0" w:space="0" w:color="auto"/>
        <w:bottom w:val="none" w:sz="0" w:space="0" w:color="auto"/>
        <w:right w:val="none" w:sz="0" w:space="0" w:color="auto"/>
      </w:divBdr>
    </w:div>
    <w:div w:id="670182939">
      <w:bodyDiv w:val="1"/>
      <w:marLeft w:val="0"/>
      <w:marRight w:val="0"/>
      <w:marTop w:val="0"/>
      <w:marBottom w:val="0"/>
      <w:divBdr>
        <w:top w:val="none" w:sz="0" w:space="0" w:color="auto"/>
        <w:left w:val="none" w:sz="0" w:space="0" w:color="auto"/>
        <w:bottom w:val="none" w:sz="0" w:space="0" w:color="auto"/>
        <w:right w:val="none" w:sz="0" w:space="0" w:color="auto"/>
      </w:divBdr>
    </w:div>
    <w:div w:id="671762754">
      <w:bodyDiv w:val="1"/>
      <w:marLeft w:val="0"/>
      <w:marRight w:val="0"/>
      <w:marTop w:val="0"/>
      <w:marBottom w:val="0"/>
      <w:divBdr>
        <w:top w:val="none" w:sz="0" w:space="0" w:color="auto"/>
        <w:left w:val="none" w:sz="0" w:space="0" w:color="auto"/>
        <w:bottom w:val="none" w:sz="0" w:space="0" w:color="auto"/>
        <w:right w:val="none" w:sz="0" w:space="0" w:color="auto"/>
      </w:divBdr>
    </w:div>
    <w:div w:id="672344289">
      <w:bodyDiv w:val="1"/>
      <w:marLeft w:val="0"/>
      <w:marRight w:val="0"/>
      <w:marTop w:val="0"/>
      <w:marBottom w:val="0"/>
      <w:divBdr>
        <w:top w:val="none" w:sz="0" w:space="0" w:color="auto"/>
        <w:left w:val="none" w:sz="0" w:space="0" w:color="auto"/>
        <w:bottom w:val="none" w:sz="0" w:space="0" w:color="auto"/>
        <w:right w:val="none" w:sz="0" w:space="0" w:color="auto"/>
      </w:divBdr>
    </w:div>
    <w:div w:id="672759519">
      <w:bodyDiv w:val="1"/>
      <w:marLeft w:val="0"/>
      <w:marRight w:val="0"/>
      <w:marTop w:val="0"/>
      <w:marBottom w:val="0"/>
      <w:divBdr>
        <w:top w:val="none" w:sz="0" w:space="0" w:color="auto"/>
        <w:left w:val="none" w:sz="0" w:space="0" w:color="auto"/>
        <w:bottom w:val="none" w:sz="0" w:space="0" w:color="auto"/>
        <w:right w:val="none" w:sz="0" w:space="0" w:color="auto"/>
      </w:divBdr>
    </w:div>
    <w:div w:id="672759730">
      <w:bodyDiv w:val="1"/>
      <w:marLeft w:val="0"/>
      <w:marRight w:val="0"/>
      <w:marTop w:val="0"/>
      <w:marBottom w:val="0"/>
      <w:divBdr>
        <w:top w:val="none" w:sz="0" w:space="0" w:color="auto"/>
        <w:left w:val="none" w:sz="0" w:space="0" w:color="auto"/>
        <w:bottom w:val="none" w:sz="0" w:space="0" w:color="auto"/>
        <w:right w:val="none" w:sz="0" w:space="0" w:color="auto"/>
      </w:divBdr>
    </w:div>
    <w:div w:id="672881165">
      <w:bodyDiv w:val="1"/>
      <w:marLeft w:val="0"/>
      <w:marRight w:val="0"/>
      <w:marTop w:val="0"/>
      <w:marBottom w:val="0"/>
      <w:divBdr>
        <w:top w:val="none" w:sz="0" w:space="0" w:color="auto"/>
        <w:left w:val="none" w:sz="0" w:space="0" w:color="auto"/>
        <w:bottom w:val="none" w:sz="0" w:space="0" w:color="auto"/>
        <w:right w:val="none" w:sz="0" w:space="0" w:color="auto"/>
      </w:divBdr>
    </w:div>
    <w:div w:id="674040523">
      <w:bodyDiv w:val="1"/>
      <w:marLeft w:val="0"/>
      <w:marRight w:val="0"/>
      <w:marTop w:val="0"/>
      <w:marBottom w:val="0"/>
      <w:divBdr>
        <w:top w:val="none" w:sz="0" w:space="0" w:color="auto"/>
        <w:left w:val="none" w:sz="0" w:space="0" w:color="auto"/>
        <w:bottom w:val="none" w:sz="0" w:space="0" w:color="auto"/>
        <w:right w:val="none" w:sz="0" w:space="0" w:color="auto"/>
      </w:divBdr>
    </w:div>
    <w:div w:id="674384201">
      <w:bodyDiv w:val="1"/>
      <w:marLeft w:val="0"/>
      <w:marRight w:val="0"/>
      <w:marTop w:val="0"/>
      <w:marBottom w:val="0"/>
      <w:divBdr>
        <w:top w:val="none" w:sz="0" w:space="0" w:color="auto"/>
        <w:left w:val="none" w:sz="0" w:space="0" w:color="auto"/>
        <w:bottom w:val="none" w:sz="0" w:space="0" w:color="auto"/>
        <w:right w:val="none" w:sz="0" w:space="0" w:color="auto"/>
      </w:divBdr>
    </w:div>
    <w:div w:id="675889238">
      <w:bodyDiv w:val="1"/>
      <w:marLeft w:val="0"/>
      <w:marRight w:val="0"/>
      <w:marTop w:val="0"/>
      <w:marBottom w:val="0"/>
      <w:divBdr>
        <w:top w:val="none" w:sz="0" w:space="0" w:color="auto"/>
        <w:left w:val="none" w:sz="0" w:space="0" w:color="auto"/>
        <w:bottom w:val="none" w:sz="0" w:space="0" w:color="auto"/>
        <w:right w:val="none" w:sz="0" w:space="0" w:color="auto"/>
      </w:divBdr>
    </w:div>
    <w:div w:id="676079684">
      <w:bodyDiv w:val="1"/>
      <w:marLeft w:val="0"/>
      <w:marRight w:val="0"/>
      <w:marTop w:val="0"/>
      <w:marBottom w:val="0"/>
      <w:divBdr>
        <w:top w:val="none" w:sz="0" w:space="0" w:color="auto"/>
        <w:left w:val="none" w:sz="0" w:space="0" w:color="auto"/>
        <w:bottom w:val="none" w:sz="0" w:space="0" w:color="auto"/>
        <w:right w:val="none" w:sz="0" w:space="0" w:color="auto"/>
      </w:divBdr>
    </w:div>
    <w:div w:id="676155788">
      <w:bodyDiv w:val="1"/>
      <w:marLeft w:val="0"/>
      <w:marRight w:val="0"/>
      <w:marTop w:val="0"/>
      <w:marBottom w:val="0"/>
      <w:divBdr>
        <w:top w:val="none" w:sz="0" w:space="0" w:color="auto"/>
        <w:left w:val="none" w:sz="0" w:space="0" w:color="auto"/>
        <w:bottom w:val="none" w:sz="0" w:space="0" w:color="auto"/>
        <w:right w:val="none" w:sz="0" w:space="0" w:color="auto"/>
      </w:divBdr>
    </w:div>
    <w:div w:id="676468164">
      <w:bodyDiv w:val="1"/>
      <w:marLeft w:val="0"/>
      <w:marRight w:val="0"/>
      <w:marTop w:val="0"/>
      <w:marBottom w:val="0"/>
      <w:divBdr>
        <w:top w:val="none" w:sz="0" w:space="0" w:color="auto"/>
        <w:left w:val="none" w:sz="0" w:space="0" w:color="auto"/>
        <w:bottom w:val="none" w:sz="0" w:space="0" w:color="auto"/>
        <w:right w:val="none" w:sz="0" w:space="0" w:color="auto"/>
      </w:divBdr>
    </w:div>
    <w:div w:id="676538367">
      <w:bodyDiv w:val="1"/>
      <w:marLeft w:val="0"/>
      <w:marRight w:val="0"/>
      <w:marTop w:val="0"/>
      <w:marBottom w:val="0"/>
      <w:divBdr>
        <w:top w:val="none" w:sz="0" w:space="0" w:color="auto"/>
        <w:left w:val="none" w:sz="0" w:space="0" w:color="auto"/>
        <w:bottom w:val="none" w:sz="0" w:space="0" w:color="auto"/>
        <w:right w:val="none" w:sz="0" w:space="0" w:color="auto"/>
      </w:divBdr>
    </w:div>
    <w:div w:id="676882263">
      <w:bodyDiv w:val="1"/>
      <w:marLeft w:val="0"/>
      <w:marRight w:val="0"/>
      <w:marTop w:val="0"/>
      <w:marBottom w:val="0"/>
      <w:divBdr>
        <w:top w:val="none" w:sz="0" w:space="0" w:color="auto"/>
        <w:left w:val="none" w:sz="0" w:space="0" w:color="auto"/>
        <w:bottom w:val="none" w:sz="0" w:space="0" w:color="auto"/>
        <w:right w:val="none" w:sz="0" w:space="0" w:color="auto"/>
      </w:divBdr>
    </w:div>
    <w:div w:id="677661102">
      <w:bodyDiv w:val="1"/>
      <w:marLeft w:val="0"/>
      <w:marRight w:val="0"/>
      <w:marTop w:val="0"/>
      <w:marBottom w:val="0"/>
      <w:divBdr>
        <w:top w:val="none" w:sz="0" w:space="0" w:color="auto"/>
        <w:left w:val="none" w:sz="0" w:space="0" w:color="auto"/>
        <w:bottom w:val="none" w:sz="0" w:space="0" w:color="auto"/>
        <w:right w:val="none" w:sz="0" w:space="0" w:color="auto"/>
      </w:divBdr>
    </w:div>
    <w:div w:id="678118638">
      <w:bodyDiv w:val="1"/>
      <w:marLeft w:val="0"/>
      <w:marRight w:val="0"/>
      <w:marTop w:val="0"/>
      <w:marBottom w:val="0"/>
      <w:divBdr>
        <w:top w:val="none" w:sz="0" w:space="0" w:color="auto"/>
        <w:left w:val="none" w:sz="0" w:space="0" w:color="auto"/>
        <w:bottom w:val="none" w:sz="0" w:space="0" w:color="auto"/>
        <w:right w:val="none" w:sz="0" w:space="0" w:color="auto"/>
      </w:divBdr>
    </w:div>
    <w:div w:id="678317202">
      <w:bodyDiv w:val="1"/>
      <w:marLeft w:val="0"/>
      <w:marRight w:val="0"/>
      <w:marTop w:val="0"/>
      <w:marBottom w:val="0"/>
      <w:divBdr>
        <w:top w:val="none" w:sz="0" w:space="0" w:color="auto"/>
        <w:left w:val="none" w:sz="0" w:space="0" w:color="auto"/>
        <w:bottom w:val="none" w:sz="0" w:space="0" w:color="auto"/>
        <w:right w:val="none" w:sz="0" w:space="0" w:color="auto"/>
      </w:divBdr>
    </w:div>
    <w:div w:id="679552796">
      <w:bodyDiv w:val="1"/>
      <w:marLeft w:val="0"/>
      <w:marRight w:val="0"/>
      <w:marTop w:val="0"/>
      <w:marBottom w:val="0"/>
      <w:divBdr>
        <w:top w:val="none" w:sz="0" w:space="0" w:color="auto"/>
        <w:left w:val="none" w:sz="0" w:space="0" w:color="auto"/>
        <w:bottom w:val="none" w:sz="0" w:space="0" w:color="auto"/>
        <w:right w:val="none" w:sz="0" w:space="0" w:color="auto"/>
      </w:divBdr>
    </w:div>
    <w:div w:id="680594767">
      <w:bodyDiv w:val="1"/>
      <w:marLeft w:val="0"/>
      <w:marRight w:val="0"/>
      <w:marTop w:val="0"/>
      <w:marBottom w:val="0"/>
      <w:divBdr>
        <w:top w:val="none" w:sz="0" w:space="0" w:color="auto"/>
        <w:left w:val="none" w:sz="0" w:space="0" w:color="auto"/>
        <w:bottom w:val="none" w:sz="0" w:space="0" w:color="auto"/>
        <w:right w:val="none" w:sz="0" w:space="0" w:color="auto"/>
      </w:divBdr>
    </w:div>
    <w:div w:id="681591551">
      <w:bodyDiv w:val="1"/>
      <w:marLeft w:val="0"/>
      <w:marRight w:val="0"/>
      <w:marTop w:val="0"/>
      <w:marBottom w:val="0"/>
      <w:divBdr>
        <w:top w:val="none" w:sz="0" w:space="0" w:color="auto"/>
        <w:left w:val="none" w:sz="0" w:space="0" w:color="auto"/>
        <w:bottom w:val="none" w:sz="0" w:space="0" w:color="auto"/>
        <w:right w:val="none" w:sz="0" w:space="0" w:color="auto"/>
      </w:divBdr>
    </w:div>
    <w:div w:id="683019734">
      <w:bodyDiv w:val="1"/>
      <w:marLeft w:val="0"/>
      <w:marRight w:val="0"/>
      <w:marTop w:val="0"/>
      <w:marBottom w:val="0"/>
      <w:divBdr>
        <w:top w:val="none" w:sz="0" w:space="0" w:color="auto"/>
        <w:left w:val="none" w:sz="0" w:space="0" w:color="auto"/>
        <w:bottom w:val="none" w:sz="0" w:space="0" w:color="auto"/>
        <w:right w:val="none" w:sz="0" w:space="0" w:color="auto"/>
      </w:divBdr>
    </w:div>
    <w:div w:id="683363002">
      <w:bodyDiv w:val="1"/>
      <w:marLeft w:val="0"/>
      <w:marRight w:val="0"/>
      <w:marTop w:val="0"/>
      <w:marBottom w:val="0"/>
      <w:divBdr>
        <w:top w:val="none" w:sz="0" w:space="0" w:color="auto"/>
        <w:left w:val="none" w:sz="0" w:space="0" w:color="auto"/>
        <w:bottom w:val="none" w:sz="0" w:space="0" w:color="auto"/>
        <w:right w:val="none" w:sz="0" w:space="0" w:color="auto"/>
      </w:divBdr>
    </w:div>
    <w:div w:id="683674875">
      <w:bodyDiv w:val="1"/>
      <w:marLeft w:val="0"/>
      <w:marRight w:val="0"/>
      <w:marTop w:val="0"/>
      <w:marBottom w:val="0"/>
      <w:divBdr>
        <w:top w:val="none" w:sz="0" w:space="0" w:color="auto"/>
        <w:left w:val="none" w:sz="0" w:space="0" w:color="auto"/>
        <w:bottom w:val="none" w:sz="0" w:space="0" w:color="auto"/>
        <w:right w:val="none" w:sz="0" w:space="0" w:color="auto"/>
      </w:divBdr>
    </w:div>
    <w:div w:id="684016702">
      <w:bodyDiv w:val="1"/>
      <w:marLeft w:val="0"/>
      <w:marRight w:val="0"/>
      <w:marTop w:val="0"/>
      <w:marBottom w:val="0"/>
      <w:divBdr>
        <w:top w:val="none" w:sz="0" w:space="0" w:color="auto"/>
        <w:left w:val="none" w:sz="0" w:space="0" w:color="auto"/>
        <w:bottom w:val="none" w:sz="0" w:space="0" w:color="auto"/>
        <w:right w:val="none" w:sz="0" w:space="0" w:color="auto"/>
      </w:divBdr>
    </w:div>
    <w:div w:id="684211154">
      <w:bodyDiv w:val="1"/>
      <w:marLeft w:val="0"/>
      <w:marRight w:val="0"/>
      <w:marTop w:val="0"/>
      <w:marBottom w:val="0"/>
      <w:divBdr>
        <w:top w:val="none" w:sz="0" w:space="0" w:color="auto"/>
        <w:left w:val="none" w:sz="0" w:space="0" w:color="auto"/>
        <w:bottom w:val="none" w:sz="0" w:space="0" w:color="auto"/>
        <w:right w:val="none" w:sz="0" w:space="0" w:color="auto"/>
      </w:divBdr>
    </w:div>
    <w:div w:id="684407430">
      <w:bodyDiv w:val="1"/>
      <w:marLeft w:val="0"/>
      <w:marRight w:val="0"/>
      <w:marTop w:val="0"/>
      <w:marBottom w:val="0"/>
      <w:divBdr>
        <w:top w:val="none" w:sz="0" w:space="0" w:color="auto"/>
        <w:left w:val="none" w:sz="0" w:space="0" w:color="auto"/>
        <w:bottom w:val="none" w:sz="0" w:space="0" w:color="auto"/>
        <w:right w:val="none" w:sz="0" w:space="0" w:color="auto"/>
      </w:divBdr>
    </w:div>
    <w:div w:id="685327546">
      <w:bodyDiv w:val="1"/>
      <w:marLeft w:val="0"/>
      <w:marRight w:val="0"/>
      <w:marTop w:val="0"/>
      <w:marBottom w:val="0"/>
      <w:divBdr>
        <w:top w:val="none" w:sz="0" w:space="0" w:color="auto"/>
        <w:left w:val="none" w:sz="0" w:space="0" w:color="auto"/>
        <w:bottom w:val="none" w:sz="0" w:space="0" w:color="auto"/>
        <w:right w:val="none" w:sz="0" w:space="0" w:color="auto"/>
      </w:divBdr>
    </w:div>
    <w:div w:id="685402559">
      <w:bodyDiv w:val="1"/>
      <w:marLeft w:val="0"/>
      <w:marRight w:val="0"/>
      <w:marTop w:val="0"/>
      <w:marBottom w:val="0"/>
      <w:divBdr>
        <w:top w:val="none" w:sz="0" w:space="0" w:color="auto"/>
        <w:left w:val="none" w:sz="0" w:space="0" w:color="auto"/>
        <w:bottom w:val="none" w:sz="0" w:space="0" w:color="auto"/>
        <w:right w:val="none" w:sz="0" w:space="0" w:color="auto"/>
      </w:divBdr>
    </w:div>
    <w:div w:id="685906563">
      <w:bodyDiv w:val="1"/>
      <w:marLeft w:val="0"/>
      <w:marRight w:val="0"/>
      <w:marTop w:val="0"/>
      <w:marBottom w:val="0"/>
      <w:divBdr>
        <w:top w:val="none" w:sz="0" w:space="0" w:color="auto"/>
        <w:left w:val="none" w:sz="0" w:space="0" w:color="auto"/>
        <w:bottom w:val="none" w:sz="0" w:space="0" w:color="auto"/>
        <w:right w:val="none" w:sz="0" w:space="0" w:color="auto"/>
      </w:divBdr>
    </w:div>
    <w:div w:id="685980629">
      <w:bodyDiv w:val="1"/>
      <w:marLeft w:val="0"/>
      <w:marRight w:val="0"/>
      <w:marTop w:val="0"/>
      <w:marBottom w:val="0"/>
      <w:divBdr>
        <w:top w:val="none" w:sz="0" w:space="0" w:color="auto"/>
        <w:left w:val="none" w:sz="0" w:space="0" w:color="auto"/>
        <w:bottom w:val="none" w:sz="0" w:space="0" w:color="auto"/>
        <w:right w:val="none" w:sz="0" w:space="0" w:color="auto"/>
      </w:divBdr>
    </w:div>
    <w:div w:id="686490712">
      <w:bodyDiv w:val="1"/>
      <w:marLeft w:val="0"/>
      <w:marRight w:val="0"/>
      <w:marTop w:val="0"/>
      <w:marBottom w:val="0"/>
      <w:divBdr>
        <w:top w:val="none" w:sz="0" w:space="0" w:color="auto"/>
        <w:left w:val="none" w:sz="0" w:space="0" w:color="auto"/>
        <w:bottom w:val="none" w:sz="0" w:space="0" w:color="auto"/>
        <w:right w:val="none" w:sz="0" w:space="0" w:color="auto"/>
      </w:divBdr>
    </w:div>
    <w:div w:id="687021069">
      <w:bodyDiv w:val="1"/>
      <w:marLeft w:val="0"/>
      <w:marRight w:val="0"/>
      <w:marTop w:val="0"/>
      <w:marBottom w:val="0"/>
      <w:divBdr>
        <w:top w:val="none" w:sz="0" w:space="0" w:color="auto"/>
        <w:left w:val="none" w:sz="0" w:space="0" w:color="auto"/>
        <w:bottom w:val="none" w:sz="0" w:space="0" w:color="auto"/>
        <w:right w:val="none" w:sz="0" w:space="0" w:color="auto"/>
      </w:divBdr>
    </w:div>
    <w:div w:id="687365780">
      <w:bodyDiv w:val="1"/>
      <w:marLeft w:val="0"/>
      <w:marRight w:val="0"/>
      <w:marTop w:val="0"/>
      <w:marBottom w:val="0"/>
      <w:divBdr>
        <w:top w:val="none" w:sz="0" w:space="0" w:color="auto"/>
        <w:left w:val="none" w:sz="0" w:space="0" w:color="auto"/>
        <w:bottom w:val="none" w:sz="0" w:space="0" w:color="auto"/>
        <w:right w:val="none" w:sz="0" w:space="0" w:color="auto"/>
      </w:divBdr>
    </w:div>
    <w:div w:id="687604735">
      <w:bodyDiv w:val="1"/>
      <w:marLeft w:val="0"/>
      <w:marRight w:val="0"/>
      <w:marTop w:val="0"/>
      <w:marBottom w:val="0"/>
      <w:divBdr>
        <w:top w:val="none" w:sz="0" w:space="0" w:color="auto"/>
        <w:left w:val="none" w:sz="0" w:space="0" w:color="auto"/>
        <w:bottom w:val="none" w:sz="0" w:space="0" w:color="auto"/>
        <w:right w:val="none" w:sz="0" w:space="0" w:color="auto"/>
      </w:divBdr>
    </w:div>
    <w:div w:id="688918281">
      <w:bodyDiv w:val="1"/>
      <w:marLeft w:val="0"/>
      <w:marRight w:val="0"/>
      <w:marTop w:val="0"/>
      <w:marBottom w:val="0"/>
      <w:divBdr>
        <w:top w:val="none" w:sz="0" w:space="0" w:color="auto"/>
        <w:left w:val="none" w:sz="0" w:space="0" w:color="auto"/>
        <w:bottom w:val="none" w:sz="0" w:space="0" w:color="auto"/>
        <w:right w:val="none" w:sz="0" w:space="0" w:color="auto"/>
      </w:divBdr>
    </w:div>
    <w:div w:id="689722942">
      <w:bodyDiv w:val="1"/>
      <w:marLeft w:val="0"/>
      <w:marRight w:val="0"/>
      <w:marTop w:val="0"/>
      <w:marBottom w:val="0"/>
      <w:divBdr>
        <w:top w:val="none" w:sz="0" w:space="0" w:color="auto"/>
        <w:left w:val="none" w:sz="0" w:space="0" w:color="auto"/>
        <w:bottom w:val="none" w:sz="0" w:space="0" w:color="auto"/>
        <w:right w:val="none" w:sz="0" w:space="0" w:color="auto"/>
      </w:divBdr>
    </w:div>
    <w:div w:id="690376593">
      <w:bodyDiv w:val="1"/>
      <w:marLeft w:val="0"/>
      <w:marRight w:val="0"/>
      <w:marTop w:val="0"/>
      <w:marBottom w:val="0"/>
      <w:divBdr>
        <w:top w:val="none" w:sz="0" w:space="0" w:color="auto"/>
        <w:left w:val="none" w:sz="0" w:space="0" w:color="auto"/>
        <w:bottom w:val="none" w:sz="0" w:space="0" w:color="auto"/>
        <w:right w:val="none" w:sz="0" w:space="0" w:color="auto"/>
      </w:divBdr>
    </w:div>
    <w:div w:id="690640946">
      <w:bodyDiv w:val="1"/>
      <w:marLeft w:val="0"/>
      <w:marRight w:val="0"/>
      <w:marTop w:val="0"/>
      <w:marBottom w:val="0"/>
      <w:divBdr>
        <w:top w:val="none" w:sz="0" w:space="0" w:color="auto"/>
        <w:left w:val="none" w:sz="0" w:space="0" w:color="auto"/>
        <w:bottom w:val="none" w:sz="0" w:space="0" w:color="auto"/>
        <w:right w:val="none" w:sz="0" w:space="0" w:color="auto"/>
      </w:divBdr>
    </w:div>
    <w:div w:id="691147893">
      <w:bodyDiv w:val="1"/>
      <w:marLeft w:val="0"/>
      <w:marRight w:val="0"/>
      <w:marTop w:val="0"/>
      <w:marBottom w:val="0"/>
      <w:divBdr>
        <w:top w:val="none" w:sz="0" w:space="0" w:color="auto"/>
        <w:left w:val="none" w:sz="0" w:space="0" w:color="auto"/>
        <w:bottom w:val="none" w:sz="0" w:space="0" w:color="auto"/>
        <w:right w:val="none" w:sz="0" w:space="0" w:color="auto"/>
      </w:divBdr>
    </w:div>
    <w:div w:id="691418258">
      <w:bodyDiv w:val="1"/>
      <w:marLeft w:val="0"/>
      <w:marRight w:val="0"/>
      <w:marTop w:val="0"/>
      <w:marBottom w:val="0"/>
      <w:divBdr>
        <w:top w:val="none" w:sz="0" w:space="0" w:color="auto"/>
        <w:left w:val="none" w:sz="0" w:space="0" w:color="auto"/>
        <w:bottom w:val="none" w:sz="0" w:space="0" w:color="auto"/>
        <w:right w:val="none" w:sz="0" w:space="0" w:color="auto"/>
      </w:divBdr>
    </w:div>
    <w:div w:id="691760492">
      <w:bodyDiv w:val="1"/>
      <w:marLeft w:val="0"/>
      <w:marRight w:val="0"/>
      <w:marTop w:val="0"/>
      <w:marBottom w:val="0"/>
      <w:divBdr>
        <w:top w:val="none" w:sz="0" w:space="0" w:color="auto"/>
        <w:left w:val="none" w:sz="0" w:space="0" w:color="auto"/>
        <w:bottom w:val="none" w:sz="0" w:space="0" w:color="auto"/>
        <w:right w:val="none" w:sz="0" w:space="0" w:color="auto"/>
      </w:divBdr>
    </w:div>
    <w:div w:id="692192730">
      <w:bodyDiv w:val="1"/>
      <w:marLeft w:val="0"/>
      <w:marRight w:val="0"/>
      <w:marTop w:val="0"/>
      <w:marBottom w:val="0"/>
      <w:divBdr>
        <w:top w:val="none" w:sz="0" w:space="0" w:color="auto"/>
        <w:left w:val="none" w:sz="0" w:space="0" w:color="auto"/>
        <w:bottom w:val="none" w:sz="0" w:space="0" w:color="auto"/>
        <w:right w:val="none" w:sz="0" w:space="0" w:color="auto"/>
      </w:divBdr>
    </w:div>
    <w:div w:id="693502258">
      <w:bodyDiv w:val="1"/>
      <w:marLeft w:val="0"/>
      <w:marRight w:val="0"/>
      <w:marTop w:val="0"/>
      <w:marBottom w:val="0"/>
      <w:divBdr>
        <w:top w:val="none" w:sz="0" w:space="0" w:color="auto"/>
        <w:left w:val="none" w:sz="0" w:space="0" w:color="auto"/>
        <w:bottom w:val="none" w:sz="0" w:space="0" w:color="auto"/>
        <w:right w:val="none" w:sz="0" w:space="0" w:color="auto"/>
      </w:divBdr>
    </w:div>
    <w:div w:id="693923686">
      <w:bodyDiv w:val="1"/>
      <w:marLeft w:val="0"/>
      <w:marRight w:val="0"/>
      <w:marTop w:val="0"/>
      <w:marBottom w:val="0"/>
      <w:divBdr>
        <w:top w:val="none" w:sz="0" w:space="0" w:color="auto"/>
        <w:left w:val="none" w:sz="0" w:space="0" w:color="auto"/>
        <w:bottom w:val="none" w:sz="0" w:space="0" w:color="auto"/>
        <w:right w:val="none" w:sz="0" w:space="0" w:color="auto"/>
      </w:divBdr>
    </w:div>
    <w:div w:id="694235409">
      <w:bodyDiv w:val="1"/>
      <w:marLeft w:val="0"/>
      <w:marRight w:val="0"/>
      <w:marTop w:val="0"/>
      <w:marBottom w:val="0"/>
      <w:divBdr>
        <w:top w:val="none" w:sz="0" w:space="0" w:color="auto"/>
        <w:left w:val="none" w:sz="0" w:space="0" w:color="auto"/>
        <w:bottom w:val="none" w:sz="0" w:space="0" w:color="auto"/>
        <w:right w:val="none" w:sz="0" w:space="0" w:color="auto"/>
      </w:divBdr>
    </w:div>
    <w:div w:id="694379657">
      <w:bodyDiv w:val="1"/>
      <w:marLeft w:val="0"/>
      <w:marRight w:val="0"/>
      <w:marTop w:val="0"/>
      <w:marBottom w:val="0"/>
      <w:divBdr>
        <w:top w:val="none" w:sz="0" w:space="0" w:color="auto"/>
        <w:left w:val="none" w:sz="0" w:space="0" w:color="auto"/>
        <w:bottom w:val="none" w:sz="0" w:space="0" w:color="auto"/>
        <w:right w:val="none" w:sz="0" w:space="0" w:color="auto"/>
      </w:divBdr>
    </w:div>
    <w:div w:id="694501368">
      <w:bodyDiv w:val="1"/>
      <w:marLeft w:val="0"/>
      <w:marRight w:val="0"/>
      <w:marTop w:val="0"/>
      <w:marBottom w:val="0"/>
      <w:divBdr>
        <w:top w:val="none" w:sz="0" w:space="0" w:color="auto"/>
        <w:left w:val="none" w:sz="0" w:space="0" w:color="auto"/>
        <w:bottom w:val="none" w:sz="0" w:space="0" w:color="auto"/>
        <w:right w:val="none" w:sz="0" w:space="0" w:color="auto"/>
      </w:divBdr>
    </w:div>
    <w:div w:id="694618403">
      <w:bodyDiv w:val="1"/>
      <w:marLeft w:val="0"/>
      <w:marRight w:val="0"/>
      <w:marTop w:val="0"/>
      <w:marBottom w:val="0"/>
      <w:divBdr>
        <w:top w:val="none" w:sz="0" w:space="0" w:color="auto"/>
        <w:left w:val="none" w:sz="0" w:space="0" w:color="auto"/>
        <w:bottom w:val="none" w:sz="0" w:space="0" w:color="auto"/>
        <w:right w:val="none" w:sz="0" w:space="0" w:color="auto"/>
      </w:divBdr>
    </w:div>
    <w:div w:id="694696311">
      <w:bodyDiv w:val="1"/>
      <w:marLeft w:val="0"/>
      <w:marRight w:val="0"/>
      <w:marTop w:val="0"/>
      <w:marBottom w:val="0"/>
      <w:divBdr>
        <w:top w:val="none" w:sz="0" w:space="0" w:color="auto"/>
        <w:left w:val="none" w:sz="0" w:space="0" w:color="auto"/>
        <w:bottom w:val="none" w:sz="0" w:space="0" w:color="auto"/>
        <w:right w:val="none" w:sz="0" w:space="0" w:color="auto"/>
      </w:divBdr>
    </w:div>
    <w:div w:id="694966582">
      <w:bodyDiv w:val="1"/>
      <w:marLeft w:val="0"/>
      <w:marRight w:val="0"/>
      <w:marTop w:val="0"/>
      <w:marBottom w:val="0"/>
      <w:divBdr>
        <w:top w:val="none" w:sz="0" w:space="0" w:color="auto"/>
        <w:left w:val="none" w:sz="0" w:space="0" w:color="auto"/>
        <w:bottom w:val="none" w:sz="0" w:space="0" w:color="auto"/>
        <w:right w:val="none" w:sz="0" w:space="0" w:color="auto"/>
      </w:divBdr>
    </w:div>
    <w:div w:id="695817188">
      <w:bodyDiv w:val="1"/>
      <w:marLeft w:val="0"/>
      <w:marRight w:val="0"/>
      <w:marTop w:val="0"/>
      <w:marBottom w:val="0"/>
      <w:divBdr>
        <w:top w:val="none" w:sz="0" w:space="0" w:color="auto"/>
        <w:left w:val="none" w:sz="0" w:space="0" w:color="auto"/>
        <w:bottom w:val="none" w:sz="0" w:space="0" w:color="auto"/>
        <w:right w:val="none" w:sz="0" w:space="0" w:color="auto"/>
      </w:divBdr>
    </w:div>
    <w:div w:id="697006129">
      <w:bodyDiv w:val="1"/>
      <w:marLeft w:val="0"/>
      <w:marRight w:val="0"/>
      <w:marTop w:val="0"/>
      <w:marBottom w:val="0"/>
      <w:divBdr>
        <w:top w:val="none" w:sz="0" w:space="0" w:color="auto"/>
        <w:left w:val="none" w:sz="0" w:space="0" w:color="auto"/>
        <w:bottom w:val="none" w:sz="0" w:space="0" w:color="auto"/>
        <w:right w:val="none" w:sz="0" w:space="0" w:color="auto"/>
      </w:divBdr>
    </w:div>
    <w:div w:id="698553918">
      <w:bodyDiv w:val="1"/>
      <w:marLeft w:val="0"/>
      <w:marRight w:val="0"/>
      <w:marTop w:val="0"/>
      <w:marBottom w:val="0"/>
      <w:divBdr>
        <w:top w:val="none" w:sz="0" w:space="0" w:color="auto"/>
        <w:left w:val="none" w:sz="0" w:space="0" w:color="auto"/>
        <w:bottom w:val="none" w:sz="0" w:space="0" w:color="auto"/>
        <w:right w:val="none" w:sz="0" w:space="0" w:color="auto"/>
      </w:divBdr>
    </w:div>
    <w:div w:id="699361399">
      <w:bodyDiv w:val="1"/>
      <w:marLeft w:val="0"/>
      <w:marRight w:val="0"/>
      <w:marTop w:val="0"/>
      <w:marBottom w:val="0"/>
      <w:divBdr>
        <w:top w:val="none" w:sz="0" w:space="0" w:color="auto"/>
        <w:left w:val="none" w:sz="0" w:space="0" w:color="auto"/>
        <w:bottom w:val="none" w:sz="0" w:space="0" w:color="auto"/>
        <w:right w:val="none" w:sz="0" w:space="0" w:color="auto"/>
      </w:divBdr>
    </w:div>
    <w:div w:id="699665627">
      <w:bodyDiv w:val="1"/>
      <w:marLeft w:val="0"/>
      <w:marRight w:val="0"/>
      <w:marTop w:val="0"/>
      <w:marBottom w:val="0"/>
      <w:divBdr>
        <w:top w:val="none" w:sz="0" w:space="0" w:color="auto"/>
        <w:left w:val="none" w:sz="0" w:space="0" w:color="auto"/>
        <w:bottom w:val="none" w:sz="0" w:space="0" w:color="auto"/>
        <w:right w:val="none" w:sz="0" w:space="0" w:color="auto"/>
      </w:divBdr>
    </w:div>
    <w:div w:id="700395834">
      <w:bodyDiv w:val="1"/>
      <w:marLeft w:val="0"/>
      <w:marRight w:val="0"/>
      <w:marTop w:val="0"/>
      <w:marBottom w:val="0"/>
      <w:divBdr>
        <w:top w:val="none" w:sz="0" w:space="0" w:color="auto"/>
        <w:left w:val="none" w:sz="0" w:space="0" w:color="auto"/>
        <w:bottom w:val="none" w:sz="0" w:space="0" w:color="auto"/>
        <w:right w:val="none" w:sz="0" w:space="0" w:color="auto"/>
      </w:divBdr>
    </w:div>
    <w:div w:id="700738596">
      <w:bodyDiv w:val="1"/>
      <w:marLeft w:val="0"/>
      <w:marRight w:val="0"/>
      <w:marTop w:val="0"/>
      <w:marBottom w:val="0"/>
      <w:divBdr>
        <w:top w:val="none" w:sz="0" w:space="0" w:color="auto"/>
        <w:left w:val="none" w:sz="0" w:space="0" w:color="auto"/>
        <w:bottom w:val="none" w:sz="0" w:space="0" w:color="auto"/>
        <w:right w:val="none" w:sz="0" w:space="0" w:color="auto"/>
      </w:divBdr>
    </w:div>
    <w:div w:id="700932719">
      <w:bodyDiv w:val="1"/>
      <w:marLeft w:val="0"/>
      <w:marRight w:val="0"/>
      <w:marTop w:val="0"/>
      <w:marBottom w:val="0"/>
      <w:divBdr>
        <w:top w:val="none" w:sz="0" w:space="0" w:color="auto"/>
        <w:left w:val="none" w:sz="0" w:space="0" w:color="auto"/>
        <w:bottom w:val="none" w:sz="0" w:space="0" w:color="auto"/>
        <w:right w:val="none" w:sz="0" w:space="0" w:color="auto"/>
      </w:divBdr>
    </w:div>
    <w:div w:id="701249897">
      <w:bodyDiv w:val="1"/>
      <w:marLeft w:val="0"/>
      <w:marRight w:val="0"/>
      <w:marTop w:val="0"/>
      <w:marBottom w:val="0"/>
      <w:divBdr>
        <w:top w:val="none" w:sz="0" w:space="0" w:color="auto"/>
        <w:left w:val="none" w:sz="0" w:space="0" w:color="auto"/>
        <w:bottom w:val="none" w:sz="0" w:space="0" w:color="auto"/>
        <w:right w:val="none" w:sz="0" w:space="0" w:color="auto"/>
      </w:divBdr>
    </w:div>
    <w:div w:id="701712377">
      <w:bodyDiv w:val="1"/>
      <w:marLeft w:val="0"/>
      <w:marRight w:val="0"/>
      <w:marTop w:val="0"/>
      <w:marBottom w:val="0"/>
      <w:divBdr>
        <w:top w:val="none" w:sz="0" w:space="0" w:color="auto"/>
        <w:left w:val="none" w:sz="0" w:space="0" w:color="auto"/>
        <w:bottom w:val="none" w:sz="0" w:space="0" w:color="auto"/>
        <w:right w:val="none" w:sz="0" w:space="0" w:color="auto"/>
      </w:divBdr>
    </w:div>
    <w:div w:id="701857393">
      <w:bodyDiv w:val="1"/>
      <w:marLeft w:val="0"/>
      <w:marRight w:val="0"/>
      <w:marTop w:val="0"/>
      <w:marBottom w:val="0"/>
      <w:divBdr>
        <w:top w:val="none" w:sz="0" w:space="0" w:color="auto"/>
        <w:left w:val="none" w:sz="0" w:space="0" w:color="auto"/>
        <w:bottom w:val="none" w:sz="0" w:space="0" w:color="auto"/>
        <w:right w:val="none" w:sz="0" w:space="0" w:color="auto"/>
      </w:divBdr>
    </w:div>
    <w:div w:id="703216382">
      <w:bodyDiv w:val="1"/>
      <w:marLeft w:val="0"/>
      <w:marRight w:val="0"/>
      <w:marTop w:val="0"/>
      <w:marBottom w:val="0"/>
      <w:divBdr>
        <w:top w:val="none" w:sz="0" w:space="0" w:color="auto"/>
        <w:left w:val="none" w:sz="0" w:space="0" w:color="auto"/>
        <w:bottom w:val="none" w:sz="0" w:space="0" w:color="auto"/>
        <w:right w:val="none" w:sz="0" w:space="0" w:color="auto"/>
      </w:divBdr>
    </w:div>
    <w:div w:id="703361776">
      <w:bodyDiv w:val="1"/>
      <w:marLeft w:val="0"/>
      <w:marRight w:val="0"/>
      <w:marTop w:val="0"/>
      <w:marBottom w:val="0"/>
      <w:divBdr>
        <w:top w:val="none" w:sz="0" w:space="0" w:color="auto"/>
        <w:left w:val="none" w:sz="0" w:space="0" w:color="auto"/>
        <w:bottom w:val="none" w:sz="0" w:space="0" w:color="auto"/>
        <w:right w:val="none" w:sz="0" w:space="0" w:color="auto"/>
      </w:divBdr>
    </w:div>
    <w:div w:id="704405819">
      <w:bodyDiv w:val="1"/>
      <w:marLeft w:val="0"/>
      <w:marRight w:val="0"/>
      <w:marTop w:val="0"/>
      <w:marBottom w:val="0"/>
      <w:divBdr>
        <w:top w:val="none" w:sz="0" w:space="0" w:color="auto"/>
        <w:left w:val="none" w:sz="0" w:space="0" w:color="auto"/>
        <w:bottom w:val="none" w:sz="0" w:space="0" w:color="auto"/>
        <w:right w:val="none" w:sz="0" w:space="0" w:color="auto"/>
      </w:divBdr>
    </w:div>
    <w:div w:id="708067161">
      <w:bodyDiv w:val="1"/>
      <w:marLeft w:val="0"/>
      <w:marRight w:val="0"/>
      <w:marTop w:val="0"/>
      <w:marBottom w:val="0"/>
      <w:divBdr>
        <w:top w:val="none" w:sz="0" w:space="0" w:color="auto"/>
        <w:left w:val="none" w:sz="0" w:space="0" w:color="auto"/>
        <w:bottom w:val="none" w:sz="0" w:space="0" w:color="auto"/>
        <w:right w:val="none" w:sz="0" w:space="0" w:color="auto"/>
      </w:divBdr>
    </w:div>
    <w:div w:id="709300260">
      <w:bodyDiv w:val="1"/>
      <w:marLeft w:val="0"/>
      <w:marRight w:val="0"/>
      <w:marTop w:val="0"/>
      <w:marBottom w:val="0"/>
      <w:divBdr>
        <w:top w:val="none" w:sz="0" w:space="0" w:color="auto"/>
        <w:left w:val="none" w:sz="0" w:space="0" w:color="auto"/>
        <w:bottom w:val="none" w:sz="0" w:space="0" w:color="auto"/>
        <w:right w:val="none" w:sz="0" w:space="0" w:color="auto"/>
      </w:divBdr>
    </w:div>
    <w:div w:id="709693157">
      <w:bodyDiv w:val="1"/>
      <w:marLeft w:val="0"/>
      <w:marRight w:val="0"/>
      <w:marTop w:val="0"/>
      <w:marBottom w:val="0"/>
      <w:divBdr>
        <w:top w:val="none" w:sz="0" w:space="0" w:color="auto"/>
        <w:left w:val="none" w:sz="0" w:space="0" w:color="auto"/>
        <w:bottom w:val="none" w:sz="0" w:space="0" w:color="auto"/>
        <w:right w:val="none" w:sz="0" w:space="0" w:color="auto"/>
      </w:divBdr>
    </w:div>
    <w:div w:id="710883204">
      <w:bodyDiv w:val="1"/>
      <w:marLeft w:val="0"/>
      <w:marRight w:val="0"/>
      <w:marTop w:val="0"/>
      <w:marBottom w:val="0"/>
      <w:divBdr>
        <w:top w:val="none" w:sz="0" w:space="0" w:color="auto"/>
        <w:left w:val="none" w:sz="0" w:space="0" w:color="auto"/>
        <w:bottom w:val="none" w:sz="0" w:space="0" w:color="auto"/>
        <w:right w:val="none" w:sz="0" w:space="0" w:color="auto"/>
      </w:divBdr>
    </w:div>
    <w:div w:id="711660501">
      <w:bodyDiv w:val="1"/>
      <w:marLeft w:val="0"/>
      <w:marRight w:val="0"/>
      <w:marTop w:val="0"/>
      <w:marBottom w:val="0"/>
      <w:divBdr>
        <w:top w:val="none" w:sz="0" w:space="0" w:color="auto"/>
        <w:left w:val="none" w:sz="0" w:space="0" w:color="auto"/>
        <w:bottom w:val="none" w:sz="0" w:space="0" w:color="auto"/>
        <w:right w:val="none" w:sz="0" w:space="0" w:color="auto"/>
      </w:divBdr>
    </w:div>
    <w:div w:id="711736594">
      <w:bodyDiv w:val="1"/>
      <w:marLeft w:val="0"/>
      <w:marRight w:val="0"/>
      <w:marTop w:val="0"/>
      <w:marBottom w:val="0"/>
      <w:divBdr>
        <w:top w:val="none" w:sz="0" w:space="0" w:color="auto"/>
        <w:left w:val="none" w:sz="0" w:space="0" w:color="auto"/>
        <w:bottom w:val="none" w:sz="0" w:space="0" w:color="auto"/>
        <w:right w:val="none" w:sz="0" w:space="0" w:color="auto"/>
      </w:divBdr>
    </w:div>
    <w:div w:id="712198975">
      <w:bodyDiv w:val="1"/>
      <w:marLeft w:val="0"/>
      <w:marRight w:val="0"/>
      <w:marTop w:val="0"/>
      <w:marBottom w:val="0"/>
      <w:divBdr>
        <w:top w:val="none" w:sz="0" w:space="0" w:color="auto"/>
        <w:left w:val="none" w:sz="0" w:space="0" w:color="auto"/>
        <w:bottom w:val="none" w:sz="0" w:space="0" w:color="auto"/>
        <w:right w:val="none" w:sz="0" w:space="0" w:color="auto"/>
      </w:divBdr>
    </w:div>
    <w:div w:id="712852108">
      <w:bodyDiv w:val="1"/>
      <w:marLeft w:val="0"/>
      <w:marRight w:val="0"/>
      <w:marTop w:val="0"/>
      <w:marBottom w:val="0"/>
      <w:divBdr>
        <w:top w:val="none" w:sz="0" w:space="0" w:color="auto"/>
        <w:left w:val="none" w:sz="0" w:space="0" w:color="auto"/>
        <w:bottom w:val="none" w:sz="0" w:space="0" w:color="auto"/>
        <w:right w:val="none" w:sz="0" w:space="0" w:color="auto"/>
      </w:divBdr>
    </w:div>
    <w:div w:id="714431290">
      <w:bodyDiv w:val="1"/>
      <w:marLeft w:val="0"/>
      <w:marRight w:val="0"/>
      <w:marTop w:val="0"/>
      <w:marBottom w:val="0"/>
      <w:divBdr>
        <w:top w:val="none" w:sz="0" w:space="0" w:color="auto"/>
        <w:left w:val="none" w:sz="0" w:space="0" w:color="auto"/>
        <w:bottom w:val="none" w:sz="0" w:space="0" w:color="auto"/>
        <w:right w:val="none" w:sz="0" w:space="0" w:color="auto"/>
      </w:divBdr>
    </w:div>
    <w:div w:id="714811234">
      <w:bodyDiv w:val="1"/>
      <w:marLeft w:val="0"/>
      <w:marRight w:val="0"/>
      <w:marTop w:val="0"/>
      <w:marBottom w:val="0"/>
      <w:divBdr>
        <w:top w:val="none" w:sz="0" w:space="0" w:color="auto"/>
        <w:left w:val="none" w:sz="0" w:space="0" w:color="auto"/>
        <w:bottom w:val="none" w:sz="0" w:space="0" w:color="auto"/>
        <w:right w:val="none" w:sz="0" w:space="0" w:color="auto"/>
      </w:divBdr>
    </w:div>
    <w:div w:id="715543398">
      <w:bodyDiv w:val="1"/>
      <w:marLeft w:val="0"/>
      <w:marRight w:val="0"/>
      <w:marTop w:val="0"/>
      <w:marBottom w:val="0"/>
      <w:divBdr>
        <w:top w:val="none" w:sz="0" w:space="0" w:color="auto"/>
        <w:left w:val="none" w:sz="0" w:space="0" w:color="auto"/>
        <w:bottom w:val="none" w:sz="0" w:space="0" w:color="auto"/>
        <w:right w:val="none" w:sz="0" w:space="0" w:color="auto"/>
      </w:divBdr>
    </w:div>
    <w:div w:id="716585518">
      <w:bodyDiv w:val="1"/>
      <w:marLeft w:val="0"/>
      <w:marRight w:val="0"/>
      <w:marTop w:val="0"/>
      <w:marBottom w:val="0"/>
      <w:divBdr>
        <w:top w:val="none" w:sz="0" w:space="0" w:color="auto"/>
        <w:left w:val="none" w:sz="0" w:space="0" w:color="auto"/>
        <w:bottom w:val="none" w:sz="0" w:space="0" w:color="auto"/>
        <w:right w:val="none" w:sz="0" w:space="0" w:color="auto"/>
      </w:divBdr>
    </w:div>
    <w:div w:id="718936966">
      <w:bodyDiv w:val="1"/>
      <w:marLeft w:val="0"/>
      <w:marRight w:val="0"/>
      <w:marTop w:val="0"/>
      <w:marBottom w:val="0"/>
      <w:divBdr>
        <w:top w:val="none" w:sz="0" w:space="0" w:color="auto"/>
        <w:left w:val="none" w:sz="0" w:space="0" w:color="auto"/>
        <w:bottom w:val="none" w:sz="0" w:space="0" w:color="auto"/>
        <w:right w:val="none" w:sz="0" w:space="0" w:color="auto"/>
      </w:divBdr>
    </w:div>
    <w:div w:id="720831029">
      <w:bodyDiv w:val="1"/>
      <w:marLeft w:val="0"/>
      <w:marRight w:val="0"/>
      <w:marTop w:val="0"/>
      <w:marBottom w:val="0"/>
      <w:divBdr>
        <w:top w:val="none" w:sz="0" w:space="0" w:color="auto"/>
        <w:left w:val="none" w:sz="0" w:space="0" w:color="auto"/>
        <w:bottom w:val="none" w:sz="0" w:space="0" w:color="auto"/>
        <w:right w:val="none" w:sz="0" w:space="0" w:color="auto"/>
      </w:divBdr>
    </w:div>
    <w:div w:id="721058787">
      <w:bodyDiv w:val="1"/>
      <w:marLeft w:val="0"/>
      <w:marRight w:val="0"/>
      <w:marTop w:val="0"/>
      <w:marBottom w:val="0"/>
      <w:divBdr>
        <w:top w:val="none" w:sz="0" w:space="0" w:color="auto"/>
        <w:left w:val="none" w:sz="0" w:space="0" w:color="auto"/>
        <w:bottom w:val="none" w:sz="0" w:space="0" w:color="auto"/>
        <w:right w:val="none" w:sz="0" w:space="0" w:color="auto"/>
      </w:divBdr>
    </w:div>
    <w:div w:id="722217342">
      <w:bodyDiv w:val="1"/>
      <w:marLeft w:val="0"/>
      <w:marRight w:val="0"/>
      <w:marTop w:val="0"/>
      <w:marBottom w:val="0"/>
      <w:divBdr>
        <w:top w:val="none" w:sz="0" w:space="0" w:color="auto"/>
        <w:left w:val="none" w:sz="0" w:space="0" w:color="auto"/>
        <w:bottom w:val="none" w:sz="0" w:space="0" w:color="auto"/>
        <w:right w:val="none" w:sz="0" w:space="0" w:color="auto"/>
      </w:divBdr>
    </w:div>
    <w:div w:id="722295559">
      <w:bodyDiv w:val="1"/>
      <w:marLeft w:val="0"/>
      <w:marRight w:val="0"/>
      <w:marTop w:val="0"/>
      <w:marBottom w:val="0"/>
      <w:divBdr>
        <w:top w:val="none" w:sz="0" w:space="0" w:color="auto"/>
        <w:left w:val="none" w:sz="0" w:space="0" w:color="auto"/>
        <w:bottom w:val="none" w:sz="0" w:space="0" w:color="auto"/>
        <w:right w:val="none" w:sz="0" w:space="0" w:color="auto"/>
      </w:divBdr>
    </w:div>
    <w:div w:id="722867739">
      <w:bodyDiv w:val="1"/>
      <w:marLeft w:val="0"/>
      <w:marRight w:val="0"/>
      <w:marTop w:val="0"/>
      <w:marBottom w:val="0"/>
      <w:divBdr>
        <w:top w:val="none" w:sz="0" w:space="0" w:color="auto"/>
        <w:left w:val="none" w:sz="0" w:space="0" w:color="auto"/>
        <w:bottom w:val="none" w:sz="0" w:space="0" w:color="auto"/>
        <w:right w:val="none" w:sz="0" w:space="0" w:color="auto"/>
      </w:divBdr>
    </w:div>
    <w:div w:id="724330203">
      <w:bodyDiv w:val="1"/>
      <w:marLeft w:val="0"/>
      <w:marRight w:val="0"/>
      <w:marTop w:val="0"/>
      <w:marBottom w:val="0"/>
      <w:divBdr>
        <w:top w:val="none" w:sz="0" w:space="0" w:color="auto"/>
        <w:left w:val="none" w:sz="0" w:space="0" w:color="auto"/>
        <w:bottom w:val="none" w:sz="0" w:space="0" w:color="auto"/>
        <w:right w:val="none" w:sz="0" w:space="0" w:color="auto"/>
      </w:divBdr>
    </w:div>
    <w:div w:id="724648720">
      <w:bodyDiv w:val="1"/>
      <w:marLeft w:val="0"/>
      <w:marRight w:val="0"/>
      <w:marTop w:val="0"/>
      <w:marBottom w:val="0"/>
      <w:divBdr>
        <w:top w:val="none" w:sz="0" w:space="0" w:color="auto"/>
        <w:left w:val="none" w:sz="0" w:space="0" w:color="auto"/>
        <w:bottom w:val="none" w:sz="0" w:space="0" w:color="auto"/>
        <w:right w:val="none" w:sz="0" w:space="0" w:color="auto"/>
      </w:divBdr>
    </w:div>
    <w:div w:id="725832749">
      <w:bodyDiv w:val="1"/>
      <w:marLeft w:val="0"/>
      <w:marRight w:val="0"/>
      <w:marTop w:val="0"/>
      <w:marBottom w:val="0"/>
      <w:divBdr>
        <w:top w:val="none" w:sz="0" w:space="0" w:color="auto"/>
        <w:left w:val="none" w:sz="0" w:space="0" w:color="auto"/>
        <w:bottom w:val="none" w:sz="0" w:space="0" w:color="auto"/>
        <w:right w:val="none" w:sz="0" w:space="0" w:color="auto"/>
      </w:divBdr>
    </w:div>
    <w:div w:id="726223259">
      <w:bodyDiv w:val="1"/>
      <w:marLeft w:val="0"/>
      <w:marRight w:val="0"/>
      <w:marTop w:val="0"/>
      <w:marBottom w:val="0"/>
      <w:divBdr>
        <w:top w:val="none" w:sz="0" w:space="0" w:color="auto"/>
        <w:left w:val="none" w:sz="0" w:space="0" w:color="auto"/>
        <w:bottom w:val="none" w:sz="0" w:space="0" w:color="auto"/>
        <w:right w:val="none" w:sz="0" w:space="0" w:color="auto"/>
      </w:divBdr>
    </w:div>
    <w:div w:id="726535565">
      <w:bodyDiv w:val="1"/>
      <w:marLeft w:val="0"/>
      <w:marRight w:val="0"/>
      <w:marTop w:val="0"/>
      <w:marBottom w:val="0"/>
      <w:divBdr>
        <w:top w:val="none" w:sz="0" w:space="0" w:color="auto"/>
        <w:left w:val="none" w:sz="0" w:space="0" w:color="auto"/>
        <w:bottom w:val="none" w:sz="0" w:space="0" w:color="auto"/>
        <w:right w:val="none" w:sz="0" w:space="0" w:color="auto"/>
      </w:divBdr>
    </w:div>
    <w:div w:id="726957197">
      <w:bodyDiv w:val="1"/>
      <w:marLeft w:val="0"/>
      <w:marRight w:val="0"/>
      <w:marTop w:val="0"/>
      <w:marBottom w:val="0"/>
      <w:divBdr>
        <w:top w:val="none" w:sz="0" w:space="0" w:color="auto"/>
        <w:left w:val="none" w:sz="0" w:space="0" w:color="auto"/>
        <w:bottom w:val="none" w:sz="0" w:space="0" w:color="auto"/>
        <w:right w:val="none" w:sz="0" w:space="0" w:color="auto"/>
      </w:divBdr>
    </w:div>
    <w:div w:id="728112294">
      <w:bodyDiv w:val="1"/>
      <w:marLeft w:val="0"/>
      <w:marRight w:val="0"/>
      <w:marTop w:val="0"/>
      <w:marBottom w:val="0"/>
      <w:divBdr>
        <w:top w:val="none" w:sz="0" w:space="0" w:color="auto"/>
        <w:left w:val="none" w:sz="0" w:space="0" w:color="auto"/>
        <w:bottom w:val="none" w:sz="0" w:space="0" w:color="auto"/>
        <w:right w:val="none" w:sz="0" w:space="0" w:color="auto"/>
      </w:divBdr>
    </w:div>
    <w:div w:id="728377888">
      <w:bodyDiv w:val="1"/>
      <w:marLeft w:val="0"/>
      <w:marRight w:val="0"/>
      <w:marTop w:val="0"/>
      <w:marBottom w:val="0"/>
      <w:divBdr>
        <w:top w:val="none" w:sz="0" w:space="0" w:color="auto"/>
        <w:left w:val="none" w:sz="0" w:space="0" w:color="auto"/>
        <w:bottom w:val="none" w:sz="0" w:space="0" w:color="auto"/>
        <w:right w:val="none" w:sz="0" w:space="0" w:color="auto"/>
      </w:divBdr>
    </w:div>
    <w:div w:id="728498388">
      <w:bodyDiv w:val="1"/>
      <w:marLeft w:val="0"/>
      <w:marRight w:val="0"/>
      <w:marTop w:val="0"/>
      <w:marBottom w:val="0"/>
      <w:divBdr>
        <w:top w:val="none" w:sz="0" w:space="0" w:color="auto"/>
        <w:left w:val="none" w:sz="0" w:space="0" w:color="auto"/>
        <w:bottom w:val="none" w:sz="0" w:space="0" w:color="auto"/>
        <w:right w:val="none" w:sz="0" w:space="0" w:color="auto"/>
      </w:divBdr>
    </w:div>
    <w:div w:id="730270628">
      <w:bodyDiv w:val="1"/>
      <w:marLeft w:val="0"/>
      <w:marRight w:val="0"/>
      <w:marTop w:val="0"/>
      <w:marBottom w:val="0"/>
      <w:divBdr>
        <w:top w:val="none" w:sz="0" w:space="0" w:color="auto"/>
        <w:left w:val="none" w:sz="0" w:space="0" w:color="auto"/>
        <w:bottom w:val="none" w:sz="0" w:space="0" w:color="auto"/>
        <w:right w:val="none" w:sz="0" w:space="0" w:color="auto"/>
      </w:divBdr>
    </w:div>
    <w:div w:id="730469993">
      <w:bodyDiv w:val="1"/>
      <w:marLeft w:val="0"/>
      <w:marRight w:val="0"/>
      <w:marTop w:val="0"/>
      <w:marBottom w:val="0"/>
      <w:divBdr>
        <w:top w:val="none" w:sz="0" w:space="0" w:color="auto"/>
        <w:left w:val="none" w:sz="0" w:space="0" w:color="auto"/>
        <w:bottom w:val="none" w:sz="0" w:space="0" w:color="auto"/>
        <w:right w:val="none" w:sz="0" w:space="0" w:color="auto"/>
      </w:divBdr>
    </w:div>
    <w:div w:id="732431211">
      <w:bodyDiv w:val="1"/>
      <w:marLeft w:val="0"/>
      <w:marRight w:val="0"/>
      <w:marTop w:val="0"/>
      <w:marBottom w:val="0"/>
      <w:divBdr>
        <w:top w:val="none" w:sz="0" w:space="0" w:color="auto"/>
        <w:left w:val="none" w:sz="0" w:space="0" w:color="auto"/>
        <w:bottom w:val="none" w:sz="0" w:space="0" w:color="auto"/>
        <w:right w:val="none" w:sz="0" w:space="0" w:color="auto"/>
      </w:divBdr>
    </w:div>
    <w:div w:id="732511876">
      <w:bodyDiv w:val="1"/>
      <w:marLeft w:val="0"/>
      <w:marRight w:val="0"/>
      <w:marTop w:val="0"/>
      <w:marBottom w:val="0"/>
      <w:divBdr>
        <w:top w:val="none" w:sz="0" w:space="0" w:color="auto"/>
        <w:left w:val="none" w:sz="0" w:space="0" w:color="auto"/>
        <w:bottom w:val="none" w:sz="0" w:space="0" w:color="auto"/>
        <w:right w:val="none" w:sz="0" w:space="0" w:color="auto"/>
      </w:divBdr>
    </w:div>
    <w:div w:id="733159442">
      <w:bodyDiv w:val="1"/>
      <w:marLeft w:val="0"/>
      <w:marRight w:val="0"/>
      <w:marTop w:val="0"/>
      <w:marBottom w:val="0"/>
      <w:divBdr>
        <w:top w:val="none" w:sz="0" w:space="0" w:color="auto"/>
        <w:left w:val="none" w:sz="0" w:space="0" w:color="auto"/>
        <w:bottom w:val="none" w:sz="0" w:space="0" w:color="auto"/>
        <w:right w:val="none" w:sz="0" w:space="0" w:color="auto"/>
      </w:divBdr>
    </w:div>
    <w:div w:id="733821973">
      <w:bodyDiv w:val="1"/>
      <w:marLeft w:val="0"/>
      <w:marRight w:val="0"/>
      <w:marTop w:val="0"/>
      <w:marBottom w:val="0"/>
      <w:divBdr>
        <w:top w:val="none" w:sz="0" w:space="0" w:color="auto"/>
        <w:left w:val="none" w:sz="0" w:space="0" w:color="auto"/>
        <w:bottom w:val="none" w:sz="0" w:space="0" w:color="auto"/>
        <w:right w:val="none" w:sz="0" w:space="0" w:color="auto"/>
      </w:divBdr>
    </w:div>
    <w:div w:id="733892516">
      <w:bodyDiv w:val="1"/>
      <w:marLeft w:val="0"/>
      <w:marRight w:val="0"/>
      <w:marTop w:val="0"/>
      <w:marBottom w:val="0"/>
      <w:divBdr>
        <w:top w:val="none" w:sz="0" w:space="0" w:color="auto"/>
        <w:left w:val="none" w:sz="0" w:space="0" w:color="auto"/>
        <w:bottom w:val="none" w:sz="0" w:space="0" w:color="auto"/>
        <w:right w:val="none" w:sz="0" w:space="0" w:color="auto"/>
      </w:divBdr>
    </w:div>
    <w:div w:id="734282346">
      <w:bodyDiv w:val="1"/>
      <w:marLeft w:val="0"/>
      <w:marRight w:val="0"/>
      <w:marTop w:val="0"/>
      <w:marBottom w:val="0"/>
      <w:divBdr>
        <w:top w:val="none" w:sz="0" w:space="0" w:color="auto"/>
        <w:left w:val="none" w:sz="0" w:space="0" w:color="auto"/>
        <w:bottom w:val="none" w:sz="0" w:space="0" w:color="auto"/>
        <w:right w:val="none" w:sz="0" w:space="0" w:color="auto"/>
      </w:divBdr>
    </w:div>
    <w:div w:id="734670836">
      <w:bodyDiv w:val="1"/>
      <w:marLeft w:val="0"/>
      <w:marRight w:val="0"/>
      <w:marTop w:val="0"/>
      <w:marBottom w:val="0"/>
      <w:divBdr>
        <w:top w:val="none" w:sz="0" w:space="0" w:color="auto"/>
        <w:left w:val="none" w:sz="0" w:space="0" w:color="auto"/>
        <w:bottom w:val="none" w:sz="0" w:space="0" w:color="auto"/>
        <w:right w:val="none" w:sz="0" w:space="0" w:color="auto"/>
      </w:divBdr>
    </w:div>
    <w:div w:id="735014286">
      <w:bodyDiv w:val="1"/>
      <w:marLeft w:val="0"/>
      <w:marRight w:val="0"/>
      <w:marTop w:val="0"/>
      <w:marBottom w:val="0"/>
      <w:divBdr>
        <w:top w:val="none" w:sz="0" w:space="0" w:color="auto"/>
        <w:left w:val="none" w:sz="0" w:space="0" w:color="auto"/>
        <w:bottom w:val="none" w:sz="0" w:space="0" w:color="auto"/>
        <w:right w:val="none" w:sz="0" w:space="0" w:color="auto"/>
      </w:divBdr>
    </w:div>
    <w:div w:id="735587151">
      <w:bodyDiv w:val="1"/>
      <w:marLeft w:val="0"/>
      <w:marRight w:val="0"/>
      <w:marTop w:val="0"/>
      <w:marBottom w:val="0"/>
      <w:divBdr>
        <w:top w:val="none" w:sz="0" w:space="0" w:color="auto"/>
        <w:left w:val="none" w:sz="0" w:space="0" w:color="auto"/>
        <w:bottom w:val="none" w:sz="0" w:space="0" w:color="auto"/>
        <w:right w:val="none" w:sz="0" w:space="0" w:color="auto"/>
      </w:divBdr>
    </w:div>
    <w:div w:id="736710974">
      <w:bodyDiv w:val="1"/>
      <w:marLeft w:val="0"/>
      <w:marRight w:val="0"/>
      <w:marTop w:val="0"/>
      <w:marBottom w:val="0"/>
      <w:divBdr>
        <w:top w:val="none" w:sz="0" w:space="0" w:color="auto"/>
        <w:left w:val="none" w:sz="0" w:space="0" w:color="auto"/>
        <w:bottom w:val="none" w:sz="0" w:space="0" w:color="auto"/>
        <w:right w:val="none" w:sz="0" w:space="0" w:color="auto"/>
      </w:divBdr>
    </w:div>
    <w:div w:id="736853729">
      <w:bodyDiv w:val="1"/>
      <w:marLeft w:val="0"/>
      <w:marRight w:val="0"/>
      <w:marTop w:val="0"/>
      <w:marBottom w:val="0"/>
      <w:divBdr>
        <w:top w:val="none" w:sz="0" w:space="0" w:color="auto"/>
        <w:left w:val="none" w:sz="0" w:space="0" w:color="auto"/>
        <w:bottom w:val="none" w:sz="0" w:space="0" w:color="auto"/>
        <w:right w:val="none" w:sz="0" w:space="0" w:color="auto"/>
      </w:divBdr>
    </w:div>
    <w:div w:id="736906033">
      <w:bodyDiv w:val="1"/>
      <w:marLeft w:val="0"/>
      <w:marRight w:val="0"/>
      <w:marTop w:val="0"/>
      <w:marBottom w:val="0"/>
      <w:divBdr>
        <w:top w:val="none" w:sz="0" w:space="0" w:color="auto"/>
        <w:left w:val="none" w:sz="0" w:space="0" w:color="auto"/>
        <w:bottom w:val="none" w:sz="0" w:space="0" w:color="auto"/>
        <w:right w:val="none" w:sz="0" w:space="0" w:color="auto"/>
      </w:divBdr>
    </w:div>
    <w:div w:id="737283226">
      <w:bodyDiv w:val="1"/>
      <w:marLeft w:val="0"/>
      <w:marRight w:val="0"/>
      <w:marTop w:val="0"/>
      <w:marBottom w:val="0"/>
      <w:divBdr>
        <w:top w:val="none" w:sz="0" w:space="0" w:color="auto"/>
        <w:left w:val="none" w:sz="0" w:space="0" w:color="auto"/>
        <w:bottom w:val="none" w:sz="0" w:space="0" w:color="auto"/>
        <w:right w:val="none" w:sz="0" w:space="0" w:color="auto"/>
      </w:divBdr>
    </w:div>
    <w:div w:id="739058079">
      <w:bodyDiv w:val="1"/>
      <w:marLeft w:val="0"/>
      <w:marRight w:val="0"/>
      <w:marTop w:val="0"/>
      <w:marBottom w:val="0"/>
      <w:divBdr>
        <w:top w:val="none" w:sz="0" w:space="0" w:color="auto"/>
        <w:left w:val="none" w:sz="0" w:space="0" w:color="auto"/>
        <w:bottom w:val="none" w:sz="0" w:space="0" w:color="auto"/>
        <w:right w:val="none" w:sz="0" w:space="0" w:color="auto"/>
      </w:divBdr>
    </w:div>
    <w:div w:id="739063878">
      <w:bodyDiv w:val="1"/>
      <w:marLeft w:val="0"/>
      <w:marRight w:val="0"/>
      <w:marTop w:val="0"/>
      <w:marBottom w:val="0"/>
      <w:divBdr>
        <w:top w:val="none" w:sz="0" w:space="0" w:color="auto"/>
        <w:left w:val="none" w:sz="0" w:space="0" w:color="auto"/>
        <w:bottom w:val="none" w:sz="0" w:space="0" w:color="auto"/>
        <w:right w:val="none" w:sz="0" w:space="0" w:color="auto"/>
      </w:divBdr>
    </w:div>
    <w:div w:id="739137540">
      <w:bodyDiv w:val="1"/>
      <w:marLeft w:val="0"/>
      <w:marRight w:val="0"/>
      <w:marTop w:val="0"/>
      <w:marBottom w:val="0"/>
      <w:divBdr>
        <w:top w:val="none" w:sz="0" w:space="0" w:color="auto"/>
        <w:left w:val="none" w:sz="0" w:space="0" w:color="auto"/>
        <w:bottom w:val="none" w:sz="0" w:space="0" w:color="auto"/>
        <w:right w:val="none" w:sz="0" w:space="0" w:color="auto"/>
      </w:divBdr>
    </w:div>
    <w:div w:id="739404278">
      <w:bodyDiv w:val="1"/>
      <w:marLeft w:val="0"/>
      <w:marRight w:val="0"/>
      <w:marTop w:val="0"/>
      <w:marBottom w:val="0"/>
      <w:divBdr>
        <w:top w:val="none" w:sz="0" w:space="0" w:color="auto"/>
        <w:left w:val="none" w:sz="0" w:space="0" w:color="auto"/>
        <w:bottom w:val="none" w:sz="0" w:space="0" w:color="auto"/>
        <w:right w:val="none" w:sz="0" w:space="0" w:color="auto"/>
      </w:divBdr>
    </w:div>
    <w:div w:id="739907245">
      <w:bodyDiv w:val="1"/>
      <w:marLeft w:val="0"/>
      <w:marRight w:val="0"/>
      <w:marTop w:val="0"/>
      <w:marBottom w:val="0"/>
      <w:divBdr>
        <w:top w:val="none" w:sz="0" w:space="0" w:color="auto"/>
        <w:left w:val="none" w:sz="0" w:space="0" w:color="auto"/>
        <w:bottom w:val="none" w:sz="0" w:space="0" w:color="auto"/>
        <w:right w:val="none" w:sz="0" w:space="0" w:color="auto"/>
      </w:divBdr>
    </w:div>
    <w:div w:id="740909309">
      <w:bodyDiv w:val="1"/>
      <w:marLeft w:val="0"/>
      <w:marRight w:val="0"/>
      <w:marTop w:val="0"/>
      <w:marBottom w:val="0"/>
      <w:divBdr>
        <w:top w:val="none" w:sz="0" w:space="0" w:color="auto"/>
        <w:left w:val="none" w:sz="0" w:space="0" w:color="auto"/>
        <w:bottom w:val="none" w:sz="0" w:space="0" w:color="auto"/>
        <w:right w:val="none" w:sz="0" w:space="0" w:color="auto"/>
      </w:divBdr>
    </w:div>
    <w:div w:id="741218985">
      <w:bodyDiv w:val="1"/>
      <w:marLeft w:val="0"/>
      <w:marRight w:val="0"/>
      <w:marTop w:val="0"/>
      <w:marBottom w:val="0"/>
      <w:divBdr>
        <w:top w:val="none" w:sz="0" w:space="0" w:color="auto"/>
        <w:left w:val="none" w:sz="0" w:space="0" w:color="auto"/>
        <w:bottom w:val="none" w:sz="0" w:space="0" w:color="auto"/>
        <w:right w:val="none" w:sz="0" w:space="0" w:color="auto"/>
      </w:divBdr>
    </w:div>
    <w:div w:id="741483870">
      <w:bodyDiv w:val="1"/>
      <w:marLeft w:val="0"/>
      <w:marRight w:val="0"/>
      <w:marTop w:val="0"/>
      <w:marBottom w:val="0"/>
      <w:divBdr>
        <w:top w:val="none" w:sz="0" w:space="0" w:color="auto"/>
        <w:left w:val="none" w:sz="0" w:space="0" w:color="auto"/>
        <w:bottom w:val="none" w:sz="0" w:space="0" w:color="auto"/>
        <w:right w:val="none" w:sz="0" w:space="0" w:color="auto"/>
      </w:divBdr>
    </w:div>
    <w:div w:id="741945904">
      <w:bodyDiv w:val="1"/>
      <w:marLeft w:val="0"/>
      <w:marRight w:val="0"/>
      <w:marTop w:val="0"/>
      <w:marBottom w:val="0"/>
      <w:divBdr>
        <w:top w:val="none" w:sz="0" w:space="0" w:color="auto"/>
        <w:left w:val="none" w:sz="0" w:space="0" w:color="auto"/>
        <w:bottom w:val="none" w:sz="0" w:space="0" w:color="auto"/>
        <w:right w:val="none" w:sz="0" w:space="0" w:color="auto"/>
      </w:divBdr>
    </w:div>
    <w:div w:id="742027876">
      <w:bodyDiv w:val="1"/>
      <w:marLeft w:val="0"/>
      <w:marRight w:val="0"/>
      <w:marTop w:val="0"/>
      <w:marBottom w:val="0"/>
      <w:divBdr>
        <w:top w:val="none" w:sz="0" w:space="0" w:color="auto"/>
        <w:left w:val="none" w:sz="0" w:space="0" w:color="auto"/>
        <w:bottom w:val="none" w:sz="0" w:space="0" w:color="auto"/>
        <w:right w:val="none" w:sz="0" w:space="0" w:color="auto"/>
      </w:divBdr>
    </w:div>
    <w:div w:id="742603922">
      <w:bodyDiv w:val="1"/>
      <w:marLeft w:val="0"/>
      <w:marRight w:val="0"/>
      <w:marTop w:val="0"/>
      <w:marBottom w:val="0"/>
      <w:divBdr>
        <w:top w:val="none" w:sz="0" w:space="0" w:color="auto"/>
        <w:left w:val="none" w:sz="0" w:space="0" w:color="auto"/>
        <w:bottom w:val="none" w:sz="0" w:space="0" w:color="auto"/>
        <w:right w:val="none" w:sz="0" w:space="0" w:color="auto"/>
      </w:divBdr>
    </w:div>
    <w:div w:id="743796729">
      <w:bodyDiv w:val="1"/>
      <w:marLeft w:val="0"/>
      <w:marRight w:val="0"/>
      <w:marTop w:val="0"/>
      <w:marBottom w:val="0"/>
      <w:divBdr>
        <w:top w:val="none" w:sz="0" w:space="0" w:color="auto"/>
        <w:left w:val="none" w:sz="0" w:space="0" w:color="auto"/>
        <w:bottom w:val="none" w:sz="0" w:space="0" w:color="auto"/>
        <w:right w:val="none" w:sz="0" w:space="0" w:color="auto"/>
      </w:divBdr>
    </w:div>
    <w:div w:id="744498644">
      <w:bodyDiv w:val="1"/>
      <w:marLeft w:val="0"/>
      <w:marRight w:val="0"/>
      <w:marTop w:val="0"/>
      <w:marBottom w:val="0"/>
      <w:divBdr>
        <w:top w:val="none" w:sz="0" w:space="0" w:color="auto"/>
        <w:left w:val="none" w:sz="0" w:space="0" w:color="auto"/>
        <w:bottom w:val="none" w:sz="0" w:space="0" w:color="auto"/>
        <w:right w:val="none" w:sz="0" w:space="0" w:color="auto"/>
      </w:divBdr>
    </w:div>
    <w:div w:id="746224666">
      <w:bodyDiv w:val="1"/>
      <w:marLeft w:val="0"/>
      <w:marRight w:val="0"/>
      <w:marTop w:val="0"/>
      <w:marBottom w:val="0"/>
      <w:divBdr>
        <w:top w:val="none" w:sz="0" w:space="0" w:color="auto"/>
        <w:left w:val="none" w:sz="0" w:space="0" w:color="auto"/>
        <w:bottom w:val="none" w:sz="0" w:space="0" w:color="auto"/>
        <w:right w:val="none" w:sz="0" w:space="0" w:color="auto"/>
      </w:divBdr>
    </w:div>
    <w:div w:id="747270884">
      <w:bodyDiv w:val="1"/>
      <w:marLeft w:val="0"/>
      <w:marRight w:val="0"/>
      <w:marTop w:val="0"/>
      <w:marBottom w:val="0"/>
      <w:divBdr>
        <w:top w:val="none" w:sz="0" w:space="0" w:color="auto"/>
        <w:left w:val="none" w:sz="0" w:space="0" w:color="auto"/>
        <w:bottom w:val="none" w:sz="0" w:space="0" w:color="auto"/>
        <w:right w:val="none" w:sz="0" w:space="0" w:color="auto"/>
      </w:divBdr>
    </w:div>
    <w:div w:id="747307953">
      <w:bodyDiv w:val="1"/>
      <w:marLeft w:val="0"/>
      <w:marRight w:val="0"/>
      <w:marTop w:val="0"/>
      <w:marBottom w:val="0"/>
      <w:divBdr>
        <w:top w:val="none" w:sz="0" w:space="0" w:color="auto"/>
        <w:left w:val="none" w:sz="0" w:space="0" w:color="auto"/>
        <w:bottom w:val="none" w:sz="0" w:space="0" w:color="auto"/>
        <w:right w:val="none" w:sz="0" w:space="0" w:color="auto"/>
      </w:divBdr>
    </w:div>
    <w:div w:id="747725733">
      <w:bodyDiv w:val="1"/>
      <w:marLeft w:val="0"/>
      <w:marRight w:val="0"/>
      <w:marTop w:val="0"/>
      <w:marBottom w:val="0"/>
      <w:divBdr>
        <w:top w:val="none" w:sz="0" w:space="0" w:color="auto"/>
        <w:left w:val="none" w:sz="0" w:space="0" w:color="auto"/>
        <w:bottom w:val="none" w:sz="0" w:space="0" w:color="auto"/>
        <w:right w:val="none" w:sz="0" w:space="0" w:color="auto"/>
      </w:divBdr>
    </w:div>
    <w:div w:id="749816360">
      <w:bodyDiv w:val="1"/>
      <w:marLeft w:val="0"/>
      <w:marRight w:val="0"/>
      <w:marTop w:val="0"/>
      <w:marBottom w:val="0"/>
      <w:divBdr>
        <w:top w:val="none" w:sz="0" w:space="0" w:color="auto"/>
        <w:left w:val="none" w:sz="0" w:space="0" w:color="auto"/>
        <w:bottom w:val="none" w:sz="0" w:space="0" w:color="auto"/>
        <w:right w:val="none" w:sz="0" w:space="0" w:color="auto"/>
      </w:divBdr>
    </w:div>
    <w:div w:id="750546054">
      <w:bodyDiv w:val="1"/>
      <w:marLeft w:val="0"/>
      <w:marRight w:val="0"/>
      <w:marTop w:val="0"/>
      <w:marBottom w:val="0"/>
      <w:divBdr>
        <w:top w:val="none" w:sz="0" w:space="0" w:color="auto"/>
        <w:left w:val="none" w:sz="0" w:space="0" w:color="auto"/>
        <w:bottom w:val="none" w:sz="0" w:space="0" w:color="auto"/>
        <w:right w:val="none" w:sz="0" w:space="0" w:color="auto"/>
      </w:divBdr>
    </w:div>
    <w:div w:id="753477301">
      <w:bodyDiv w:val="1"/>
      <w:marLeft w:val="0"/>
      <w:marRight w:val="0"/>
      <w:marTop w:val="0"/>
      <w:marBottom w:val="0"/>
      <w:divBdr>
        <w:top w:val="none" w:sz="0" w:space="0" w:color="auto"/>
        <w:left w:val="none" w:sz="0" w:space="0" w:color="auto"/>
        <w:bottom w:val="none" w:sz="0" w:space="0" w:color="auto"/>
        <w:right w:val="none" w:sz="0" w:space="0" w:color="auto"/>
      </w:divBdr>
    </w:div>
    <w:div w:id="753550531">
      <w:bodyDiv w:val="1"/>
      <w:marLeft w:val="0"/>
      <w:marRight w:val="0"/>
      <w:marTop w:val="0"/>
      <w:marBottom w:val="0"/>
      <w:divBdr>
        <w:top w:val="none" w:sz="0" w:space="0" w:color="auto"/>
        <w:left w:val="none" w:sz="0" w:space="0" w:color="auto"/>
        <w:bottom w:val="none" w:sz="0" w:space="0" w:color="auto"/>
        <w:right w:val="none" w:sz="0" w:space="0" w:color="auto"/>
      </w:divBdr>
    </w:div>
    <w:div w:id="753741199">
      <w:bodyDiv w:val="1"/>
      <w:marLeft w:val="0"/>
      <w:marRight w:val="0"/>
      <w:marTop w:val="0"/>
      <w:marBottom w:val="0"/>
      <w:divBdr>
        <w:top w:val="none" w:sz="0" w:space="0" w:color="auto"/>
        <w:left w:val="none" w:sz="0" w:space="0" w:color="auto"/>
        <w:bottom w:val="none" w:sz="0" w:space="0" w:color="auto"/>
        <w:right w:val="none" w:sz="0" w:space="0" w:color="auto"/>
      </w:divBdr>
    </w:div>
    <w:div w:id="753823326">
      <w:bodyDiv w:val="1"/>
      <w:marLeft w:val="0"/>
      <w:marRight w:val="0"/>
      <w:marTop w:val="0"/>
      <w:marBottom w:val="0"/>
      <w:divBdr>
        <w:top w:val="none" w:sz="0" w:space="0" w:color="auto"/>
        <w:left w:val="none" w:sz="0" w:space="0" w:color="auto"/>
        <w:bottom w:val="none" w:sz="0" w:space="0" w:color="auto"/>
        <w:right w:val="none" w:sz="0" w:space="0" w:color="auto"/>
      </w:divBdr>
    </w:div>
    <w:div w:id="754084982">
      <w:bodyDiv w:val="1"/>
      <w:marLeft w:val="0"/>
      <w:marRight w:val="0"/>
      <w:marTop w:val="0"/>
      <w:marBottom w:val="0"/>
      <w:divBdr>
        <w:top w:val="none" w:sz="0" w:space="0" w:color="auto"/>
        <w:left w:val="none" w:sz="0" w:space="0" w:color="auto"/>
        <w:bottom w:val="none" w:sz="0" w:space="0" w:color="auto"/>
        <w:right w:val="none" w:sz="0" w:space="0" w:color="auto"/>
      </w:divBdr>
    </w:div>
    <w:div w:id="754329322">
      <w:bodyDiv w:val="1"/>
      <w:marLeft w:val="0"/>
      <w:marRight w:val="0"/>
      <w:marTop w:val="0"/>
      <w:marBottom w:val="0"/>
      <w:divBdr>
        <w:top w:val="none" w:sz="0" w:space="0" w:color="auto"/>
        <w:left w:val="none" w:sz="0" w:space="0" w:color="auto"/>
        <w:bottom w:val="none" w:sz="0" w:space="0" w:color="auto"/>
        <w:right w:val="none" w:sz="0" w:space="0" w:color="auto"/>
      </w:divBdr>
    </w:div>
    <w:div w:id="754664296">
      <w:bodyDiv w:val="1"/>
      <w:marLeft w:val="0"/>
      <w:marRight w:val="0"/>
      <w:marTop w:val="0"/>
      <w:marBottom w:val="0"/>
      <w:divBdr>
        <w:top w:val="none" w:sz="0" w:space="0" w:color="auto"/>
        <w:left w:val="none" w:sz="0" w:space="0" w:color="auto"/>
        <w:bottom w:val="none" w:sz="0" w:space="0" w:color="auto"/>
        <w:right w:val="none" w:sz="0" w:space="0" w:color="auto"/>
      </w:divBdr>
    </w:div>
    <w:div w:id="756681878">
      <w:bodyDiv w:val="1"/>
      <w:marLeft w:val="0"/>
      <w:marRight w:val="0"/>
      <w:marTop w:val="0"/>
      <w:marBottom w:val="0"/>
      <w:divBdr>
        <w:top w:val="none" w:sz="0" w:space="0" w:color="auto"/>
        <w:left w:val="none" w:sz="0" w:space="0" w:color="auto"/>
        <w:bottom w:val="none" w:sz="0" w:space="0" w:color="auto"/>
        <w:right w:val="none" w:sz="0" w:space="0" w:color="auto"/>
      </w:divBdr>
    </w:div>
    <w:div w:id="757674339">
      <w:bodyDiv w:val="1"/>
      <w:marLeft w:val="0"/>
      <w:marRight w:val="0"/>
      <w:marTop w:val="0"/>
      <w:marBottom w:val="0"/>
      <w:divBdr>
        <w:top w:val="none" w:sz="0" w:space="0" w:color="auto"/>
        <w:left w:val="none" w:sz="0" w:space="0" w:color="auto"/>
        <w:bottom w:val="none" w:sz="0" w:space="0" w:color="auto"/>
        <w:right w:val="none" w:sz="0" w:space="0" w:color="auto"/>
      </w:divBdr>
    </w:div>
    <w:div w:id="757865855">
      <w:bodyDiv w:val="1"/>
      <w:marLeft w:val="0"/>
      <w:marRight w:val="0"/>
      <w:marTop w:val="0"/>
      <w:marBottom w:val="0"/>
      <w:divBdr>
        <w:top w:val="none" w:sz="0" w:space="0" w:color="auto"/>
        <w:left w:val="none" w:sz="0" w:space="0" w:color="auto"/>
        <w:bottom w:val="none" w:sz="0" w:space="0" w:color="auto"/>
        <w:right w:val="none" w:sz="0" w:space="0" w:color="auto"/>
      </w:divBdr>
    </w:div>
    <w:div w:id="758019555">
      <w:bodyDiv w:val="1"/>
      <w:marLeft w:val="0"/>
      <w:marRight w:val="0"/>
      <w:marTop w:val="0"/>
      <w:marBottom w:val="0"/>
      <w:divBdr>
        <w:top w:val="none" w:sz="0" w:space="0" w:color="auto"/>
        <w:left w:val="none" w:sz="0" w:space="0" w:color="auto"/>
        <w:bottom w:val="none" w:sz="0" w:space="0" w:color="auto"/>
        <w:right w:val="none" w:sz="0" w:space="0" w:color="auto"/>
      </w:divBdr>
    </w:div>
    <w:div w:id="758020351">
      <w:bodyDiv w:val="1"/>
      <w:marLeft w:val="0"/>
      <w:marRight w:val="0"/>
      <w:marTop w:val="0"/>
      <w:marBottom w:val="0"/>
      <w:divBdr>
        <w:top w:val="none" w:sz="0" w:space="0" w:color="auto"/>
        <w:left w:val="none" w:sz="0" w:space="0" w:color="auto"/>
        <w:bottom w:val="none" w:sz="0" w:space="0" w:color="auto"/>
        <w:right w:val="none" w:sz="0" w:space="0" w:color="auto"/>
      </w:divBdr>
    </w:div>
    <w:div w:id="758986296">
      <w:bodyDiv w:val="1"/>
      <w:marLeft w:val="0"/>
      <w:marRight w:val="0"/>
      <w:marTop w:val="0"/>
      <w:marBottom w:val="0"/>
      <w:divBdr>
        <w:top w:val="none" w:sz="0" w:space="0" w:color="auto"/>
        <w:left w:val="none" w:sz="0" w:space="0" w:color="auto"/>
        <w:bottom w:val="none" w:sz="0" w:space="0" w:color="auto"/>
        <w:right w:val="none" w:sz="0" w:space="0" w:color="auto"/>
      </w:divBdr>
    </w:div>
    <w:div w:id="759176930">
      <w:bodyDiv w:val="1"/>
      <w:marLeft w:val="0"/>
      <w:marRight w:val="0"/>
      <w:marTop w:val="0"/>
      <w:marBottom w:val="0"/>
      <w:divBdr>
        <w:top w:val="none" w:sz="0" w:space="0" w:color="auto"/>
        <w:left w:val="none" w:sz="0" w:space="0" w:color="auto"/>
        <w:bottom w:val="none" w:sz="0" w:space="0" w:color="auto"/>
        <w:right w:val="none" w:sz="0" w:space="0" w:color="auto"/>
      </w:divBdr>
    </w:div>
    <w:div w:id="759571490">
      <w:bodyDiv w:val="1"/>
      <w:marLeft w:val="0"/>
      <w:marRight w:val="0"/>
      <w:marTop w:val="0"/>
      <w:marBottom w:val="0"/>
      <w:divBdr>
        <w:top w:val="none" w:sz="0" w:space="0" w:color="auto"/>
        <w:left w:val="none" w:sz="0" w:space="0" w:color="auto"/>
        <w:bottom w:val="none" w:sz="0" w:space="0" w:color="auto"/>
        <w:right w:val="none" w:sz="0" w:space="0" w:color="auto"/>
      </w:divBdr>
    </w:div>
    <w:div w:id="760368709">
      <w:bodyDiv w:val="1"/>
      <w:marLeft w:val="0"/>
      <w:marRight w:val="0"/>
      <w:marTop w:val="0"/>
      <w:marBottom w:val="0"/>
      <w:divBdr>
        <w:top w:val="none" w:sz="0" w:space="0" w:color="auto"/>
        <w:left w:val="none" w:sz="0" w:space="0" w:color="auto"/>
        <w:bottom w:val="none" w:sz="0" w:space="0" w:color="auto"/>
        <w:right w:val="none" w:sz="0" w:space="0" w:color="auto"/>
      </w:divBdr>
    </w:div>
    <w:div w:id="760443918">
      <w:bodyDiv w:val="1"/>
      <w:marLeft w:val="0"/>
      <w:marRight w:val="0"/>
      <w:marTop w:val="0"/>
      <w:marBottom w:val="0"/>
      <w:divBdr>
        <w:top w:val="none" w:sz="0" w:space="0" w:color="auto"/>
        <w:left w:val="none" w:sz="0" w:space="0" w:color="auto"/>
        <w:bottom w:val="none" w:sz="0" w:space="0" w:color="auto"/>
        <w:right w:val="none" w:sz="0" w:space="0" w:color="auto"/>
      </w:divBdr>
    </w:div>
    <w:div w:id="761146174">
      <w:bodyDiv w:val="1"/>
      <w:marLeft w:val="0"/>
      <w:marRight w:val="0"/>
      <w:marTop w:val="0"/>
      <w:marBottom w:val="0"/>
      <w:divBdr>
        <w:top w:val="none" w:sz="0" w:space="0" w:color="auto"/>
        <w:left w:val="none" w:sz="0" w:space="0" w:color="auto"/>
        <w:bottom w:val="none" w:sz="0" w:space="0" w:color="auto"/>
        <w:right w:val="none" w:sz="0" w:space="0" w:color="auto"/>
      </w:divBdr>
    </w:div>
    <w:div w:id="762725380">
      <w:bodyDiv w:val="1"/>
      <w:marLeft w:val="0"/>
      <w:marRight w:val="0"/>
      <w:marTop w:val="0"/>
      <w:marBottom w:val="0"/>
      <w:divBdr>
        <w:top w:val="none" w:sz="0" w:space="0" w:color="auto"/>
        <w:left w:val="none" w:sz="0" w:space="0" w:color="auto"/>
        <w:bottom w:val="none" w:sz="0" w:space="0" w:color="auto"/>
        <w:right w:val="none" w:sz="0" w:space="0" w:color="auto"/>
      </w:divBdr>
    </w:div>
    <w:div w:id="763108048">
      <w:bodyDiv w:val="1"/>
      <w:marLeft w:val="0"/>
      <w:marRight w:val="0"/>
      <w:marTop w:val="0"/>
      <w:marBottom w:val="0"/>
      <w:divBdr>
        <w:top w:val="none" w:sz="0" w:space="0" w:color="auto"/>
        <w:left w:val="none" w:sz="0" w:space="0" w:color="auto"/>
        <w:bottom w:val="none" w:sz="0" w:space="0" w:color="auto"/>
        <w:right w:val="none" w:sz="0" w:space="0" w:color="auto"/>
      </w:divBdr>
    </w:div>
    <w:div w:id="764614816">
      <w:bodyDiv w:val="1"/>
      <w:marLeft w:val="0"/>
      <w:marRight w:val="0"/>
      <w:marTop w:val="0"/>
      <w:marBottom w:val="0"/>
      <w:divBdr>
        <w:top w:val="none" w:sz="0" w:space="0" w:color="auto"/>
        <w:left w:val="none" w:sz="0" w:space="0" w:color="auto"/>
        <w:bottom w:val="none" w:sz="0" w:space="0" w:color="auto"/>
        <w:right w:val="none" w:sz="0" w:space="0" w:color="auto"/>
      </w:divBdr>
    </w:div>
    <w:div w:id="765272282">
      <w:bodyDiv w:val="1"/>
      <w:marLeft w:val="0"/>
      <w:marRight w:val="0"/>
      <w:marTop w:val="0"/>
      <w:marBottom w:val="0"/>
      <w:divBdr>
        <w:top w:val="none" w:sz="0" w:space="0" w:color="auto"/>
        <w:left w:val="none" w:sz="0" w:space="0" w:color="auto"/>
        <w:bottom w:val="none" w:sz="0" w:space="0" w:color="auto"/>
        <w:right w:val="none" w:sz="0" w:space="0" w:color="auto"/>
      </w:divBdr>
    </w:div>
    <w:div w:id="765466365">
      <w:bodyDiv w:val="1"/>
      <w:marLeft w:val="0"/>
      <w:marRight w:val="0"/>
      <w:marTop w:val="0"/>
      <w:marBottom w:val="0"/>
      <w:divBdr>
        <w:top w:val="none" w:sz="0" w:space="0" w:color="auto"/>
        <w:left w:val="none" w:sz="0" w:space="0" w:color="auto"/>
        <w:bottom w:val="none" w:sz="0" w:space="0" w:color="auto"/>
        <w:right w:val="none" w:sz="0" w:space="0" w:color="auto"/>
      </w:divBdr>
    </w:div>
    <w:div w:id="766120051">
      <w:bodyDiv w:val="1"/>
      <w:marLeft w:val="0"/>
      <w:marRight w:val="0"/>
      <w:marTop w:val="0"/>
      <w:marBottom w:val="0"/>
      <w:divBdr>
        <w:top w:val="none" w:sz="0" w:space="0" w:color="auto"/>
        <w:left w:val="none" w:sz="0" w:space="0" w:color="auto"/>
        <w:bottom w:val="none" w:sz="0" w:space="0" w:color="auto"/>
        <w:right w:val="none" w:sz="0" w:space="0" w:color="auto"/>
      </w:divBdr>
    </w:div>
    <w:div w:id="766466567">
      <w:bodyDiv w:val="1"/>
      <w:marLeft w:val="0"/>
      <w:marRight w:val="0"/>
      <w:marTop w:val="0"/>
      <w:marBottom w:val="0"/>
      <w:divBdr>
        <w:top w:val="none" w:sz="0" w:space="0" w:color="auto"/>
        <w:left w:val="none" w:sz="0" w:space="0" w:color="auto"/>
        <w:bottom w:val="none" w:sz="0" w:space="0" w:color="auto"/>
        <w:right w:val="none" w:sz="0" w:space="0" w:color="auto"/>
      </w:divBdr>
    </w:div>
    <w:div w:id="766539764">
      <w:bodyDiv w:val="1"/>
      <w:marLeft w:val="0"/>
      <w:marRight w:val="0"/>
      <w:marTop w:val="0"/>
      <w:marBottom w:val="0"/>
      <w:divBdr>
        <w:top w:val="none" w:sz="0" w:space="0" w:color="auto"/>
        <w:left w:val="none" w:sz="0" w:space="0" w:color="auto"/>
        <w:bottom w:val="none" w:sz="0" w:space="0" w:color="auto"/>
        <w:right w:val="none" w:sz="0" w:space="0" w:color="auto"/>
      </w:divBdr>
    </w:div>
    <w:div w:id="768699907">
      <w:bodyDiv w:val="1"/>
      <w:marLeft w:val="0"/>
      <w:marRight w:val="0"/>
      <w:marTop w:val="0"/>
      <w:marBottom w:val="0"/>
      <w:divBdr>
        <w:top w:val="none" w:sz="0" w:space="0" w:color="auto"/>
        <w:left w:val="none" w:sz="0" w:space="0" w:color="auto"/>
        <w:bottom w:val="none" w:sz="0" w:space="0" w:color="auto"/>
        <w:right w:val="none" w:sz="0" w:space="0" w:color="auto"/>
      </w:divBdr>
    </w:div>
    <w:div w:id="769350494">
      <w:bodyDiv w:val="1"/>
      <w:marLeft w:val="0"/>
      <w:marRight w:val="0"/>
      <w:marTop w:val="0"/>
      <w:marBottom w:val="0"/>
      <w:divBdr>
        <w:top w:val="none" w:sz="0" w:space="0" w:color="auto"/>
        <w:left w:val="none" w:sz="0" w:space="0" w:color="auto"/>
        <w:bottom w:val="none" w:sz="0" w:space="0" w:color="auto"/>
        <w:right w:val="none" w:sz="0" w:space="0" w:color="auto"/>
      </w:divBdr>
    </w:div>
    <w:div w:id="769660655">
      <w:bodyDiv w:val="1"/>
      <w:marLeft w:val="0"/>
      <w:marRight w:val="0"/>
      <w:marTop w:val="0"/>
      <w:marBottom w:val="0"/>
      <w:divBdr>
        <w:top w:val="none" w:sz="0" w:space="0" w:color="auto"/>
        <w:left w:val="none" w:sz="0" w:space="0" w:color="auto"/>
        <w:bottom w:val="none" w:sz="0" w:space="0" w:color="auto"/>
        <w:right w:val="none" w:sz="0" w:space="0" w:color="auto"/>
      </w:divBdr>
    </w:div>
    <w:div w:id="769930961">
      <w:bodyDiv w:val="1"/>
      <w:marLeft w:val="0"/>
      <w:marRight w:val="0"/>
      <w:marTop w:val="0"/>
      <w:marBottom w:val="0"/>
      <w:divBdr>
        <w:top w:val="none" w:sz="0" w:space="0" w:color="auto"/>
        <w:left w:val="none" w:sz="0" w:space="0" w:color="auto"/>
        <w:bottom w:val="none" w:sz="0" w:space="0" w:color="auto"/>
        <w:right w:val="none" w:sz="0" w:space="0" w:color="auto"/>
      </w:divBdr>
    </w:div>
    <w:div w:id="770273065">
      <w:bodyDiv w:val="1"/>
      <w:marLeft w:val="0"/>
      <w:marRight w:val="0"/>
      <w:marTop w:val="0"/>
      <w:marBottom w:val="0"/>
      <w:divBdr>
        <w:top w:val="none" w:sz="0" w:space="0" w:color="auto"/>
        <w:left w:val="none" w:sz="0" w:space="0" w:color="auto"/>
        <w:bottom w:val="none" w:sz="0" w:space="0" w:color="auto"/>
        <w:right w:val="none" w:sz="0" w:space="0" w:color="auto"/>
      </w:divBdr>
    </w:div>
    <w:div w:id="770513091">
      <w:bodyDiv w:val="1"/>
      <w:marLeft w:val="0"/>
      <w:marRight w:val="0"/>
      <w:marTop w:val="0"/>
      <w:marBottom w:val="0"/>
      <w:divBdr>
        <w:top w:val="none" w:sz="0" w:space="0" w:color="auto"/>
        <w:left w:val="none" w:sz="0" w:space="0" w:color="auto"/>
        <w:bottom w:val="none" w:sz="0" w:space="0" w:color="auto"/>
        <w:right w:val="none" w:sz="0" w:space="0" w:color="auto"/>
      </w:divBdr>
    </w:div>
    <w:div w:id="770861713">
      <w:bodyDiv w:val="1"/>
      <w:marLeft w:val="0"/>
      <w:marRight w:val="0"/>
      <w:marTop w:val="0"/>
      <w:marBottom w:val="0"/>
      <w:divBdr>
        <w:top w:val="none" w:sz="0" w:space="0" w:color="auto"/>
        <w:left w:val="none" w:sz="0" w:space="0" w:color="auto"/>
        <w:bottom w:val="none" w:sz="0" w:space="0" w:color="auto"/>
        <w:right w:val="none" w:sz="0" w:space="0" w:color="auto"/>
      </w:divBdr>
    </w:div>
    <w:div w:id="771628284">
      <w:bodyDiv w:val="1"/>
      <w:marLeft w:val="0"/>
      <w:marRight w:val="0"/>
      <w:marTop w:val="0"/>
      <w:marBottom w:val="0"/>
      <w:divBdr>
        <w:top w:val="none" w:sz="0" w:space="0" w:color="auto"/>
        <w:left w:val="none" w:sz="0" w:space="0" w:color="auto"/>
        <w:bottom w:val="none" w:sz="0" w:space="0" w:color="auto"/>
        <w:right w:val="none" w:sz="0" w:space="0" w:color="auto"/>
      </w:divBdr>
    </w:div>
    <w:div w:id="773286102">
      <w:bodyDiv w:val="1"/>
      <w:marLeft w:val="0"/>
      <w:marRight w:val="0"/>
      <w:marTop w:val="0"/>
      <w:marBottom w:val="0"/>
      <w:divBdr>
        <w:top w:val="none" w:sz="0" w:space="0" w:color="auto"/>
        <w:left w:val="none" w:sz="0" w:space="0" w:color="auto"/>
        <w:bottom w:val="none" w:sz="0" w:space="0" w:color="auto"/>
        <w:right w:val="none" w:sz="0" w:space="0" w:color="auto"/>
      </w:divBdr>
    </w:div>
    <w:div w:id="773476785">
      <w:bodyDiv w:val="1"/>
      <w:marLeft w:val="0"/>
      <w:marRight w:val="0"/>
      <w:marTop w:val="0"/>
      <w:marBottom w:val="0"/>
      <w:divBdr>
        <w:top w:val="none" w:sz="0" w:space="0" w:color="auto"/>
        <w:left w:val="none" w:sz="0" w:space="0" w:color="auto"/>
        <w:bottom w:val="none" w:sz="0" w:space="0" w:color="auto"/>
        <w:right w:val="none" w:sz="0" w:space="0" w:color="auto"/>
      </w:divBdr>
    </w:div>
    <w:div w:id="773591607">
      <w:bodyDiv w:val="1"/>
      <w:marLeft w:val="0"/>
      <w:marRight w:val="0"/>
      <w:marTop w:val="0"/>
      <w:marBottom w:val="0"/>
      <w:divBdr>
        <w:top w:val="none" w:sz="0" w:space="0" w:color="auto"/>
        <w:left w:val="none" w:sz="0" w:space="0" w:color="auto"/>
        <w:bottom w:val="none" w:sz="0" w:space="0" w:color="auto"/>
        <w:right w:val="none" w:sz="0" w:space="0" w:color="auto"/>
      </w:divBdr>
    </w:div>
    <w:div w:id="774717503">
      <w:bodyDiv w:val="1"/>
      <w:marLeft w:val="0"/>
      <w:marRight w:val="0"/>
      <w:marTop w:val="0"/>
      <w:marBottom w:val="0"/>
      <w:divBdr>
        <w:top w:val="none" w:sz="0" w:space="0" w:color="auto"/>
        <w:left w:val="none" w:sz="0" w:space="0" w:color="auto"/>
        <w:bottom w:val="none" w:sz="0" w:space="0" w:color="auto"/>
        <w:right w:val="none" w:sz="0" w:space="0" w:color="auto"/>
      </w:divBdr>
    </w:div>
    <w:div w:id="775756296">
      <w:bodyDiv w:val="1"/>
      <w:marLeft w:val="0"/>
      <w:marRight w:val="0"/>
      <w:marTop w:val="0"/>
      <w:marBottom w:val="0"/>
      <w:divBdr>
        <w:top w:val="none" w:sz="0" w:space="0" w:color="auto"/>
        <w:left w:val="none" w:sz="0" w:space="0" w:color="auto"/>
        <w:bottom w:val="none" w:sz="0" w:space="0" w:color="auto"/>
        <w:right w:val="none" w:sz="0" w:space="0" w:color="auto"/>
      </w:divBdr>
    </w:div>
    <w:div w:id="777020600">
      <w:bodyDiv w:val="1"/>
      <w:marLeft w:val="0"/>
      <w:marRight w:val="0"/>
      <w:marTop w:val="0"/>
      <w:marBottom w:val="0"/>
      <w:divBdr>
        <w:top w:val="none" w:sz="0" w:space="0" w:color="auto"/>
        <w:left w:val="none" w:sz="0" w:space="0" w:color="auto"/>
        <w:bottom w:val="none" w:sz="0" w:space="0" w:color="auto"/>
        <w:right w:val="none" w:sz="0" w:space="0" w:color="auto"/>
      </w:divBdr>
    </w:div>
    <w:div w:id="777454194">
      <w:bodyDiv w:val="1"/>
      <w:marLeft w:val="0"/>
      <w:marRight w:val="0"/>
      <w:marTop w:val="0"/>
      <w:marBottom w:val="0"/>
      <w:divBdr>
        <w:top w:val="none" w:sz="0" w:space="0" w:color="auto"/>
        <w:left w:val="none" w:sz="0" w:space="0" w:color="auto"/>
        <w:bottom w:val="none" w:sz="0" w:space="0" w:color="auto"/>
        <w:right w:val="none" w:sz="0" w:space="0" w:color="auto"/>
      </w:divBdr>
    </w:div>
    <w:div w:id="779836754">
      <w:bodyDiv w:val="1"/>
      <w:marLeft w:val="0"/>
      <w:marRight w:val="0"/>
      <w:marTop w:val="0"/>
      <w:marBottom w:val="0"/>
      <w:divBdr>
        <w:top w:val="none" w:sz="0" w:space="0" w:color="auto"/>
        <w:left w:val="none" w:sz="0" w:space="0" w:color="auto"/>
        <w:bottom w:val="none" w:sz="0" w:space="0" w:color="auto"/>
        <w:right w:val="none" w:sz="0" w:space="0" w:color="auto"/>
      </w:divBdr>
    </w:div>
    <w:div w:id="779836975">
      <w:bodyDiv w:val="1"/>
      <w:marLeft w:val="0"/>
      <w:marRight w:val="0"/>
      <w:marTop w:val="0"/>
      <w:marBottom w:val="0"/>
      <w:divBdr>
        <w:top w:val="none" w:sz="0" w:space="0" w:color="auto"/>
        <w:left w:val="none" w:sz="0" w:space="0" w:color="auto"/>
        <w:bottom w:val="none" w:sz="0" w:space="0" w:color="auto"/>
        <w:right w:val="none" w:sz="0" w:space="0" w:color="auto"/>
      </w:divBdr>
    </w:div>
    <w:div w:id="779957155">
      <w:bodyDiv w:val="1"/>
      <w:marLeft w:val="0"/>
      <w:marRight w:val="0"/>
      <w:marTop w:val="0"/>
      <w:marBottom w:val="0"/>
      <w:divBdr>
        <w:top w:val="none" w:sz="0" w:space="0" w:color="auto"/>
        <w:left w:val="none" w:sz="0" w:space="0" w:color="auto"/>
        <w:bottom w:val="none" w:sz="0" w:space="0" w:color="auto"/>
        <w:right w:val="none" w:sz="0" w:space="0" w:color="auto"/>
      </w:divBdr>
    </w:div>
    <w:div w:id="781463062">
      <w:bodyDiv w:val="1"/>
      <w:marLeft w:val="0"/>
      <w:marRight w:val="0"/>
      <w:marTop w:val="0"/>
      <w:marBottom w:val="0"/>
      <w:divBdr>
        <w:top w:val="none" w:sz="0" w:space="0" w:color="auto"/>
        <w:left w:val="none" w:sz="0" w:space="0" w:color="auto"/>
        <w:bottom w:val="none" w:sz="0" w:space="0" w:color="auto"/>
        <w:right w:val="none" w:sz="0" w:space="0" w:color="auto"/>
      </w:divBdr>
    </w:div>
    <w:div w:id="781530311">
      <w:bodyDiv w:val="1"/>
      <w:marLeft w:val="0"/>
      <w:marRight w:val="0"/>
      <w:marTop w:val="0"/>
      <w:marBottom w:val="0"/>
      <w:divBdr>
        <w:top w:val="none" w:sz="0" w:space="0" w:color="auto"/>
        <w:left w:val="none" w:sz="0" w:space="0" w:color="auto"/>
        <w:bottom w:val="none" w:sz="0" w:space="0" w:color="auto"/>
        <w:right w:val="none" w:sz="0" w:space="0" w:color="auto"/>
      </w:divBdr>
    </w:div>
    <w:div w:id="782772251">
      <w:bodyDiv w:val="1"/>
      <w:marLeft w:val="0"/>
      <w:marRight w:val="0"/>
      <w:marTop w:val="0"/>
      <w:marBottom w:val="0"/>
      <w:divBdr>
        <w:top w:val="none" w:sz="0" w:space="0" w:color="auto"/>
        <w:left w:val="none" w:sz="0" w:space="0" w:color="auto"/>
        <w:bottom w:val="none" w:sz="0" w:space="0" w:color="auto"/>
        <w:right w:val="none" w:sz="0" w:space="0" w:color="auto"/>
      </w:divBdr>
    </w:div>
    <w:div w:id="783040446">
      <w:bodyDiv w:val="1"/>
      <w:marLeft w:val="0"/>
      <w:marRight w:val="0"/>
      <w:marTop w:val="0"/>
      <w:marBottom w:val="0"/>
      <w:divBdr>
        <w:top w:val="none" w:sz="0" w:space="0" w:color="auto"/>
        <w:left w:val="none" w:sz="0" w:space="0" w:color="auto"/>
        <w:bottom w:val="none" w:sz="0" w:space="0" w:color="auto"/>
        <w:right w:val="none" w:sz="0" w:space="0" w:color="auto"/>
      </w:divBdr>
    </w:div>
    <w:div w:id="783157693">
      <w:bodyDiv w:val="1"/>
      <w:marLeft w:val="0"/>
      <w:marRight w:val="0"/>
      <w:marTop w:val="0"/>
      <w:marBottom w:val="0"/>
      <w:divBdr>
        <w:top w:val="none" w:sz="0" w:space="0" w:color="auto"/>
        <w:left w:val="none" w:sz="0" w:space="0" w:color="auto"/>
        <w:bottom w:val="none" w:sz="0" w:space="0" w:color="auto"/>
        <w:right w:val="none" w:sz="0" w:space="0" w:color="auto"/>
      </w:divBdr>
    </w:div>
    <w:div w:id="783841020">
      <w:bodyDiv w:val="1"/>
      <w:marLeft w:val="0"/>
      <w:marRight w:val="0"/>
      <w:marTop w:val="0"/>
      <w:marBottom w:val="0"/>
      <w:divBdr>
        <w:top w:val="none" w:sz="0" w:space="0" w:color="auto"/>
        <w:left w:val="none" w:sz="0" w:space="0" w:color="auto"/>
        <w:bottom w:val="none" w:sz="0" w:space="0" w:color="auto"/>
        <w:right w:val="none" w:sz="0" w:space="0" w:color="auto"/>
      </w:divBdr>
    </w:div>
    <w:div w:id="784733025">
      <w:bodyDiv w:val="1"/>
      <w:marLeft w:val="0"/>
      <w:marRight w:val="0"/>
      <w:marTop w:val="0"/>
      <w:marBottom w:val="0"/>
      <w:divBdr>
        <w:top w:val="none" w:sz="0" w:space="0" w:color="auto"/>
        <w:left w:val="none" w:sz="0" w:space="0" w:color="auto"/>
        <w:bottom w:val="none" w:sz="0" w:space="0" w:color="auto"/>
        <w:right w:val="none" w:sz="0" w:space="0" w:color="auto"/>
      </w:divBdr>
    </w:div>
    <w:div w:id="784740420">
      <w:bodyDiv w:val="1"/>
      <w:marLeft w:val="0"/>
      <w:marRight w:val="0"/>
      <w:marTop w:val="0"/>
      <w:marBottom w:val="0"/>
      <w:divBdr>
        <w:top w:val="none" w:sz="0" w:space="0" w:color="auto"/>
        <w:left w:val="none" w:sz="0" w:space="0" w:color="auto"/>
        <w:bottom w:val="none" w:sz="0" w:space="0" w:color="auto"/>
        <w:right w:val="none" w:sz="0" w:space="0" w:color="auto"/>
      </w:divBdr>
    </w:div>
    <w:div w:id="785543397">
      <w:bodyDiv w:val="1"/>
      <w:marLeft w:val="0"/>
      <w:marRight w:val="0"/>
      <w:marTop w:val="0"/>
      <w:marBottom w:val="0"/>
      <w:divBdr>
        <w:top w:val="none" w:sz="0" w:space="0" w:color="auto"/>
        <w:left w:val="none" w:sz="0" w:space="0" w:color="auto"/>
        <w:bottom w:val="none" w:sz="0" w:space="0" w:color="auto"/>
        <w:right w:val="none" w:sz="0" w:space="0" w:color="auto"/>
      </w:divBdr>
    </w:div>
    <w:div w:id="786041453">
      <w:bodyDiv w:val="1"/>
      <w:marLeft w:val="0"/>
      <w:marRight w:val="0"/>
      <w:marTop w:val="0"/>
      <w:marBottom w:val="0"/>
      <w:divBdr>
        <w:top w:val="none" w:sz="0" w:space="0" w:color="auto"/>
        <w:left w:val="none" w:sz="0" w:space="0" w:color="auto"/>
        <w:bottom w:val="none" w:sz="0" w:space="0" w:color="auto"/>
        <w:right w:val="none" w:sz="0" w:space="0" w:color="auto"/>
      </w:divBdr>
    </w:div>
    <w:div w:id="786581265">
      <w:bodyDiv w:val="1"/>
      <w:marLeft w:val="0"/>
      <w:marRight w:val="0"/>
      <w:marTop w:val="0"/>
      <w:marBottom w:val="0"/>
      <w:divBdr>
        <w:top w:val="none" w:sz="0" w:space="0" w:color="auto"/>
        <w:left w:val="none" w:sz="0" w:space="0" w:color="auto"/>
        <w:bottom w:val="none" w:sz="0" w:space="0" w:color="auto"/>
        <w:right w:val="none" w:sz="0" w:space="0" w:color="auto"/>
      </w:divBdr>
    </w:div>
    <w:div w:id="788014250">
      <w:bodyDiv w:val="1"/>
      <w:marLeft w:val="0"/>
      <w:marRight w:val="0"/>
      <w:marTop w:val="0"/>
      <w:marBottom w:val="0"/>
      <w:divBdr>
        <w:top w:val="none" w:sz="0" w:space="0" w:color="auto"/>
        <w:left w:val="none" w:sz="0" w:space="0" w:color="auto"/>
        <w:bottom w:val="none" w:sz="0" w:space="0" w:color="auto"/>
        <w:right w:val="none" w:sz="0" w:space="0" w:color="auto"/>
      </w:divBdr>
    </w:div>
    <w:div w:id="788352681">
      <w:bodyDiv w:val="1"/>
      <w:marLeft w:val="0"/>
      <w:marRight w:val="0"/>
      <w:marTop w:val="0"/>
      <w:marBottom w:val="0"/>
      <w:divBdr>
        <w:top w:val="none" w:sz="0" w:space="0" w:color="auto"/>
        <w:left w:val="none" w:sz="0" w:space="0" w:color="auto"/>
        <w:bottom w:val="none" w:sz="0" w:space="0" w:color="auto"/>
        <w:right w:val="none" w:sz="0" w:space="0" w:color="auto"/>
      </w:divBdr>
    </w:div>
    <w:div w:id="789280060">
      <w:bodyDiv w:val="1"/>
      <w:marLeft w:val="0"/>
      <w:marRight w:val="0"/>
      <w:marTop w:val="0"/>
      <w:marBottom w:val="0"/>
      <w:divBdr>
        <w:top w:val="none" w:sz="0" w:space="0" w:color="auto"/>
        <w:left w:val="none" w:sz="0" w:space="0" w:color="auto"/>
        <w:bottom w:val="none" w:sz="0" w:space="0" w:color="auto"/>
        <w:right w:val="none" w:sz="0" w:space="0" w:color="auto"/>
      </w:divBdr>
    </w:div>
    <w:div w:id="789516655">
      <w:bodyDiv w:val="1"/>
      <w:marLeft w:val="0"/>
      <w:marRight w:val="0"/>
      <w:marTop w:val="0"/>
      <w:marBottom w:val="0"/>
      <w:divBdr>
        <w:top w:val="none" w:sz="0" w:space="0" w:color="auto"/>
        <w:left w:val="none" w:sz="0" w:space="0" w:color="auto"/>
        <w:bottom w:val="none" w:sz="0" w:space="0" w:color="auto"/>
        <w:right w:val="none" w:sz="0" w:space="0" w:color="auto"/>
      </w:divBdr>
    </w:div>
    <w:div w:id="789783655">
      <w:bodyDiv w:val="1"/>
      <w:marLeft w:val="0"/>
      <w:marRight w:val="0"/>
      <w:marTop w:val="0"/>
      <w:marBottom w:val="0"/>
      <w:divBdr>
        <w:top w:val="none" w:sz="0" w:space="0" w:color="auto"/>
        <w:left w:val="none" w:sz="0" w:space="0" w:color="auto"/>
        <w:bottom w:val="none" w:sz="0" w:space="0" w:color="auto"/>
        <w:right w:val="none" w:sz="0" w:space="0" w:color="auto"/>
      </w:divBdr>
    </w:div>
    <w:div w:id="790171930">
      <w:bodyDiv w:val="1"/>
      <w:marLeft w:val="0"/>
      <w:marRight w:val="0"/>
      <w:marTop w:val="0"/>
      <w:marBottom w:val="0"/>
      <w:divBdr>
        <w:top w:val="none" w:sz="0" w:space="0" w:color="auto"/>
        <w:left w:val="none" w:sz="0" w:space="0" w:color="auto"/>
        <w:bottom w:val="none" w:sz="0" w:space="0" w:color="auto"/>
        <w:right w:val="none" w:sz="0" w:space="0" w:color="auto"/>
      </w:divBdr>
    </w:div>
    <w:div w:id="790631757">
      <w:bodyDiv w:val="1"/>
      <w:marLeft w:val="0"/>
      <w:marRight w:val="0"/>
      <w:marTop w:val="0"/>
      <w:marBottom w:val="0"/>
      <w:divBdr>
        <w:top w:val="none" w:sz="0" w:space="0" w:color="auto"/>
        <w:left w:val="none" w:sz="0" w:space="0" w:color="auto"/>
        <w:bottom w:val="none" w:sz="0" w:space="0" w:color="auto"/>
        <w:right w:val="none" w:sz="0" w:space="0" w:color="auto"/>
      </w:divBdr>
    </w:div>
    <w:div w:id="790713001">
      <w:bodyDiv w:val="1"/>
      <w:marLeft w:val="0"/>
      <w:marRight w:val="0"/>
      <w:marTop w:val="0"/>
      <w:marBottom w:val="0"/>
      <w:divBdr>
        <w:top w:val="none" w:sz="0" w:space="0" w:color="auto"/>
        <w:left w:val="none" w:sz="0" w:space="0" w:color="auto"/>
        <w:bottom w:val="none" w:sz="0" w:space="0" w:color="auto"/>
        <w:right w:val="none" w:sz="0" w:space="0" w:color="auto"/>
      </w:divBdr>
    </w:div>
    <w:div w:id="791707503">
      <w:bodyDiv w:val="1"/>
      <w:marLeft w:val="0"/>
      <w:marRight w:val="0"/>
      <w:marTop w:val="0"/>
      <w:marBottom w:val="0"/>
      <w:divBdr>
        <w:top w:val="none" w:sz="0" w:space="0" w:color="auto"/>
        <w:left w:val="none" w:sz="0" w:space="0" w:color="auto"/>
        <w:bottom w:val="none" w:sz="0" w:space="0" w:color="auto"/>
        <w:right w:val="none" w:sz="0" w:space="0" w:color="auto"/>
      </w:divBdr>
    </w:div>
    <w:div w:id="792990350">
      <w:bodyDiv w:val="1"/>
      <w:marLeft w:val="0"/>
      <w:marRight w:val="0"/>
      <w:marTop w:val="0"/>
      <w:marBottom w:val="0"/>
      <w:divBdr>
        <w:top w:val="none" w:sz="0" w:space="0" w:color="auto"/>
        <w:left w:val="none" w:sz="0" w:space="0" w:color="auto"/>
        <w:bottom w:val="none" w:sz="0" w:space="0" w:color="auto"/>
        <w:right w:val="none" w:sz="0" w:space="0" w:color="auto"/>
      </w:divBdr>
    </w:div>
    <w:div w:id="793132895">
      <w:bodyDiv w:val="1"/>
      <w:marLeft w:val="0"/>
      <w:marRight w:val="0"/>
      <w:marTop w:val="0"/>
      <w:marBottom w:val="0"/>
      <w:divBdr>
        <w:top w:val="none" w:sz="0" w:space="0" w:color="auto"/>
        <w:left w:val="none" w:sz="0" w:space="0" w:color="auto"/>
        <w:bottom w:val="none" w:sz="0" w:space="0" w:color="auto"/>
        <w:right w:val="none" w:sz="0" w:space="0" w:color="auto"/>
      </w:divBdr>
    </w:div>
    <w:div w:id="793140901">
      <w:bodyDiv w:val="1"/>
      <w:marLeft w:val="0"/>
      <w:marRight w:val="0"/>
      <w:marTop w:val="0"/>
      <w:marBottom w:val="0"/>
      <w:divBdr>
        <w:top w:val="none" w:sz="0" w:space="0" w:color="auto"/>
        <w:left w:val="none" w:sz="0" w:space="0" w:color="auto"/>
        <w:bottom w:val="none" w:sz="0" w:space="0" w:color="auto"/>
        <w:right w:val="none" w:sz="0" w:space="0" w:color="auto"/>
      </w:divBdr>
    </w:div>
    <w:div w:id="793595523">
      <w:bodyDiv w:val="1"/>
      <w:marLeft w:val="0"/>
      <w:marRight w:val="0"/>
      <w:marTop w:val="0"/>
      <w:marBottom w:val="0"/>
      <w:divBdr>
        <w:top w:val="none" w:sz="0" w:space="0" w:color="auto"/>
        <w:left w:val="none" w:sz="0" w:space="0" w:color="auto"/>
        <w:bottom w:val="none" w:sz="0" w:space="0" w:color="auto"/>
        <w:right w:val="none" w:sz="0" w:space="0" w:color="auto"/>
      </w:divBdr>
    </w:div>
    <w:div w:id="793715052">
      <w:bodyDiv w:val="1"/>
      <w:marLeft w:val="0"/>
      <w:marRight w:val="0"/>
      <w:marTop w:val="0"/>
      <w:marBottom w:val="0"/>
      <w:divBdr>
        <w:top w:val="none" w:sz="0" w:space="0" w:color="auto"/>
        <w:left w:val="none" w:sz="0" w:space="0" w:color="auto"/>
        <w:bottom w:val="none" w:sz="0" w:space="0" w:color="auto"/>
        <w:right w:val="none" w:sz="0" w:space="0" w:color="auto"/>
      </w:divBdr>
    </w:div>
    <w:div w:id="794904724">
      <w:bodyDiv w:val="1"/>
      <w:marLeft w:val="0"/>
      <w:marRight w:val="0"/>
      <w:marTop w:val="0"/>
      <w:marBottom w:val="0"/>
      <w:divBdr>
        <w:top w:val="none" w:sz="0" w:space="0" w:color="auto"/>
        <w:left w:val="none" w:sz="0" w:space="0" w:color="auto"/>
        <w:bottom w:val="none" w:sz="0" w:space="0" w:color="auto"/>
        <w:right w:val="none" w:sz="0" w:space="0" w:color="auto"/>
      </w:divBdr>
    </w:div>
    <w:div w:id="795367291">
      <w:bodyDiv w:val="1"/>
      <w:marLeft w:val="0"/>
      <w:marRight w:val="0"/>
      <w:marTop w:val="0"/>
      <w:marBottom w:val="0"/>
      <w:divBdr>
        <w:top w:val="none" w:sz="0" w:space="0" w:color="auto"/>
        <w:left w:val="none" w:sz="0" w:space="0" w:color="auto"/>
        <w:bottom w:val="none" w:sz="0" w:space="0" w:color="auto"/>
        <w:right w:val="none" w:sz="0" w:space="0" w:color="auto"/>
      </w:divBdr>
    </w:div>
    <w:div w:id="795755786">
      <w:bodyDiv w:val="1"/>
      <w:marLeft w:val="0"/>
      <w:marRight w:val="0"/>
      <w:marTop w:val="0"/>
      <w:marBottom w:val="0"/>
      <w:divBdr>
        <w:top w:val="none" w:sz="0" w:space="0" w:color="auto"/>
        <w:left w:val="none" w:sz="0" w:space="0" w:color="auto"/>
        <w:bottom w:val="none" w:sz="0" w:space="0" w:color="auto"/>
        <w:right w:val="none" w:sz="0" w:space="0" w:color="auto"/>
      </w:divBdr>
    </w:div>
    <w:div w:id="797644376">
      <w:bodyDiv w:val="1"/>
      <w:marLeft w:val="0"/>
      <w:marRight w:val="0"/>
      <w:marTop w:val="0"/>
      <w:marBottom w:val="0"/>
      <w:divBdr>
        <w:top w:val="none" w:sz="0" w:space="0" w:color="auto"/>
        <w:left w:val="none" w:sz="0" w:space="0" w:color="auto"/>
        <w:bottom w:val="none" w:sz="0" w:space="0" w:color="auto"/>
        <w:right w:val="none" w:sz="0" w:space="0" w:color="auto"/>
      </w:divBdr>
    </w:div>
    <w:div w:id="799304726">
      <w:bodyDiv w:val="1"/>
      <w:marLeft w:val="0"/>
      <w:marRight w:val="0"/>
      <w:marTop w:val="0"/>
      <w:marBottom w:val="0"/>
      <w:divBdr>
        <w:top w:val="none" w:sz="0" w:space="0" w:color="auto"/>
        <w:left w:val="none" w:sz="0" w:space="0" w:color="auto"/>
        <w:bottom w:val="none" w:sz="0" w:space="0" w:color="auto"/>
        <w:right w:val="none" w:sz="0" w:space="0" w:color="auto"/>
      </w:divBdr>
    </w:div>
    <w:div w:id="800197645">
      <w:bodyDiv w:val="1"/>
      <w:marLeft w:val="0"/>
      <w:marRight w:val="0"/>
      <w:marTop w:val="0"/>
      <w:marBottom w:val="0"/>
      <w:divBdr>
        <w:top w:val="none" w:sz="0" w:space="0" w:color="auto"/>
        <w:left w:val="none" w:sz="0" w:space="0" w:color="auto"/>
        <w:bottom w:val="none" w:sz="0" w:space="0" w:color="auto"/>
        <w:right w:val="none" w:sz="0" w:space="0" w:color="auto"/>
      </w:divBdr>
    </w:div>
    <w:div w:id="800803008">
      <w:bodyDiv w:val="1"/>
      <w:marLeft w:val="0"/>
      <w:marRight w:val="0"/>
      <w:marTop w:val="0"/>
      <w:marBottom w:val="0"/>
      <w:divBdr>
        <w:top w:val="none" w:sz="0" w:space="0" w:color="auto"/>
        <w:left w:val="none" w:sz="0" w:space="0" w:color="auto"/>
        <w:bottom w:val="none" w:sz="0" w:space="0" w:color="auto"/>
        <w:right w:val="none" w:sz="0" w:space="0" w:color="auto"/>
      </w:divBdr>
    </w:div>
    <w:div w:id="801384809">
      <w:bodyDiv w:val="1"/>
      <w:marLeft w:val="0"/>
      <w:marRight w:val="0"/>
      <w:marTop w:val="0"/>
      <w:marBottom w:val="0"/>
      <w:divBdr>
        <w:top w:val="none" w:sz="0" w:space="0" w:color="auto"/>
        <w:left w:val="none" w:sz="0" w:space="0" w:color="auto"/>
        <w:bottom w:val="none" w:sz="0" w:space="0" w:color="auto"/>
        <w:right w:val="none" w:sz="0" w:space="0" w:color="auto"/>
      </w:divBdr>
    </w:div>
    <w:div w:id="803350727">
      <w:bodyDiv w:val="1"/>
      <w:marLeft w:val="0"/>
      <w:marRight w:val="0"/>
      <w:marTop w:val="0"/>
      <w:marBottom w:val="0"/>
      <w:divBdr>
        <w:top w:val="none" w:sz="0" w:space="0" w:color="auto"/>
        <w:left w:val="none" w:sz="0" w:space="0" w:color="auto"/>
        <w:bottom w:val="none" w:sz="0" w:space="0" w:color="auto"/>
        <w:right w:val="none" w:sz="0" w:space="0" w:color="auto"/>
      </w:divBdr>
    </w:div>
    <w:div w:id="804011152">
      <w:bodyDiv w:val="1"/>
      <w:marLeft w:val="0"/>
      <w:marRight w:val="0"/>
      <w:marTop w:val="0"/>
      <w:marBottom w:val="0"/>
      <w:divBdr>
        <w:top w:val="none" w:sz="0" w:space="0" w:color="auto"/>
        <w:left w:val="none" w:sz="0" w:space="0" w:color="auto"/>
        <w:bottom w:val="none" w:sz="0" w:space="0" w:color="auto"/>
        <w:right w:val="none" w:sz="0" w:space="0" w:color="auto"/>
      </w:divBdr>
    </w:div>
    <w:div w:id="804276594">
      <w:bodyDiv w:val="1"/>
      <w:marLeft w:val="0"/>
      <w:marRight w:val="0"/>
      <w:marTop w:val="0"/>
      <w:marBottom w:val="0"/>
      <w:divBdr>
        <w:top w:val="none" w:sz="0" w:space="0" w:color="auto"/>
        <w:left w:val="none" w:sz="0" w:space="0" w:color="auto"/>
        <w:bottom w:val="none" w:sz="0" w:space="0" w:color="auto"/>
        <w:right w:val="none" w:sz="0" w:space="0" w:color="auto"/>
      </w:divBdr>
    </w:div>
    <w:div w:id="804738948">
      <w:bodyDiv w:val="1"/>
      <w:marLeft w:val="0"/>
      <w:marRight w:val="0"/>
      <w:marTop w:val="0"/>
      <w:marBottom w:val="0"/>
      <w:divBdr>
        <w:top w:val="none" w:sz="0" w:space="0" w:color="auto"/>
        <w:left w:val="none" w:sz="0" w:space="0" w:color="auto"/>
        <w:bottom w:val="none" w:sz="0" w:space="0" w:color="auto"/>
        <w:right w:val="none" w:sz="0" w:space="0" w:color="auto"/>
      </w:divBdr>
    </w:div>
    <w:div w:id="805774998">
      <w:bodyDiv w:val="1"/>
      <w:marLeft w:val="0"/>
      <w:marRight w:val="0"/>
      <w:marTop w:val="0"/>
      <w:marBottom w:val="0"/>
      <w:divBdr>
        <w:top w:val="none" w:sz="0" w:space="0" w:color="auto"/>
        <w:left w:val="none" w:sz="0" w:space="0" w:color="auto"/>
        <w:bottom w:val="none" w:sz="0" w:space="0" w:color="auto"/>
        <w:right w:val="none" w:sz="0" w:space="0" w:color="auto"/>
      </w:divBdr>
    </w:div>
    <w:div w:id="806430993">
      <w:bodyDiv w:val="1"/>
      <w:marLeft w:val="0"/>
      <w:marRight w:val="0"/>
      <w:marTop w:val="0"/>
      <w:marBottom w:val="0"/>
      <w:divBdr>
        <w:top w:val="none" w:sz="0" w:space="0" w:color="auto"/>
        <w:left w:val="none" w:sz="0" w:space="0" w:color="auto"/>
        <w:bottom w:val="none" w:sz="0" w:space="0" w:color="auto"/>
        <w:right w:val="none" w:sz="0" w:space="0" w:color="auto"/>
      </w:divBdr>
    </w:div>
    <w:div w:id="807630432">
      <w:bodyDiv w:val="1"/>
      <w:marLeft w:val="0"/>
      <w:marRight w:val="0"/>
      <w:marTop w:val="0"/>
      <w:marBottom w:val="0"/>
      <w:divBdr>
        <w:top w:val="none" w:sz="0" w:space="0" w:color="auto"/>
        <w:left w:val="none" w:sz="0" w:space="0" w:color="auto"/>
        <w:bottom w:val="none" w:sz="0" w:space="0" w:color="auto"/>
        <w:right w:val="none" w:sz="0" w:space="0" w:color="auto"/>
      </w:divBdr>
    </w:div>
    <w:div w:id="807747982">
      <w:bodyDiv w:val="1"/>
      <w:marLeft w:val="0"/>
      <w:marRight w:val="0"/>
      <w:marTop w:val="0"/>
      <w:marBottom w:val="0"/>
      <w:divBdr>
        <w:top w:val="none" w:sz="0" w:space="0" w:color="auto"/>
        <w:left w:val="none" w:sz="0" w:space="0" w:color="auto"/>
        <w:bottom w:val="none" w:sz="0" w:space="0" w:color="auto"/>
        <w:right w:val="none" w:sz="0" w:space="0" w:color="auto"/>
      </w:divBdr>
    </w:div>
    <w:div w:id="808785315">
      <w:bodyDiv w:val="1"/>
      <w:marLeft w:val="0"/>
      <w:marRight w:val="0"/>
      <w:marTop w:val="0"/>
      <w:marBottom w:val="0"/>
      <w:divBdr>
        <w:top w:val="none" w:sz="0" w:space="0" w:color="auto"/>
        <w:left w:val="none" w:sz="0" w:space="0" w:color="auto"/>
        <w:bottom w:val="none" w:sz="0" w:space="0" w:color="auto"/>
        <w:right w:val="none" w:sz="0" w:space="0" w:color="auto"/>
      </w:divBdr>
    </w:div>
    <w:div w:id="808864928">
      <w:bodyDiv w:val="1"/>
      <w:marLeft w:val="0"/>
      <w:marRight w:val="0"/>
      <w:marTop w:val="0"/>
      <w:marBottom w:val="0"/>
      <w:divBdr>
        <w:top w:val="none" w:sz="0" w:space="0" w:color="auto"/>
        <w:left w:val="none" w:sz="0" w:space="0" w:color="auto"/>
        <w:bottom w:val="none" w:sz="0" w:space="0" w:color="auto"/>
        <w:right w:val="none" w:sz="0" w:space="0" w:color="auto"/>
      </w:divBdr>
    </w:div>
    <w:div w:id="809902307">
      <w:bodyDiv w:val="1"/>
      <w:marLeft w:val="0"/>
      <w:marRight w:val="0"/>
      <w:marTop w:val="0"/>
      <w:marBottom w:val="0"/>
      <w:divBdr>
        <w:top w:val="none" w:sz="0" w:space="0" w:color="auto"/>
        <w:left w:val="none" w:sz="0" w:space="0" w:color="auto"/>
        <w:bottom w:val="none" w:sz="0" w:space="0" w:color="auto"/>
        <w:right w:val="none" w:sz="0" w:space="0" w:color="auto"/>
      </w:divBdr>
    </w:div>
    <w:div w:id="809976605">
      <w:bodyDiv w:val="1"/>
      <w:marLeft w:val="0"/>
      <w:marRight w:val="0"/>
      <w:marTop w:val="0"/>
      <w:marBottom w:val="0"/>
      <w:divBdr>
        <w:top w:val="none" w:sz="0" w:space="0" w:color="auto"/>
        <w:left w:val="none" w:sz="0" w:space="0" w:color="auto"/>
        <w:bottom w:val="none" w:sz="0" w:space="0" w:color="auto"/>
        <w:right w:val="none" w:sz="0" w:space="0" w:color="auto"/>
      </w:divBdr>
    </w:div>
    <w:div w:id="810902278">
      <w:bodyDiv w:val="1"/>
      <w:marLeft w:val="0"/>
      <w:marRight w:val="0"/>
      <w:marTop w:val="0"/>
      <w:marBottom w:val="0"/>
      <w:divBdr>
        <w:top w:val="none" w:sz="0" w:space="0" w:color="auto"/>
        <w:left w:val="none" w:sz="0" w:space="0" w:color="auto"/>
        <w:bottom w:val="none" w:sz="0" w:space="0" w:color="auto"/>
        <w:right w:val="none" w:sz="0" w:space="0" w:color="auto"/>
      </w:divBdr>
    </w:div>
    <w:div w:id="810951176">
      <w:bodyDiv w:val="1"/>
      <w:marLeft w:val="0"/>
      <w:marRight w:val="0"/>
      <w:marTop w:val="0"/>
      <w:marBottom w:val="0"/>
      <w:divBdr>
        <w:top w:val="none" w:sz="0" w:space="0" w:color="auto"/>
        <w:left w:val="none" w:sz="0" w:space="0" w:color="auto"/>
        <w:bottom w:val="none" w:sz="0" w:space="0" w:color="auto"/>
        <w:right w:val="none" w:sz="0" w:space="0" w:color="auto"/>
      </w:divBdr>
    </w:div>
    <w:div w:id="815532371">
      <w:bodyDiv w:val="1"/>
      <w:marLeft w:val="0"/>
      <w:marRight w:val="0"/>
      <w:marTop w:val="0"/>
      <w:marBottom w:val="0"/>
      <w:divBdr>
        <w:top w:val="none" w:sz="0" w:space="0" w:color="auto"/>
        <w:left w:val="none" w:sz="0" w:space="0" w:color="auto"/>
        <w:bottom w:val="none" w:sz="0" w:space="0" w:color="auto"/>
        <w:right w:val="none" w:sz="0" w:space="0" w:color="auto"/>
      </w:divBdr>
    </w:div>
    <w:div w:id="816579197">
      <w:bodyDiv w:val="1"/>
      <w:marLeft w:val="0"/>
      <w:marRight w:val="0"/>
      <w:marTop w:val="0"/>
      <w:marBottom w:val="0"/>
      <w:divBdr>
        <w:top w:val="none" w:sz="0" w:space="0" w:color="auto"/>
        <w:left w:val="none" w:sz="0" w:space="0" w:color="auto"/>
        <w:bottom w:val="none" w:sz="0" w:space="0" w:color="auto"/>
        <w:right w:val="none" w:sz="0" w:space="0" w:color="auto"/>
      </w:divBdr>
    </w:div>
    <w:div w:id="816996490">
      <w:bodyDiv w:val="1"/>
      <w:marLeft w:val="0"/>
      <w:marRight w:val="0"/>
      <w:marTop w:val="0"/>
      <w:marBottom w:val="0"/>
      <w:divBdr>
        <w:top w:val="none" w:sz="0" w:space="0" w:color="auto"/>
        <w:left w:val="none" w:sz="0" w:space="0" w:color="auto"/>
        <w:bottom w:val="none" w:sz="0" w:space="0" w:color="auto"/>
        <w:right w:val="none" w:sz="0" w:space="0" w:color="auto"/>
      </w:divBdr>
    </w:div>
    <w:div w:id="817187783">
      <w:bodyDiv w:val="1"/>
      <w:marLeft w:val="0"/>
      <w:marRight w:val="0"/>
      <w:marTop w:val="0"/>
      <w:marBottom w:val="0"/>
      <w:divBdr>
        <w:top w:val="none" w:sz="0" w:space="0" w:color="auto"/>
        <w:left w:val="none" w:sz="0" w:space="0" w:color="auto"/>
        <w:bottom w:val="none" w:sz="0" w:space="0" w:color="auto"/>
        <w:right w:val="none" w:sz="0" w:space="0" w:color="auto"/>
      </w:divBdr>
    </w:div>
    <w:div w:id="817301582">
      <w:bodyDiv w:val="1"/>
      <w:marLeft w:val="0"/>
      <w:marRight w:val="0"/>
      <w:marTop w:val="0"/>
      <w:marBottom w:val="0"/>
      <w:divBdr>
        <w:top w:val="none" w:sz="0" w:space="0" w:color="auto"/>
        <w:left w:val="none" w:sz="0" w:space="0" w:color="auto"/>
        <w:bottom w:val="none" w:sz="0" w:space="0" w:color="auto"/>
        <w:right w:val="none" w:sz="0" w:space="0" w:color="auto"/>
      </w:divBdr>
    </w:div>
    <w:div w:id="817765435">
      <w:bodyDiv w:val="1"/>
      <w:marLeft w:val="0"/>
      <w:marRight w:val="0"/>
      <w:marTop w:val="0"/>
      <w:marBottom w:val="0"/>
      <w:divBdr>
        <w:top w:val="none" w:sz="0" w:space="0" w:color="auto"/>
        <w:left w:val="none" w:sz="0" w:space="0" w:color="auto"/>
        <w:bottom w:val="none" w:sz="0" w:space="0" w:color="auto"/>
        <w:right w:val="none" w:sz="0" w:space="0" w:color="auto"/>
      </w:divBdr>
    </w:div>
    <w:div w:id="817840316">
      <w:bodyDiv w:val="1"/>
      <w:marLeft w:val="0"/>
      <w:marRight w:val="0"/>
      <w:marTop w:val="0"/>
      <w:marBottom w:val="0"/>
      <w:divBdr>
        <w:top w:val="none" w:sz="0" w:space="0" w:color="auto"/>
        <w:left w:val="none" w:sz="0" w:space="0" w:color="auto"/>
        <w:bottom w:val="none" w:sz="0" w:space="0" w:color="auto"/>
        <w:right w:val="none" w:sz="0" w:space="0" w:color="auto"/>
      </w:divBdr>
    </w:div>
    <w:div w:id="817916878">
      <w:bodyDiv w:val="1"/>
      <w:marLeft w:val="0"/>
      <w:marRight w:val="0"/>
      <w:marTop w:val="0"/>
      <w:marBottom w:val="0"/>
      <w:divBdr>
        <w:top w:val="none" w:sz="0" w:space="0" w:color="auto"/>
        <w:left w:val="none" w:sz="0" w:space="0" w:color="auto"/>
        <w:bottom w:val="none" w:sz="0" w:space="0" w:color="auto"/>
        <w:right w:val="none" w:sz="0" w:space="0" w:color="auto"/>
      </w:divBdr>
    </w:div>
    <w:div w:id="818956660">
      <w:bodyDiv w:val="1"/>
      <w:marLeft w:val="0"/>
      <w:marRight w:val="0"/>
      <w:marTop w:val="0"/>
      <w:marBottom w:val="0"/>
      <w:divBdr>
        <w:top w:val="none" w:sz="0" w:space="0" w:color="auto"/>
        <w:left w:val="none" w:sz="0" w:space="0" w:color="auto"/>
        <w:bottom w:val="none" w:sz="0" w:space="0" w:color="auto"/>
        <w:right w:val="none" w:sz="0" w:space="0" w:color="auto"/>
      </w:divBdr>
    </w:div>
    <w:div w:id="819074486">
      <w:bodyDiv w:val="1"/>
      <w:marLeft w:val="0"/>
      <w:marRight w:val="0"/>
      <w:marTop w:val="0"/>
      <w:marBottom w:val="0"/>
      <w:divBdr>
        <w:top w:val="none" w:sz="0" w:space="0" w:color="auto"/>
        <w:left w:val="none" w:sz="0" w:space="0" w:color="auto"/>
        <w:bottom w:val="none" w:sz="0" w:space="0" w:color="auto"/>
        <w:right w:val="none" w:sz="0" w:space="0" w:color="auto"/>
      </w:divBdr>
    </w:div>
    <w:div w:id="819732007">
      <w:bodyDiv w:val="1"/>
      <w:marLeft w:val="0"/>
      <w:marRight w:val="0"/>
      <w:marTop w:val="0"/>
      <w:marBottom w:val="0"/>
      <w:divBdr>
        <w:top w:val="none" w:sz="0" w:space="0" w:color="auto"/>
        <w:left w:val="none" w:sz="0" w:space="0" w:color="auto"/>
        <w:bottom w:val="none" w:sz="0" w:space="0" w:color="auto"/>
        <w:right w:val="none" w:sz="0" w:space="0" w:color="auto"/>
      </w:divBdr>
    </w:div>
    <w:div w:id="819926673">
      <w:bodyDiv w:val="1"/>
      <w:marLeft w:val="0"/>
      <w:marRight w:val="0"/>
      <w:marTop w:val="0"/>
      <w:marBottom w:val="0"/>
      <w:divBdr>
        <w:top w:val="none" w:sz="0" w:space="0" w:color="auto"/>
        <w:left w:val="none" w:sz="0" w:space="0" w:color="auto"/>
        <w:bottom w:val="none" w:sz="0" w:space="0" w:color="auto"/>
        <w:right w:val="none" w:sz="0" w:space="0" w:color="auto"/>
      </w:divBdr>
    </w:div>
    <w:div w:id="820074013">
      <w:bodyDiv w:val="1"/>
      <w:marLeft w:val="0"/>
      <w:marRight w:val="0"/>
      <w:marTop w:val="0"/>
      <w:marBottom w:val="0"/>
      <w:divBdr>
        <w:top w:val="none" w:sz="0" w:space="0" w:color="auto"/>
        <w:left w:val="none" w:sz="0" w:space="0" w:color="auto"/>
        <w:bottom w:val="none" w:sz="0" w:space="0" w:color="auto"/>
        <w:right w:val="none" w:sz="0" w:space="0" w:color="auto"/>
      </w:divBdr>
    </w:div>
    <w:div w:id="820074688">
      <w:bodyDiv w:val="1"/>
      <w:marLeft w:val="0"/>
      <w:marRight w:val="0"/>
      <w:marTop w:val="0"/>
      <w:marBottom w:val="0"/>
      <w:divBdr>
        <w:top w:val="none" w:sz="0" w:space="0" w:color="auto"/>
        <w:left w:val="none" w:sz="0" w:space="0" w:color="auto"/>
        <w:bottom w:val="none" w:sz="0" w:space="0" w:color="auto"/>
        <w:right w:val="none" w:sz="0" w:space="0" w:color="auto"/>
      </w:divBdr>
    </w:div>
    <w:div w:id="820079568">
      <w:bodyDiv w:val="1"/>
      <w:marLeft w:val="0"/>
      <w:marRight w:val="0"/>
      <w:marTop w:val="0"/>
      <w:marBottom w:val="0"/>
      <w:divBdr>
        <w:top w:val="none" w:sz="0" w:space="0" w:color="auto"/>
        <w:left w:val="none" w:sz="0" w:space="0" w:color="auto"/>
        <w:bottom w:val="none" w:sz="0" w:space="0" w:color="auto"/>
        <w:right w:val="none" w:sz="0" w:space="0" w:color="auto"/>
      </w:divBdr>
    </w:div>
    <w:div w:id="820124641">
      <w:bodyDiv w:val="1"/>
      <w:marLeft w:val="0"/>
      <w:marRight w:val="0"/>
      <w:marTop w:val="0"/>
      <w:marBottom w:val="0"/>
      <w:divBdr>
        <w:top w:val="none" w:sz="0" w:space="0" w:color="auto"/>
        <w:left w:val="none" w:sz="0" w:space="0" w:color="auto"/>
        <w:bottom w:val="none" w:sz="0" w:space="0" w:color="auto"/>
        <w:right w:val="none" w:sz="0" w:space="0" w:color="auto"/>
      </w:divBdr>
    </w:div>
    <w:div w:id="822425819">
      <w:bodyDiv w:val="1"/>
      <w:marLeft w:val="0"/>
      <w:marRight w:val="0"/>
      <w:marTop w:val="0"/>
      <w:marBottom w:val="0"/>
      <w:divBdr>
        <w:top w:val="none" w:sz="0" w:space="0" w:color="auto"/>
        <w:left w:val="none" w:sz="0" w:space="0" w:color="auto"/>
        <w:bottom w:val="none" w:sz="0" w:space="0" w:color="auto"/>
        <w:right w:val="none" w:sz="0" w:space="0" w:color="auto"/>
      </w:divBdr>
    </w:div>
    <w:div w:id="825322972">
      <w:bodyDiv w:val="1"/>
      <w:marLeft w:val="0"/>
      <w:marRight w:val="0"/>
      <w:marTop w:val="0"/>
      <w:marBottom w:val="0"/>
      <w:divBdr>
        <w:top w:val="none" w:sz="0" w:space="0" w:color="auto"/>
        <w:left w:val="none" w:sz="0" w:space="0" w:color="auto"/>
        <w:bottom w:val="none" w:sz="0" w:space="0" w:color="auto"/>
        <w:right w:val="none" w:sz="0" w:space="0" w:color="auto"/>
      </w:divBdr>
    </w:div>
    <w:div w:id="825821385">
      <w:bodyDiv w:val="1"/>
      <w:marLeft w:val="0"/>
      <w:marRight w:val="0"/>
      <w:marTop w:val="0"/>
      <w:marBottom w:val="0"/>
      <w:divBdr>
        <w:top w:val="none" w:sz="0" w:space="0" w:color="auto"/>
        <w:left w:val="none" w:sz="0" w:space="0" w:color="auto"/>
        <w:bottom w:val="none" w:sz="0" w:space="0" w:color="auto"/>
        <w:right w:val="none" w:sz="0" w:space="0" w:color="auto"/>
      </w:divBdr>
    </w:div>
    <w:div w:id="829709703">
      <w:bodyDiv w:val="1"/>
      <w:marLeft w:val="0"/>
      <w:marRight w:val="0"/>
      <w:marTop w:val="0"/>
      <w:marBottom w:val="0"/>
      <w:divBdr>
        <w:top w:val="none" w:sz="0" w:space="0" w:color="auto"/>
        <w:left w:val="none" w:sz="0" w:space="0" w:color="auto"/>
        <w:bottom w:val="none" w:sz="0" w:space="0" w:color="auto"/>
        <w:right w:val="none" w:sz="0" w:space="0" w:color="auto"/>
      </w:divBdr>
    </w:div>
    <w:div w:id="829714004">
      <w:bodyDiv w:val="1"/>
      <w:marLeft w:val="0"/>
      <w:marRight w:val="0"/>
      <w:marTop w:val="0"/>
      <w:marBottom w:val="0"/>
      <w:divBdr>
        <w:top w:val="none" w:sz="0" w:space="0" w:color="auto"/>
        <w:left w:val="none" w:sz="0" w:space="0" w:color="auto"/>
        <w:bottom w:val="none" w:sz="0" w:space="0" w:color="auto"/>
        <w:right w:val="none" w:sz="0" w:space="0" w:color="auto"/>
      </w:divBdr>
    </w:div>
    <w:div w:id="830020021">
      <w:bodyDiv w:val="1"/>
      <w:marLeft w:val="0"/>
      <w:marRight w:val="0"/>
      <w:marTop w:val="0"/>
      <w:marBottom w:val="0"/>
      <w:divBdr>
        <w:top w:val="none" w:sz="0" w:space="0" w:color="auto"/>
        <w:left w:val="none" w:sz="0" w:space="0" w:color="auto"/>
        <w:bottom w:val="none" w:sz="0" w:space="0" w:color="auto"/>
        <w:right w:val="none" w:sz="0" w:space="0" w:color="auto"/>
      </w:divBdr>
    </w:div>
    <w:div w:id="830952931">
      <w:bodyDiv w:val="1"/>
      <w:marLeft w:val="0"/>
      <w:marRight w:val="0"/>
      <w:marTop w:val="0"/>
      <w:marBottom w:val="0"/>
      <w:divBdr>
        <w:top w:val="none" w:sz="0" w:space="0" w:color="auto"/>
        <w:left w:val="none" w:sz="0" w:space="0" w:color="auto"/>
        <w:bottom w:val="none" w:sz="0" w:space="0" w:color="auto"/>
        <w:right w:val="none" w:sz="0" w:space="0" w:color="auto"/>
      </w:divBdr>
    </w:div>
    <w:div w:id="832379277">
      <w:bodyDiv w:val="1"/>
      <w:marLeft w:val="0"/>
      <w:marRight w:val="0"/>
      <w:marTop w:val="0"/>
      <w:marBottom w:val="0"/>
      <w:divBdr>
        <w:top w:val="none" w:sz="0" w:space="0" w:color="auto"/>
        <w:left w:val="none" w:sz="0" w:space="0" w:color="auto"/>
        <w:bottom w:val="none" w:sz="0" w:space="0" w:color="auto"/>
        <w:right w:val="none" w:sz="0" w:space="0" w:color="auto"/>
      </w:divBdr>
    </w:div>
    <w:div w:id="832448047">
      <w:bodyDiv w:val="1"/>
      <w:marLeft w:val="0"/>
      <w:marRight w:val="0"/>
      <w:marTop w:val="0"/>
      <w:marBottom w:val="0"/>
      <w:divBdr>
        <w:top w:val="none" w:sz="0" w:space="0" w:color="auto"/>
        <w:left w:val="none" w:sz="0" w:space="0" w:color="auto"/>
        <w:bottom w:val="none" w:sz="0" w:space="0" w:color="auto"/>
        <w:right w:val="none" w:sz="0" w:space="0" w:color="auto"/>
      </w:divBdr>
    </w:div>
    <w:div w:id="832992979">
      <w:bodyDiv w:val="1"/>
      <w:marLeft w:val="0"/>
      <w:marRight w:val="0"/>
      <w:marTop w:val="0"/>
      <w:marBottom w:val="0"/>
      <w:divBdr>
        <w:top w:val="none" w:sz="0" w:space="0" w:color="auto"/>
        <w:left w:val="none" w:sz="0" w:space="0" w:color="auto"/>
        <w:bottom w:val="none" w:sz="0" w:space="0" w:color="auto"/>
        <w:right w:val="none" w:sz="0" w:space="0" w:color="auto"/>
      </w:divBdr>
    </w:div>
    <w:div w:id="833685330">
      <w:bodyDiv w:val="1"/>
      <w:marLeft w:val="0"/>
      <w:marRight w:val="0"/>
      <w:marTop w:val="0"/>
      <w:marBottom w:val="0"/>
      <w:divBdr>
        <w:top w:val="none" w:sz="0" w:space="0" w:color="auto"/>
        <w:left w:val="none" w:sz="0" w:space="0" w:color="auto"/>
        <w:bottom w:val="none" w:sz="0" w:space="0" w:color="auto"/>
        <w:right w:val="none" w:sz="0" w:space="0" w:color="auto"/>
      </w:divBdr>
    </w:div>
    <w:div w:id="834304109">
      <w:bodyDiv w:val="1"/>
      <w:marLeft w:val="0"/>
      <w:marRight w:val="0"/>
      <w:marTop w:val="0"/>
      <w:marBottom w:val="0"/>
      <w:divBdr>
        <w:top w:val="none" w:sz="0" w:space="0" w:color="auto"/>
        <w:left w:val="none" w:sz="0" w:space="0" w:color="auto"/>
        <w:bottom w:val="none" w:sz="0" w:space="0" w:color="auto"/>
        <w:right w:val="none" w:sz="0" w:space="0" w:color="auto"/>
      </w:divBdr>
    </w:div>
    <w:div w:id="835807539">
      <w:bodyDiv w:val="1"/>
      <w:marLeft w:val="0"/>
      <w:marRight w:val="0"/>
      <w:marTop w:val="0"/>
      <w:marBottom w:val="0"/>
      <w:divBdr>
        <w:top w:val="none" w:sz="0" w:space="0" w:color="auto"/>
        <w:left w:val="none" w:sz="0" w:space="0" w:color="auto"/>
        <w:bottom w:val="none" w:sz="0" w:space="0" w:color="auto"/>
        <w:right w:val="none" w:sz="0" w:space="0" w:color="auto"/>
      </w:divBdr>
    </w:div>
    <w:div w:id="835807579">
      <w:bodyDiv w:val="1"/>
      <w:marLeft w:val="0"/>
      <w:marRight w:val="0"/>
      <w:marTop w:val="0"/>
      <w:marBottom w:val="0"/>
      <w:divBdr>
        <w:top w:val="none" w:sz="0" w:space="0" w:color="auto"/>
        <w:left w:val="none" w:sz="0" w:space="0" w:color="auto"/>
        <w:bottom w:val="none" w:sz="0" w:space="0" w:color="auto"/>
        <w:right w:val="none" w:sz="0" w:space="0" w:color="auto"/>
      </w:divBdr>
    </w:div>
    <w:div w:id="836270420">
      <w:bodyDiv w:val="1"/>
      <w:marLeft w:val="0"/>
      <w:marRight w:val="0"/>
      <w:marTop w:val="0"/>
      <w:marBottom w:val="0"/>
      <w:divBdr>
        <w:top w:val="none" w:sz="0" w:space="0" w:color="auto"/>
        <w:left w:val="none" w:sz="0" w:space="0" w:color="auto"/>
        <w:bottom w:val="none" w:sz="0" w:space="0" w:color="auto"/>
        <w:right w:val="none" w:sz="0" w:space="0" w:color="auto"/>
      </w:divBdr>
    </w:div>
    <w:div w:id="836457828">
      <w:bodyDiv w:val="1"/>
      <w:marLeft w:val="0"/>
      <w:marRight w:val="0"/>
      <w:marTop w:val="0"/>
      <w:marBottom w:val="0"/>
      <w:divBdr>
        <w:top w:val="none" w:sz="0" w:space="0" w:color="auto"/>
        <w:left w:val="none" w:sz="0" w:space="0" w:color="auto"/>
        <w:bottom w:val="none" w:sz="0" w:space="0" w:color="auto"/>
        <w:right w:val="none" w:sz="0" w:space="0" w:color="auto"/>
      </w:divBdr>
    </w:div>
    <w:div w:id="836505153">
      <w:bodyDiv w:val="1"/>
      <w:marLeft w:val="0"/>
      <w:marRight w:val="0"/>
      <w:marTop w:val="0"/>
      <w:marBottom w:val="0"/>
      <w:divBdr>
        <w:top w:val="none" w:sz="0" w:space="0" w:color="auto"/>
        <w:left w:val="none" w:sz="0" w:space="0" w:color="auto"/>
        <w:bottom w:val="none" w:sz="0" w:space="0" w:color="auto"/>
        <w:right w:val="none" w:sz="0" w:space="0" w:color="auto"/>
      </w:divBdr>
    </w:div>
    <w:div w:id="837498520">
      <w:bodyDiv w:val="1"/>
      <w:marLeft w:val="0"/>
      <w:marRight w:val="0"/>
      <w:marTop w:val="0"/>
      <w:marBottom w:val="0"/>
      <w:divBdr>
        <w:top w:val="none" w:sz="0" w:space="0" w:color="auto"/>
        <w:left w:val="none" w:sz="0" w:space="0" w:color="auto"/>
        <w:bottom w:val="none" w:sz="0" w:space="0" w:color="auto"/>
        <w:right w:val="none" w:sz="0" w:space="0" w:color="auto"/>
      </w:divBdr>
    </w:div>
    <w:div w:id="838273189">
      <w:bodyDiv w:val="1"/>
      <w:marLeft w:val="0"/>
      <w:marRight w:val="0"/>
      <w:marTop w:val="0"/>
      <w:marBottom w:val="0"/>
      <w:divBdr>
        <w:top w:val="none" w:sz="0" w:space="0" w:color="auto"/>
        <w:left w:val="none" w:sz="0" w:space="0" w:color="auto"/>
        <w:bottom w:val="none" w:sz="0" w:space="0" w:color="auto"/>
        <w:right w:val="none" w:sz="0" w:space="0" w:color="auto"/>
      </w:divBdr>
    </w:div>
    <w:div w:id="839079042">
      <w:bodyDiv w:val="1"/>
      <w:marLeft w:val="0"/>
      <w:marRight w:val="0"/>
      <w:marTop w:val="0"/>
      <w:marBottom w:val="0"/>
      <w:divBdr>
        <w:top w:val="none" w:sz="0" w:space="0" w:color="auto"/>
        <w:left w:val="none" w:sz="0" w:space="0" w:color="auto"/>
        <w:bottom w:val="none" w:sz="0" w:space="0" w:color="auto"/>
        <w:right w:val="none" w:sz="0" w:space="0" w:color="auto"/>
      </w:divBdr>
    </w:div>
    <w:div w:id="840584362">
      <w:bodyDiv w:val="1"/>
      <w:marLeft w:val="0"/>
      <w:marRight w:val="0"/>
      <w:marTop w:val="0"/>
      <w:marBottom w:val="0"/>
      <w:divBdr>
        <w:top w:val="none" w:sz="0" w:space="0" w:color="auto"/>
        <w:left w:val="none" w:sz="0" w:space="0" w:color="auto"/>
        <w:bottom w:val="none" w:sz="0" w:space="0" w:color="auto"/>
        <w:right w:val="none" w:sz="0" w:space="0" w:color="auto"/>
      </w:divBdr>
    </w:div>
    <w:div w:id="840857494">
      <w:bodyDiv w:val="1"/>
      <w:marLeft w:val="0"/>
      <w:marRight w:val="0"/>
      <w:marTop w:val="0"/>
      <w:marBottom w:val="0"/>
      <w:divBdr>
        <w:top w:val="none" w:sz="0" w:space="0" w:color="auto"/>
        <w:left w:val="none" w:sz="0" w:space="0" w:color="auto"/>
        <w:bottom w:val="none" w:sz="0" w:space="0" w:color="auto"/>
        <w:right w:val="none" w:sz="0" w:space="0" w:color="auto"/>
      </w:divBdr>
    </w:div>
    <w:div w:id="840971492">
      <w:bodyDiv w:val="1"/>
      <w:marLeft w:val="0"/>
      <w:marRight w:val="0"/>
      <w:marTop w:val="0"/>
      <w:marBottom w:val="0"/>
      <w:divBdr>
        <w:top w:val="none" w:sz="0" w:space="0" w:color="auto"/>
        <w:left w:val="none" w:sz="0" w:space="0" w:color="auto"/>
        <w:bottom w:val="none" w:sz="0" w:space="0" w:color="auto"/>
        <w:right w:val="none" w:sz="0" w:space="0" w:color="auto"/>
      </w:divBdr>
    </w:div>
    <w:div w:id="842747238">
      <w:bodyDiv w:val="1"/>
      <w:marLeft w:val="0"/>
      <w:marRight w:val="0"/>
      <w:marTop w:val="0"/>
      <w:marBottom w:val="0"/>
      <w:divBdr>
        <w:top w:val="none" w:sz="0" w:space="0" w:color="auto"/>
        <w:left w:val="none" w:sz="0" w:space="0" w:color="auto"/>
        <w:bottom w:val="none" w:sz="0" w:space="0" w:color="auto"/>
        <w:right w:val="none" w:sz="0" w:space="0" w:color="auto"/>
      </w:divBdr>
    </w:div>
    <w:div w:id="842863774">
      <w:bodyDiv w:val="1"/>
      <w:marLeft w:val="0"/>
      <w:marRight w:val="0"/>
      <w:marTop w:val="0"/>
      <w:marBottom w:val="0"/>
      <w:divBdr>
        <w:top w:val="none" w:sz="0" w:space="0" w:color="auto"/>
        <w:left w:val="none" w:sz="0" w:space="0" w:color="auto"/>
        <w:bottom w:val="none" w:sz="0" w:space="0" w:color="auto"/>
        <w:right w:val="none" w:sz="0" w:space="0" w:color="auto"/>
      </w:divBdr>
    </w:div>
    <w:div w:id="842935408">
      <w:bodyDiv w:val="1"/>
      <w:marLeft w:val="0"/>
      <w:marRight w:val="0"/>
      <w:marTop w:val="0"/>
      <w:marBottom w:val="0"/>
      <w:divBdr>
        <w:top w:val="none" w:sz="0" w:space="0" w:color="auto"/>
        <w:left w:val="none" w:sz="0" w:space="0" w:color="auto"/>
        <w:bottom w:val="none" w:sz="0" w:space="0" w:color="auto"/>
        <w:right w:val="none" w:sz="0" w:space="0" w:color="auto"/>
      </w:divBdr>
    </w:div>
    <w:div w:id="843281657">
      <w:bodyDiv w:val="1"/>
      <w:marLeft w:val="0"/>
      <w:marRight w:val="0"/>
      <w:marTop w:val="0"/>
      <w:marBottom w:val="0"/>
      <w:divBdr>
        <w:top w:val="none" w:sz="0" w:space="0" w:color="auto"/>
        <w:left w:val="none" w:sz="0" w:space="0" w:color="auto"/>
        <w:bottom w:val="none" w:sz="0" w:space="0" w:color="auto"/>
        <w:right w:val="none" w:sz="0" w:space="0" w:color="auto"/>
      </w:divBdr>
    </w:div>
    <w:div w:id="843596329">
      <w:bodyDiv w:val="1"/>
      <w:marLeft w:val="0"/>
      <w:marRight w:val="0"/>
      <w:marTop w:val="0"/>
      <w:marBottom w:val="0"/>
      <w:divBdr>
        <w:top w:val="none" w:sz="0" w:space="0" w:color="auto"/>
        <w:left w:val="none" w:sz="0" w:space="0" w:color="auto"/>
        <w:bottom w:val="none" w:sz="0" w:space="0" w:color="auto"/>
        <w:right w:val="none" w:sz="0" w:space="0" w:color="auto"/>
      </w:divBdr>
    </w:div>
    <w:div w:id="844251781">
      <w:bodyDiv w:val="1"/>
      <w:marLeft w:val="0"/>
      <w:marRight w:val="0"/>
      <w:marTop w:val="0"/>
      <w:marBottom w:val="0"/>
      <w:divBdr>
        <w:top w:val="none" w:sz="0" w:space="0" w:color="auto"/>
        <w:left w:val="none" w:sz="0" w:space="0" w:color="auto"/>
        <w:bottom w:val="none" w:sz="0" w:space="0" w:color="auto"/>
        <w:right w:val="none" w:sz="0" w:space="0" w:color="auto"/>
      </w:divBdr>
    </w:div>
    <w:div w:id="846018668">
      <w:bodyDiv w:val="1"/>
      <w:marLeft w:val="0"/>
      <w:marRight w:val="0"/>
      <w:marTop w:val="0"/>
      <w:marBottom w:val="0"/>
      <w:divBdr>
        <w:top w:val="none" w:sz="0" w:space="0" w:color="auto"/>
        <w:left w:val="none" w:sz="0" w:space="0" w:color="auto"/>
        <w:bottom w:val="none" w:sz="0" w:space="0" w:color="auto"/>
        <w:right w:val="none" w:sz="0" w:space="0" w:color="auto"/>
      </w:divBdr>
    </w:div>
    <w:div w:id="846402095">
      <w:bodyDiv w:val="1"/>
      <w:marLeft w:val="0"/>
      <w:marRight w:val="0"/>
      <w:marTop w:val="0"/>
      <w:marBottom w:val="0"/>
      <w:divBdr>
        <w:top w:val="none" w:sz="0" w:space="0" w:color="auto"/>
        <w:left w:val="none" w:sz="0" w:space="0" w:color="auto"/>
        <w:bottom w:val="none" w:sz="0" w:space="0" w:color="auto"/>
        <w:right w:val="none" w:sz="0" w:space="0" w:color="auto"/>
      </w:divBdr>
    </w:div>
    <w:div w:id="846942724">
      <w:bodyDiv w:val="1"/>
      <w:marLeft w:val="0"/>
      <w:marRight w:val="0"/>
      <w:marTop w:val="0"/>
      <w:marBottom w:val="0"/>
      <w:divBdr>
        <w:top w:val="none" w:sz="0" w:space="0" w:color="auto"/>
        <w:left w:val="none" w:sz="0" w:space="0" w:color="auto"/>
        <w:bottom w:val="none" w:sz="0" w:space="0" w:color="auto"/>
        <w:right w:val="none" w:sz="0" w:space="0" w:color="auto"/>
      </w:divBdr>
    </w:div>
    <w:div w:id="848374247">
      <w:bodyDiv w:val="1"/>
      <w:marLeft w:val="0"/>
      <w:marRight w:val="0"/>
      <w:marTop w:val="0"/>
      <w:marBottom w:val="0"/>
      <w:divBdr>
        <w:top w:val="none" w:sz="0" w:space="0" w:color="auto"/>
        <w:left w:val="none" w:sz="0" w:space="0" w:color="auto"/>
        <w:bottom w:val="none" w:sz="0" w:space="0" w:color="auto"/>
        <w:right w:val="none" w:sz="0" w:space="0" w:color="auto"/>
      </w:divBdr>
    </w:div>
    <w:div w:id="848518871">
      <w:bodyDiv w:val="1"/>
      <w:marLeft w:val="0"/>
      <w:marRight w:val="0"/>
      <w:marTop w:val="0"/>
      <w:marBottom w:val="0"/>
      <w:divBdr>
        <w:top w:val="none" w:sz="0" w:space="0" w:color="auto"/>
        <w:left w:val="none" w:sz="0" w:space="0" w:color="auto"/>
        <w:bottom w:val="none" w:sz="0" w:space="0" w:color="auto"/>
        <w:right w:val="none" w:sz="0" w:space="0" w:color="auto"/>
      </w:divBdr>
    </w:div>
    <w:div w:id="849684711">
      <w:bodyDiv w:val="1"/>
      <w:marLeft w:val="0"/>
      <w:marRight w:val="0"/>
      <w:marTop w:val="0"/>
      <w:marBottom w:val="0"/>
      <w:divBdr>
        <w:top w:val="none" w:sz="0" w:space="0" w:color="auto"/>
        <w:left w:val="none" w:sz="0" w:space="0" w:color="auto"/>
        <w:bottom w:val="none" w:sz="0" w:space="0" w:color="auto"/>
        <w:right w:val="none" w:sz="0" w:space="0" w:color="auto"/>
      </w:divBdr>
    </w:div>
    <w:div w:id="853767811">
      <w:bodyDiv w:val="1"/>
      <w:marLeft w:val="0"/>
      <w:marRight w:val="0"/>
      <w:marTop w:val="0"/>
      <w:marBottom w:val="0"/>
      <w:divBdr>
        <w:top w:val="none" w:sz="0" w:space="0" w:color="auto"/>
        <w:left w:val="none" w:sz="0" w:space="0" w:color="auto"/>
        <w:bottom w:val="none" w:sz="0" w:space="0" w:color="auto"/>
        <w:right w:val="none" w:sz="0" w:space="0" w:color="auto"/>
      </w:divBdr>
    </w:div>
    <w:div w:id="854658265">
      <w:bodyDiv w:val="1"/>
      <w:marLeft w:val="0"/>
      <w:marRight w:val="0"/>
      <w:marTop w:val="0"/>
      <w:marBottom w:val="0"/>
      <w:divBdr>
        <w:top w:val="none" w:sz="0" w:space="0" w:color="auto"/>
        <w:left w:val="none" w:sz="0" w:space="0" w:color="auto"/>
        <w:bottom w:val="none" w:sz="0" w:space="0" w:color="auto"/>
        <w:right w:val="none" w:sz="0" w:space="0" w:color="auto"/>
      </w:divBdr>
    </w:div>
    <w:div w:id="855114843">
      <w:bodyDiv w:val="1"/>
      <w:marLeft w:val="0"/>
      <w:marRight w:val="0"/>
      <w:marTop w:val="0"/>
      <w:marBottom w:val="0"/>
      <w:divBdr>
        <w:top w:val="none" w:sz="0" w:space="0" w:color="auto"/>
        <w:left w:val="none" w:sz="0" w:space="0" w:color="auto"/>
        <w:bottom w:val="none" w:sz="0" w:space="0" w:color="auto"/>
        <w:right w:val="none" w:sz="0" w:space="0" w:color="auto"/>
      </w:divBdr>
    </w:div>
    <w:div w:id="855583289">
      <w:bodyDiv w:val="1"/>
      <w:marLeft w:val="0"/>
      <w:marRight w:val="0"/>
      <w:marTop w:val="0"/>
      <w:marBottom w:val="0"/>
      <w:divBdr>
        <w:top w:val="none" w:sz="0" w:space="0" w:color="auto"/>
        <w:left w:val="none" w:sz="0" w:space="0" w:color="auto"/>
        <w:bottom w:val="none" w:sz="0" w:space="0" w:color="auto"/>
        <w:right w:val="none" w:sz="0" w:space="0" w:color="auto"/>
      </w:divBdr>
    </w:div>
    <w:div w:id="856847462">
      <w:bodyDiv w:val="1"/>
      <w:marLeft w:val="0"/>
      <w:marRight w:val="0"/>
      <w:marTop w:val="0"/>
      <w:marBottom w:val="0"/>
      <w:divBdr>
        <w:top w:val="none" w:sz="0" w:space="0" w:color="auto"/>
        <w:left w:val="none" w:sz="0" w:space="0" w:color="auto"/>
        <w:bottom w:val="none" w:sz="0" w:space="0" w:color="auto"/>
        <w:right w:val="none" w:sz="0" w:space="0" w:color="auto"/>
      </w:divBdr>
    </w:div>
    <w:div w:id="857045094">
      <w:bodyDiv w:val="1"/>
      <w:marLeft w:val="0"/>
      <w:marRight w:val="0"/>
      <w:marTop w:val="0"/>
      <w:marBottom w:val="0"/>
      <w:divBdr>
        <w:top w:val="none" w:sz="0" w:space="0" w:color="auto"/>
        <w:left w:val="none" w:sz="0" w:space="0" w:color="auto"/>
        <w:bottom w:val="none" w:sz="0" w:space="0" w:color="auto"/>
        <w:right w:val="none" w:sz="0" w:space="0" w:color="auto"/>
      </w:divBdr>
    </w:div>
    <w:div w:id="857046275">
      <w:bodyDiv w:val="1"/>
      <w:marLeft w:val="0"/>
      <w:marRight w:val="0"/>
      <w:marTop w:val="0"/>
      <w:marBottom w:val="0"/>
      <w:divBdr>
        <w:top w:val="none" w:sz="0" w:space="0" w:color="auto"/>
        <w:left w:val="none" w:sz="0" w:space="0" w:color="auto"/>
        <w:bottom w:val="none" w:sz="0" w:space="0" w:color="auto"/>
        <w:right w:val="none" w:sz="0" w:space="0" w:color="auto"/>
      </w:divBdr>
    </w:div>
    <w:div w:id="857963494">
      <w:bodyDiv w:val="1"/>
      <w:marLeft w:val="0"/>
      <w:marRight w:val="0"/>
      <w:marTop w:val="0"/>
      <w:marBottom w:val="0"/>
      <w:divBdr>
        <w:top w:val="none" w:sz="0" w:space="0" w:color="auto"/>
        <w:left w:val="none" w:sz="0" w:space="0" w:color="auto"/>
        <w:bottom w:val="none" w:sz="0" w:space="0" w:color="auto"/>
        <w:right w:val="none" w:sz="0" w:space="0" w:color="auto"/>
      </w:divBdr>
    </w:div>
    <w:div w:id="859004236">
      <w:bodyDiv w:val="1"/>
      <w:marLeft w:val="0"/>
      <w:marRight w:val="0"/>
      <w:marTop w:val="0"/>
      <w:marBottom w:val="0"/>
      <w:divBdr>
        <w:top w:val="none" w:sz="0" w:space="0" w:color="auto"/>
        <w:left w:val="none" w:sz="0" w:space="0" w:color="auto"/>
        <w:bottom w:val="none" w:sz="0" w:space="0" w:color="auto"/>
        <w:right w:val="none" w:sz="0" w:space="0" w:color="auto"/>
      </w:divBdr>
    </w:div>
    <w:div w:id="859391313">
      <w:bodyDiv w:val="1"/>
      <w:marLeft w:val="0"/>
      <w:marRight w:val="0"/>
      <w:marTop w:val="0"/>
      <w:marBottom w:val="0"/>
      <w:divBdr>
        <w:top w:val="none" w:sz="0" w:space="0" w:color="auto"/>
        <w:left w:val="none" w:sz="0" w:space="0" w:color="auto"/>
        <w:bottom w:val="none" w:sz="0" w:space="0" w:color="auto"/>
        <w:right w:val="none" w:sz="0" w:space="0" w:color="auto"/>
      </w:divBdr>
    </w:div>
    <w:div w:id="859464631">
      <w:bodyDiv w:val="1"/>
      <w:marLeft w:val="0"/>
      <w:marRight w:val="0"/>
      <w:marTop w:val="0"/>
      <w:marBottom w:val="0"/>
      <w:divBdr>
        <w:top w:val="none" w:sz="0" w:space="0" w:color="auto"/>
        <w:left w:val="none" w:sz="0" w:space="0" w:color="auto"/>
        <w:bottom w:val="none" w:sz="0" w:space="0" w:color="auto"/>
        <w:right w:val="none" w:sz="0" w:space="0" w:color="auto"/>
      </w:divBdr>
    </w:div>
    <w:div w:id="860240968">
      <w:bodyDiv w:val="1"/>
      <w:marLeft w:val="0"/>
      <w:marRight w:val="0"/>
      <w:marTop w:val="0"/>
      <w:marBottom w:val="0"/>
      <w:divBdr>
        <w:top w:val="none" w:sz="0" w:space="0" w:color="auto"/>
        <w:left w:val="none" w:sz="0" w:space="0" w:color="auto"/>
        <w:bottom w:val="none" w:sz="0" w:space="0" w:color="auto"/>
        <w:right w:val="none" w:sz="0" w:space="0" w:color="auto"/>
      </w:divBdr>
    </w:div>
    <w:div w:id="860388344">
      <w:bodyDiv w:val="1"/>
      <w:marLeft w:val="0"/>
      <w:marRight w:val="0"/>
      <w:marTop w:val="0"/>
      <w:marBottom w:val="0"/>
      <w:divBdr>
        <w:top w:val="none" w:sz="0" w:space="0" w:color="auto"/>
        <w:left w:val="none" w:sz="0" w:space="0" w:color="auto"/>
        <w:bottom w:val="none" w:sz="0" w:space="0" w:color="auto"/>
        <w:right w:val="none" w:sz="0" w:space="0" w:color="auto"/>
      </w:divBdr>
    </w:div>
    <w:div w:id="860509530">
      <w:bodyDiv w:val="1"/>
      <w:marLeft w:val="0"/>
      <w:marRight w:val="0"/>
      <w:marTop w:val="0"/>
      <w:marBottom w:val="0"/>
      <w:divBdr>
        <w:top w:val="none" w:sz="0" w:space="0" w:color="auto"/>
        <w:left w:val="none" w:sz="0" w:space="0" w:color="auto"/>
        <w:bottom w:val="none" w:sz="0" w:space="0" w:color="auto"/>
        <w:right w:val="none" w:sz="0" w:space="0" w:color="auto"/>
      </w:divBdr>
    </w:div>
    <w:div w:id="860973875">
      <w:bodyDiv w:val="1"/>
      <w:marLeft w:val="0"/>
      <w:marRight w:val="0"/>
      <w:marTop w:val="0"/>
      <w:marBottom w:val="0"/>
      <w:divBdr>
        <w:top w:val="none" w:sz="0" w:space="0" w:color="auto"/>
        <w:left w:val="none" w:sz="0" w:space="0" w:color="auto"/>
        <w:bottom w:val="none" w:sz="0" w:space="0" w:color="auto"/>
        <w:right w:val="none" w:sz="0" w:space="0" w:color="auto"/>
      </w:divBdr>
    </w:div>
    <w:div w:id="861240884">
      <w:bodyDiv w:val="1"/>
      <w:marLeft w:val="0"/>
      <w:marRight w:val="0"/>
      <w:marTop w:val="0"/>
      <w:marBottom w:val="0"/>
      <w:divBdr>
        <w:top w:val="none" w:sz="0" w:space="0" w:color="auto"/>
        <w:left w:val="none" w:sz="0" w:space="0" w:color="auto"/>
        <w:bottom w:val="none" w:sz="0" w:space="0" w:color="auto"/>
        <w:right w:val="none" w:sz="0" w:space="0" w:color="auto"/>
      </w:divBdr>
    </w:div>
    <w:div w:id="862746881">
      <w:bodyDiv w:val="1"/>
      <w:marLeft w:val="0"/>
      <w:marRight w:val="0"/>
      <w:marTop w:val="0"/>
      <w:marBottom w:val="0"/>
      <w:divBdr>
        <w:top w:val="none" w:sz="0" w:space="0" w:color="auto"/>
        <w:left w:val="none" w:sz="0" w:space="0" w:color="auto"/>
        <w:bottom w:val="none" w:sz="0" w:space="0" w:color="auto"/>
        <w:right w:val="none" w:sz="0" w:space="0" w:color="auto"/>
      </w:divBdr>
    </w:div>
    <w:div w:id="863862128">
      <w:bodyDiv w:val="1"/>
      <w:marLeft w:val="0"/>
      <w:marRight w:val="0"/>
      <w:marTop w:val="0"/>
      <w:marBottom w:val="0"/>
      <w:divBdr>
        <w:top w:val="none" w:sz="0" w:space="0" w:color="auto"/>
        <w:left w:val="none" w:sz="0" w:space="0" w:color="auto"/>
        <w:bottom w:val="none" w:sz="0" w:space="0" w:color="auto"/>
        <w:right w:val="none" w:sz="0" w:space="0" w:color="auto"/>
      </w:divBdr>
    </w:div>
    <w:div w:id="866717574">
      <w:bodyDiv w:val="1"/>
      <w:marLeft w:val="0"/>
      <w:marRight w:val="0"/>
      <w:marTop w:val="0"/>
      <w:marBottom w:val="0"/>
      <w:divBdr>
        <w:top w:val="none" w:sz="0" w:space="0" w:color="auto"/>
        <w:left w:val="none" w:sz="0" w:space="0" w:color="auto"/>
        <w:bottom w:val="none" w:sz="0" w:space="0" w:color="auto"/>
        <w:right w:val="none" w:sz="0" w:space="0" w:color="auto"/>
      </w:divBdr>
    </w:div>
    <w:div w:id="867304580">
      <w:bodyDiv w:val="1"/>
      <w:marLeft w:val="0"/>
      <w:marRight w:val="0"/>
      <w:marTop w:val="0"/>
      <w:marBottom w:val="0"/>
      <w:divBdr>
        <w:top w:val="none" w:sz="0" w:space="0" w:color="auto"/>
        <w:left w:val="none" w:sz="0" w:space="0" w:color="auto"/>
        <w:bottom w:val="none" w:sz="0" w:space="0" w:color="auto"/>
        <w:right w:val="none" w:sz="0" w:space="0" w:color="auto"/>
      </w:divBdr>
    </w:div>
    <w:div w:id="867569458">
      <w:bodyDiv w:val="1"/>
      <w:marLeft w:val="0"/>
      <w:marRight w:val="0"/>
      <w:marTop w:val="0"/>
      <w:marBottom w:val="0"/>
      <w:divBdr>
        <w:top w:val="none" w:sz="0" w:space="0" w:color="auto"/>
        <w:left w:val="none" w:sz="0" w:space="0" w:color="auto"/>
        <w:bottom w:val="none" w:sz="0" w:space="0" w:color="auto"/>
        <w:right w:val="none" w:sz="0" w:space="0" w:color="auto"/>
      </w:divBdr>
    </w:div>
    <w:div w:id="868302066">
      <w:bodyDiv w:val="1"/>
      <w:marLeft w:val="0"/>
      <w:marRight w:val="0"/>
      <w:marTop w:val="0"/>
      <w:marBottom w:val="0"/>
      <w:divBdr>
        <w:top w:val="none" w:sz="0" w:space="0" w:color="auto"/>
        <w:left w:val="none" w:sz="0" w:space="0" w:color="auto"/>
        <w:bottom w:val="none" w:sz="0" w:space="0" w:color="auto"/>
        <w:right w:val="none" w:sz="0" w:space="0" w:color="auto"/>
      </w:divBdr>
    </w:div>
    <w:div w:id="868379210">
      <w:bodyDiv w:val="1"/>
      <w:marLeft w:val="0"/>
      <w:marRight w:val="0"/>
      <w:marTop w:val="0"/>
      <w:marBottom w:val="0"/>
      <w:divBdr>
        <w:top w:val="none" w:sz="0" w:space="0" w:color="auto"/>
        <w:left w:val="none" w:sz="0" w:space="0" w:color="auto"/>
        <w:bottom w:val="none" w:sz="0" w:space="0" w:color="auto"/>
        <w:right w:val="none" w:sz="0" w:space="0" w:color="auto"/>
      </w:divBdr>
    </w:div>
    <w:div w:id="869150660">
      <w:bodyDiv w:val="1"/>
      <w:marLeft w:val="0"/>
      <w:marRight w:val="0"/>
      <w:marTop w:val="0"/>
      <w:marBottom w:val="0"/>
      <w:divBdr>
        <w:top w:val="none" w:sz="0" w:space="0" w:color="auto"/>
        <w:left w:val="none" w:sz="0" w:space="0" w:color="auto"/>
        <w:bottom w:val="none" w:sz="0" w:space="0" w:color="auto"/>
        <w:right w:val="none" w:sz="0" w:space="0" w:color="auto"/>
      </w:divBdr>
    </w:div>
    <w:div w:id="869300727">
      <w:bodyDiv w:val="1"/>
      <w:marLeft w:val="0"/>
      <w:marRight w:val="0"/>
      <w:marTop w:val="0"/>
      <w:marBottom w:val="0"/>
      <w:divBdr>
        <w:top w:val="none" w:sz="0" w:space="0" w:color="auto"/>
        <w:left w:val="none" w:sz="0" w:space="0" w:color="auto"/>
        <w:bottom w:val="none" w:sz="0" w:space="0" w:color="auto"/>
        <w:right w:val="none" w:sz="0" w:space="0" w:color="auto"/>
      </w:divBdr>
    </w:div>
    <w:div w:id="870532968">
      <w:bodyDiv w:val="1"/>
      <w:marLeft w:val="0"/>
      <w:marRight w:val="0"/>
      <w:marTop w:val="0"/>
      <w:marBottom w:val="0"/>
      <w:divBdr>
        <w:top w:val="none" w:sz="0" w:space="0" w:color="auto"/>
        <w:left w:val="none" w:sz="0" w:space="0" w:color="auto"/>
        <w:bottom w:val="none" w:sz="0" w:space="0" w:color="auto"/>
        <w:right w:val="none" w:sz="0" w:space="0" w:color="auto"/>
      </w:divBdr>
    </w:div>
    <w:div w:id="872350980">
      <w:bodyDiv w:val="1"/>
      <w:marLeft w:val="0"/>
      <w:marRight w:val="0"/>
      <w:marTop w:val="0"/>
      <w:marBottom w:val="0"/>
      <w:divBdr>
        <w:top w:val="none" w:sz="0" w:space="0" w:color="auto"/>
        <w:left w:val="none" w:sz="0" w:space="0" w:color="auto"/>
        <w:bottom w:val="none" w:sz="0" w:space="0" w:color="auto"/>
        <w:right w:val="none" w:sz="0" w:space="0" w:color="auto"/>
      </w:divBdr>
    </w:div>
    <w:div w:id="872693134">
      <w:bodyDiv w:val="1"/>
      <w:marLeft w:val="0"/>
      <w:marRight w:val="0"/>
      <w:marTop w:val="0"/>
      <w:marBottom w:val="0"/>
      <w:divBdr>
        <w:top w:val="none" w:sz="0" w:space="0" w:color="auto"/>
        <w:left w:val="none" w:sz="0" w:space="0" w:color="auto"/>
        <w:bottom w:val="none" w:sz="0" w:space="0" w:color="auto"/>
        <w:right w:val="none" w:sz="0" w:space="0" w:color="auto"/>
      </w:divBdr>
    </w:div>
    <w:div w:id="873494373">
      <w:bodyDiv w:val="1"/>
      <w:marLeft w:val="0"/>
      <w:marRight w:val="0"/>
      <w:marTop w:val="0"/>
      <w:marBottom w:val="0"/>
      <w:divBdr>
        <w:top w:val="none" w:sz="0" w:space="0" w:color="auto"/>
        <w:left w:val="none" w:sz="0" w:space="0" w:color="auto"/>
        <w:bottom w:val="none" w:sz="0" w:space="0" w:color="auto"/>
        <w:right w:val="none" w:sz="0" w:space="0" w:color="auto"/>
      </w:divBdr>
    </w:div>
    <w:div w:id="874539929">
      <w:bodyDiv w:val="1"/>
      <w:marLeft w:val="0"/>
      <w:marRight w:val="0"/>
      <w:marTop w:val="0"/>
      <w:marBottom w:val="0"/>
      <w:divBdr>
        <w:top w:val="none" w:sz="0" w:space="0" w:color="auto"/>
        <w:left w:val="none" w:sz="0" w:space="0" w:color="auto"/>
        <w:bottom w:val="none" w:sz="0" w:space="0" w:color="auto"/>
        <w:right w:val="none" w:sz="0" w:space="0" w:color="auto"/>
      </w:divBdr>
    </w:div>
    <w:div w:id="874778559">
      <w:bodyDiv w:val="1"/>
      <w:marLeft w:val="0"/>
      <w:marRight w:val="0"/>
      <w:marTop w:val="0"/>
      <w:marBottom w:val="0"/>
      <w:divBdr>
        <w:top w:val="none" w:sz="0" w:space="0" w:color="auto"/>
        <w:left w:val="none" w:sz="0" w:space="0" w:color="auto"/>
        <w:bottom w:val="none" w:sz="0" w:space="0" w:color="auto"/>
        <w:right w:val="none" w:sz="0" w:space="0" w:color="auto"/>
      </w:divBdr>
    </w:div>
    <w:div w:id="876043249">
      <w:bodyDiv w:val="1"/>
      <w:marLeft w:val="0"/>
      <w:marRight w:val="0"/>
      <w:marTop w:val="0"/>
      <w:marBottom w:val="0"/>
      <w:divBdr>
        <w:top w:val="none" w:sz="0" w:space="0" w:color="auto"/>
        <w:left w:val="none" w:sz="0" w:space="0" w:color="auto"/>
        <w:bottom w:val="none" w:sz="0" w:space="0" w:color="auto"/>
        <w:right w:val="none" w:sz="0" w:space="0" w:color="auto"/>
      </w:divBdr>
    </w:div>
    <w:div w:id="876283199">
      <w:bodyDiv w:val="1"/>
      <w:marLeft w:val="0"/>
      <w:marRight w:val="0"/>
      <w:marTop w:val="0"/>
      <w:marBottom w:val="0"/>
      <w:divBdr>
        <w:top w:val="none" w:sz="0" w:space="0" w:color="auto"/>
        <w:left w:val="none" w:sz="0" w:space="0" w:color="auto"/>
        <w:bottom w:val="none" w:sz="0" w:space="0" w:color="auto"/>
        <w:right w:val="none" w:sz="0" w:space="0" w:color="auto"/>
      </w:divBdr>
    </w:div>
    <w:div w:id="877089841">
      <w:bodyDiv w:val="1"/>
      <w:marLeft w:val="0"/>
      <w:marRight w:val="0"/>
      <w:marTop w:val="0"/>
      <w:marBottom w:val="0"/>
      <w:divBdr>
        <w:top w:val="none" w:sz="0" w:space="0" w:color="auto"/>
        <w:left w:val="none" w:sz="0" w:space="0" w:color="auto"/>
        <w:bottom w:val="none" w:sz="0" w:space="0" w:color="auto"/>
        <w:right w:val="none" w:sz="0" w:space="0" w:color="auto"/>
      </w:divBdr>
    </w:div>
    <w:div w:id="877281245">
      <w:bodyDiv w:val="1"/>
      <w:marLeft w:val="0"/>
      <w:marRight w:val="0"/>
      <w:marTop w:val="0"/>
      <w:marBottom w:val="0"/>
      <w:divBdr>
        <w:top w:val="none" w:sz="0" w:space="0" w:color="auto"/>
        <w:left w:val="none" w:sz="0" w:space="0" w:color="auto"/>
        <w:bottom w:val="none" w:sz="0" w:space="0" w:color="auto"/>
        <w:right w:val="none" w:sz="0" w:space="0" w:color="auto"/>
      </w:divBdr>
    </w:div>
    <w:div w:id="878280252">
      <w:bodyDiv w:val="1"/>
      <w:marLeft w:val="0"/>
      <w:marRight w:val="0"/>
      <w:marTop w:val="0"/>
      <w:marBottom w:val="0"/>
      <w:divBdr>
        <w:top w:val="none" w:sz="0" w:space="0" w:color="auto"/>
        <w:left w:val="none" w:sz="0" w:space="0" w:color="auto"/>
        <w:bottom w:val="none" w:sz="0" w:space="0" w:color="auto"/>
        <w:right w:val="none" w:sz="0" w:space="0" w:color="auto"/>
      </w:divBdr>
    </w:div>
    <w:div w:id="878319524">
      <w:bodyDiv w:val="1"/>
      <w:marLeft w:val="0"/>
      <w:marRight w:val="0"/>
      <w:marTop w:val="0"/>
      <w:marBottom w:val="0"/>
      <w:divBdr>
        <w:top w:val="none" w:sz="0" w:space="0" w:color="auto"/>
        <w:left w:val="none" w:sz="0" w:space="0" w:color="auto"/>
        <w:bottom w:val="none" w:sz="0" w:space="0" w:color="auto"/>
        <w:right w:val="none" w:sz="0" w:space="0" w:color="auto"/>
      </w:divBdr>
    </w:div>
    <w:div w:id="879900206">
      <w:bodyDiv w:val="1"/>
      <w:marLeft w:val="0"/>
      <w:marRight w:val="0"/>
      <w:marTop w:val="0"/>
      <w:marBottom w:val="0"/>
      <w:divBdr>
        <w:top w:val="none" w:sz="0" w:space="0" w:color="auto"/>
        <w:left w:val="none" w:sz="0" w:space="0" w:color="auto"/>
        <w:bottom w:val="none" w:sz="0" w:space="0" w:color="auto"/>
        <w:right w:val="none" w:sz="0" w:space="0" w:color="auto"/>
      </w:divBdr>
    </w:div>
    <w:div w:id="880482296">
      <w:bodyDiv w:val="1"/>
      <w:marLeft w:val="0"/>
      <w:marRight w:val="0"/>
      <w:marTop w:val="0"/>
      <w:marBottom w:val="0"/>
      <w:divBdr>
        <w:top w:val="none" w:sz="0" w:space="0" w:color="auto"/>
        <w:left w:val="none" w:sz="0" w:space="0" w:color="auto"/>
        <w:bottom w:val="none" w:sz="0" w:space="0" w:color="auto"/>
        <w:right w:val="none" w:sz="0" w:space="0" w:color="auto"/>
      </w:divBdr>
    </w:div>
    <w:div w:id="882592448">
      <w:bodyDiv w:val="1"/>
      <w:marLeft w:val="0"/>
      <w:marRight w:val="0"/>
      <w:marTop w:val="0"/>
      <w:marBottom w:val="0"/>
      <w:divBdr>
        <w:top w:val="none" w:sz="0" w:space="0" w:color="auto"/>
        <w:left w:val="none" w:sz="0" w:space="0" w:color="auto"/>
        <w:bottom w:val="none" w:sz="0" w:space="0" w:color="auto"/>
        <w:right w:val="none" w:sz="0" w:space="0" w:color="auto"/>
      </w:divBdr>
    </w:div>
    <w:div w:id="883833031">
      <w:bodyDiv w:val="1"/>
      <w:marLeft w:val="0"/>
      <w:marRight w:val="0"/>
      <w:marTop w:val="0"/>
      <w:marBottom w:val="0"/>
      <w:divBdr>
        <w:top w:val="none" w:sz="0" w:space="0" w:color="auto"/>
        <w:left w:val="none" w:sz="0" w:space="0" w:color="auto"/>
        <w:bottom w:val="none" w:sz="0" w:space="0" w:color="auto"/>
        <w:right w:val="none" w:sz="0" w:space="0" w:color="auto"/>
      </w:divBdr>
    </w:div>
    <w:div w:id="885482417">
      <w:bodyDiv w:val="1"/>
      <w:marLeft w:val="0"/>
      <w:marRight w:val="0"/>
      <w:marTop w:val="0"/>
      <w:marBottom w:val="0"/>
      <w:divBdr>
        <w:top w:val="none" w:sz="0" w:space="0" w:color="auto"/>
        <w:left w:val="none" w:sz="0" w:space="0" w:color="auto"/>
        <w:bottom w:val="none" w:sz="0" w:space="0" w:color="auto"/>
        <w:right w:val="none" w:sz="0" w:space="0" w:color="auto"/>
      </w:divBdr>
    </w:div>
    <w:div w:id="886572176">
      <w:bodyDiv w:val="1"/>
      <w:marLeft w:val="0"/>
      <w:marRight w:val="0"/>
      <w:marTop w:val="0"/>
      <w:marBottom w:val="0"/>
      <w:divBdr>
        <w:top w:val="none" w:sz="0" w:space="0" w:color="auto"/>
        <w:left w:val="none" w:sz="0" w:space="0" w:color="auto"/>
        <w:bottom w:val="none" w:sz="0" w:space="0" w:color="auto"/>
        <w:right w:val="none" w:sz="0" w:space="0" w:color="auto"/>
      </w:divBdr>
    </w:div>
    <w:div w:id="886720416">
      <w:bodyDiv w:val="1"/>
      <w:marLeft w:val="0"/>
      <w:marRight w:val="0"/>
      <w:marTop w:val="0"/>
      <w:marBottom w:val="0"/>
      <w:divBdr>
        <w:top w:val="none" w:sz="0" w:space="0" w:color="auto"/>
        <w:left w:val="none" w:sz="0" w:space="0" w:color="auto"/>
        <w:bottom w:val="none" w:sz="0" w:space="0" w:color="auto"/>
        <w:right w:val="none" w:sz="0" w:space="0" w:color="auto"/>
      </w:divBdr>
    </w:div>
    <w:div w:id="887376396">
      <w:bodyDiv w:val="1"/>
      <w:marLeft w:val="0"/>
      <w:marRight w:val="0"/>
      <w:marTop w:val="0"/>
      <w:marBottom w:val="0"/>
      <w:divBdr>
        <w:top w:val="none" w:sz="0" w:space="0" w:color="auto"/>
        <w:left w:val="none" w:sz="0" w:space="0" w:color="auto"/>
        <w:bottom w:val="none" w:sz="0" w:space="0" w:color="auto"/>
        <w:right w:val="none" w:sz="0" w:space="0" w:color="auto"/>
      </w:divBdr>
    </w:div>
    <w:div w:id="887644240">
      <w:bodyDiv w:val="1"/>
      <w:marLeft w:val="0"/>
      <w:marRight w:val="0"/>
      <w:marTop w:val="0"/>
      <w:marBottom w:val="0"/>
      <w:divBdr>
        <w:top w:val="none" w:sz="0" w:space="0" w:color="auto"/>
        <w:left w:val="none" w:sz="0" w:space="0" w:color="auto"/>
        <w:bottom w:val="none" w:sz="0" w:space="0" w:color="auto"/>
        <w:right w:val="none" w:sz="0" w:space="0" w:color="auto"/>
      </w:divBdr>
    </w:div>
    <w:div w:id="888959134">
      <w:bodyDiv w:val="1"/>
      <w:marLeft w:val="0"/>
      <w:marRight w:val="0"/>
      <w:marTop w:val="0"/>
      <w:marBottom w:val="0"/>
      <w:divBdr>
        <w:top w:val="none" w:sz="0" w:space="0" w:color="auto"/>
        <w:left w:val="none" w:sz="0" w:space="0" w:color="auto"/>
        <w:bottom w:val="none" w:sz="0" w:space="0" w:color="auto"/>
        <w:right w:val="none" w:sz="0" w:space="0" w:color="auto"/>
      </w:divBdr>
    </w:div>
    <w:div w:id="889419735">
      <w:bodyDiv w:val="1"/>
      <w:marLeft w:val="0"/>
      <w:marRight w:val="0"/>
      <w:marTop w:val="0"/>
      <w:marBottom w:val="0"/>
      <w:divBdr>
        <w:top w:val="none" w:sz="0" w:space="0" w:color="auto"/>
        <w:left w:val="none" w:sz="0" w:space="0" w:color="auto"/>
        <w:bottom w:val="none" w:sz="0" w:space="0" w:color="auto"/>
        <w:right w:val="none" w:sz="0" w:space="0" w:color="auto"/>
      </w:divBdr>
    </w:div>
    <w:div w:id="889926791">
      <w:bodyDiv w:val="1"/>
      <w:marLeft w:val="0"/>
      <w:marRight w:val="0"/>
      <w:marTop w:val="0"/>
      <w:marBottom w:val="0"/>
      <w:divBdr>
        <w:top w:val="none" w:sz="0" w:space="0" w:color="auto"/>
        <w:left w:val="none" w:sz="0" w:space="0" w:color="auto"/>
        <w:bottom w:val="none" w:sz="0" w:space="0" w:color="auto"/>
        <w:right w:val="none" w:sz="0" w:space="0" w:color="auto"/>
      </w:divBdr>
    </w:div>
    <w:div w:id="890116109">
      <w:bodyDiv w:val="1"/>
      <w:marLeft w:val="0"/>
      <w:marRight w:val="0"/>
      <w:marTop w:val="0"/>
      <w:marBottom w:val="0"/>
      <w:divBdr>
        <w:top w:val="none" w:sz="0" w:space="0" w:color="auto"/>
        <w:left w:val="none" w:sz="0" w:space="0" w:color="auto"/>
        <w:bottom w:val="none" w:sz="0" w:space="0" w:color="auto"/>
        <w:right w:val="none" w:sz="0" w:space="0" w:color="auto"/>
      </w:divBdr>
    </w:div>
    <w:div w:id="890270895">
      <w:bodyDiv w:val="1"/>
      <w:marLeft w:val="0"/>
      <w:marRight w:val="0"/>
      <w:marTop w:val="0"/>
      <w:marBottom w:val="0"/>
      <w:divBdr>
        <w:top w:val="none" w:sz="0" w:space="0" w:color="auto"/>
        <w:left w:val="none" w:sz="0" w:space="0" w:color="auto"/>
        <w:bottom w:val="none" w:sz="0" w:space="0" w:color="auto"/>
        <w:right w:val="none" w:sz="0" w:space="0" w:color="auto"/>
      </w:divBdr>
    </w:div>
    <w:div w:id="891696410">
      <w:bodyDiv w:val="1"/>
      <w:marLeft w:val="0"/>
      <w:marRight w:val="0"/>
      <w:marTop w:val="0"/>
      <w:marBottom w:val="0"/>
      <w:divBdr>
        <w:top w:val="none" w:sz="0" w:space="0" w:color="auto"/>
        <w:left w:val="none" w:sz="0" w:space="0" w:color="auto"/>
        <w:bottom w:val="none" w:sz="0" w:space="0" w:color="auto"/>
        <w:right w:val="none" w:sz="0" w:space="0" w:color="auto"/>
      </w:divBdr>
    </w:div>
    <w:div w:id="891841468">
      <w:bodyDiv w:val="1"/>
      <w:marLeft w:val="0"/>
      <w:marRight w:val="0"/>
      <w:marTop w:val="0"/>
      <w:marBottom w:val="0"/>
      <w:divBdr>
        <w:top w:val="none" w:sz="0" w:space="0" w:color="auto"/>
        <w:left w:val="none" w:sz="0" w:space="0" w:color="auto"/>
        <w:bottom w:val="none" w:sz="0" w:space="0" w:color="auto"/>
        <w:right w:val="none" w:sz="0" w:space="0" w:color="auto"/>
      </w:divBdr>
    </w:div>
    <w:div w:id="892545335">
      <w:bodyDiv w:val="1"/>
      <w:marLeft w:val="0"/>
      <w:marRight w:val="0"/>
      <w:marTop w:val="0"/>
      <w:marBottom w:val="0"/>
      <w:divBdr>
        <w:top w:val="none" w:sz="0" w:space="0" w:color="auto"/>
        <w:left w:val="none" w:sz="0" w:space="0" w:color="auto"/>
        <w:bottom w:val="none" w:sz="0" w:space="0" w:color="auto"/>
        <w:right w:val="none" w:sz="0" w:space="0" w:color="auto"/>
      </w:divBdr>
    </w:div>
    <w:div w:id="894393532">
      <w:bodyDiv w:val="1"/>
      <w:marLeft w:val="0"/>
      <w:marRight w:val="0"/>
      <w:marTop w:val="0"/>
      <w:marBottom w:val="0"/>
      <w:divBdr>
        <w:top w:val="none" w:sz="0" w:space="0" w:color="auto"/>
        <w:left w:val="none" w:sz="0" w:space="0" w:color="auto"/>
        <w:bottom w:val="none" w:sz="0" w:space="0" w:color="auto"/>
        <w:right w:val="none" w:sz="0" w:space="0" w:color="auto"/>
      </w:divBdr>
    </w:div>
    <w:div w:id="894783168">
      <w:bodyDiv w:val="1"/>
      <w:marLeft w:val="0"/>
      <w:marRight w:val="0"/>
      <w:marTop w:val="0"/>
      <w:marBottom w:val="0"/>
      <w:divBdr>
        <w:top w:val="none" w:sz="0" w:space="0" w:color="auto"/>
        <w:left w:val="none" w:sz="0" w:space="0" w:color="auto"/>
        <w:bottom w:val="none" w:sz="0" w:space="0" w:color="auto"/>
        <w:right w:val="none" w:sz="0" w:space="0" w:color="auto"/>
      </w:divBdr>
    </w:div>
    <w:div w:id="894968108">
      <w:bodyDiv w:val="1"/>
      <w:marLeft w:val="0"/>
      <w:marRight w:val="0"/>
      <w:marTop w:val="0"/>
      <w:marBottom w:val="0"/>
      <w:divBdr>
        <w:top w:val="none" w:sz="0" w:space="0" w:color="auto"/>
        <w:left w:val="none" w:sz="0" w:space="0" w:color="auto"/>
        <w:bottom w:val="none" w:sz="0" w:space="0" w:color="auto"/>
        <w:right w:val="none" w:sz="0" w:space="0" w:color="auto"/>
      </w:divBdr>
    </w:div>
    <w:div w:id="895702463">
      <w:bodyDiv w:val="1"/>
      <w:marLeft w:val="0"/>
      <w:marRight w:val="0"/>
      <w:marTop w:val="0"/>
      <w:marBottom w:val="0"/>
      <w:divBdr>
        <w:top w:val="none" w:sz="0" w:space="0" w:color="auto"/>
        <w:left w:val="none" w:sz="0" w:space="0" w:color="auto"/>
        <w:bottom w:val="none" w:sz="0" w:space="0" w:color="auto"/>
        <w:right w:val="none" w:sz="0" w:space="0" w:color="auto"/>
      </w:divBdr>
    </w:div>
    <w:div w:id="895891590">
      <w:bodyDiv w:val="1"/>
      <w:marLeft w:val="0"/>
      <w:marRight w:val="0"/>
      <w:marTop w:val="0"/>
      <w:marBottom w:val="0"/>
      <w:divBdr>
        <w:top w:val="none" w:sz="0" w:space="0" w:color="auto"/>
        <w:left w:val="none" w:sz="0" w:space="0" w:color="auto"/>
        <w:bottom w:val="none" w:sz="0" w:space="0" w:color="auto"/>
        <w:right w:val="none" w:sz="0" w:space="0" w:color="auto"/>
      </w:divBdr>
    </w:div>
    <w:div w:id="896161338">
      <w:bodyDiv w:val="1"/>
      <w:marLeft w:val="0"/>
      <w:marRight w:val="0"/>
      <w:marTop w:val="0"/>
      <w:marBottom w:val="0"/>
      <w:divBdr>
        <w:top w:val="none" w:sz="0" w:space="0" w:color="auto"/>
        <w:left w:val="none" w:sz="0" w:space="0" w:color="auto"/>
        <w:bottom w:val="none" w:sz="0" w:space="0" w:color="auto"/>
        <w:right w:val="none" w:sz="0" w:space="0" w:color="auto"/>
      </w:divBdr>
    </w:div>
    <w:div w:id="897324911">
      <w:bodyDiv w:val="1"/>
      <w:marLeft w:val="0"/>
      <w:marRight w:val="0"/>
      <w:marTop w:val="0"/>
      <w:marBottom w:val="0"/>
      <w:divBdr>
        <w:top w:val="none" w:sz="0" w:space="0" w:color="auto"/>
        <w:left w:val="none" w:sz="0" w:space="0" w:color="auto"/>
        <w:bottom w:val="none" w:sz="0" w:space="0" w:color="auto"/>
        <w:right w:val="none" w:sz="0" w:space="0" w:color="auto"/>
      </w:divBdr>
    </w:div>
    <w:div w:id="897981377">
      <w:bodyDiv w:val="1"/>
      <w:marLeft w:val="0"/>
      <w:marRight w:val="0"/>
      <w:marTop w:val="0"/>
      <w:marBottom w:val="0"/>
      <w:divBdr>
        <w:top w:val="none" w:sz="0" w:space="0" w:color="auto"/>
        <w:left w:val="none" w:sz="0" w:space="0" w:color="auto"/>
        <w:bottom w:val="none" w:sz="0" w:space="0" w:color="auto"/>
        <w:right w:val="none" w:sz="0" w:space="0" w:color="auto"/>
      </w:divBdr>
    </w:div>
    <w:div w:id="898125233">
      <w:bodyDiv w:val="1"/>
      <w:marLeft w:val="0"/>
      <w:marRight w:val="0"/>
      <w:marTop w:val="0"/>
      <w:marBottom w:val="0"/>
      <w:divBdr>
        <w:top w:val="none" w:sz="0" w:space="0" w:color="auto"/>
        <w:left w:val="none" w:sz="0" w:space="0" w:color="auto"/>
        <w:bottom w:val="none" w:sz="0" w:space="0" w:color="auto"/>
        <w:right w:val="none" w:sz="0" w:space="0" w:color="auto"/>
      </w:divBdr>
    </w:div>
    <w:div w:id="898780945">
      <w:bodyDiv w:val="1"/>
      <w:marLeft w:val="0"/>
      <w:marRight w:val="0"/>
      <w:marTop w:val="0"/>
      <w:marBottom w:val="0"/>
      <w:divBdr>
        <w:top w:val="none" w:sz="0" w:space="0" w:color="auto"/>
        <w:left w:val="none" w:sz="0" w:space="0" w:color="auto"/>
        <w:bottom w:val="none" w:sz="0" w:space="0" w:color="auto"/>
        <w:right w:val="none" w:sz="0" w:space="0" w:color="auto"/>
      </w:divBdr>
    </w:div>
    <w:div w:id="899099999">
      <w:bodyDiv w:val="1"/>
      <w:marLeft w:val="0"/>
      <w:marRight w:val="0"/>
      <w:marTop w:val="0"/>
      <w:marBottom w:val="0"/>
      <w:divBdr>
        <w:top w:val="none" w:sz="0" w:space="0" w:color="auto"/>
        <w:left w:val="none" w:sz="0" w:space="0" w:color="auto"/>
        <w:bottom w:val="none" w:sz="0" w:space="0" w:color="auto"/>
        <w:right w:val="none" w:sz="0" w:space="0" w:color="auto"/>
      </w:divBdr>
    </w:div>
    <w:div w:id="901211527">
      <w:bodyDiv w:val="1"/>
      <w:marLeft w:val="0"/>
      <w:marRight w:val="0"/>
      <w:marTop w:val="0"/>
      <w:marBottom w:val="0"/>
      <w:divBdr>
        <w:top w:val="none" w:sz="0" w:space="0" w:color="auto"/>
        <w:left w:val="none" w:sz="0" w:space="0" w:color="auto"/>
        <w:bottom w:val="none" w:sz="0" w:space="0" w:color="auto"/>
        <w:right w:val="none" w:sz="0" w:space="0" w:color="auto"/>
      </w:divBdr>
    </w:div>
    <w:div w:id="902527490">
      <w:bodyDiv w:val="1"/>
      <w:marLeft w:val="0"/>
      <w:marRight w:val="0"/>
      <w:marTop w:val="0"/>
      <w:marBottom w:val="0"/>
      <w:divBdr>
        <w:top w:val="none" w:sz="0" w:space="0" w:color="auto"/>
        <w:left w:val="none" w:sz="0" w:space="0" w:color="auto"/>
        <w:bottom w:val="none" w:sz="0" w:space="0" w:color="auto"/>
        <w:right w:val="none" w:sz="0" w:space="0" w:color="auto"/>
      </w:divBdr>
    </w:div>
    <w:div w:id="902911777">
      <w:bodyDiv w:val="1"/>
      <w:marLeft w:val="0"/>
      <w:marRight w:val="0"/>
      <w:marTop w:val="0"/>
      <w:marBottom w:val="0"/>
      <w:divBdr>
        <w:top w:val="none" w:sz="0" w:space="0" w:color="auto"/>
        <w:left w:val="none" w:sz="0" w:space="0" w:color="auto"/>
        <w:bottom w:val="none" w:sz="0" w:space="0" w:color="auto"/>
        <w:right w:val="none" w:sz="0" w:space="0" w:color="auto"/>
      </w:divBdr>
    </w:div>
    <w:div w:id="903685058">
      <w:bodyDiv w:val="1"/>
      <w:marLeft w:val="0"/>
      <w:marRight w:val="0"/>
      <w:marTop w:val="0"/>
      <w:marBottom w:val="0"/>
      <w:divBdr>
        <w:top w:val="none" w:sz="0" w:space="0" w:color="auto"/>
        <w:left w:val="none" w:sz="0" w:space="0" w:color="auto"/>
        <w:bottom w:val="none" w:sz="0" w:space="0" w:color="auto"/>
        <w:right w:val="none" w:sz="0" w:space="0" w:color="auto"/>
      </w:divBdr>
    </w:div>
    <w:div w:id="903955819">
      <w:bodyDiv w:val="1"/>
      <w:marLeft w:val="0"/>
      <w:marRight w:val="0"/>
      <w:marTop w:val="0"/>
      <w:marBottom w:val="0"/>
      <w:divBdr>
        <w:top w:val="none" w:sz="0" w:space="0" w:color="auto"/>
        <w:left w:val="none" w:sz="0" w:space="0" w:color="auto"/>
        <w:bottom w:val="none" w:sz="0" w:space="0" w:color="auto"/>
        <w:right w:val="none" w:sz="0" w:space="0" w:color="auto"/>
      </w:divBdr>
    </w:div>
    <w:div w:id="904493328">
      <w:bodyDiv w:val="1"/>
      <w:marLeft w:val="0"/>
      <w:marRight w:val="0"/>
      <w:marTop w:val="0"/>
      <w:marBottom w:val="0"/>
      <w:divBdr>
        <w:top w:val="none" w:sz="0" w:space="0" w:color="auto"/>
        <w:left w:val="none" w:sz="0" w:space="0" w:color="auto"/>
        <w:bottom w:val="none" w:sz="0" w:space="0" w:color="auto"/>
        <w:right w:val="none" w:sz="0" w:space="0" w:color="auto"/>
      </w:divBdr>
    </w:div>
    <w:div w:id="904604839">
      <w:bodyDiv w:val="1"/>
      <w:marLeft w:val="0"/>
      <w:marRight w:val="0"/>
      <w:marTop w:val="0"/>
      <w:marBottom w:val="0"/>
      <w:divBdr>
        <w:top w:val="none" w:sz="0" w:space="0" w:color="auto"/>
        <w:left w:val="none" w:sz="0" w:space="0" w:color="auto"/>
        <w:bottom w:val="none" w:sz="0" w:space="0" w:color="auto"/>
        <w:right w:val="none" w:sz="0" w:space="0" w:color="auto"/>
      </w:divBdr>
    </w:div>
    <w:div w:id="906722301">
      <w:bodyDiv w:val="1"/>
      <w:marLeft w:val="0"/>
      <w:marRight w:val="0"/>
      <w:marTop w:val="0"/>
      <w:marBottom w:val="0"/>
      <w:divBdr>
        <w:top w:val="none" w:sz="0" w:space="0" w:color="auto"/>
        <w:left w:val="none" w:sz="0" w:space="0" w:color="auto"/>
        <w:bottom w:val="none" w:sz="0" w:space="0" w:color="auto"/>
        <w:right w:val="none" w:sz="0" w:space="0" w:color="auto"/>
      </w:divBdr>
    </w:div>
    <w:div w:id="907610551">
      <w:bodyDiv w:val="1"/>
      <w:marLeft w:val="0"/>
      <w:marRight w:val="0"/>
      <w:marTop w:val="0"/>
      <w:marBottom w:val="0"/>
      <w:divBdr>
        <w:top w:val="none" w:sz="0" w:space="0" w:color="auto"/>
        <w:left w:val="none" w:sz="0" w:space="0" w:color="auto"/>
        <w:bottom w:val="none" w:sz="0" w:space="0" w:color="auto"/>
        <w:right w:val="none" w:sz="0" w:space="0" w:color="auto"/>
      </w:divBdr>
    </w:div>
    <w:div w:id="907809399">
      <w:bodyDiv w:val="1"/>
      <w:marLeft w:val="0"/>
      <w:marRight w:val="0"/>
      <w:marTop w:val="0"/>
      <w:marBottom w:val="0"/>
      <w:divBdr>
        <w:top w:val="none" w:sz="0" w:space="0" w:color="auto"/>
        <w:left w:val="none" w:sz="0" w:space="0" w:color="auto"/>
        <w:bottom w:val="none" w:sz="0" w:space="0" w:color="auto"/>
        <w:right w:val="none" w:sz="0" w:space="0" w:color="auto"/>
      </w:divBdr>
    </w:div>
    <w:div w:id="908272525">
      <w:bodyDiv w:val="1"/>
      <w:marLeft w:val="0"/>
      <w:marRight w:val="0"/>
      <w:marTop w:val="0"/>
      <w:marBottom w:val="0"/>
      <w:divBdr>
        <w:top w:val="none" w:sz="0" w:space="0" w:color="auto"/>
        <w:left w:val="none" w:sz="0" w:space="0" w:color="auto"/>
        <w:bottom w:val="none" w:sz="0" w:space="0" w:color="auto"/>
        <w:right w:val="none" w:sz="0" w:space="0" w:color="auto"/>
      </w:divBdr>
    </w:div>
    <w:div w:id="909651566">
      <w:bodyDiv w:val="1"/>
      <w:marLeft w:val="0"/>
      <w:marRight w:val="0"/>
      <w:marTop w:val="0"/>
      <w:marBottom w:val="0"/>
      <w:divBdr>
        <w:top w:val="none" w:sz="0" w:space="0" w:color="auto"/>
        <w:left w:val="none" w:sz="0" w:space="0" w:color="auto"/>
        <w:bottom w:val="none" w:sz="0" w:space="0" w:color="auto"/>
        <w:right w:val="none" w:sz="0" w:space="0" w:color="auto"/>
      </w:divBdr>
    </w:div>
    <w:div w:id="910121745">
      <w:bodyDiv w:val="1"/>
      <w:marLeft w:val="0"/>
      <w:marRight w:val="0"/>
      <w:marTop w:val="0"/>
      <w:marBottom w:val="0"/>
      <w:divBdr>
        <w:top w:val="none" w:sz="0" w:space="0" w:color="auto"/>
        <w:left w:val="none" w:sz="0" w:space="0" w:color="auto"/>
        <w:bottom w:val="none" w:sz="0" w:space="0" w:color="auto"/>
        <w:right w:val="none" w:sz="0" w:space="0" w:color="auto"/>
      </w:divBdr>
    </w:div>
    <w:div w:id="910852015">
      <w:bodyDiv w:val="1"/>
      <w:marLeft w:val="0"/>
      <w:marRight w:val="0"/>
      <w:marTop w:val="0"/>
      <w:marBottom w:val="0"/>
      <w:divBdr>
        <w:top w:val="none" w:sz="0" w:space="0" w:color="auto"/>
        <w:left w:val="none" w:sz="0" w:space="0" w:color="auto"/>
        <w:bottom w:val="none" w:sz="0" w:space="0" w:color="auto"/>
        <w:right w:val="none" w:sz="0" w:space="0" w:color="auto"/>
      </w:divBdr>
    </w:div>
    <w:div w:id="914164742">
      <w:bodyDiv w:val="1"/>
      <w:marLeft w:val="0"/>
      <w:marRight w:val="0"/>
      <w:marTop w:val="0"/>
      <w:marBottom w:val="0"/>
      <w:divBdr>
        <w:top w:val="none" w:sz="0" w:space="0" w:color="auto"/>
        <w:left w:val="none" w:sz="0" w:space="0" w:color="auto"/>
        <w:bottom w:val="none" w:sz="0" w:space="0" w:color="auto"/>
        <w:right w:val="none" w:sz="0" w:space="0" w:color="auto"/>
      </w:divBdr>
    </w:div>
    <w:div w:id="914701210">
      <w:bodyDiv w:val="1"/>
      <w:marLeft w:val="0"/>
      <w:marRight w:val="0"/>
      <w:marTop w:val="0"/>
      <w:marBottom w:val="0"/>
      <w:divBdr>
        <w:top w:val="none" w:sz="0" w:space="0" w:color="auto"/>
        <w:left w:val="none" w:sz="0" w:space="0" w:color="auto"/>
        <w:bottom w:val="none" w:sz="0" w:space="0" w:color="auto"/>
        <w:right w:val="none" w:sz="0" w:space="0" w:color="auto"/>
      </w:divBdr>
    </w:div>
    <w:div w:id="914896174">
      <w:bodyDiv w:val="1"/>
      <w:marLeft w:val="0"/>
      <w:marRight w:val="0"/>
      <w:marTop w:val="0"/>
      <w:marBottom w:val="0"/>
      <w:divBdr>
        <w:top w:val="none" w:sz="0" w:space="0" w:color="auto"/>
        <w:left w:val="none" w:sz="0" w:space="0" w:color="auto"/>
        <w:bottom w:val="none" w:sz="0" w:space="0" w:color="auto"/>
        <w:right w:val="none" w:sz="0" w:space="0" w:color="auto"/>
      </w:divBdr>
    </w:div>
    <w:div w:id="915238284">
      <w:bodyDiv w:val="1"/>
      <w:marLeft w:val="0"/>
      <w:marRight w:val="0"/>
      <w:marTop w:val="0"/>
      <w:marBottom w:val="0"/>
      <w:divBdr>
        <w:top w:val="none" w:sz="0" w:space="0" w:color="auto"/>
        <w:left w:val="none" w:sz="0" w:space="0" w:color="auto"/>
        <w:bottom w:val="none" w:sz="0" w:space="0" w:color="auto"/>
        <w:right w:val="none" w:sz="0" w:space="0" w:color="auto"/>
      </w:divBdr>
    </w:div>
    <w:div w:id="916595343">
      <w:bodyDiv w:val="1"/>
      <w:marLeft w:val="0"/>
      <w:marRight w:val="0"/>
      <w:marTop w:val="0"/>
      <w:marBottom w:val="0"/>
      <w:divBdr>
        <w:top w:val="none" w:sz="0" w:space="0" w:color="auto"/>
        <w:left w:val="none" w:sz="0" w:space="0" w:color="auto"/>
        <w:bottom w:val="none" w:sz="0" w:space="0" w:color="auto"/>
        <w:right w:val="none" w:sz="0" w:space="0" w:color="auto"/>
      </w:divBdr>
    </w:div>
    <w:div w:id="916938448">
      <w:bodyDiv w:val="1"/>
      <w:marLeft w:val="0"/>
      <w:marRight w:val="0"/>
      <w:marTop w:val="0"/>
      <w:marBottom w:val="0"/>
      <w:divBdr>
        <w:top w:val="none" w:sz="0" w:space="0" w:color="auto"/>
        <w:left w:val="none" w:sz="0" w:space="0" w:color="auto"/>
        <w:bottom w:val="none" w:sz="0" w:space="0" w:color="auto"/>
        <w:right w:val="none" w:sz="0" w:space="0" w:color="auto"/>
      </w:divBdr>
    </w:div>
    <w:div w:id="917440469">
      <w:bodyDiv w:val="1"/>
      <w:marLeft w:val="0"/>
      <w:marRight w:val="0"/>
      <w:marTop w:val="0"/>
      <w:marBottom w:val="0"/>
      <w:divBdr>
        <w:top w:val="none" w:sz="0" w:space="0" w:color="auto"/>
        <w:left w:val="none" w:sz="0" w:space="0" w:color="auto"/>
        <w:bottom w:val="none" w:sz="0" w:space="0" w:color="auto"/>
        <w:right w:val="none" w:sz="0" w:space="0" w:color="auto"/>
      </w:divBdr>
    </w:div>
    <w:div w:id="917901639">
      <w:bodyDiv w:val="1"/>
      <w:marLeft w:val="0"/>
      <w:marRight w:val="0"/>
      <w:marTop w:val="0"/>
      <w:marBottom w:val="0"/>
      <w:divBdr>
        <w:top w:val="none" w:sz="0" w:space="0" w:color="auto"/>
        <w:left w:val="none" w:sz="0" w:space="0" w:color="auto"/>
        <w:bottom w:val="none" w:sz="0" w:space="0" w:color="auto"/>
        <w:right w:val="none" w:sz="0" w:space="0" w:color="auto"/>
      </w:divBdr>
    </w:div>
    <w:div w:id="918102400">
      <w:bodyDiv w:val="1"/>
      <w:marLeft w:val="0"/>
      <w:marRight w:val="0"/>
      <w:marTop w:val="0"/>
      <w:marBottom w:val="0"/>
      <w:divBdr>
        <w:top w:val="none" w:sz="0" w:space="0" w:color="auto"/>
        <w:left w:val="none" w:sz="0" w:space="0" w:color="auto"/>
        <w:bottom w:val="none" w:sz="0" w:space="0" w:color="auto"/>
        <w:right w:val="none" w:sz="0" w:space="0" w:color="auto"/>
      </w:divBdr>
    </w:div>
    <w:div w:id="919603712">
      <w:bodyDiv w:val="1"/>
      <w:marLeft w:val="0"/>
      <w:marRight w:val="0"/>
      <w:marTop w:val="0"/>
      <w:marBottom w:val="0"/>
      <w:divBdr>
        <w:top w:val="none" w:sz="0" w:space="0" w:color="auto"/>
        <w:left w:val="none" w:sz="0" w:space="0" w:color="auto"/>
        <w:bottom w:val="none" w:sz="0" w:space="0" w:color="auto"/>
        <w:right w:val="none" w:sz="0" w:space="0" w:color="auto"/>
      </w:divBdr>
    </w:div>
    <w:div w:id="919676734">
      <w:bodyDiv w:val="1"/>
      <w:marLeft w:val="0"/>
      <w:marRight w:val="0"/>
      <w:marTop w:val="0"/>
      <w:marBottom w:val="0"/>
      <w:divBdr>
        <w:top w:val="none" w:sz="0" w:space="0" w:color="auto"/>
        <w:left w:val="none" w:sz="0" w:space="0" w:color="auto"/>
        <w:bottom w:val="none" w:sz="0" w:space="0" w:color="auto"/>
        <w:right w:val="none" w:sz="0" w:space="0" w:color="auto"/>
      </w:divBdr>
    </w:div>
    <w:div w:id="921184772">
      <w:bodyDiv w:val="1"/>
      <w:marLeft w:val="0"/>
      <w:marRight w:val="0"/>
      <w:marTop w:val="0"/>
      <w:marBottom w:val="0"/>
      <w:divBdr>
        <w:top w:val="none" w:sz="0" w:space="0" w:color="auto"/>
        <w:left w:val="none" w:sz="0" w:space="0" w:color="auto"/>
        <w:bottom w:val="none" w:sz="0" w:space="0" w:color="auto"/>
        <w:right w:val="none" w:sz="0" w:space="0" w:color="auto"/>
      </w:divBdr>
    </w:div>
    <w:div w:id="921596998">
      <w:bodyDiv w:val="1"/>
      <w:marLeft w:val="0"/>
      <w:marRight w:val="0"/>
      <w:marTop w:val="0"/>
      <w:marBottom w:val="0"/>
      <w:divBdr>
        <w:top w:val="none" w:sz="0" w:space="0" w:color="auto"/>
        <w:left w:val="none" w:sz="0" w:space="0" w:color="auto"/>
        <w:bottom w:val="none" w:sz="0" w:space="0" w:color="auto"/>
        <w:right w:val="none" w:sz="0" w:space="0" w:color="auto"/>
      </w:divBdr>
    </w:div>
    <w:div w:id="921840211">
      <w:bodyDiv w:val="1"/>
      <w:marLeft w:val="0"/>
      <w:marRight w:val="0"/>
      <w:marTop w:val="0"/>
      <w:marBottom w:val="0"/>
      <w:divBdr>
        <w:top w:val="none" w:sz="0" w:space="0" w:color="auto"/>
        <w:left w:val="none" w:sz="0" w:space="0" w:color="auto"/>
        <w:bottom w:val="none" w:sz="0" w:space="0" w:color="auto"/>
        <w:right w:val="none" w:sz="0" w:space="0" w:color="auto"/>
      </w:divBdr>
    </w:div>
    <w:div w:id="922027573">
      <w:bodyDiv w:val="1"/>
      <w:marLeft w:val="0"/>
      <w:marRight w:val="0"/>
      <w:marTop w:val="0"/>
      <w:marBottom w:val="0"/>
      <w:divBdr>
        <w:top w:val="none" w:sz="0" w:space="0" w:color="auto"/>
        <w:left w:val="none" w:sz="0" w:space="0" w:color="auto"/>
        <w:bottom w:val="none" w:sz="0" w:space="0" w:color="auto"/>
        <w:right w:val="none" w:sz="0" w:space="0" w:color="auto"/>
      </w:divBdr>
    </w:div>
    <w:div w:id="922764217">
      <w:bodyDiv w:val="1"/>
      <w:marLeft w:val="0"/>
      <w:marRight w:val="0"/>
      <w:marTop w:val="0"/>
      <w:marBottom w:val="0"/>
      <w:divBdr>
        <w:top w:val="none" w:sz="0" w:space="0" w:color="auto"/>
        <w:left w:val="none" w:sz="0" w:space="0" w:color="auto"/>
        <w:bottom w:val="none" w:sz="0" w:space="0" w:color="auto"/>
        <w:right w:val="none" w:sz="0" w:space="0" w:color="auto"/>
      </w:divBdr>
    </w:div>
    <w:div w:id="923495085">
      <w:bodyDiv w:val="1"/>
      <w:marLeft w:val="0"/>
      <w:marRight w:val="0"/>
      <w:marTop w:val="0"/>
      <w:marBottom w:val="0"/>
      <w:divBdr>
        <w:top w:val="none" w:sz="0" w:space="0" w:color="auto"/>
        <w:left w:val="none" w:sz="0" w:space="0" w:color="auto"/>
        <w:bottom w:val="none" w:sz="0" w:space="0" w:color="auto"/>
        <w:right w:val="none" w:sz="0" w:space="0" w:color="auto"/>
      </w:divBdr>
    </w:div>
    <w:div w:id="923687772">
      <w:bodyDiv w:val="1"/>
      <w:marLeft w:val="0"/>
      <w:marRight w:val="0"/>
      <w:marTop w:val="0"/>
      <w:marBottom w:val="0"/>
      <w:divBdr>
        <w:top w:val="none" w:sz="0" w:space="0" w:color="auto"/>
        <w:left w:val="none" w:sz="0" w:space="0" w:color="auto"/>
        <w:bottom w:val="none" w:sz="0" w:space="0" w:color="auto"/>
        <w:right w:val="none" w:sz="0" w:space="0" w:color="auto"/>
      </w:divBdr>
    </w:div>
    <w:div w:id="924074375">
      <w:bodyDiv w:val="1"/>
      <w:marLeft w:val="0"/>
      <w:marRight w:val="0"/>
      <w:marTop w:val="0"/>
      <w:marBottom w:val="0"/>
      <w:divBdr>
        <w:top w:val="none" w:sz="0" w:space="0" w:color="auto"/>
        <w:left w:val="none" w:sz="0" w:space="0" w:color="auto"/>
        <w:bottom w:val="none" w:sz="0" w:space="0" w:color="auto"/>
        <w:right w:val="none" w:sz="0" w:space="0" w:color="auto"/>
      </w:divBdr>
    </w:div>
    <w:div w:id="924192464">
      <w:bodyDiv w:val="1"/>
      <w:marLeft w:val="0"/>
      <w:marRight w:val="0"/>
      <w:marTop w:val="0"/>
      <w:marBottom w:val="0"/>
      <w:divBdr>
        <w:top w:val="none" w:sz="0" w:space="0" w:color="auto"/>
        <w:left w:val="none" w:sz="0" w:space="0" w:color="auto"/>
        <w:bottom w:val="none" w:sz="0" w:space="0" w:color="auto"/>
        <w:right w:val="none" w:sz="0" w:space="0" w:color="auto"/>
      </w:divBdr>
    </w:div>
    <w:div w:id="924340781">
      <w:bodyDiv w:val="1"/>
      <w:marLeft w:val="0"/>
      <w:marRight w:val="0"/>
      <w:marTop w:val="0"/>
      <w:marBottom w:val="0"/>
      <w:divBdr>
        <w:top w:val="none" w:sz="0" w:space="0" w:color="auto"/>
        <w:left w:val="none" w:sz="0" w:space="0" w:color="auto"/>
        <w:bottom w:val="none" w:sz="0" w:space="0" w:color="auto"/>
        <w:right w:val="none" w:sz="0" w:space="0" w:color="auto"/>
      </w:divBdr>
    </w:div>
    <w:div w:id="924536751">
      <w:bodyDiv w:val="1"/>
      <w:marLeft w:val="0"/>
      <w:marRight w:val="0"/>
      <w:marTop w:val="0"/>
      <w:marBottom w:val="0"/>
      <w:divBdr>
        <w:top w:val="none" w:sz="0" w:space="0" w:color="auto"/>
        <w:left w:val="none" w:sz="0" w:space="0" w:color="auto"/>
        <w:bottom w:val="none" w:sz="0" w:space="0" w:color="auto"/>
        <w:right w:val="none" w:sz="0" w:space="0" w:color="auto"/>
      </w:divBdr>
    </w:div>
    <w:div w:id="924876649">
      <w:bodyDiv w:val="1"/>
      <w:marLeft w:val="0"/>
      <w:marRight w:val="0"/>
      <w:marTop w:val="0"/>
      <w:marBottom w:val="0"/>
      <w:divBdr>
        <w:top w:val="none" w:sz="0" w:space="0" w:color="auto"/>
        <w:left w:val="none" w:sz="0" w:space="0" w:color="auto"/>
        <w:bottom w:val="none" w:sz="0" w:space="0" w:color="auto"/>
        <w:right w:val="none" w:sz="0" w:space="0" w:color="auto"/>
      </w:divBdr>
    </w:div>
    <w:div w:id="925068825">
      <w:bodyDiv w:val="1"/>
      <w:marLeft w:val="0"/>
      <w:marRight w:val="0"/>
      <w:marTop w:val="0"/>
      <w:marBottom w:val="0"/>
      <w:divBdr>
        <w:top w:val="none" w:sz="0" w:space="0" w:color="auto"/>
        <w:left w:val="none" w:sz="0" w:space="0" w:color="auto"/>
        <w:bottom w:val="none" w:sz="0" w:space="0" w:color="auto"/>
        <w:right w:val="none" w:sz="0" w:space="0" w:color="auto"/>
      </w:divBdr>
    </w:div>
    <w:div w:id="925848700">
      <w:bodyDiv w:val="1"/>
      <w:marLeft w:val="0"/>
      <w:marRight w:val="0"/>
      <w:marTop w:val="0"/>
      <w:marBottom w:val="0"/>
      <w:divBdr>
        <w:top w:val="none" w:sz="0" w:space="0" w:color="auto"/>
        <w:left w:val="none" w:sz="0" w:space="0" w:color="auto"/>
        <w:bottom w:val="none" w:sz="0" w:space="0" w:color="auto"/>
        <w:right w:val="none" w:sz="0" w:space="0" w:color="auto"/>
      </w:divBdr>
    </w:div>
    <w:div w:id="925917273">
      <w:bodyDiv w:val="1"/>
      <w:marLeft w:val="0"/>
      <w:marRight w:val="0"/>
      <w:marTop w:val="0"/>
      <w:marBottom w:val="0"/>
      <w:divBdr>
        <w:top w:val="none" w:sz="0" w:space="0" w:color="auto"/>
        <w:left w:val="none" w:sz="0" w:space="0" w:color="auto"/>
        <w:bottom w:val="none" w:sz="0" w:space="0" w:color="auto"/>
        <w:right w:val="none" w:sz="0" w:space="0" w:color="auto"/>
      </w:divBdr>
    </w:div>
    <w:div w:id="926692280">
      <w:bodyDiv w:val="1"/>
      <w:marLeft w:val="0"/>
      <w:marRight w:val="0"/>
      <w:marTop w:val="0"/>
      <w:marBottom w:val="0"/>
      <w:divBdr>
        <w:top w:val="none" w:sz="0" w:space="0" w:color="auto"/>
        <w:left w:val="none" w:sz="0" w:space="0" w:color="auto"/>
        <w:bottom w:val="none" w:sz="0" w:space="0" w:color="auto"/>
        <w:right w:val="none" w:sz="0" w:space="0" w:color="auto"/>
      </w:divBdr>
    </w:div>
    <w:div w:id="927273222">
      <w:bodyDiv w:val="1"/>
      <w:marLeft w:val="0"/>
      <w:marRight w:val="0"/>
      <w:marTop w:val="0"/>
      <w:marBottom w:val="0"/>
      <w:divBdr>
        <w:top w:val="none" w:sz="0" w:space="0" w:color="auto"/>
        <w:left w:val="none" w:sz="0" w:space="0" w:color="auto"/>
        <w:bottom w:val="none" w:sz="0" w:space="0" w:color="auto"/>
        <w:right w:val="none" w:sz="0" w:space="0" w:color="auto"/>
      </w:divBdr>
    </w:div>
    <w:div w:id="928196383">
      <w:bodyDiv w:val="1"/>
      <w:marLeft w:val="0"/>
      <w:marRight w:val="0"/>
      <w:marTop w:val="0"/>
      <w:marBottom w:val="0"/>
      <w:divBdr>
        <w:top w:val="none" w:sz="0" w:space="0" w:color="auto"/>
        <w:left w:val="none" w:sz="0" w:space="0" w:color="auto"/>
        <w:bottom w:val="none" w:sz="0" w:space="0" w:color="auto"/>
        <w:right w:val="none" w:sz="0" w:space="0" w:color="auto"/>
      </w:divBdr>
    </w:div>
    <w:div w:id="928197765">
      <w:bodyDiv w:val="1"/>
      <w:marLeft w:val="0"/>
      <w:marRight w:val="0"/>
      <w:marTop w:val="0"/>
      <w:marBottom w:val="0"/>
      <w:divBdr>
        <w:top w:val="none" w:sz="0" w:space="0" w:color="auto"/>
        <w:left w:val="none" w:sz="0" w:space="0" w:color="auto"/>
        <w:bottom w:val="none" w:sz="0" w:space="0" w:color="auto"/>
        <w:right w:val="none" w:sz="0" w:space="0" w:color="auto"/>
      </w:divBdr>
    </w:div>
    <w:div w:id="928582841">
      <w:bodyDiv w:val="1"/>
      <w:marLeft w:val="0"/>
      <w:marRight w:val="0"/>
      <w:marTop w:val="0"/>
      <w:marBottom w:val="0"/>
      <w:divBdr>
        <w:top w:val="none" w:sz="0" w:space="0" w:color="auto"/>
        <w:left w:val="none" w:sz="0" w:space="0" w:color="auto"/>
        <w:bottom w:val="none" w:sz="0" w:space="0" w:color="auto"/>
        <w:right w:val="none" w:sz="0" w:space="0" w:color="auto"/>
      </w:divBdr>
    </w:div>
    <w:div w:id="928657632">
      <w:bodyDiv w:val="1"/>
      <w:marLeft w:val="0"/>
      <w:marRight w:val="0"/>
      <w:marTop w:val="0"/>
      <w:marBottom w:val="0"/>
      <w:divBdr>
        <w:top w:val="none" w:sz="0" w:space="0" w:color="auto"/>
        <w:left w:val="none" w:sz="0" w:space="0" w:color="auto"/>
        <w:bottom w:val="none" w:sz="0" w:space="0" w:color="auto"/>
        <w:right w:val="none" w:sz="0" w:space="0" w:color="auto"/>
      </w:divBdr>
    </w:div>
    <w:div w:id="928854379">
      <w:bodyDiv w:val="1"/>
      <w:marLeft w:val="0"/>
      <w:marRight w:val="0"/>
      <w:marTop w:val="0"/>
      <w:marBottom w:val="0"/>
      <w:divBdr>
        <w:top w:val="none" w:sz="0" w:space="0" w:color="auto"/>
        <w:left w:val="none" w:sz="0" w:space="0" w:color="auto"/>
        <w:bottom w:val="none" w:sz="0" w:space="0" w:color="auto"/>
        <w:right w:val="none" w:sz="0" w:space="0" w:color="auto"/>
      </w:divBdr>
    </w:div>
    <w:div w:id="929386541">
      <w:bodyDiv w:val="1"/>
      <w:marLeft w:val="0"/>
      <w:marRight w:val="0"/>
      <w:marTop w:val="0"/>
      <w:marBottom w:val="0"/>
      <w:divBdr>
        <w:top w:val="none" w:sz="0" w:space="0" w:color="auto"/>
        <w:left w:val="none" w:sz="0" w:space="0" w:color="auto"/>
        <w:bottom w:val="none" w:sz="0" w:space="0" w:color="auto"/>
        <w:right w:val="none" w:sz="0" w:space="0" w:color="auto"/>
      </w:divBdr>
    </w:div>
    <w:div w:id="929697178">
      <w:bodyDiv w:val="1"/>
      <w:marLeft w:val="0"/>
      <w:marRight w:val="0"/>
      <w:marTop w:val="0"/>
      <w:marBottom w:val="0"/>
      <w:divBdr>
        <w:top w:val="none" w:sz="0" w:space="0" w:color="auto"/>
        <w:left w:val="none" w:sz="0" w:space="0" w:color="auto"/>
        <w:bottom w:val="none" w:sz="0" w:space="0" w:color="auto"/>
        <w:right w:val="none" w:sz="0" w:space="0" w:color="auto"/>
      </w:divBdr>
    </w:div>
    <w:div w:id="930505649">
      <w:bodyDiv w:val="1"/>
      <w:marLeft w:val="0"/>
      <w:marRight w:val="0"/>
      <w:marTop w:val="0"/>
      <w:marBottom w:val="0"/>
      <w:divBdr>
        <w:top w:val="none" w:sz="0" w:space="0" w:color="auto"/>
        <w:left w:val="none" w:sz="0" w:space="0" w:color="auto"/>
        <w:bottom w:val="none" w:sz="0" w:space="0" w:color="auto"/>
        <w:right w:val="none" w:sz="0" w:space="0" w:color="auto"/>
      </w:divBdr>
    </w:div>
    <w:div w:id="931203696">
      <w:bodyDiv w:val="1"/>
      <w:marLeft w:val="0"/>
      <w:marRight w:val="0"/>
      <w:marTop w:val="0"/>
      <w:marBottom w:val="0"/>
      <w:divBdr>
        <w:top w:val="none" w:sz="0" w:space="0" w:color="auto"/>
        <w:left w:val="none" w:sz="0" w:space="0" w:color="auto"/>
        <w:bottom w:val="none" w:sz="0" w:space="0" w:color="auto"/>
        <w:right w:val="none" w:sz="0" w:space="0" w:color="auto"/>
      </w:divBdr>
    </w:div>
    <w:div w:id="931471444">
      <w:bodyDiv w:val="1"/>
      <w:marLeft w:val="0"/>
      <w:marRight w:val="0"/>
      <w:marTop w:val="0"/>
      <w:marBottom w:val="0"/>
      <w:divBdr>
        <w:top w:val="none" w:sz="0" w:space="0" w:color="auto"/>
        <w:left w:val="none" w:sz="0" w:space="0" w:color="auto"/>
        <w:bottom w:val="none" w:sz="0" w:space="0" w:color="auto"/>
        <w:right w:val="none" w:sz="0" w:space="0" w:color="auto"/>
      </w:divBdr>
    </w:div>
    <w:div w:id="931546362">
      <w:bodyDiv w:val="1"/>
      <w:marLeft w:val="0"/>
      <w:marRight w:val="0"/>
      <w:marTop w:val="0"/>
      <w:marBottom w:val="0"/>
      <w:divBdr>
        <w:top w:val="none" w:sz="0" w:space="0" w:color="auto"/>
        <w:left w:val="none" w:sz="0" w:space="0" w:color="auto"/>
        <w:bottom w:val="none" w:sz="0" w:space="0" w:color="auto"/>
        <w:right w:val="none" w:sz="0" w:space="0" w:color="auto"/>
      </w:divBdr>
    </w:div>
    <w:div w:id="932054163">
      <w:bodyDiv w:val="1"/>
      <w:marLeft w:val="0"/>
      <w:marRight w:val="0"/>
      <w:marTop w:val="0"/>
      <w:marBottom w:val="0"/>
      <w:divBdr>
        <w:top w:val="none" w:sz="0" w:space="0" w:color="auto"/>
        <w:left w:val="none" w:sz="0" w:space="0" w:color="auto"/>
        <w:bottom w:val="none" w:sz="0" w:space="0" w:color="auto"/>
        <w:right w:val="none" w:sz="0" w:space="0" w:color="auto"/>
      </w:divBdr>
    </w:div>
    <w:div w:id="932201074">
      <w:bodyDiv w:val="1"/>
      <w:marLeft w:val="0"/>
      <w:marRight w:val="0"/>
      <w:marTop w:val="0"/>
      <w:marBottom w:val="0"/>
      <w:divBdr>
        <w:top w:val="none" w:sz="0" w:space="0" w:color="auto"/>
        <w:left w:val="none" w:sz="0" w:space="0" w:color="auto"/>
        <w:bottom w:val="none" w:sz="0" w:space="0" w:color="auto"/>
        <w:right w:val="none" w:sz="0" w:space="0" w:color="auto"/>
      </w:divBdr>
    </w:div>
    <w:div w:id="932737789">
      <w:bodyDiv w:val="1"/>
      <w:marLeft w:val="0"/>
      <w:marRight w:val="0"/>
      <w:marTop w:val="0"/>
      <w:marBottom w:val="0"/>
      <w:divBdr>
        <w:top w:val="none" w:sz="0" w:space="0" w:color="auto"/>
        <w:left w:val="none" w:sz="0" w:space="0" w:color="auto"/>
        <w:bottom w:val="none" w:sz="0" w:space="0" w:color="auto"/>
        <w:right w:val="none" w:sz="0" w:space="0" w:color="auto"/>
      </w:divBdr>
    </w:div>
    <w:div w:id="933901329">
      <w:bodyDiv w:val="1"/>
      <w:marLeft w:val="0"/>
      <w:marRight w:val="0"/>
      <w:marTop w:val="0"/>
      <w:marBottom w:val="0"/>
      <w:divBdr>
        <w:top w:val="none" w:sz="0" w:space="0" w:color="auto"/>
        <w:left w:val="none" w:sz="0" w:space="0" w:color="auto"/>
        <w:bottom w:val="none" w:sz="0" w:space="0" w:color="auto"/>
        <w:right w:val="none" w:sz="0" w:space="0" w:color="auto"/>
      </w:divBdr>
    </w:div>
    <w:div w:id="934241032">
      <w:bodyDiv w:val="1"/>
      <w:marLeft w:val="0"/>
      <w:marRight w:val="0"/>
      <w:marTop w:val="0"/>
      <w:marBottom w:val="0"/>
      <w:divBdr>
        <w:top w:val="none" w:sz="0" w:space="0" w:color="auto"/>
        <w:left w:val="none" w:sz="0" w:space="0" w:color="auto"/>
        <w:bottom w:val="none" w:sz="0" w:space="0" w:color="auto"/>
        <w:right w:val="none" w:sz="0" w:space="0" w:color="auto"/>
      </w:divBdr>
    </w:div>
    <w:div w:id="934287605">
      <w:bodyDiv w:val="1"/>
      <w:marLeft w:val="0"/>
      <w:marRight w:val="0"/>
      <w:marTop w:val="0"/>
      <w:marBottom w:val="0"/>
      <w:divBdr>
        <w:top w:val="none" w:sz="0" w:space="0" w:color="auto"/>
        <w:left w:val="none" w:sz="0" w:space="0" w:color="auto"/>
        <w:bottom w:val="none" w:sz="0" w:space="0" w:color="auto"/>
        <w:right w:val="none" w:sz="0" w:space="0" w:color="auto"/>
      </w:divBdr>
    </w:div>
    <w:div w:id="935360461">
      <w:bodyDiv w:val="1"/>
      <w:marLeft w:val="0"/>
      <w:marRight w:val="0"/>
      <w:marTop w:val="0"/>
      <w:marBottom w:val="0"/>
      <w:divBdr>
        <w:top w:val="none" w:sz="0" w:space="0" w:color="auto"/>
        <w:left w:val="none" w:sz="0" w:space="0" w:color="auto"/>
        <w:bottom w:val="none" w:sz="0" w:space="0" w:color="auto"/>
        <w:right w:val="none" w:sz="0" w:space="0" w:color="auto"/>
      </w:divBdr>
    </w:div>
    <w:div w:id="936253214">
      <w:bodyDiv w:val="1"/>
      <w:marLeft w:val="0"/>
      <w:marRight w:val="0"/>
      <w:marTop w:val="0"/>
      <w:marBottom w:val="0"/>
      <w:divBdr>
        <w:top w:val="none" w:sz="0" w:space="0" w:color="auto"/>
        <w:left w:val="none" w:sz="0" w:space="0" w:color="auto"/>
        <w:bottom w:val="none" w:sz="0" w:space="0" w:color="auto"/>
        <w:right w:val="none" w:sz="0" w:space="0" w:color="auto"/>
      </w:divBdr>
    </w:div>
    <w:div w:id="936791073">
      <w:bodyDiv w:val="1"/>
      <w:marLeft w:val="0"/>
      <w:marRight w:val="0"/>
      <w:marTop w:val="0"/>
      <w:marBottom w:val="0"/>
      <w:divBdr>
        <w:top w:val="none" w:sz="0" w:space="0" w:color="auto"/>
        <w:left w:val="none" w:sz="0" w:space="0" w:color="auto"/>
        <w:bottom w:val="none" w:sz="0" w:space="0" w:color="auto"/>
        <w:right w:val="none" w:sz="0" w:space="0" w:color="auto"/>
      </w:divBdr>
    </w:div>
    <w:div w:id="936795630">
      <w:bodyDiv w:val="1"/>
      <w:marLeft w:val="0"/>
      <w:marRight w:val="0"/>
      <w:marTop w:val="0"/>
      <w:marBottom w:val="0"/>
      <w:divBdr>
        <w:top w:val="none" w:sz="0" w:space="0" w:color="auto"/>
        <w:left w:val="none" w:sz="0" w:space="0" w:color="auto"/>
        <w:bottom w:val="none" w:sz="0" w:space="0" w:color="auto"/>
        <w:right w:val="none" w:sz="0" w:space="0" w:color="auto"/>
      </w:divBdr>
    </w:div>
    <w:div w:id="937639178">
      <w:bodyDiv w:val="1"/>
      <w:marLeft w:val="0"/>
      <w:marRight w:val="0"/>
      <w:marTop w:val="0"/>
      <w:marBottom w:val="0"/>
      <w:divBdr>
        <w:top w:val="none" w:sz="0" w:space="0" w:color="auto"/>
        <w:left w:val="none" w:sz="0" w:space="0" w:color="auto"/>
        <w:bottom w:val="none" w:sz="0" w:space="0" w:color="auto"/>
        <w:right w:val="none" w:sz="0" w:space="0" w:color="auto"/>
      </w:divBdr>
    </w:div>
    <w:div w:id="938947220">
      <w:bodyDiv w:val="1"/>
      <w:marLeft w:val="0"/>
      <w:marRight w:val="0"/>
      <w:marTop w:val="0"/>
      <w:marBottom w:val="0"/>
      <w:divBdr>
        <w:top w:val="none" w:sz="0" w:space="0" w:color="auto"/>
        <w:left w:val="none" w:sz="0" w:space="0" w:color="auto"/>
        <w:bottom w:val="none" w:sz="0" w:space="0" w:color="auto"/>
        <w:right w:val="none" w:sz="0" w:space="0" w:color="auto"/>
      </w:divBdr>
    </w:div>
    <w:div w:id="939606742">
      <w:bodyDiv w:val="1"/>
      <w:marLeft w:val="0"/>
      <w:marRight w:val="0"/>
      <w:marTop w:val="0"/>
      <w:marBottom w:val="0"/>
      <w:divBdr>
        <w:top w:val="none" w:sz="0" w:space="0" w:color="auto"/>
        <w:left w:val="none" w:sz="0" w:space="0" w:color="auto"/>
        <w:bottom w:val="none" w:sz="0" w:space="0" w:color="auto"/>
        <w:right w:val="none" w:sz="0" w:space="0" w:color="auto"/>
      </w:divBdr>
    </w:div>
    <w:div w:id="939992464">
      <w:bodyDiv w:val="1"/>
      <w:marLeft w:val="0"/>
      <w:marRight w:val="0"/>
      <w:marTop w:val="0"/>
      <w:marBottom w:val="0"/>
      <w:divBdr>
        <w:top w:val="none" w:sz="0" w:space="0" w:color="auto"/>
        <w:left w:val="none" w:sz="0" w:space="0" w:color="auto"/>
        <w:bottom w:val="none" w:sz="0" w:space="0" w:color="auto"/>
        <w:right w:val="none" w:sz="0" w:space="0" w:color="auto"/>
      </w:divBdr>
    </w:div>
    <w:div w:id="946892111">
      <w:bodyDiv w:val="1"/>
      <w:marLeft w:val="0"/>
      <w:marRight w:val="0"/>
      <w:marTop w:val="0"/>
      <w:marBottom w:val="0"/>
      <w:divBdr>
        <w:top w:val="none" w:sz="0" w:space="0" w:color="auto"/>
        <w:left w:val="none" w:sz="0" w:space="0" w:color="auto"/>
        <w:bottom w:val="none" w:sz="0" w:space="0" w:color="auto"/>
        <w:right w:val="none" w:sz="0" w:space="0" w:color="auto"/>
      </w:divBdr>
    </w:div>
    <w:div w:id="947006575">
      <w:bodyDiv w:val="1"/>
      <w:marLeft w:val="0"/>
      <w:marRight w:val="0"/>
      <w:marTop w:val="0"/>
      <w:marBottom w:val="0"/>
      <w:divBdr>
        <w:top w:val="none" w:sz="0" w:space="0" w:color="auto"/>
        <w:left w:val="none" w:sz="0" w:space="0" w:color="auto"/>
        <w:bottom w:val="none" w:sz="0" w:space="0" w:color="auto"/>
        <w:right w:val="none" w:sz="0" w:space="0" w:color="auto"/>
      </w:divBdr>
    </w:div>
    <w:div w:id="947196198">
      <w:bodyDiv w:val="1"/>
      <w:marLeft w:val="0"/>
      <w:marRight w:val="0"/>
      <w:marTop w:val="0"/>
      <w:marBottom w:val="0"/>
      <w:divBdr>
        <w:top w:val="none" w:sz="0" w:space="0" w:color="auto"/>
        <w:left w:val="none" w:sz="0" w:space="0" w:color="auto"/>
        <w:bottom w:val="none" w:sz="0" w:space="0" w:color="auto"/>
        <w:right w:val="none" w:sz="0" w:space="0" w:color="auto"/>
      </w:divBdr>
    </w:div>
    <w:div w:id="948388371">
      <w:bodyDiv w:val="1"/>
      <w:marLeft w:val="0"/>
      <w:marRight w:val="0"/>
      <w:marTop w:val="0"/>
      <w:marBottom w:val="0"/>
      <w:divBdr>
        <w:top w:val="none" w:sz="0" w:space="0" w:color="auto"/>
        <w:left w:val="none" w:sz="0" w:space="0" w:color="auto"/>
        <w:bottom w:val="none" w:sz="0" w:space="0" w:color="auto"/>
        <w:right w:val="none" w:sz="0" w:space="0" w:color="auto"/>
      </w:divBdr>
    </w:div>
    <w:div w:id="948657149">
      <w:bodyDiv w:val="1"/>
      <w:marLeft w:val="0"/>
      <w:marRight w:val="0"/>
      <w:marTop w:val="0"/>
      <w:marBottom w:val="0"/>
      <w:divBdr>
        <w:top w:val="none" w:sz="0" w:space="0" w:color="auto"/>
        <w:left w:val="none" w:sz="0" w:space="0" w:color="auto"/>
        <w:bottom w:val="none" w:sz="0" w:space="0" w:color="auto"/>
        <w:right w:val="none" w:sz="0" w:space="0" w:color="auto"/>
      </w:divBdr>
    </w:div>
    <w:div w:id="948777215">
      <w:bodyDiv w:val="1"/>
      <w:marLeft w:val="0"/>
      <w:marRight w:val="0"/>
      <w:marTop w:val="0"/>
      <w:marBottom w:val="0"/>
      <w:divBdr>
        <w:top w:val="none" w:sz="0" w:space="0" w:color="auto"/>
        <w:left w:val="none" w:sz="0" w:space="0" w:color="auto"/>
        <w:bottom w:val="none" w:sz="0" w:space="0" w:color="auto"/>
        <w:right w:val="none" w:sz="0" w:space="0" w:color="auto"/>
      </w:divBdr>
    </w:div>
    <w:div w:id="948969678">
      <w:bodyDiv w:val="1"/>
      <w:marLeft w:val="0"/>
      <w:marRight w:val="0"/>
      <w:marTop w:val="0"/>
      <w:marBottom w:val="0"/>
      <w:divBdr>
        <w:top w:val="none" w:sz="0" w:space="0" w:color="auto"/>
        <w:left w:val="none" w:sz="0" w:space="0" w:color="auto"/>
        <w:bottom w:val="none" w:sz="0" w:space="0" w:color="auto"/>
        <w:right w:val="none" w:sz="0" w:space="0" w:color="auto"/>
      </w:divBdr>
    </w:div>
    <w:div w:id="949320080">
      <w:bodyDiv w:val="1"/>
      <w:marLeft w:val="0"/>
      <w:marRight w:val="0"/>
      <w:marTop w:val="0"/>
      <w:marBottom w:val="0"/>
      <w:divBdr>
        <w:top w:val="none" w:sz="0" w:space="0" w:color="auto"/>
        <w:left w:val="none" w:sz="0" w:space="0" w:color="auto"/>
        <w:bottom w:val="none" w:sz="0" w:space="0" w:color="auto"/>
        <w:right w:val="none" w:sz="0" w:space="0" w:color="auto"/>
      </w:divBdr>
    </w:div>
    <w:div w:id="950016991">
      <w:bodyDiv w:val="1"/>
      <w:marLeft w:val="0"/>
      <w:marRight w:val="0"/>
      <w:marTop w:val="0"/>
      <w:marBottom w:val="0"/>
      <w:divBdr>
        <w:top w:val="none" w:sz="0" w:space="0" w:color="auto"/>
        <w:left w:val="none" w:sz="0" w:space="0" w:color="auto"/>
        <w:bottom w:val="none" w:sz="0" w:space="0" w:color="auto"/>
        <w:right w:val="none" w:sz="0" w:space="0" w:color="auto"/>
      </w:divBdr>
    </w:div>
    <w:div w:id="950162488">
      <w:bodyDiv w:val="1"/>
      <w:marLeft w:val="0"/>
      <w:marRight w:val="0"/>
      <w:marTop w:val="0"/>
      <w:marBottom w:val="0"/>
      <w:divBdr>
        <w:top w:val="none" w:sz="0" w:space="0" w:color="auto"/>
        <w:left w:val="none" w:sz="0" w:space="0" w:color="auto"/>
        <w:bottom w:val="none" w:sz="0" w:space="0" w:color="auto"/>
        <w:right w:val="none" w:sz="0" w:space="0" w:color="auto"/>
      </w:divBdr>
    </w:div>
    <w:div w:id="951593857">
      <w:bodyDiv w:val="1"/>
      <w:marLeft w:val="0"/>
      <w:marRight w:val="0"/>
      <w:marTop w:val="0"/>
      <w:marBottom w:val="0"/>
      <w:divBdr>
        <w:top w:val="none" w:sz="0" w:space="0" w:color="auto"/>
        <w:left w:val="none" w:sz="0" w:space="0" w:color="auto"/>
        <w:bottom w:val="none" w:sz="0" w:space="0" w:color="auto"/>
        <w:right w:val="none" w:sz="0" w:space="0" w:color="auto"/>
      </w:divBdr>
    </w:div>
    <w:div w:id="951940615">
      <w:bodyDiv w:val="1"/>
      <w:marLeft w:val="0"/>
      <w:marRight w:val="0"/>
      <w:marTop w:val="0"/>
      <w:marBottom w:val="0"/>
      <w:divBdr>
        <w:top w:val="none" w:sz="0" w:space="0" w:color="auto"/>
        <w:left w:val="none" w:sz="0" w:space="0" w:color="auto"/>
        <w:bottom w:val="none" w:sz="0" w:space="0" w:color="auto"/>
        <w:right w:val="none" w:sz="0" w:space="0" w:color="auto"/>
      </w:divBdr>
    </w:div>
    <w:div w:id="953950646">
      <w:bodyDiv w:val="1"/>
      <w:marLeft w:val="0"/>
      <w:marRight w:val="0"/>
      <w:marTop w:val="0"/>
      <w:marBottom w:val="0"/>
      <w:divBdr>
        <w:top w:val="none" w:sz="0" w:space="0" w:color="auto"/>
        <w:left w:val="none" w:sz="0" w:space="0" w:color="auto"/>
        <w:bottom w:val="none" w:sz="0" w:space="0" w:color="auto"/>
        <w:right w:val="none" w:sz="0" w:space="0" w:color="auto"/>
      </w:divBdr>
    </w:div>
    <w:div w:id="955327893">
      <w:bodyDiv w:val="1"/>
      <w:marLeft w:val="0"/>
      <w:marRight w:val="0"/>
      <w:marTop w:val="0"/>
      <w:marBottom w:val="0"/>
      <w:divBdr>
        <w:top w:val="none" w:sz="0" w:space="0" w:color="auto"/>
        <w:left w:val="none" w:sz="0" w:space="0" w:color="auto"/>
        <w:bottom w:val="none" w:sz="0" w:space="0" w:color="auto"/>
        <w:right w:val="none" w:sz="0" w:space="0" w:color="auto"/>
      </w:divBdr>
    </w:div>
    <w:div w:id="955403800">
      <w:bodyDiv w:val="1"/>
      <w:marLeft w:val="0"/>
      <w:marRight w:val="0"/>
      <w:marTop w:val="0"/>
      <w:marBottom w:val="0"/>
      <w:divBdr>
        <w:top w:val="none" w:sz="0" w:space="0" w:color="auto"/>
        <w:left w:val="none" w:sz="0" w:space="0" w:color="auto"/>
        <w:bottom w:val="none" w:sz="0" w:space="0" w:color="auto"/>
        <w:right w:val="none" w:sz="0" w:space="0" w:color="auto"/>
      </w:divBdr>
    </w:div>
    <w:div w:id="955524769">
      <w:bodyDiv w:val="1"/>
      <w:marLeft w:val="0"/>
      <w:marRight w:val="0"/>
      <w:marTop w:val="0"/>
      <w:marBottom w:val="0"/>
      <w:divBdr>
        <w:top w:val="none" w:sz="0" w:space="0" w:color="auto"/>
        <w:left w:val="none" w:sz="0" w:space="0" w:color="auto"/>
        <w:bottom w:val="none" w:sz="0" w:space="0" w:color="auto"/>
        <w:right w:val="none" w:sz="0" w:space="0" w:color="auto"/>
      </w:divBdr>
    </w:div>
    <w:div w:id="956376319">
      <w:bodyDiv w:val="1"/>
      <w:marLeft w:val="0"/>
      <w:marRight w:val="0"/>
      <w:marTop w:val="0"/>
      <w:marBottom w:val="0"/>
      <w:divBdr>
        <w:top w:val="none" w:sz="0" w:space="0" w:color="auto"/>
        <w:left w:val="none" w:sz="0" w:space="0" w:color="auto"/>
        <w:bottom w:val="none" w:sz="0" w:space="0" w:color="auto"/>
        <w:right w:val="none" w:sz="0" w:space="0" w:color="auto"/>
      </w:divBdr>
    </w:div>
    <w:div w:id="956835948">
      <w:bodyDiv w:val="1"/>
      <w:marLeft w:val="0"/>
      <w:marRight w:val="0"/>
      <w:marTop w:val="0"/>
      <w:marBottom w:val="0"/>
      <w:divBdr>
        <w:top w:val="none" w:sz="0" w:space="0" w:color="auto"/>
        <w:left w:val="none" w:sz="0" w:space="0" w:color="auto"/>
        <w:bottom w:val="none" w:sz="0" w:space="0" w:color="auto"/>
        <w:right w:val="none" w:sz="0" w:space="0" w:color="auto"/>
      </w:divBdr>
    </w:div>
    <w:div w:id="958029494">
      <w:bodyDiv w:val="1"/>
      <w:marLeft w:val="0"/>
      <w:marRight w:val="0"/>
      <w:marTop w:val="0"/>
      <w:marBottom w:val="0"/>
      <w:divBdr>
        <w:top w:val="none" w:sz="0" w:space="0" w:color="auto"/>
        <w:left w:val="none" w:sz="0" w:space="0" w:color="auto"/>
        <w:bottom w:val="none" w:sz="0" w:space="0" w:color="auto"/>
        <w:right w:val="none" w:sz="0" w:space="0" w:color="auto"/>
      </w:divBdr>
    </w:div>
    <w:div w:id="958802159">
      <w:bodyDiv w:val="1"/>
      <w:marLeft w:val="0"/>
      <w:marRight w:val="0"/>
      <w:marTop w:val="0"/>
      <w:marBottom w:val="0"/>
      <w:divBdr>
        <w:top w:val="none" w:sz="0" w:space="0" w:color="auto"/>
        <w:left w:val="none" w:sz="0" w:space="0" w:color="auto"/>
        <w:bottom w:val="none" w:sz="0" w:space="0" w:color="auto"/>
        <w:right w:val="none" w:sz="0" w:space="0" w:color="auto"/>
      </w:divBdr>
    </w:div>
    <w:div w:id="959923433">
      <w:bodyDiv w:val="1"/>
      <w:marLeft w:val="0"/>
      <w:marRight w:val="0"/>
      <w:marTop w:val="0"/>
      <w:marBottom w:val="0"/>
      <w:divBdr>
        <w:top w:val="none" w:sz="0" w:space="0" w:color="auto"/>
        <w:left w:val="none" w:sz="0" w:space="0" w:color="auto"/>
        <w:bottom w:val="none" w:sz="0" w:space="0" w:color="auto"/>
        <w:right w:val="none" w:sz="0" w:space="0" w:color="auto"/>
      </w:divBdr>
    </w:div>
    <w:div w:id="960456220">
      <w:bodyDiv w:val="1"/>
      <w:marLeft w:val="0"/>
      <w:marRight w:val="0"/>
      <w:marTop w:val="0"/>
      <w:marBottom w:val="0"/>
      <w:divBdr>
        <w:top w:val="none" w:sz="0" w:space="0" w:color="auto"/>
        <w:left w:val="none" w:sz="0" w:space="0" w:color="auto"/>
        <w:bottom w:val="none" w:sz="0" w:space="0" w:color="auto"/>
        <w:right w:val="none" w:sz="0" w:space="0" w:color="auto"/>
      </w:divBdr>
    </w:div>
    <w:div w:id="960526877">
      <w:bodyDiv w:val="1"/>
      <w:marLeft w:val="0"/>
      <w:marRight w:val="0"/>
      <w:marTop w:val="0"/>
      <w:marBottom w:val="0"/>
      <w:divBdr>
        <w:top w:val="none" w:sz="0" w:space="0" w:color="auto"/>
        <w:left w:val="none" w:sz="0" w:space="0" w:color="auto"/>
        <w:bottom w:val="none" w:sz="0" w:space="0" w:color="auto"/>
        <w:right w:val="none" w:sz="0" w:space="0" w:color="auto"/>
      </w:divBdr>
    </w:div>
    <w:div w:id="960570950">
      <w:bodyDiv w:val="1"/>
      <w:marLeft w:val="0"/>
      <w:marRight w:val="0"/>
      <w:marTop w:val="0"/>
      <w:marBottom w:val="0"/>
      <w:divBdr>
        <w:top w:val="none" w:sz="0" w:space="0" w:color="auto"/>
        <w:left w:val="none" w:sz="0" w:space="0" w:color="auto"/>
        <w:bottom w:val="none" w:sz="0" w:space="0" w:color="auto"/>
        <w:right w:val="none" w:sz="0" w:space="0" w:color="auto"/>
      </w:divBdr>
    </w:div>
    <w:div w:id="960771087">
      <w:bodyDiv w:val="1"/>
      <w:marLeft w:val="0"/>
      <w:marRight w:val="0"/>
      <w:marTop w:val="0"/>
      <w:marBottom w:val="0"/>
      <w:divBdr>
        <w:top w:val="none" w:sz="0" w:space="0" w:color="auto"/>
        <w:left w:val="none" w:sz="0" w:space="0" w:color="auto"/>
        <w:bottom w:val="none" w:sz="0" w:space="0" w:color="auto"/>
        <w:right w:val="none" w:sz="0" w:space="0" w:color="auto"/>
      </w:divBdr>
    </w:div>
    <w:div w:id="961107255">
      <w:bodyDiv w:val="1"/>
      <w:marLeft w:val="0"/>
      <w:marRight w:val="0"/>
      <w:marTop w:val="0"/>
      <w:marBottom w:val="0"/>
      <w:divBdr>
        <w:top w:val="none" w:sz="0" w:space="0" w:color="auto"/>
        <w:left w:val="none" w:sz="0" w:space="0" w:color="auto"/>
        <w:bottom w:val="none" w:sz="0" w:space="0" w:color="auto"/>
        <w:right w:val="none" w:sz="0" w:space="0" w:color="auto"/>
      </w:divBdr>
    </w:div>
    <w:div w:id="961545360">
      <w:bodyDiv w:val="1"/>
      <w:marLeft w:val="0"/>
      <w:marRight w:val="0"/>
      <w:marTop w:val="0"/>
      <w:marBottom w:val="0"/>
      <w:divBdr>
        <w:top w:val="none" w:sz="0" w:space="0" w:color="auto"/>
        <w:left w:val="none" w:sz="0" w:space="0" w:color="auto"/>
        <w:bottom w:val="none" w:sz="0" w:space="0" w:color="auto"/>
        <w:right w:val="none" w:sz="0" w:space="0" w:color="auto"/>
      </w:divBdr>
    </w:div>
    <w:div w:id="962690043">
      <w:bodyDiv w:val="1"/>
      <w:marLeft w:val="0"/>
      <w:marRight w:val="0"/>
      <w:marTop w:val="0"/>
      <w:marBottom w:val="0"/>
      <w:divBdr>
        <w:top w:val="none" w:sz="0" w:space="0" w:color="auto"/>
        <w:left w:val="none" w:sz="0" w:space="0" w:color="auto"/>
        <w:bottom w:val="none" w:sz="0" w:space="0" w:color="auto"/>
        <w:right w:val="none" w:sz="0" w:space="0" w:color="auto"/>
      </w:divBdr>
    </w:div>
    <w:div w:id="963270244">
      <w:bodyDiv w:val="1"/>
      <w:marLeft w:val="0"/>
      <w:marRight w:val="0"/>
      <w:marTop w:val="0"/>
      <w:marBottom w:val="0"/>
      <w:divBdr>
        <w:top w:val="none" w:sz="0" w:space="0" w:color="auto"/>
        <w:left w:val="none" w:sz="0" w:space="0" w:color="auto"/>
        <w:bottom w:val="none" w:sz="0" w:space="0" w:color="auto"/>
        <w:right w:val="none" w:sz="0" w:space="0" w:color="auto"/>
      </w:divBdr>
    </w:div>
    <w:div w:id="964046579">
      <w:bodyDiv w:val="1"/>
      <w:marLeft w:val="0"/>
      <w:marRight w:val="0"/>
      <w:marTop w:val="0"/>
      <w:marBottom w:val="0"/>
      <w:divBdr>
        <w:top w:val="none" w:sz="0" w:space="0" w:color="auto"/>
        <w:left w:val="none" w:sz="0" w:space="0" w:color="auto"/>
        <w:bottom w:val="none" w:sz="0" w:space="0" w:color="auto"/>
        <w:right w:val="none" w:sz="0" w:space="0" w:color="auto"/>
      </w:divBdr>
    </w:div>
    <w:div w:id="965893034">
      <w:bodyDiv w:val="1"/>
      <w:marLeft w:val="0"/>
      <w:marRight w:val="0"/>
      <w:marTop w:val="0"/>
      <w:marBottom w:val="0"/>
      <w:divBdr>
        <w:top w:val="none" w:sz="0" w:space="0" w:color="auto"/>
        <w:left w:val="none" w:sz="0" w:space="0" w:color="auto"/>
        <w:bottom w:val="none" w:sz="0" w:space="0" w:color="auto"/>
        <w:right w:val="none" w:sz="0" w:space="0" w:color="auto"/>
      </w:divBdr>
    </w:div>
    <w:div w:id="966081790">
      <w:bodyDiv w:val="1"/>
      <w:marLeft w:val="0"/>
      <w:marRight w:val="0"/>
      <w:marTop w:val="0"/>
      <w:marBottom w:val="0"/>
      <w:divBdr>
        <w:top w:val="none" w:sz="0" w:space="0" w:color="auto"/>
        <w:left w:val="none" w:sz="0" w:space="0" w:color="auto"/>
        <w:bottom w:val="none" w:sz="0" w:space="0" w:color="auto"/>
        <w:right w:val="none" w:sz="0" w:space="0" w:color="auto"/>
      </w:divBdr>
    </w:div>
    <w:div w:id="966164403">
      <w:bodyDiv w:val="1"/>
      <w:marLeft w:val="0"/>
      <w:marRight w:val="0"/>
      <w:marTop w:val="0"/>
      <w:marBottom w:val="0"/>
      <w:divBdr>
        <w:top w:val="none" w:sz="0" w:space="0" w:color="auto"/>
        <w:left w:val="none" w:sz="0" w:space="0" w:color="auto"/>
        <w:bottom w:val="none" w:sz="0" w:space="0" w:color="auto"/>
        <w:right w:val="none" w:sz="0" w:space="0" w:color="auto"/>
      </w:divBdr>
    </w:div>
    <w:div w:id="967856667">
      <w:bodyDiv w:val="1"/>
      <w:marLeft w:val="0"/>
      <w:marRight w:val="0"/>
      <w:marTop w:val="0"/>
      <w:marBottom w:val="0"/>
      <w:divBdr>
        <w:top w:val="none" w:sz="0" w:space="0" w:color="auto"/>
        <w:left w:val="none" w:sz="0" w:space="0" w:color="auto"/>
        <w:bottom w:val="none" w:sz="0" w:space="0" w:color="auto"/>
        <w:right w:val="none" w:sz="0" w:space="0" w:color="auto"/>
      </w:divBdr>
    </w:div>
    <w:div w:id="968171771">
      <w:bodyDiv w:val="1"/>
      <w:marLeft w:val="0"/>
      <w:marRight w:val="0"/>
      <w:marTop w:val="0"/>
      <w:marBottom w:val="0"/>
      <w:divBdr>
        <w:top w:val="none" w:sz="0" w:space="0" w:color="auto"/>
        <w:left w:val="none" w:sz="0" w:space="0" w:color="auto"/>
        <w:bottom w:val="none" w:sz="0" w:space="0" w:color="auto"/>
        <w:right w:val="none" w:sz="0" w:space="0" w:color="auto"/>
      </w:divBdr>
    </w:div>
    <w:div w:id="968362684">
      <w:bodyDiv w:val="1"/>
      <w:marLeft w:val="0"/>
      <w:marRight w:val="0"/>
      <w:marTop w:val="0"/>
      <w:marBottom w:val="0"/>
      <w:divBdr>
        <w:top w:val="none" w:sz="0" w:space="0" w:color="auto"/>
        <w:left w:val="none" w:sz="0" w:space="0" w:color="auto"/>
        <w:bottom w:val="none" w:sz="0" w:space="0" w:color="auto"/>
        <w:right w:val="none" w:sz="0" w:space="0" w:color="auto"/>
      </w:divBdr>
    </w:div>
    <w:div w:id="969483149">
      <w:bodyDiv w:val="1"/>
      <w:marLeft w:val="0"/>
      <w:marRight w:val="0"/>
      <w:marTop w:val="0"/>
      <w:marBottom w:val="0"/>
      <w:divBdr>
        <w:top w:val="none" w:sz="0" w:space="0" w:color="auto"/>
        <w:left w:val="none" w:sz="0" w:space="0" w:color="auto"/>
        <w:bottom w:val="none" w:sz="0" w:space="0" w:color="auto"/>
        <w:right w:val="none" w:sz="0" w:space="0" w:color="auto"/>
      </w:divBdr>
    </w:div>
    <w:div w:id="971055401">
      <w:bodyDiv w:val="1"/>
      <w:marLeft w:val="0"/>
      <w:marRight w:val="0"/>
      <w:marTop w:val="0"/>
      <w:marBottom w:val="0"/>
      <w:divBdr>
        <w:top w:val="none" w:sz="0" w:space="0" w:color="auto"/>
        <w:left w:val="none" w:sz="0" w:space="0" w:color="auto"/>
        <w:bottom w:val="none" w:sz="0" w:space="0" w:color="auto"/>
        <w:right w:val="none" w:sz="0" w:space="0" w:color="auto"/>
      </w:divBdr>
    </w:div>
    <w:div w:id="971056212">
      <w:bodyDiv w:val="1"/>
      <w:marLeft w:val="0"/>
      <w:marRight w:val="0"/>
      <w:marTop w:val="0"/>
      <w:marBottom w:val="0"/>
      <w:divBdr>
        <w:top w:val="none" w:sz="0" w:space="0" w:color="auto"/>
        <w:left w:val="none" w:sz="0" w:space="0" w:color="auto"/>
        <w:bottom w:val="none" w:sz="0" w:space="0" w:color="auto"/>
        <w:right w:val="none" w:sz="0" w:space="0" w:color="auto"/>
      </w:divBdr>
    </w:div>
    <w:div w:id="971472780">
      <w:bodyDiv w:val="1"/>
      <w:marLeft w:val="0"/>
      <w:marRight w:val="0"/>
      <w:marTop w:val="0"/>
      <w:marBottom w:val="0"/>
      <w:divBdr>
        <w:top w:val="none" w:sz="0" w:space="0" w:color="auto"/>
        <w:left w:val="none" w:sz="0" w:space="0" w:color="auto"/>
        <w:bottom w:val="none" w:sz="0" w:space="0" w:color="auto"/>
        <w:right w:val="none" w:sz="0" w:space="0" w:color="auto"/>
      </w:divBdr>
    </w:div>
    <w:div w:id="971978742">
      <w:bodyDiv w:val="1"/>
      <w:marLeft w:val="0"/>
      <w:marRight w:val="0"/>
      <w:marTop w:val="0"/>
      <w:marBottom w:val="0"/>
      <w:divBdr>
        <w:top w:val="none" w:sz="0" w:space="0" w:color="auto"/>
        <w:left w:val="none" w:sz="0" w:space="0" w:color="auto"/>
        <w:bottom w:val="none" w:sz="0" w:space="0" w:color="auto"/>
        <w:right w:val="none" w:sz="0" w:space="0" w:color="auto"/>
      </w:divBdr>
    </w:div>
    <w:div w:id="972907828">
      <w:bodyDiv w:val="1"/>
      <w:marLeft w:val="0"/>
      <w:marRight w:val="0"/>
      <w:marTop w:val="0"/>
      <w:marBottom w:val="0"/>
      <w:divBdr>
        <w:top w:val="none" w:sz="0" w:space="0" w:color="auto"/>
        <w:left w:val="none" w:sz="0" w:space="0" w:color="auto"/>
        <w:bottom w:val="none" w:sz="0" w:space="0" w:color="auto"/>
        <w:right w:val="none" w:sz="0" w:space="0" w:color="auto"/>
      </w:divBdr>
    </w:div>
    <w:div w:id="974528134">
      <w:bodyDiv w:val="1"/>
      <w:marLeft w:val="0"/>
      <w:marRight w:val="0"/>
      <w:marTop w:val="0"/>
      <w:marBottom w:val="0"/>
      <w:divBdr>
        <w:top w:val="none" w:sz="0" w:space="0" w:color="auto"/>
        <w:left w:val="none" w:sz="0" w:space="0" w:color="auto"/>
        <w:bottom w:val="none" w:sz="0" w:space="0" w:color="auto"/>
        <w:right w:val="none" w:sz="0" w:space="0" w:color="auto"/>
      </w:divBdr>
    </w:div>
    <w:div w:id="974681792">
      <w:bodyDiv w:val="1"/>
      <w:marLeft w:val="0"/>
      <w:marRight w:val="0"/>
      <w:marTop w:val="0"/>
      <w:marBottom w:val="0"/>
      <w:divBdr>
        <w:top w:val="none" w:sz="0" w:space="0" w:color="auto"/>
        <w:left w:val="none" w:sz="0" w:space="0" w:color="auto"/>
        <w:bottom w:val="none" w:sz="0" w:space="0" w:color="auto"/>
        <w:right w:val="none" w:sz="0" w:space="0" w:color="auto"/>
      </w:divBdr>
    </w:div>
    <w:div w:id="977106165">
      <w:bodyDiv w:val="1"/>
      <w:marLeft w:val="0"/>
      <w:marRight w:val="0"/>
      <w:marTop w:val="0"/>
      <w:marBottom w:val="0"/>
      <w:divBdr>
        <w:top w:val="none" w:sz="0" w:space="0" w:color="auto"/>
        <w:left w:val="none" w:sz="0" w:space="0" w:color="auto"/>
        <w:bottom w:val="none" w:sz="0" w:space="0" w:color="auto"/>
        <w:right w:val="none" w:sz="0" w:space="0" w:color="auto"/>
      </w:divBdr>
    </w:div>
    <w:div w:id="977228456">
      <w:bodyDiv w:val="1"/>
      <w:marLeft w:val="0"/>
      <w:marRight w:val="0"/>
      <w:marTop w:val="0"/>
      <w:marBottom w:val="0"/>
      <w:divBdr>
        <w:top w:val="none" w:sz="0" w:space="0" w:color="auto"/>
        <w:left w:val="none" w:sz="0" w:space="0" w:color="auto"/>
        <w:bottom w:val="none" w:sz="0" w:space="0" w:color="auto"/>
        <w:right w:val="none" w:sz="0" w:space="0" w:color="auto"/>
      </w:divBdr>
    </w:div>
    <w:div w:id="977294966">
      <w:bodyDiv w:val="1"/>
      <w:marLeft w:val="0"/>
      <w:marRight w:val="0"/>
      <w:marTop w:val="0"/>
      <w:marBottom w:val="0"/>
      <w:divBdr>
        <w:top w:val="none" w:sz="0" w:space="0" w:color="auto"/>
        <w:left w:val="none" w:sz="0" w:space="0" w:color="auto"/>
        <w:bottom w:val="none" w:sz="0" w:space="0" w:color="auto"/>
        <w:right w:val="none" w:sz="0" w:space="0" w:color="auto"/>
      </w:divBdr>
    </w:div>
    <w:div w:id="977537256">
      <w:bodyDiv w:val="1"/>
      <w:marLeft w:val="0"/>
      <w:marRight w:val="0"/>
      <w:marTop w:val="0"/>
      <w:marBottom w:val="0"/>
      <w:divBdr>
        <w:top w:val="none" w:sz="0" w:space="0" w:color="auto"/>
        <w:left w:val="none" w:sz="0" w:space="0" w:color="auto"/>
        <w:bottom w:val="none" w:sz="0" w:space="0" w:color="auto"/>
        <w:right w:val="none" w:sz="0" w:space="0" w:color="auto"/>
      </w:divBdr>
    </w:div>
    <w:div w:id="978460844">
      <w:bodyDiv w:val="1"/>
      <w:marLeft w:val="0"/>
      <w:marRight w:val="0"/>
      <w:marTop w:val="0"/>
      <w:marBottom w:val="0"/>
      <w:divBdr>
        <w:top w:val="none" w:sz="0" w:space="0" w:color="auto"/>
        <w:left w:val="none" w:sz="0" w:space="0" w:color="auto"/>
        <w:bottom w:val="none" w:sz="0" w:space="0" w:color="auto"/>
        <w:right w:val="none" w:sz="0" w:space="0" w:color="auto"/>
      </w:divBdr>
    </w:div>
    <w:div w:id="979992324">
      <w:bodyDiv w:val="1"/>
      <w:marLeft w:val="0"/>
      <w:marRight w:val="0"/>
      <w:marTop w:val="0"/>
      <w:marBottom w:val="0"/>
      <w:divBdr>
        <w:top w:val="none" w:sz="0" w:space="0" w:color="auto"/>
        <w:left w:val="none" w:sz="0" w:space="0" w:color="auto"/>
        <w:bottom w:val="none" w:sz="0" w:space="0" w:color="auto"/>
        <w:right w:val="none" w:sz="0" w:space="0" w:color="auto"/>
      </w:divBdr>
    </w:div>
    <w:div w:id="980696276">
      <w:bodyDiv w:val="1"/>
      <w:marLeft w:val="0"/>
      <w:marRight w:val="0"/>
      <w:marTop w:val="0"/>
      <w:marBottom w:val="0"/>
      <w:divBdr>
        <w:top w:val="none" w:sz="0" w:space="0" w:color="auto"/>
        <w:left w:val="none" w:sz="0" w:space="0" w:color="auto"/>
        <w:bottom w:val="none" w:sz="0" w:space="0" w:color="auto"/>
        <w:right w:val="none" w:sz="0" w:space="0" w:color="auto"/>
      </w:divBdr>
    </w:div>
    <w:div w:id="981078526">
      <w:bodyDiv w:val="1"/>
      <w:marLeft w:val="0"/>
      <w:marRight w:val="0"/>
      <w:marTop w:val="0"/>
      <w:marBottom w:val="0"/>
      <w:divBdr>
        <w:top w:val="none" w:sz="0" w:space="0" w:color="auto"/>
        <w:left w:val="none" w:sz="0" w:space="0" w:color="auto"/>
        <w:bottom w:val="none" w:sz="0" w:space="0" w:color="auto"/>
        <w:right w:val="none" w:sz="0" w:space="0" w:color="auto"/>
      </w:divBdr>
    </w:div>
    <w:div w:id="981347797">
      <w:bodyDiv w:val="1"/>
      <w:marLeft w:val="0"/>
      <w:marRight w:val="0"/>
      <w:marTop w:val="0"/>
      <w:marBottom w:val="0"/>
      <w:divBdr>
        <w:top w:val="none" w:sz="0" w:space="0" w:color="auto"/>
        <w:left w:val="none" w:sz="0" w:space="0" w:color="auto"/>
        <w:bottom w:val="none" w:sz="0" w:space="0" w:color="auto"/>
        <w:right w:val="none" w:sz="0" w:space="0" w:color="auto"/>
      </w:divBdr>
    </w:div>
    <w:div w:id="981806860">
      <w:bodyDiv w:val="1"/>
      <w:marLeft w:val="0"/>
      <w:marRight w:val="0"/>
      <w:marTop w:val="0"/>
      <w:marBottom w:val="0"/>
      <w:divBdr>
        <w:top w:val="none" w:sz="0" w:space="0" w:color="auto"/>
        <w:left w:val="none" w:sz="0" w:space="0" w:color="auto"/>
        <w:bottom w:val="none" w:sz="0" w:space="0" w:color="auto"/>
        <w:right w:val="none" w:sz="0" w:space="0" w:color="auto"/>
      </w:divBdr>
    </w:div>
    <w:div w:id="981809965">
      <w:bodyDiv w:val="1"/>
      <w:marLeft w:val="0"/>
      <w:marRight w:val="0"/>
      <w:marTop w:val="0"/>
      <w:marBottom w:val="0"/>
      <w:divBdr>
        <w:top w:val="none" w:sz="0" w:space="0" w:color="auto"/>
        <w:left w:val="none" w:sz="0" w:space="0" w:color="auto"/>
        <w:bottom w:val="none" w:sz="0" w:space="0" w:color="auto"/>
        <w:right w:val="none" w:sz="0" w:space="0" w:color="auto"/>
      </w:divBdr>
    </w:div>
    <w:div w:id="984118249">
      <w:bodyDiv w:val="1"/>
      <w:marLeft w:val="0"/>
      <w:marRight w:val="0"/>
      <w:marTop w:val="0"/>
      <w:marBottom w:val="0"/>
      <w:divBdr>
        <w:top w:val="none" w:sz="0" w:space="0" w:color="auto"/>
        <w:left w:val="none" w:sz="0" w:space="0" w:color="auto"/>
        <w:bottom w:val="none" w:sz="0" w:space="0" w:color="auto"/>
        <w:right w:val="none" w:sz="0" w:space="0" w:color="auto"/>
      </w:divBdr>
    </w:div>
    <w:div w:id="984894175">
      <w:bodyDiv w:val="1"/>
      <w:marLeft w:val="0"/>
      <w:marRight w:val="0"/>
      <w:marTop w:val="0"/>
      <w:marBottom w:val="0"/>
      <w:divBdr>
        <w:top w:val="none" w:sz="0" w:space="0" w:color="auto"/>
        <w:left w:val="none" w:sz="0" w:space="0" w:color="auto"/>
        <w:bottom w:val="none" w:sz="0" w:space="0" w:color="auto"/>
        <w:right w:val="none" w:sz="0" w:space="0" w:color="auto"/>
      </w:divBdr>
    </w:div>
    <w:div w:id="985858977">
      <w:bodyDiv w:val="1"/>
      <w:marLeft w:val="0"/>
      <w:marRight w:val="0"/>
      <w:marTop w:val="0"/>
      <w:marBottom w:val="0"/>
      <w:divBdr>
        <w:top w:val="none" w:sz="0" w:space="0" w:color="auto"/>
        <w:left w:val="none" w:sz="0" w:space="0" w:color="auto"/>
        <w:bottom w:val="none" w:sz="0" w:space="0" w:color="auto"/>
        <w:right w:val="none" w:sz="0" w:space="0" w:color="auto"/>
      </w:divBdr>
    </w:div>
    <w:div w:id="985938282">
      <w:bodyDiv w:val="1"/>
      <w:marLeft w:val="0"/>
      <w:marRight w:val="0"/>
      <w:marTop w:val="0"/>
      <w:marBottom w:val="0"/>
      <w:divBdr>
        <w:top w:val="none" w:sz="0" w:space="0" w:color="auto"/>
        <w:left w:val="none" w:sz="0" w:space="0" w:color="auto"/>
        <w:bottom w:val="none" w:sz="0" w:space="0" w:color="auto"/>
        <w:right w:val="none" w:sz="0" w:space="0" w:color="auto"/>
      </w:divBdr>
    </w:div>
    <w:div w:id="986590921">
      <w:bodyDiv w:val="1"/>
      <w:marLeft w:val="0"/>
      <w:marRight w:val="0"/>
      <w:marTop w:val="0"/>
      <w:marBottom w:val="0"/>
      <w:divBdr>
        <w:top w:val="none" w:sz="0" w:space="0" w:color="auto"/>
        <w:left w:val="none" w:sz="0" w:space="0" w:color="auto"/>
        <w:bottom w:val="none" w:sz="0" w:space="0" w:color="auto"/>
        <w:right w:val="none" w:sz="0" w:space="0" w:color="auto"/>
      </w:divBdr>
    </w:div>
    <w:div w:id="986862679">
      <w:bodyDiv w:val="1"/>
      <w:marLeft w:val="0"/>
      <w:marRight w:val="0"/>
      <w:marTop w:val="0"/>
      <w:marBottom w:val="0"/>
      <w:divBdr>
        <w:top w:val="none" w:sz="0" w:space="0" w:color="auto"/>
        <w:left w:val="none" w:sz="0" w:space="0" w:color="auto"/>
        <w:bottom w:val="none" w:sz="0" w:space="0" w:color="auto"/>
        <w:right w:val="none" w:sz="0" w:space="0" w:color="auto"/>
      </w:divBdr>
    </w:div>
    <w:div w:id="987589145">
      <w:bodyDiv w:val="1"/>
      <w:marLeft w:val="0"/>
      <w:marRight w:val="0"/>
      <w:marTop w:val="0"/>
      <w:marBottom w:val="0"/>
      <w:divBdr>
        <w:top w:val="none" w:sz="0" w:space="0" w:color="auto"/>
        <w:left w:val="none" w:sz="0" w:space="0" w:color="auto"/>
        <w:bottom w:val="none" w:sz="0" w:space="0" w:color="auto"/>
        <w:right w:val="none" w:sz="0" w:space="0" w:color="auto"/>
      </w:divBdr>
    </w:div>
    <w:div w:id="987636693">
      <w:bodyDiv w:val="1"/>
      <w:marLeft w:val="0"/>
      <w:marRight w:val="0"/>
      <w:marTop w:val="0"/>
      <w:marBottom w:val="0"/>
      <w:divBdr>
        <w:top w:val="none" w:sz="0" w:space="0" w:color="auto"/>
        <w:left w:val="none" w:sz="0" w:space="0" w:color="auto"/>
        <w:bottom w:val="none" w:sz="0" w:space="0" w:color="auto"/>
        <w:right w:val="none" w:sz="0" w:space="0" w:color="auto"/>
      </w:divBdr>
    </w:div>
    <w:div w:id="988745637">
      <w:bodyDiv w:val="1"/>
      <w:marLeft w:val="0"/>
      <w:marRight w:val="0"/>
      <w:marTop w:val="0"/>
      <w:marBottom w:val="0"/>
      <w:divBdr>
        <w:top w:val="none" w:sz="0" w:space="0" w:color="auto"/>
        <w:left w:val="none" w:sz="0" w:space="0" w:color="auto"/>
        <w:bottom w:val="none" w:sz="0" w:space="0" w:color="auto"/>
        <w:right w:val="none" w:sz="0" w:space="0" w:color="auto"/>
      </w:divBdr>
    </w:div>
    <w:div w:id="988897410">
      <w:bodyDiv w:val="1"/>
      <w:marLeft w:val="0"/>
      <w:marRight w:val="0"/>
      <w:marTop w:val="0"/>
      <w:marBottom w:val="0"/>
      <w:divBdr>
        <w:top w:val="none" w:sz="0" w:space="0" w:color="auto"/>
        <w:left w:val="none" w:sz="0" w:space="0" w:color="auto"/>
        <w:bottom w:val="none" w:sz="0" w:space="0" w:color="auto"/>
        <w:right w:val="none" w:sz="0" w:space="0" w:color="auto"/>
      </w:divBdr>
    </w:div>
    <w:div w:id="989602570">
      <w:bodyDiv w:val="1"/>
      <w:marLeft w:val="0"/>
      <w:marRight w:val="0"/>
      <w:marTop w:val="0"/>
      <w:marBottom w:val="0"/>
      <w:divBdr>
        <w:top w:val="none" w:sz="0" w:space="0" w:color="auto"/>
        <w:left w:val="none" w:sz="0" w:space="0" w:color="auto"/>
        <w:bottom w:val="none" w:sz="0" w:space="0" w:color="auto"/>
        <w:right w:val="none" w:sz="0" w:space="0" w:color="auto"/>
      </w:divBdr>
    </w:div>
    <w:div w:id="990403687">
      <w:bodyDiv w:val="1"/>
      <w:marLeft w:val="0"/>
      <w:marRight w:val="0"/>
      <w:marTop w:val="0"/>
      <w:marBottom w:val="0"/>
      <w:divBdr>
        <w:top w:val="none" w:sz="0" w:space="0" w:color="auto"/>
        <w:left w:val="none" w:sz="0" w:space="0" w:color="auto"/>
        <w:bottom w:val="none" w:sz="0" w:space="0" w:color="auto"/>
        <w:right w:val="none" w:sz="0" w:space="0" w:color="auto"/>
      </w:divBdr>
    </w:div>
    <w:div w:id="991568869">
      <w:bodyDiv w:val="1"/>
      <w:marLeft w:val="0"/>
      <w:marRight w:val="0"/>
      <w:marTop w:val="0"/>
      <w:marBottom w:val="0"/>
      <w:divBdr>
        <w:top w:val="none" w:sz="0" w:space="0" w:color="auto"/>
        <w:left w:val="none" w:sz="0" w:space="0" w:color="auto"/>
        <w:bottom w:val="none" w:sz="0" w:space="0" w:color="auto"/>
        <w:right w:val="none" w:sz="0" w:space="0" w:color="auto"/>
      </w:divBdr>
    </w:div>
    <w:div w:id="991982283">
      <w:bodyDiv w:val="1"/>
      <w:marLeft w:val="0"/>
      <w:marRight w:val="0"/>
      <w:marTop w:val="0"/>
      <w:marBottom w:val="0"/>
      <w:divBdr>
        <w:top w:val="none" w:sz="0" w:space="0" w:color="auto"/>
        <w:left w:val="none" w:sz="0" w:space="0" w:color="auto"/>
        <w:bottom w:val="none" w:sz="0" w:space="0" w:color="auto"/>
        <w:right w:val="none" w:sz="0" w:space="0" w:color="auto"/>
      </w:divBdr>
    </w:div>
    <w:div w:id="992149613">
      <w:bodyDiv w:val="1"/>
      <w:marLeft w:val="0"/>
      <w:marRight w:val="0"/>
      <w:marTop w:val="0"/>
      <w:marBottom w:val="0"/>
      <w:divBdr>
        <w:top w:val="none" w:sz="0" w:space="0" w:color="auto"/>
        <w:left w:val="none" w:sz="0" w:space="0" w:color="auto"/>
        <w:bottom w:val="none" w:sz="0" w:space="0" w:color="auto"/>
        <w:right w:val="none" w:sz="0" w:space="0" w:color="auto"/>
      </w:divBdr>
    </w:div>
    <w:div w:id="993215936">
      <w:bodyDiv w:val="1"/>
      <w:marLeft w:val="0"/>
      <w:marRight w:val="0"/>
      <w:marTop w:val="0"/>
      <w:marBottom w:val="0"/>
      <w:divBdr>
        <w:top w:val="none" w:sz="0" w:space="0" w:color="auto"/>
        <w:left w:val="none" w:sz="0" w:space="0" w:color="auto"/>
        <w:bottom w:val="none" w:sz="0" w:space="0" w:color="auto"/>
        <w:right w:val="none" w:sz="0" w:space="0" w:color="auto"/>
      </w:divBdr>
    </w:div>
    <w:div w:id="993607933">
      <w:bodyDiv w:val="1"/>
      <w:marLeft w:val="0"/>
      <w:marRight w:val="0"/>
      <w:marTop w:val="0"/>
      <w:marBottom w:val="0"/>
      <w:divBdr>
        <w:top w:val="none" w:sz="0" w:space="0" w:color="auto"/>
        <w:left w:val="none" w:sz="0" w:space="0" w:color="auto"/>
        <w:bottom w:val="none" w:sz="0" w:space="0" w:color="auto"/>
        <w:right w:val="none" w:sz="0" w:space="0" w:color="auto"/>
      </w:divBdr>
    </w:div>
    <w:div w:id="993802651">
      <w:bodyDiv w:val="1"/>
      <w:marLeft w:val="0"/>
      <w:marRight w:val="0"/>
      <w:marTop w:val="0"/>
      <w:marBottom w:val="0"/>
      <w:divBdr>
        <w:top w:val="none" w:sz="0" w:space="0" w:color="auto"/>
        <w:left w:val="none" w:sz="0" w:space="0" w:color="auto"/>
        <w:bottom w:val="none" w:sz="0" w:space="0" w:color="auto"/>
        <w:right w:val="none" w:sz="0" w:space="0" w:color="auto"/>
      </w:divBdr>
    </w:div>
    <w:div w:id="993997135">
      <w:bodyDiv w:val="1"/>
      <w:marLeft w:val="0"/>
      <w:marRight w:val="0"/>
      <w:marTop w:val="0"/>
      <w:marBottom w:val="0"/>
      <w:divBdr>
        <w:top w:val="none" w:sz="0" w:space="0" w:color="auto"/>
        <w:left w:val="none" w:sz="0" w:space="0" w:color="auto"/>
        <w:bottom w:val="none" w:sz="0" w:space="0" w:color="auto"/>
        <w:right w:val="none" w:sz="0" w:space="0" w:color="auto"/>
      </w:divBdr>
    </w:div>
    <w:div w:id="994341425">
      <w:bodyDiv w:val="1"/>
      <w:marLeft w:val="0"/>
      <w:marRight w:val="0"/>
      <w:marTop w:val="0"/>
      <w:marBottom w:val="0"/>
      <w:divBdr>
        <w:top w:val="none" w:sz="0" w:space="0" w:color="auto"/>
        <w:left w:val="none" w:sz="0" w:space="0" w:color="auto"/>
        <w:bottom w:val="none" w:sz="0" w:space="0" w:color="auto"/>
        <w:right w:val="none" w:sz="0" w:space="0" w:color="auto"/>
      </w:divBdr>
    </w:div>
    <w:div w:id="996154341">
      <w:bodyDiv w:val="1"/>
      <w:marLeft w:val="0"/>
      <w:marRight w:val="0"/>
      <w:marTop w:val="0"/>
      <w:marBottom w:val="0"/>
      <w:divBdr>
        <w:top w:val="none" w:sz="0" w:space="0" w:color="auto"/>
        <w:left w:val="none" w:sz="0" w:space="0" w:color="auto"/>
        <w:bottom w:val="none" w:sz="0" w:space="0" w:color="auto"/>
        <w:right w:val="none" w:sz="0" w:space="0" w:color="auto"/>
      </w:divBdr>
    </w:div>
    <w:div w:id="996766143">
      <w:bodyDiv w:val="1"/>
      <w:marLeft w:val="0"/>
      <w:marRight w:val="0"/>
      <w:marTop w:val="0"/>
      <w:marBottom w:val="0"/>
      <w:divBdr>
        <w:top w:val="none" w:sz="0" w:space="0" w:color="auto"/>
        <w:left w:val="none" w:sz="0" w:space="0" w:color="auto"/>
        <w:bottom w:val="none" w:sz="0" w:space="0" w:color="auto"/>
        <w:right w:val="none" w:sz="0" w:space="0" w:color="auto"/>
      </w:divBdr>
    </w:div>
    <w:div w:id="997270420">
      <w:bodyDiv w:val="1"/>
      <w:marLeft w:val="0"/>
      <w:marRight w:val="0"/>
      <w:marTop w:val="0"/>
      <w:marBottom w:val="0"/>
      <w:divBdr>
        <w:top w:val="none" w:sz="0" w:space="0" w:color="auto"/>
        <w:left w:val="none" w:sz="0" w:space="0" w:color="auto"/>
        <w:bottom w:val="none" w:sz="0" w:space="0" w:color="auto"/>
        <w:right w:val="none" w:sz="0" w:space="0" w:color="auto"/>
      </w:divBdr>
    </w:div>
    <w:div w:id="997658844">
      <w:bodyDiv w:val="1"/>
      <w:marLeft w:val="0"/>
      <w:marRight w:val="0"/>
      <w:marTop w:val="0"/>
      <w:marBottom w:val="0"/>
      <w:divBdr>
        <w:top w:val="none" w:sz="0" w:space="0" w:color="auto"/>
        <w:left w:val="none" w:sz="0" w:space="0" w:color="auto"/>
        <w:bottom w:val="none" w:sz="0" w:space="0" w:color="auto"/>
        <w:right w:val="none" w:sz="0" w:space="0" w:color="auto"/>
      </w:divBdr>
    </w:div>
    <w:div w:id="999120607">
      <w:bodyDiv w:val="1"/>
      <w:marLeft w:val="0"/>
      <w:marRight w:val="0"/>
      <w:marTop w:val="0"/>
      <w:marBottom w:val="0"/>
      <w:divBdr>
        <w:top w:val="none" w:sz="0" w:space="0" w:color="auto"/>
        <w:left w:val="none" w:sz="0" w:space="0" w:color="auto"/>
        <w:bottom w:val="none" w:sz="0" w:space="0" w:color="auto"/>
        <w:right w:val="none" w:sz="0" w:space="0" w:color="auto"/>
      </w:divBdr>
    </w:div>
    <w:div w:id="1000932707">
      <w:bodyDiv w:val="1"/>
      <w:marLeft w:val="0"/>
      <w:marRight w:val="0"/>
      <w:marTop w:val="0"/>
      <w:marBottom w:val="0"/>
      <w:divBdr>
        <w:top w:val="none" w:sz="0" w:space="0" w:color="auto"/>
        <w:left w:val="none" w:sz="0" w:space="0" w:color="auto"/>
        <w:bottom w:val="none" w:sz="0" w:space="0" w:color="auto"/>
        <w:right w:val="none" w:sz="0" w:space="0" w:color="auto"/>
      </w:divBdr>
    </w:div>
    <w:div w:id="1002246062">
      <w:bodyDiv w:val="1"/>
      <w:marLeft w:val="0"/>
      <w:marRight w:val="0"/>
      <w:marTop w:val="0"/>
      <w:marBottom w:val="0"/>
      <w:divBdr>
        <w:top w:val="none" w:sz="0" w:space="0" w:color="auto"/>
        <w:left w:val="none" w:sz="0" w:space="0" w:color="auto"/>
        <w:bottom w:val="none" w:sz="0" w:space="0" w:color="auto"/>
        <w:right w:val="none" w:sz="0" w:space="0" w:color="auto"/>
      </w:divBdr>
    </w:div>
    <w:div w:id="1002781677">
      <w:bodyDiv w:val="1"/>
      <w:marLeft w:val="0"/>
      <w:marRight w:val="0"/>
      <w:marTop w:val="0"/>
      <w:marBottom w:val="0"/>
      <w:divBdr>
        <w:top w:val="none" w:sz="0" w:space="0" w:color="auto"/>
        <w:left w:val="none" w:sz="0" w:space="0" w:color="auto"/>
        <w:bottom w:val="none" w:sz="0" w:space="0" w:color="auto"/>
        <w:right w:val="none" w:sz="0" w:space="0" w:color="auto"/>
      </w:divBdr>
    </w:div>
    <w:div w:id="1004161702">
      <w:bodyDiv w:val="1"/>
      <w:marLeft w:val="0"/>
      <w:marRight w:val="0"/>
      <w:marTop w:val="0"/>
      <w:marBottom w:val="0"/>
      <w:divBdr>
        <w:top w:val="none" w:sz="0" w:space="0" w:color="auto"/>
        <w:left w:val="none" w:sz="0" w:space="0" w:color="auto"/>
        <w:bottom w:val="none" w:sz="0" w:space="0" w:color="auto"/>
        <w:right w:val="none" w:sz="0" w:space="0" w:color="auto"/>
      </w:divBdr>
    </w:div>
    <w:div w:id="1004741708">
      <w:bodyDiv w:val="1"/>
      <w:marLeft w:val="0"/>
      <w:marRight w:val="0"/>
      <w:marTop w:val="0"/>
      <w:marBottom w:val="0"/>
      <w:divBdr>
        <w:top w:val="none" w:sz="0" w:space="0" w:color="auto"/>
        <w:left w:val="none" w:sz="0" w:space="0" w:color="auto"/>
        <w:bottom w:val="none" w:sz="0" w:space="0" w:color="auto"/>
        <w:right w:val="none" w:sz="0" w:space="0" w:color="auto"/>
      </w:divBdr>
    </w:div>
    <w:div w:id="1005285577">
      <w:bodyDiv w:val="1"/>
      <w:marLeft w:val="0"/>
      <w:marRight w:val="0"/>
      <w:marTop w:val="0"/>
      <w:marBottom w:val="0"/>
      <w:divBdr>
        <w:top w:val="none" w:sz="0" w:space="0" w:color="auto"/>
        <w:left w:val="none" w:sz="0" w:space="0" w:color="auto"/>
        <w:bottom w:val="none" w:sz="0" w:space="0" w:color="auto"/>
        <w:right w:val="none" w:sz="0" w:space="0" w:color="auto"/>
      </w:divBdr>
    </w:div>
    <w:div w:id="1005401361">
      <w:bodyDiv w:val="1"/>
      <w:marLeft w:val="0"/>
      <w:marRight w:val="0"/>
      <w:marTop w:val="0"/>
      <w:marBottom w:val="0"/>
      <w:divBdr>
        <w:top w:val="none" w:sz="0" w:space="0" w:color="auto"/>
        <w:left w:val="none" w:sz="0" w:space="0" w:color="auto"/>
        <w:bottom w:val="none" w:sz="0" w:space="0" w:color="auto"/>
        <w:right w:val="none" w:sz="0" w:space="0" w:color="auto"/>
      </w:divBdr>
    </w:div>
    <w:div w:id="1005474518">
      <w:bodyDiv w:val="1"/>
      <w:marLeft w:val="0"/>
      <w:marRight w:val="0"/>
      <w:marTop w:val="0"/>
      <w:marBottom w:val="0"/>
      <w:divBdr>
        <w:top w:val="none" w:sz="0" w:space="0" w:color="auto"/>
        <w:left w:val="none" w:sz="0" w:space="0" w:color="auto"/>
        <w:bottom w:val="none" w:sz="0" w:space="0" w:color="auto"/>
        <w:right w:val="none" w:sz="0" w:space="0" w:color="auto"/>
      </w:divBdr>
    </w:div>
    <w:div w:id="1007707365">
      <w:bodyDiv w:val="1"/>
      <w:marLeft w:val="0"/>
      <w:marRight w:val="0"/>
      <w:marTop w:val="0"/>
      <w:marBottom w:val="0"/>
      <w:divBdr>
        <w:top w:val="none" w:sz="0" w:space="0" w:color="auto"/>
        <w:left w:val="none" w:sz="0" w:space="0" w:color="auto"/>
        <w:bottom w:val="none" w:sz="0" w:space="0" w:color="auto"/>
        <w:right w:val="none" w:sz="0" w:space="0" w:color="auto"/>
      </w:divBdr>
    </w:div>
    <w:div w:id="1009795618">
      <w:bodyDiv w:val="1"/>
      <w:marLeft w:val="0"/>
      <w:marRight w:val="0"/>
      <w:marTop w:val="0"/>
      <w:marBottom w:val="0"/>
      <w:divBdr>
        <w:top w:val="none" w:sz="0" w:space="0" w:color="auto"/>
        <w:left w:val="none" w:sz="0" w:space="0" w:color="auto"/>
        <w:bottom w:val="none" w:sz="0" w:space="0" w:color="auto"/>
        <w:right w:val="none" w:sz="0" w:space="0" w:color="auto"/>
      </w:divBdr>
    </w:div>
    <w:div w:id="1010176961">
      <w:bodyDiv w:val="1"/>
      <w:marLeft w:val="0"/>
      <w:marRight w:val="0"/>
      <w:marTop w:val="0"/>
      <w:marBottom w:val="0"/>
      <w:divBdr>
        <w:top w:val="none" w:sz="0" w:space="0" w:color="auto"/>
        <w:left w:val="none" w:sz="0" w:space="0" w:color="auto"/>
        <w:bottom w:val="none" w:sz="0" w:space="0" w:color="auto"/>
        <w:right w:val="none" w:sz="0" w:space="0" w:color="auto"/>
      </w:divBdr>
    </w:div>
    <w:div w:id="1010452690">
      <w:bodyDiv w:val="1"/>
      <w:marLeft w:val="0"/>
      <w:marRight w:val="0"/>
      <w:marTop w:val="0"/>
      <w:marBottom w:val="0"/>
      <w:divBdr>
        <w:top w:val="none" w:sz="0" w:space="0" w:color="auto"/>
        <w:left w:val="none" w:sz="0" w:space="0" w:color="auto"/>
        <w:bottom w:val="none" w:sz="0" w:space="0" w:color="auto"/>
        <w:right w:val="none" w:sz="0" w:space="0" w:color="auto"/>
      </w:divBdr>
    </w:div>
    <w:div w:id="1011375261">
      <w:bodyDiv w:val="1"/>
      <w:marLeft w:val="0"/>
      <w:marRight w:val="0"/>
      <w:marTop w:val="0"/>
      <w:marBottom w:val="0"/>
      <w:divBdr>
        <w:top w:val="none" w:sz="0" w:space="0" w:color="auto"/>
        <w:left w:val="none" w:sz="0" w:space="0" w:color="auto"/>
        <w:bottom w:val="none" w:sz="0" w:space="0" w:color="auto"/>
        <w:right w:val="none" w:sz="0" w:space="0" w:color="auto"/>
      </w:divBdr>
    </w:div>
    <w:div w:id="1012025587">
      <w:bodyDiv w:val="1"/>
      <w:marLeft w:val="0"/>
      <w:marRight w:val="0"/>
      <w:marTop w:val="0"/>
      <w:marBottom w:val="0"/>
      <w:divBdr>
        <w:top w:val="none" w:sz="0" w:space="0" w:color="auto"/>
        <w:left w:val="none" w:sz="0" w:space="0" w:color="auto"/>
        <w:bottom w:val="none" w:sz="0" w:space="0" w:color="auto"/>
        <w:right w:val="none" w:sz="0" w:space="0" w:color="auto"/>
      </w:divBdr>
    </w:div>
    <w:div w:id="1012534461">
      <w:bodyDiv w:val="1"/>
      <w:marLeft w:val="0"/>
      <w:marRight w:val="0"/>
      <w:marTop w:val="0"/>
      <w:marBottom w:val="0"/>
      <w:divBdr>
        <w:top w:val="none" w:sz="0" w:space="0" w:color="auto"/>
        <w:left w:val="none" w:sz="0" w:space="0" w:color="auto"/>
        <w:bottom w:val="none" w:sz="0" w:space="0" w:color="auto"/>
        <w:right w:val="none" w:sz="0" w:space="0" w:color="auto"/>
      </w:divBdr>
    </w:div>
    <w:div w:id="1012991213">
      <w:bodyDiv w:val="1"/>
      <w:marLeft w:val="0"/>
      <w:marRight w:val="0"/>
      <w:marTop w:val="0"/>
      <w:marBottom w:val="0"/>
      <w:divBdr>
        <w:top w:val="none" w:sz="0" w:space="0" w:color="auto"/>
        <w:left w:val="none" w:sz="0" w:space="0" w:color="auto"/>
        <w:bottom w:val="none" w:sz="0" w:space="0" w:color="auto"/>
        <w:right w:val="none" w:sz="0" w:space="0" w:color="auto"/>
      </w:divBdr>
    </w:div>
    <w:div w:id="1013188928">
      <w:bodyDiv w:val="1"/>
      <w:marLeft w:val="0"/>
      <w:marRight w:val="0"/>
      <w:marTop w:val="0"/>
      <w:marBottom w:val="0"/>
      <w:divBdr>
        <w:top w:val="none" w:sz="0" w:space="0" w:color="auto"/>
        <w:left w:val="none" w:sz="0" w:space="0" w:color="auto"/>
        <w:bottom w:val="none" w:sz="0" w:space="0" w:color="auto"/>
        <w:right w:val="none" w:sz="0" w:space="0" w:color="auto"/>
      </w:divBdr>
    </w:div>
    <w:div w:id="1013410289">
      <w:bodyDiv w:val="1"/>
      <w:marLeft w:val="0"/>
      <w:marRight w:val="0"/>
      <w:marTop w:val="0"/>
      <w:marBottom w:val="0"/>
      <w:divBdr>
        <w:top w:val="none" w:sz="0" w:space="0" w:color="auto"/>
        <w:left w:val="none" w:sz="0" w:space="0" w:color="auto"/>
        <w:bottom w:val="none" w:sz="0" w:space="0" w:color="auto"/>
        <w:right w:val="none" w:sz="0" w:space="0" w:color="auto"/>
      </w:divBdr>
    </w:div>
    <w:div w:id="1013456291">
      <w:bodyDiv w:val="1"/>
      <w:marLeft w:val="0"/>
      <w:marRight w:val="0"/>
      <w:marTop w:val="0"/>
      <w:marBottom w:val="0"/>
      <w:divBdr>
        <w:top w:val="none" w:sz="0" w:space="0" w:color="auto"/>
        <w:left w:val="none" w:sz="0" w:space="0" w:color="auto"/>
        <w:bottom w:val="none" w:sz="0" w:space="0" w:color="auto"/>
        <w:right w:val="none" w:sz="0" w:space="0" w:color="auto"/>
      </w:divBdr>
    </w:div>
    <w:div w:id="1013922867">
      <w:bodyDiv w:val="1"/>
      <w:marLeft w:val="0"/>
      <w:marRight w:val="0"/>
      <w:marTop w:val="0"/>
      <w:marBottom w:val="0"/>
      <w:divBdr>
        <w:top w:val="none" w:sz="0" w:space="0" w:color="auto"/>
        <w:left w:val="none" w:sz="0" w:space="0" w:color="auto"/>
        <w:bottom w:val="none" w:sz="0" w:space="0" w:color="auto"/>
        <w:right w:val="none" w:sz="0" w:space="0" w:color="auto"/>
      </w:divBdr>
    </w:div>
    <w:div w:id="1015227697">
      <w:bodyDiv w:val="1"/>
      <w:marLeft w:val="0"/>
      <w:marRight w:val="0"/>
      <w:marTop w:val="0"/>
      <w:marBottom w:val="0"/>
      <w:divBdr>
        <w:top w:val="none" w:sz="0" w:space="0" w:color="auto"/>
        <w:left w:val="none" w:sz="0" w:space="0" w:color="auto"/>
        <w:bottom w:val="none" w:sz="0" w:space="0" w:color="auto"/>
        <w:right w:val="none" w:sz="0" w:space="0" w:color="auto"/>
      </w:divBdr>
    </w:div>
    <w:div w:id="1016535858">
      <w:bodyDiv w:val="1"/>
      <w:marLeft w:val="0"/>
      <w:marRight w:val="0"/>
      <w:marTop w:val="0"/>
      <w:marBottom w:val="0"/>
      <w:divBdr>
        <w:top w:val="none" w:sz="0" w:space="0" w:color="auto"/>
        <w:left w:val="none" w:sz="0" w:space="0" w:color="auto"/>
        <w:bottom w:val="none" w:sz="0" w:space="0" w:color="auto"/>
        <w:right w:val="none" w:sz="0" w:space="0" w:color="auto"/>
      </w:divBdr>
    </w:div>
    <w:div w:id="1017123226">
      <w:bodyDiv w:val="1"/>
      <w:marLeft w:val="0"/>
      <w:marRight w:val="0"/>
      <w:marTop w:val="0"/>
      <w:marBottom w:val="0"/>
      <w:divBdr>
        <w:top w:val="none" w:sz="0" w:space="0" w:color="auto"/>
        <w:left w:val="none" w:sz="0" w:space="0" w:color="auto"/>
        <w:bottom w:val="none" w:sz="0" w:space="0" w:color="auto"/>
        <w:right w:val="none" w:sz="0" w:space="0" w:color="auto"/>
      </w:divBdr>
    </w:div>
    <w:div w:id="1018235710">
      <w:bodyDiv w:val="1"/>
      <w:marLeft w:val="0"/>
      <w:marRight w:val="0"/>
      <w:marTop w:val="0"/>
      <w:marBottom w:val="0"/>
      <w:divBdr>
        <w:top w:val="none" w:sz="0" w:space="0" w:color="auto"/>
        <w:left w:val="none" w:sz="0" w:space="0" w:color="auto"/>
        <w:bottom w:val="none" w:sz="0" w:space="0" w:color="auto"/>
        <w:right w:val="none" w:sz="0" w:space="0" w:color="auto"/>
      </w:divBdr>
    </w:div>
    <w:div w:id="1019624292">
      <w:bodyDiv w:val="1"/>
      <w:marLeft w:val="0"/>
      <w:marRight w:val="0"/>
      <w:marTop w:val="0"/>
      <w:marBottom w:val="0"/>
      <w:divBdr>
        <w:top w:val="none" w:sz="0" w:space="0" w:color="auto"/>
        <w:left w:val="none" w:sz="0" w:space="0" w:color="auto"/>
        <w:bottom w:val="none" w:sz="0" w:space="0" w:color="auto"/>
        <w:right w:val="none" w:sz="0" w:space="0" w:color="auto"/>
      </w:divBdr>
    </w:div>
    <w:div w:id="1020542586">
      <w:bodyDiv w:val="1"/>
      <w:marLeft w:val="0"/>
      <w:marRight w:val="0"/>
      <w:marTop w:val="0"/>
      <w:marBottom w:val="0"/>
      <w:divBdr>
        <w:top w:val="none" w:sz="0" w:space="0" w:color="auto"/>
        <w:left w:val="none" w:sz="0" w:space="0" w:color="auto"/>
        <w:bottom w:val="none" w:sz="0" w:space="0" w:color="auto"/>
        <w:right w:val="none" w:sz="0" w:space="0" w:color="auto"/>
      </w:divBdr>
    </w:div>
    <w:div w:id="1022169666">
      <w:bodyDiv w:val="1"/>
      <w:marLeft w:val="0"/>
      <w:marRight w:val="0"/>
      <w:marTop w:val="0"/>
      <w:marBottom w:val="0"/>
      <w:divBdr>
        <w:top w:val="none" w:sz="0" w:space="0" w:color="auto"/>
        <w:left w:val="none" w:sz="0" w:space="0" w:color="auto"/>
        <w:bottom w:val="none" w:sz="0" w:space="0" w:color="auto"/>
        <w:right w:val="none" w:sz="0" w:space="0" w:color="auto"/>
      </w:divBdr>
    </w:div>
    <w:div w:id="1022390434">
      <w:bodyDiv w:val="1"/>
      <w:marLeft w:val="0"/>
      <w:marRight w:val="0"/>
      <w:marTop w:val="0"/>
      <w:marBottom w:val="0"/>
      <w:divBdr>
        <w:top w:val="none" w:sz="0" w:space="0" w:color="auto"/>
        <w:left w:val="none" w:sz="0" w:space="0" w:color="auto"/>
        <w:bottom w:val="none" w:sz="0" w:space="0" w:color="auto"/>
        <w:right w:val="none" w:sz="0" w:space="0" w:color="auto"/>
      </w:divBdr>
    </w:div>
    <w:div w:id="1022393392">
      <w:bodyDiv w:val="1"/>
      <w:marLeft w:val="0"/>
      <w:marRight w:val="0"/>
      <w:marTop w:val="0"/>
      <w:marBottom w:val="0"/>
      <w:divBdr>
        <w:top w:val="none" w:sz="0" w:space="0" w:color="auto"/>
        <w:left w:val="none" w:sz="0" w:space="0" w:color="auto"/>
        <w:bottom w:val="none" w:sz="0" w:space="0" w:color="auto"/>
        <w:right w:val="none" w:sz="0" w:space="0" w:color="auto"/>
      </w:divBdr>
    </w:div>
    <w:div w:id="1022436900">
      <w:bodyDiv w:val="1"/>
      <w:marLeft w:val="0"/>
      <w:marRight w:val="0"/>
      <w:marTop w:val="0"/>
      <w:marBottom w:val="0"/>
      <w:divBdr>
        <w:top w:val="none" w:sz="0" w:space="0" w:color="auto"/>
        <w:left w:val="none" w:sz="0" w:space="0" w:color="auto"/>
        <w:bottom w:val="none" w:sz="0" w:space="0" w:color="auto"/>
        <w:right w:val="none" w:sz="0" w:space="0" w:color="auto"/>
      </w:divBdr>
    </w:div>
    <w:div w:id="1023899696">
      <w:bodyDiv w:val="1"/>
      <w:marLeft w:val="0"/>
      <w:marRight w:val="0"/>
      <w:marTop w:val="0"/>
      <w:marBottom w:val="0"/>
      <w:divBdr>
        <w:top w:val="none" w:sz="0" w:space="0" w:color="auto"/>
        <w:left w:val="none" w:sz="0" w:space="0" w:color="auto"/>
        <w:bottom w:val="none" w:sz="0" w:space="0" w:color="auto"/>
        <w:right w:val="none" w:sz="0" w:space="0" w:color="auto"/>
      </w:divBdr>
    </w:div>
    <w:div w:id="1024088689">
      <w:bodyDiv w:val="1"/>
      <w:marLeft w:val="0"/>
      <w:marRight w:val="0"/>
      <w:marTop w:val="0"/>
      <w:marBottom w:val="0"/>
      <w:divBdr>
        <w:top w:val="none" w:sz="0" w:space="0" w:color="auto"/>
        <w:left w:val="none" w:sz="0" w:space="0" w:color="auto"/>
        <w:bottom w:val="none" w:sz="0" w:space="0" w:color="auto"/>
        <w:right w:val="none" w:sz="0" w:space="0" w:color="auto"/>
      </w:divBdr>
    </w:div>
    <w:div w:id="1024476163">
      <w:bodyDiv w:val="1"/>
      <w:marLeft w:val="0"/>
      <w:marRight w:val="0"/>
      <w:marTop w:val="0"/>
      <w:marBottom w:val="0"/>
      <w:divBdr>
        <w:top w:val="none" w:sz="0" w:space="0" w:color="auto"/>
        <w:left w:val="none" w:sz="0" w:space="0" w:color="auto"/>
        <w:bottom w:val="none" w:sz="0" w:space="0" w:color="auto"/>
        <w:right w:val="none" w:sz="0" w:space="0" w:color="auto"/>
      </w:divBdr>
    </w:div>
    <w:div w:id="1025403805">
      <w:bodyDiv w:val="1"/>
      <w:marLeft w:val="0"/>
      <w:marRight w:val="0"/>
      <w:marTop w:val="0"/>
      <w:marBottom w:val="0"/>
      <w:divBdr>
        <w:top w:val="none" w:sz="0" w:space="0" w:color="auto"/>
        <w:left w:val="none" w:sz="0" w:space="0" w:color="auto"/>
        <w:bottom w:val="none" w:sz="0" w:space="0" w:color="auto"/>
        <w:right w:val="none" w:sz="0" w:space="0" w:color="auto"/>
      </w:divBdr>
    </w:div>
    <w:div w:id="1025909159">
      <w:bodyDiv w:val="1"/>
      <w:marLeft w:val="0"/>
      <w:marRight w:val="0"/>
      <w:marTop w:val="0"/>
      <w:marBottom w:val="0"/>
      <w:divBdr>
        <w:top w:val="none" w:sz="0" w:space="0" w:color="auto"/>
        <w:left w:val="none" w:sz="0" w:space="0" w:color="auto"/>
        <w:bottom w:val="none" w:sz="0" w:space="0" w:color="auto"/>
        <w:right w:val="none" w:sz="0" w:space="0" w:color="auto"/>
      </w:divBdr>
    </w:div>
    <w:div w:id="1027102947">
      <w:bodyDiv w:val="1"/>
      <w:marLeft w:val="0"/>
      <w:marRight w:val="0"/>
      <w:marTop w:val="0"/>
      <w:marBottom w:val="0"/>
      <w:divBdr>
        <w:top w:val="none" w:sz="0" w:space="0" w:color="auto"/>
        <w:left w:val="none" w:sz="0" w:space="0" w:color="auto"/>
        <w:bottom w:val="none" w:sz="0" w:space="0" w:color="auto"/>
        <w:right w:val="none" w:sz="0" w:space="0" w:color="auto"/>
      </w:divBdr>
    </w:div>
    <w:div w:id="1028026575">
      <w:bodyDiv w:val="1"/>
      <w:marLeft w:val="0"/>
      <w:marRight w:val="0"/>
      <w:marTop w:val="0"/>
      <w:marBottom w:val="0"/>
      <w:divBdr>
        <w:top w:val="none" w:sz="0" w:space="0" w:color="auto"/>
        <w:left w:val="none" w:sz="0" w:space="0" w:color="auto"/>
        <w:bottom w:val="none" w:sz="0" w:space="0" w:color="auto"/>
        <w:right w:val="none" w:sz="0" w:space="0" w:color="auto"/>
      </w:divBdr>
    </w:div>
    <w:div w:id="1028607064">
      <w:bodyDiv w:val="1"/>
      <w:marLeft w:val="0"/>
      <w:marRight w:val="0"/>
      <w:marTop w:val="0"/>
      <w:marBottom w:val="0"/>
      <w:divBdr>
        <w:top w:val="none" w:sz="0" w:space="0" w:color="auto"/>
        <w:left w:val="none" w:sz="0" w:space="0" w:color="auto"/>
        <w:bottom w:val="none" w:sz="0" w:space="0" w:color="auto"/>
        <w:right w:val="none" w:sz="0" w:space="0" w:color="auto"/>
      </w:divBdr>
    </w:div>
    <w:div w:id="1028799619">
      <w:bodyDiv w:val="1"/>
      <w:marLeft w:val="0"/>
      <w:marRight w:val="0"/>
      <w:marTop w:val="0"/>
      <w:marBottom w:val="0"/>
      <w:divBdr>
        <w:top w:val="none" w:sz="0" w:space="0" w:color="auto"/>
        <w:left w:val="none" w:sz="0" w:space="0" w:color="auto"/>
        <w:bottom w:val="none" w:sz="0" w:space="0" w:color="auto"/>
        <w:right w:val="none" w:sz="0" w:space="0" w:color="auto"/>
      </w:divBdr>
    </w:div>
    <w:div w:id="1029070503">
      <w:bodyDiv w:val="1"/>
      <w:marLeft w:val="0"/>
      <w:marRight w:val="0"/>
      <w:marTop w:val="0"/>
      <w:marBottom w:val="0"/>
      <w:divBdr>
        <w:top w:val="none" w:sz="0" w:space="0" w:color="auto"/>
        <w:left w:val="none" w:sz="0" w:space="0" w:color="auto"/>
        <w:bottom w:val="none" w:sz="0" w:space="0" w:color="auto"/>
        <w:right w:val="none" w:sz="0" w:space="0" w:color="auto"/>
      </w:divBdr>
    </w:div>
    <w:div w:id="1029641299">
      <w:bodyDiv w:val="1"/>
      <w:marLeft w:val="0"/>
      <w:marRight w:val="0"/>
      <w:marTop w:val="0"/>
      <w:marBottom w:val="0"/>
      <w:divBdr>
        <w:top w:val="none" w:sz="0" w:space="0" w:color="auto"/>
        <w:left w:val="none" w:sz="0" w:space="0" w:color="auto"/>
        <w:bottom w:val="none" w:sz="0" w:space="0" w:color="auto"/>
        <w:right w:val="none" w:sz="0" w:space="0" w:color="auto"/>
      </w:divBdr>
    </w:div>
    <w:div w:id="1030106751">
      <w:bodyDiv w:val="1"/>
      <w:marLeft w:val="0"/>
      <w:marRight w:val="0"/>
      <w:marTop w:val="0"/>
      <w:marBottom w:val="0"/>
      <w:divBdr>
        <w:top w:val="none" w:sz="0" w:space="0" w:color="auto"/>
        <w:left w:val="none" w:sz="0" w:space="0" w:color="auto"/>
        <w:bottom w:val="none" w:sz="0" w:space="0" w:color="auto"/>
        <w:right w:val="none" w:sz="0" w:space="0" w:color="auto"/>
      </w:divBdr>
    </w:div>
    <w:div w:id="1030182755">
      <w:bodyDiv w:val="1"/>
      <w:marLeft w:val="0"/>
      <w:marRight w:val="0"/>
      <w:marTop w:val="0"/>
      <w:marBottom w:val="0"/>
      <w:divBdr>
        <w:top w:val="none" w:sz="0" w:space="0" w:color="auto"/>
        <w:left w:val="none" w:sz="0" w:space="0" w:color="auto"/>
        <w:bottom w:val="none" w:sz="0" w:space="0" w:color="auto"/>
        <w:right w:val="none" w:sz="0" w:space="0" w:color="auto"/>
      </w:divBdr>
    </w:div>
    <w:div w:id="1030186223">
      <w:bodyDiv w:val="1"/>
      <w:marLeft w:val="0"/>
      <w:marRight w:val="0"/>
      <w:marTop w:val="0"/>
      <w:marBottom w:val="0"/>
      <w:divBdr>
        <w:top w:val="none" w:sz="0" w:space="0" w:color="auto"/>
        <w:left w:val="none" w:sz="0" w:space="0" w:color="auto"/>
        <w:bottom w:val="none" w:sz="0" w:space="0" w:color="auto"/>
        <w:right w:val="none" w:sz="0" w:space="0" w:color="auto"/>
      </w:divBdr>
    </w:div>
    <w:div w:id="1031104720">
      <w:bodyDiv w:val="1"/>
      <w:marLeft w:val="0"/>
      <w:marRight w:val="0"/>
      <w:marTop w:val="0"/>
      <w:marBottom w:val="0"/>
      <w:divBdr>
        <w:top w:val="none" w:sz="0" w:space="0" w:color="auto"/>
        <w:left w:val="none" w:sz="0" w:space="0" w:color="auto"/>
        <w:bottom w:val="none" w:sz="0" w:space="0" w:color="auto"/>
        <w:right w:val="none" w:sz="0" w:space="0" w:color="auto"/>
      </w:divBdr>
    </w:div>
    <w:div w:id="1031150409">
      <w:bodyDiv w:val="1"/>
      <w:marLeft w:val="0"/>
      <w:marRight w:val="0"/>
      <w:marTop w:val="0"/>
      <w:marBottom w:val="0"/>
      <w:divBdr>
        <w:top w:val="none" w:sz="0" w:space="0" w:color="auto"/>
        <w:left w:val="none" w:sz="0" w:space="0" w:color="auto"/>
        <w:bottom w:val="none" w:sz="0" w:space="0" w:color="auto"/>
        <w:right w:val="none" w:sz="0" w:space="0" w:color="auto"/>
      </w:divBdr>
    </w:div>
    <w:div w:id="1031805803">
      <w:bodyDiv w:val="1"/>
      <w:marLeft w:val="0"/>
      <w:marRight w:val="0"/>
      <w:marTop w:val="0"/>
      <w:marBottom w:val="0"/>
      <w:divBdr>
        <w:top w:val="none" w:sz="0" w:space="0" w:color="auto"/>
        <w:left w:val="none" w:sz="0" w:space="0" w:color="auto"/>
        <w:bottom w:val="none" w:sz="0" w:space="0" w:color="auto"/>
        <w:right w:val="none" w:sz="0" w:space="0" w:color="auto"/>
      </w:divBdr>
    </w:div>
    <w:div w:id="1031807114">
      <w:bodyDiv w:val="1"/>
      <w:marLeft w:val="0"/>
      <w:marRight w:val="0"/>
      <w:marTop w:val="0"/>
      <w:marBottom w:val="0"/>
      <w:divBdr>
        <w:top w:val="none" w:sz="0" w:space="0" w:color="auto"/>
        <w:left w:val="none" w:sz="0" w:space="0" w:color="auto"/>
        <w:bottom w:val="none" w:sz="0" w:space="0" w:color="auto"/>
        <w:right w:val="none" w:sz="0" w:space="0" w:color="auto"/>
      </w:divBdr>
    </w:div>
    <w:div w:id="1032267492">
      <w:bodyDiv w:val="1"/>
      <w:marLeft w:val="0"/>
      <w:marRight w:val="0"/>
      <w:marTop w:val="0"/>
      <w:marBottom w:val="0"/>
      <w:divBdr>
        <w:top w:val="none" w:sz="0" w:space="0" w:color="auto"/>
        <w:left w:val="none" w:sz="0" w:space="0" w:color="auto"/>
        <w:bottom w:val="none" w:sz="0" w:space="0" w:color="auto"/>
        <w:right w:val="none" w:sz="0" w:space="0" w:color="auto"/>
      </w:divBdr>
    </w:div>
    <w:div w:id="1032727968">
      <w:bodyDiv w:val="1"/>
      <w:marLeft w:val="0"/>
      <w:marRight w:val="0"/>
      <w:marTop w:val="0"/>
      <w:marBottom w:val="0"/>
      <w:divBdr>
        <w:top w:val="none" w:sz="0" w:space="0" w:color="auto"/>
        <w:left w:val="none" w:sz="0" w:space="0" w:color="auto"/>
        <w:bottom w:val="none" w:sz="0" w:space="0" w:color="auto"/>
        <w:right w:val="none" w:sz="0" w:space="0" w:color="auto"/>
      </w:divBdr>
    </w:div>
    <w:div w:id="1034580684">
      <w:bodyDiv w:val="1"/>
      <w:marLeft w:val="0"/>
      <w:marRight w:val="0"/>
      <w:marTop w:val="0"/>
      <w:marBottom w:val="0"/>
      <w:divBdr>
        <w:top w:val="none" w:sz="0" w:space="0" w:color="auto"/>
        <w:left w:val="none" w:sz="0" w:space="0" w:color="auto"/>
        <w:bottom w:val="none" w:sz="0" w:space="0" w:color="auto"/>
        <w:right w:val="none" w:sz="0" w:space="0" w:color="auto"/>
      </w:divBdr>
    </w:div>
    <w:div w:id="1034619333">
      <w:bodyDiv w:val="1"/>
      <w:marLeft w:val="0"/>
      <w:marRight w:val="0"/>
      <w:marTop w:val="0"/>
      <w:marBottom w:val="0"/>
      <w:divBdr>
        <w:top w:val="none" w:sz="0" w:space="0" w:color="auto"/>
        <w:left w:val="none" w:sz="0" w:space="0" w:color="auto"/>
        <w:bottom w:val="none" w:sz="0" w:space="0" w:color="auto"/>
        <w:right w:val="none" w:sz="0" w:space="0" w:color="auto"/>
      </w:divBdr>
    </w:div>
    <w:div w:id="1035230749">
      <w:bodyDiv w:val="1"/>
      <w:marLeft w:val="0"/>
      <w:marRight w:val="0"/>
      <w:marTop w:val="0"/>
      <w:marBottom w:val="0"/>
      <w:divBdr>
        <w:top w:val="none" w:sz="0" w:space="0" w:color="auto"/>
        <w:left w:val="none" w:sz="0" w:space="0" w:color="auto"/>
        <w:bottom w:val="none" w:sz="0" w:space="0" w:color="auto"/>
        <w:right w:val="none" w:sz="0" w:space="0" w:color="auto"/>
      </w:divBdr>
    </w:div>
    <w:div w:id="1035544296">
      <w:bodyDiv w:val="1"/>
      <w:marLeft w:val="0"/>
      <w:marRight w:val="0"/>
      <w:marTop w:val="0"/>
      <w:marBottom w:val="0"/>
      <w:divBdr>
        <w:top w:val="none" w:sz="0" w:space="0" w:color="auto"/>
        <w:left w:val="none" w:sz="0" w:space="0" w:color="auto"/>
        <w:bottom w:val="none" w:sz="0" w:space="0" w:color="auto"/>
        <w:right w:val="none" w:sz="0" w:space="0" w:color="auto"/>
      </w:divBdr>
    </w:div>
    <w:div w:id="1035733627">
      <w:bodyDiv w:val="1"/>
      <w:marLeft w:val="0"/>
      <w:marRight w:val="0"/>
      <w:marTop w:val="0"/>
      <w:marBottom w:val="0"/>
      <w:divBdr>
        <w:top w:val="none" w:sz="0" w:space="0" w:color="auto"/>
        <w:left w:val="none" w:sz="0" w:space="0" w:color="auto"/>
        <w:bottom w:val="none" w:sz="0" w:space="0" w:color="auto"/>
        <w:right w:val="none" w:sz="0" w:space="0" w:color="auto"/>
      </w:divBdr>
    </w:div>
    <w:div w:id="1036272642">
      <w:bodyDiv w:val="1"/>
      <w:marLeft w:val="0"/>
      <w:marRight w:val="0"/>
      <w:marTop w:val="0"/>
      <w:marBottom w:val="0"/>
      <w:divBdr>
        <w:top w:val="none" w:sz="0" w:space="0" w:color="auto"/>
        <w:left w:val="none" w:sz="0" w:space="0" w:color="auto"/>
        <w:bottom w:val="none" w:sz="0" w:space="0" w:color="auto"/>
        <w:right w:val="none" w:sz="0" w:space="0" w:color="auto"/>
      </w:divBdr>
    </w:div>
    <w:div w:id="1037664029">
      <w:bodyDiv w:val="1"/>
      <w:marLeft w:val="0"/>
      <w:marRight w:val="0"/>
      <w:marTop w:val="0"/>
      <w:marBottom w:val="0"/>
      <w:divBdr>
        <w:top w:val="none" w:sz="0" w:space="0" w:color="auto"/>
        <w:left w:val="none" w:sz="0" w:space="0" w:color="auto"/>
        <w:bottom w:val="none" w:sz="0" w:space="0" w:color="auto"/>
        <w:right w:val="none" w:sz="0" w:space="0" w:color="auto"/>
      </w:divBdr>
    </w:div>
    <w:div w:id="1039938845">
      <w:bodyDiv w:val="1"/>
      <w:marLeft w:val="0"/>
      <w:marRight w:val="0"/>
      <w:marTop w:val="0"/>
      <w:marBottom w:val="0"/>
      <w:divBdr>
        <w:top w:val="none" w:sz="0" w:space="0" w:color="auto"/>
        <w:left w:val="none" w:sz="0" w:space="0" w:color="auto"/>
        <w:bottom w:val="none" w:sz="0" w:space="0" w:color="auto"/>
        <w:right w:val="none" w:sz="0" w:space="0" w:color="auto"/>
      </w:divBdr>
    </w:div>
    <w:div w:id="1040743875">
      <w:bodyDiv w:val="1"/>
      <w:marLeft w:val="0"/>
      <w:marRight w:val="0"/>
      <w:marTop w:val="0"/>
      <w:marBottom w:val="0"/>
      <w:divBdr>
        <w:top w:val="none" w:sz="0" w:space="0" w:color="auto"/>
        <w:left w:val="none" w:sz="0" w:space="0" w:color="auto"/>
        <w:bottom w:val="none" w:sz="0" w:space="0" w:color="auto"/>
        <w:right w:val="none" w:sz="0" w:space="0" w:color="auto"/>
      </w:divBdr>
    </w:div>
    <w:div w:id="1040932490">
      <w:bodyDiv w:val="1"/>
      <w:marLeft w:val="0"/>
      <w:marRight w:val="0"/>
      <w:marTop w:val="0"/>
      <w:marBottom w:val="0"/>
      <w:divBdr>
        <w:top w:val="none" w:sz="0" w:space="0" w:color="auto"/>
        <w:left w:val="none" w:sz="0" w:space="0" w:color="auto"/>
        <w:bottom w:val="none" w:sz="0" w:space="0" w:color="auto"/>
        <w:right w:val="none" w:sz="0" w:space="0" w:color="auto"/>
      </w:divBdr>
    </w:div>
    <w:div w:id="1041632737">
      <w:bodyDiv w:val="1"/>
      <w:marLeft w:val="0"/>
      <w:marRight w:val="0"/>
      <w:marTop w:val="0"/>
      <w:marBottom w:val="0"/>
      <w:divBdr>
        <w:top w:val="none" w:sz="0" w:space="0" w:color="auto"/>
        <w:left w:val="none" w:sz="0" w:space="0" w:color="auto"/>
        <w:bottom w:val="none" w:sz="0" w:space="0" w:color="auto"/>
        <w:right w:val="none" w:sz="0" w:space="0" w:color="auto"/>
      </w:divBdr>
    </w:div>
    <w:div w:id="1041637748">
      <w:bodyDiv w:val="1"/>
      <w:marLeft w:val="0"/>
      <w:marRight w:val="0"/>
      <w:marTop w:val="0"/>
      <w:marBottom w:val="0"/>
      <w:divBdr>
        <w:top w:val="none" w:sz="0" w:space="0" w:color="auto"/>
        <w:left w:val="none" w:sz="0" w:space="0" w:color="auto"/>
        <w:bottom w:val="none" w:sz="0" w:space="0" w:color="auto"/>
        <w:right w:val="none" w:sz="0" w:space="0" w:color="auto"/>
      </w:divBdr>
    </w:div>
    <w:div w:id="1042435777">
      <w:bodyDiv w:val="1"/>
      <w:marLeft w:val="0"/>
      <w:marRight w:val="0"/>
      <w:marTop w:val="0"/>
      <w:marBottom w:val="0"/>
      <w:divBdr>
        <w:top w:val="none" w:sz="0" w:space="0" w:color="auto"/>
        <w:left w:val="none" w:sz="0" w:space="0" w:color="auto"/>
        <w:bottom w:val="none" w:sz="0" w:space="0" w:color="auto"/>
        <w:right w:val="none" w:sz="0" w:space="0" w:color="auto"/>
      </w:divBdr>
    </w:div>
    <w:div w:id="1042747124">
      <w:bodyDiv w:val="1"/>
      <w:marLeft w:val="0"/>
      <w:marRight w:val="0"/>
      <w:marTop w:val="0"/>
      <w:marBottom w:val="0"/>
      <w:divBdr>
        <w:top w:val="none" w:sz="0" w:space="0" w:color="auto"/>
        <w:left w:val="none" w:sz="0" w:space="0" w:color="auto"/>
        <w:bottom w:val="none" w:sz="0" w:space="0" w:color="auto"/>
        <w:right w:val="none" w:sz="0" w:space="0" w:color="auto"/>
      </w:divBdr>
    </w:div>
    <w:div w:id="1042900011">
      <w:bodyDiv w:val="1"/>
      <w:marLeft w:val="0"/>
      <w:marRight w:val="0"/>
      <w:marTop w:val="0"/>
      <w:marBottom w:val="0"/>
      <w:divBdr>
        <w:top w:val="none" w:sz="0" w:space="0" w:color="auto"/>
        <w:left w:val="none" w:sz="0" w:space="0" w:color="auto"/>
        <w:bottom w:val="none" w:sz="0" w:space="0" w:color="auto"/>
        <w:right w:val="none" w:sz="0" w:space="0" w:color="auto"/>
      </w:divBdr>
    </w:div>
    <w:div w:id="1042947494">
      <w:bodyDiv w:val="1"/>
      <w:marLeft w:val="0"/>
      <w:marRight w:val="0"/>
      <w:marTop w:val="0"/>
      <w:marBottom w:val="0"/>
      <w:divBdr>
        <w:top w:val="none" w:sz="0" w:space="0" w:color="auto"/>
        <w:left w:val="none" w:sz="0" w:space="0" w:color="auto"/>
        <w:bottom w:val="none" w:sz="0" w:space="0" w:color="auto"/>
        <w:right w:val="none" w:sz="0" w:space="0" w:color="auto"/>
      </w:divBdr>
    </w:div>
    <w:div w:id="1043333986">
      <w:bodyDiv w:val="1"/>
      <w:marLeft w:val="0"/>
      <w:marRight w:val="0"/>
      <w:marTop w:val="0"/>
      <w:marBottom w:val="0"/>
      <w:divBdr>
        <w:top w:val="none" w:sz="0" w:space="0" w:color="auto"/>
        <w:left w:val="none" w:sz="0" w:space="0" w:color="auto"/>
        <w:bottom w:val="none" w:sz="0" w:space="0" w:color="auto"/>
        <w:right w:val="none" w:sz="0" w:space="0" w:color="auto"/>
      </w:divBdr>
    </w:div>
    <w:div w:id="1044060772">
      <w:bodyDiv w:val="1"/>
      <w:marLeft w:val="0"/>
      <w:marRight w:val="0"/>
      <w:marTop w:val="0"/>
      <w:marBottom w:val="0"/>
      <w:divBdr>
        <w:top w:val="none" w:sz="0" w:space="0" w:color="auto"/>
        <w:left w:val="none" w:sz="0" w:space="0" w:color="auto"/>
        <w:bottom w:val="none" w:sz="0" w:space="0" w:color="auto"/>
        <w:right w:val="none" w:sz="0" w:space="0" w:color="auto"/>
      </w:divBdr>
    </w:div>
    <w:div w:id="1044403728">
      <w:bodyDiv w:val="1"/>
      <w:marLeft w:val="0"/>
      <w:marRight w:val="0"/>
      <w:marTop w:val="0"/>
      <w:marBottom w:val="0"/>
      <w:divBdr>
        <w:top w:val="none" w:sz="0" w:space="0" w:color="auto"/>
        <w:left w:val="none" w:sz="0" w:space="0" w:color="auto"/>
        <w:bottom w:val="none" w:sz="0" w:space="0" w:color="auto"/>
        <w:right w:val="none" w:sz="0" w:space="0" w:color="auto"/>
      </w:divBdr>
    </w:div>
    <w:div w:id="1045133666">
      <w:bodyDiv w:val="1"/>
      <w:marLeft w:val="0"/>
      <w:marRight w:val="0"/>
      <w:marTop w:val="0"/>
      <w:marBottom w:val="0"/>
      <w:divBdr>
        <w:top w:val="none" w:sz="0" w:space="0" w:color="auto"/>
        <w:left w:val="none" w:sz="0" w:space="0" w:color="auto"/>
        <w:bottom w:val="none" w:sz="0" w:space="0" w:color="auto"/>
        <w:right w:val="none" w:sz="0" w:space="0" w:color="auto"/>
      </w:divBdr>
    </w:div>
    <w:div w:id="1045643420">
      <w:bodyDiv w:val="1"/>
      <w:marLeft w:val="0"/>
      <w:marRight w:val="0"/>
      <w:marTop w:val="0"/>
      <w:marBottom w:val="0"/>
      <w:divBdr>
        <w:top w:val="none" w:sz="0" w:space="0" w:color="auto"/>
        <w:left w:val="none" w:sz="0" w:space="0" w:color="auto"/>
        <w:bottom w:val="none" w:sz="0" w:space="0" w:color="auto"/>
        <w:right w:val="none" w:sz="0" w:space="0" w:color="auto"/>
      </w:divBdr>
    </w:div>
    <w:div w:id="1046485989">
      <w:bodyDiv w:val="1"/>
      <w:marLeft w:val="0"/>
      <w:marRight w:val="0"/>
      <w:marTop w:val="0"/>
      <w:marBottom w:val="0"/>
      <w:divBdr>
        <w:top w:val="none" w:sz="0" w:space="0" w:color="auto"/>
        <w:left w:val="none" w:sz="0" w:space="0" w:color="auto"/>
        <w:bottom w:val="none" w:sz="0" w:space="0" w:color="auto"/>
        <w:right w:val="none" w:sz="0" w:space="0" w:color="auto"/>
      </w:divBdr>
    </w:div>
    <w:div w:id="1046872467">
      <w:bodyDiv w:val="1"/>
      <w:marLeft w:val="0"/>
      <w:marRight w:val="0"/>
      <w:marTop w:val="0"/>
      <w:marBottom w:val="0"/>
      <w:divBdr>
        <w:top w:val="none" w:sz="0" w:space="0" w:color="auto"/>
        <w:left w:val="none" w:sz="0" w:space="0" w:color="auto"/>
        <w:bottom w:val="none" w:sz="0" w:space="0" w:color="auto"/>
        <w:right w:val="none" w:sz="0" w:space="0" w:color="auto"/>
      </w:divBdr>
    </w:div>
    <w:div w:id="1047026236">
      <w:bodyDiv w:val="1"/>
      <w:marLeft w:val="0"/>
      <w:marRight w:val="0"/>
      <w:marTop w:val="0"/>
      <w:marBottom w:val="0"/>
      <w:divBdr>
        <w:top w:val="none" w:sz="0" w:space="0" w:color="auto"/>
        <w:left w:val="none" w:sz="0" w:space="0" w:color="auto"/>
        <w:bottom w:val="none" w:sz="0" w:space="0" w:color="auto"/>
        <w:right w:val="none" w:sz="0" w:space="0" w:color="auto"/>
      </w:divBdr>
    </w:div>
    <w:div w:id="1047293530">
      <w:bodyDiv w:val="1"/>
      <w:marLeft w:val="0"/>
      <w:marRight w:val="0"/>
      <w:marTop w:val="0"/>
      <w:marBottom w:val="0"/>
      <w:divBdr>
        <w:top w:val="none" w:sz="0" w:space="0" w:color="auto"/>
        <w:left w:val="none" w:sz="0" w:space="0" w:color="auto"/>
        <w:bottom w:val="none" w:sz="0" w:space="0" w:color="auto"/>
        <w:right w:val="none" w:sz="0" w:space="0" w:color="auto"/>
      </w:divBdr>
    </w:div>
    <w:div w:id="1047681545">
      <w:bodyDiv w:val="1"/>
      <w:marLeft w:val="0"/>
      <w:marRight w:val="0"/>
      <w:marTop w:val="0"/>
      <w:marBottom w:val="0"/>
      <w:divBdr>
        <w:top w:val="none" w:sz="0" w:space="0" w:color="auto"/>
        <w:left w:val="none" w:sz="0" w:space="0" w:color="auto"/>
        <w:bottom w:val="none" w:sz="0" w:space="0" w:color="auto"/>
        <w:right w:val="none" w:sz="0" w:space="0" w:color="auto"/>
      </w:divBdr>
    </w:div>
    <w:div w:id="1047682586">
      <w:bodyDiv w:val="1"/>
      <w:marLeft w:val="0"/>
      <w:marRight w:val="0"/>
      <w:marTop w:val="0"/>
      <w:marBottom w:val="0"/>
      <w:divBdr>
        <w:top w:val="none" w:sz="0" w:space="0" w:color="auto"/>
        <w:left w:val="none" w:sz="0" w:space="0" w:color="auto"/>
        <w:bottom w:val="none" w:sz="0" w:space="0" w:color="auto"/>
        <w:right w:val="none" w:sz="0" w:space="0" w:color="auto"/>
      </w:divBdr>
    </w:div>
    <w:div w:id="1047795284">
      <w:bodyDiv w:val="1"/>
      <w:marLeft w:val="0"/>
      <w:marRight w:val="0"/>
      <w:marTop w:val="0"/>
      <w:marBottom w:val="0"/>
      <w:divBdr>
        <w:top w:val="none" w:sz="0" w:space="0" w:color="auto"/>
        <w:left w:val="none" w:sz="0" w:space="0" w:color="auto"/>
        <w:bottom w:val="none" w:sz="0" w:space="0" w:color="auto"/>
        <w:right w:val="none" w:sz="0" w:space="0" w:color="auto"/>
      </w:divBdr>
    </w:div>
    <w:div w:id="1047989629">
      <w:bodyDiv w:val="1"/>
      <w:marLeft w:val="0"/>
      <w:marRight w:val="0"/>
      <w:marTop w:val="0"/>
      <w:marBottom w:val="0"/>
      <w:divBdr>
        <w:top w:val="none" w:sz="0" w:space="0" w:color="auto"/>
        <w:left w:val="none" w:sz="0" w:space="0" w:color="auto"/>
        <w:bottom w:val="none" w:sz="0" w:space="0" w:color="auto"/>
        <w:right w:val="none" w:sz="0" w:space="0" w:color="auto"/>
      </w:divBdr>
    </w:div>
    <w:div w:id="1048645258">
      <w:bodyDiv w:val="1"/>
      <w:marLeft w:val="0"/>
      <w:marRight w:val="0"/>
      <w:marTop w:val="0"/>
      <w:marBottom w:val="0"/>
      <w:divBdr>
        <w:top w:val="none" w:sz="0" w:space="0" w:color="auto"/>
        <w:left w:val="none" w:sz="0" w:space="0" w:color="auto"/>
        <w:bottom w:val="none" w:sz="0" w:space="0" w:color="auto"/>
        <w:right w:val="none" w:sz="0" w:space="0" w:color="auto"/>
      </w:divBdr>
    </w:div>
    <w:div w:id="1049379750">
      <w:bodyDiv w:val="1"/>
      <w:marLeft w:val="0"/>
      <w:marRight w:val="0"/>
      <w:marTop w:val="0"/>
      <w:marBottom w:val="0"/>
      <w:divBdr>
        <w:top w:val="none" w:sz="0" w:space="0" w:color="auto"/>
        <w:left w:val="none" w:sz="0" w:space="0" w:color="auto"/>
        <w:bottom w:val="none" w:sz="0" w:space="0" w:color="auto"/>
        <w:right w:val="none" w:sz="0" w:space="0" w:color="auto"/>
      </w:divBdr>
    </w:div>
    <w:div w:id="1049690841">
      <w:bodyDiv w:val="1"/>
      <w:marLeft w:val="0"/>
      <w:marRight w:val="0"/>
      <w:marTop w:val="0"/>
      <w:marBottom w:val="0"/>
      <w:divBdr>
        <w:top w:val="none" w:sz="0" w:space="0" w:color="auto"/>
        <w:left w:val="none" w:sz="0" w:space="0" w:color="auto"/>
        <w:bottom w:val="none" w:sz="0" w:space="0" w:color="auto"/>
        <w:right w:val="none" w:sz="0" w:space="0" w:color="auto"/>
      </w:divBdr>
    </w:div>
    <w:div w:id="1052312583">
      <w:bodyDiv w:val="1"/>
      <w:marLeft w:val="0"/>
      <w:marRight w:val="0"/>
      <w:marTop w:val="0"/>
      <w:marBottom w:val="0"/>
      <w:divBdr>
        <w:top w:val="none" w:sz="0" w:space="0" w:color="auto"/>
        <w:left w:val="none" w:sz="0" w:space="0" w:color="auto"/>
        <w:bottom w:val="none" w:sz="0" w:space="0" w:color="auto"/>
        <w:right w:val="none" w:sz="0" w:space="0" w:color="auto"/>
      </w:divBdr>
    </w:div>
    <w:div w:id="1052313873">
      <w:bodyDiv w:val="1"/>
      <w:marLeft w:val="0"/>
      <w:marRight w:val="0"/>
      <w:marTop w:val="0"/>
      <w:marBottom w:val="0"/>
      <w:divBdr>
        <w:top w:val="none" w:sz="0" w:space="0" w:color="auto"/>
        <w:left w:val="none" w:sz="0" w:space="0" w:color="auto"/>
        <w:bottom w:val="none" w:sz="0" w:space="0" w:color="auto"/>
        <w:right w:val="none" w:sz="0" w:space="0" w:color="auto"/>
      </w:divBdr>
    </w:div>
    <w:div w:id="1053890182">
      <w:bodyDiv w:val="1"/>
      <w:marLeft w:val="0"/>
      <w:marRight w:val="0"/>
      <w:marTop w:val="0"/>
      <w:marBottom w:val="0"/>
      <w:divBdr>
        <w:top w:val="none" w:sz="0" w:space="0" w:color="auto"/>
        <w:left w:val="none" w:sz="0" w:space="0" w:color="auto"/>
        <w:bottom w:val="none" w:sz="0" w:space="0" w:color="auto"/>
        <w:right w:val="none" w:sz="0" w:space="0" w:color="auto"/>
      </w:divBdr>
    </w:div>
    <w:div w:id="1056047572">
      <w:bodyDiv w:val="1"/>
      <w:marLeft w:val="0"/>
      <w:marRight w:val="0"/>
      <w:marTop w:val="0"/>
      <w:marBottom w:val="0"/>
      <w:divBdr>
        <w:top w:val="none" w:sz="0" w:space="0" w:color="auto"/>
        <w:left w:val="none" w:sz="0" w:space="0" w:color="auto"/>
        <w:bottom w:val="none" w:sz="0" w:space="0" w:color="auto"/>
        <w:right w:val="none" w:sz="0" w:space="0" w:color="auto"/>
      </w:divBdr>
    </w:div>
    <w:div w:id="1056901259">
      <w:bodyDiv w:val="1"/>
      <w:marLeft w:val="0"/>
      <w:marRight w:val="0"/>
      <w:marTop w:val="0"/>
      <w:marBottom w:val="0"/>
      <w:divBdr>
        <w:top w:val="none" w:sz="0" w:space="0" w:color="auto"/>
        <w:left w:val="none" w:sz="0" w:space="0" w:color="auto"/>
        <w:bottom w:val="none" w:sz="0" w:space="0" w:color="auto"/>
        <w:right w:val="none" w:sz="0" w:space="0" w:color="auto"/>
      </w:divBdr>
    </w:div>
    <w:div w:id="1057048252">
      <w:bodyDiv w:val="1"/>
      <w:marLeft w:val="0"/>
      <w:marRight w:val="0"/>
      <w:marTop w:val="0"/>
      <w:marBottom w:val="0"/>
      <w:divBdr>
        <w:top w:val="none" w:sz="0" w:space="0" w:color="auto"/>
        <w:left w:val="none" w:sz="0" w:space="0" w:color="auto"/>
        <w:bottom w:val="none" w:sz="0" w:space="0" w:color="auto"/>
        <w:right w:val="none" w:sz="0" w:space="0" w:color="auto"/>
      </w:divBdr>
    </w:div>
    <w:div w:id="1057125053">
      <w:bodyDiv w:val="1"/>
      <w:marLeft w:val="0"/>
      <w:marRight w:val="0"/>
      <w:marTop w:val="0"/>
      <w:marBottom w:val="0"/>
      <w:divBdr>
        <w:top w:val="none" w:sz="0" w:space="0" w:color="auto"/>
        <w:left w:val="none" w:sz="0" w:space="0" w:color="auto"/>
        <w:bottom w:val="none" w:sz="0" w:space="0" w:color="auto"/>
        <w:right w:val="none" w:sz="0" w:space="0" w:color="auto"/>
      </w:divBdr>
    </w:div>
    <w:div w:id="1059209454">
      <w:bodyDiv w:val="1"/>
      <w:marLeft w:val="0"/>
      <w:marRight w:val="0"/>
      <w:marTop w:val="0"/>
      <w:marBottom w:val="0"/>
      <w:divBdr>
        <w:top w:val="none" w:sz="0" w:space="0" w:color="auto"/>
        <w:left w:val="none" w:sz="0" w:space="0" w:color="auto"/>
        <w:bottom w:val="none" w:sz="0" w:space="0" w:color="auto"/>
        <w:right w:val="none" w:sz="0" w:space="0" w:color="auto"/>
      </w:divBdr>
    </w:div>
    <w:div w:id="1059593686">
      <w:bodyDiv w:val="1"/>
      <w:marLeft w:val="0"/>
      <w:marRight w:val="0"/>
      <w:marTop w:val="0"/>
      <w:marBottom w:val="0"/>
      <w:divBdr>
        <w:top w:val="none" w:sz="0" w:space="0" w:color="auto"/>
        <w:left w:val="none" w:sz="0" w:space="0" w:color="auto"/>
        <w:bottom w:val="none" w:sz="0" w:space="0" w:color="auto"/>
        <w:right w:val="none" w:sz="0" w:space="0" w:color="auto"/>
      </w:divBdr>
    </w:div>
    <w:div w:id="1061563057">
      <w:bodyDiv w:val="1"/>
      <w:marLeft w:val="0"/>
      <w:marRight w:val="0"/>
      <w:marTop w:val="0"/>
      <w:marBottom w:val="0"/>
      <w:divBdr>
        <w:top w:val="none" w:sz="0" w:space="0" w:color="auto"/>
        <w:left w:val="none" w:sz="0" w:space="0" w:color="auto"/>
        <w:bottom w:val="none" w:sz="0" w:space="0" w:color="auto"/>
        <w:right w:val="none" w:sz="0" w:space="0" w:color="auto"/>
      </w:divBdr>
    </w:div>
    <w:div w:id="1062212946">
      <w:bodyDiv w:val="1"/>
      <w:marLeft w:val="0"/>
      <w:marRight w:val="0"/>
      <w:marTop w:val="0"/>
      <w:marBottom w:val="0"/>
      <w:divBdr>
        <w:top w:val="none" w:sz="0" w:space="0" w:color="auto"/>
        <w:left w:val="none" w:sz="0" w:space="0" w:color="auto"/>
        <w:bottom w:val="none" w:sz="0" w:space="0" w:color="auto"/>
        <w:right w:val="none" w:sz="0" w:space="0" w:color="auto"/>
      </w:divBdr>
    </w:div>
    <w:div w:id="1062603788">
      <w:bodyDiv w:val="1"/>
      <w:marLeft w:val="0"/>
      <w:marRight w:val="0"/>
      <w:marTop w:val="0"/>
      <w:marBottom w:val="0"/>
      <w:divBdr>
        <w:top w:val="none" w:sz="0" w:space="0" w:color="auto"/>
        <w:left w:val="none" w:sz="0" w:space="0" w:color="auto"/>
        <w:bottom w:val="none" w:sz="0" w:space="0" w:color="auto"/>
        <w:right w:val="none" w:sz="0" w:space="0" w:color="auto"/>
      </w:divBdr>
    </w:div>
    <w:div w:id="1062679576">
      <w:bodyDiv w:val="1"/>
      <w:marLeft w:val="0"/>
      <w:marRight w:val="0"/>
      <w:marTop w:val="0"/>
      <w:marBottom w:val="0"/>
      <w:divBdr>
        <w:top w:val="none" w:sz="0" w:space="0" w:color="auto"/>
        <w:left w:val="none" w:sz="0" w:space="0" w:color="auto"/>
        <w:bottom w:val="none" w:sz="0" w:space="0" w:color="auto"/>
        <w:right w:val="none" w:sz="0" w:space="0" w:color="auto"/>
      </w:divBdr>
    </w:div>
    <w:div w:id="1063065176">
      <w:bodyDiv w:val="1"/>
      <w:marLeft w:val="0"/>
      <w:marRight w:val="0"/>
      <w:marTop w:val="0"/>
      <w:marBottom w:val="0"/>
      <w:divBdr>
        <w:top w:val="none" w:sz="0" w:space="0" w:color="auto"/>
        <w:left w:val="none" w:sz="0" w:space="0" w:color="auto"/>
        <w:bottom w:val="none" w:sz="0" w:space="0" w:color="auto"/>
        <w:right w:val="none" w:sz="0" w:space="0" w:color="auto"/>
      </w:divBdr>
    </w:div>
    <w:div w:id="1063412610">
      <w:bodyDiv w:val="1"/>
      <w:marLeft w:val="0"/>
      <w:marRight w:val="0"/>
      <w:marTop w:val="0"/>
      <w:marBottom w:val="0"/>
      <w:divBdr>
        <w:top w:val="none" w:sz="0" w:space="0" w:color="auto"/>
        <w:left w:val="none" w:sz="0" w:space="0" w:color="auto"/>
        <w:bottom w:val="none" w:sz="0" w:space="0" w:color="auto"/>
        <w:right w:val="none" w:sz="0" w:space="0" w:color="auto"/>
      </w:divBdr>
    </w:div>
    <w:div w:id="1064183335">
      <w:bodyDiv w:val="1"/>
      <w:marLeft w:val="0"/>
      <w:marRight w:val="0"/>
      <w:marTop w:val="0"/>
      <w:marBottom w:val="0"/>
      <w:divBdr>
        <w:top w:val="none" w:sz="0" w:space="0" w:color="auto"/>
        <w:left w:val="none" w:sz="0" w:space="0" w:color="auto"/>
        <w:bottom w:val="none" w:sz="0" w:space="0" w:color="auto"/>
        <w:right w:val="none" w:sz="0" w:space="0" w:color="auto"/>
      </w:divBdr>
    </w:div>
    <w:div w:id="1064377150">
      <w:bodyDiv w:val="1"/>
      <w:marLeft w:val="0"/>
      <w:marRight w:val="0"/>
      <w:marTop w:val="0"/>
      <w:marBottom w:val="0"/>
      <w:divBdr>
        <w:top w:val="none" w:sz="0" w:space="0" w:color="auto"/>
        <w:left w:val="none" w:sz="0" w:space="0" w:color="auto"/>
        <w:bottom w:val="none" w:sz="0" w:space="0" w:color="auto"/>
        <w:right w:val="none" w:sz="0" w:space="0" w:color="auto"/>
      </w:divBdr>
    </w:div>
    <w:div w:id="1064520948">
      <w:bodyDiv w:val="1"/>
      <w:marLeft w:val="0"/>
      <w:marRight w:val="0"/>
      <w:marTop w:val="0"/>
      <w:marBottom w:val="0"/>
      <w:divBdr>
        <w:top w:val="none" w:sz="0" w:space="0" w:color="auto"/>
        <w:left w:val="none" w:sz="0" w:space="0" w:color="auto"/>
        <w:bottom w:val="none" w:sz="0" w:space="0" w:color="auto"/>
        <w:right w:val="none" w:sz="0" w:space="0" w:color="auto"/>
      </w:divBdr>
    </w:div>
    <w:div w:id="1065760749">
      <w:bodyDiv w:val="1"/>
      <w:marLeft w:val="0"/>
      <w:marRight w:val="0"/>
      <w:marTop w:val="0"/>
      <w:marBottom w:val="0"/>
      <w:divBdr>
        <w:top w:val="none" w:sz="0" w:space="0" w:color="auto"/>
        <w:left w:val="none" w:sz="0" w:space="0" w:color="auto"/>
        <w:bottom w:val="none" w:sz="0" w:space="0" w:color="auto"/>
        <w:right w:val="none" w:sz="0" w:space="0" w:color="auto"/>
      </w:divBdr>
    </w:div>
    <w:div w:id="1065882775">
      <w:bodyDiv w:val="1"/>
      <w:marLeft w:val="0"/>
      <w:marRight w:val="0"/>
      <w:marTop w:val="0"/>
      <w:marBottom w:val="0"/>
      <w:divBdr>
        <w:top w:val="none" w:sz="0" w:space="0" w:color="auto"/>
        <w:left w:val="none" w:sz="0" w:space="0" w:color="auto"/>
        <w:bottom w:val="none" w:sz="0" w:space="0" w:color="auto"/>
        <w:right w:val="none" w:sz="0" w:space="0" w:color="auto"/>
      </w:divBdr>
    </w:div>
    <w:div w:id="1065951996">
      <w:bodyDiv w:val="1"/>
      <w:marLeft w:val="0"/>
      <w:marRight w:val="0"/>
      <w:marTop w:val="0"/>
      <w:marBottom w:val="0"/>
      <w:divBdr>
        <w:top w:val="none" w:sz="0" w:space="0" w:color="auto"/>
        <w:left w:val="none" w:sz="0" w:space="0" w:color="auto"/>
        <w:bottom w:val="none" w:sz="0" w:space="0" w:color="auto"/>
        <w:right w:val="none" w:sz="0" w:space="0" w:color="auto"/>
      </w:divBdr>
    </w:div>
    <w:div w:id="1066029742">
      <w:bodyDiv w:val="1"/>
      <w:marLeft w:val="0"/>
      <w:marRight w:val="0"/>
      <w:marTop w:val="0"/>
      <w:marBottom w:val="0"/>
      <w:divBdr>
        <w:top w:val="none" w:sz="0" w:space="0" w:color="auto"/>
        <w:left w:val="none" w:sz="0" w:space="0" w:color="auto"/>
        <w:bottom w:val="none" w:sz="0" w:space="0" w:color="auto"/>
        <w:right w:val="none" w:sz="0" w:space="0" w:color="auto"/>
      </w:divBdr>
    </w:div>
    <w:div w:id="1066076156">
      <w:bodyDiv w:val="1"/>
      <w:marLeft w:val="0"/>
      <w:marRight w:val="0"/>
      <w:marTop w:val="0"/>
      <w:marBottom w:val="0"/>
      <w:divBdr>
        <w:top w:val="none" w:sz="0" w:space="0" w:color="auto"/>
        <w:left w:val="none" w:sz="0" w:space="0" w:color="auto"/>
        <w:bottom w:val="none" w:sz="0" w:space="0" w:color="auto"/>
        <w:right w:val="none" w:sz="0" w:space="0" w:color="auto"/>
      </w:divBdr>
    </w:div>
    <w:div w:id="1066414384">
      <w:bodyDiv w:val="1"/>
      <w:marLeft w:val="0"/>
      <w:marRight w:val="0"/>
      <w:marTop w:val="0"/>
      <w:marBottom w:val="0"/>
      <w:divBdr>
        <w:top w:val="none" w:sz="0" w:space="0" w:color="auto"/>
        <w:left w:val="none" w:sz="0" w:space="0" w:color="auto"/>
        <w:bottom w:val="none" w:sz="0" w:space="0" w:color="auto"/>
        <w:right w:val="none" w:sz="0" w:space="0" w:color="auto"/>
      </w:divBdr>
    </w:div>
    <w:div w:id="1066732432">
      <w:bodyDiv w:val="1"/>
      <w:marLeft w:val="0"/>
      <w:marRight w:val="0"/>
      <w:marTop w:val="0"/>
      <w:marBottom w:val="0"/>
      <w:divBdr>
        <w:top w:val="none" w:sz="0" w:space="0" w:color="auto"/>
        <w:left w:val="none" w:sz="0" w:space="0" w:color="auto"/>
        <w:bottom w:val="none" w:sz="0" w:space="0" w:color="auto"/>
        <w:right w:val="none" w:sz="0" w:space="0" w:color="auto"/>
      </w:divBdr>
    </w:div>
    <w:div w:id="1068071004">
      <w:bodyDiv w:val="1"/>
      <w:marLeft w:val="0"/>
      <w:marRight w:val="0"/>
      <w:marTop w:val="0"/>
      <w:marBottom w:val="0"/>
      <w:divBdr>
        <w:top w:val="none" w:sz="0" w:space="0" w:color="auto"/>
        <w:left w:val="none" w:sz="0" w:space="0" w:color="auto"/>
        <w:bottom w:val="none" w:sz="0" w:space="0" w:color="auto"/>
        <w:right w:val="none" w:sz="0" w:space="0" w:color="auto"/>
      </w:divBdr>
    </w:div>
    <w:div w:id="1068267692">
      <w:bodyDiv w:val="1"/>
      <w:marLeft w:val="0"/>
      <w:marRight w:val="0"/>
      <w:marTop w:val="0"/>
      <w:marBottom w:val="0"/>
      <w:divBdr>
        <w:top w:val="none" w:sz="0" w:space="0" w:color="auto"/>
        <w:left w:val="none" w:sz="0" w:space="0" w:color="auto"/>
        <w:bottom w:val="none" w:sz="0" w:space="0" w:color="auto"/>
        <w:right w:val="none" w:sz="0" w:space="0" w:color="auto"/>
      </w:divBdr>
    </w:div>
    <w:div w:id="1068576246">
      <w:bodyDiv w:val="1"/>
      <w:marLeft w:val="0"/>
      <w:marRight w:val="0"/>
      <w:marTop w:val="0"/>
      <w:marBottom w:val="0"/>
      <w:divBdr>
        <w:top w:val="none" w:sz="0" w:space="0" w:color="auto"/>
        <w:left w:val="none" w:sz="0" w:space="0" w:color="auto"/>
        <w:bottom w:val="none" w:sz="0" w:space="0" w:color="auto"/>
        <w:right w:val="none" w:sz="0" w:space="0" w:color="auto"/>
      </w:divBdr>
    </w:div>
    <w:div w:id="1069427450">
      <w:bodyDiv w:val="1"/>
      <w:marLeft w:val="0"/>
      <w:marRight w:val="0"/>
      <w:marTop w:val="0"/>
      <w:marBottom w:val="0"/>
      <w:divBdr>
        <w:top w:val="none" w:sz="0" w:space="0" w:color="auto"/>
        <w:left w:val="none" w:sz="0" w:space="0" w:color="auto"/>
        <w:bottom w:val="none" w:sz="0" w:space="0" w:color="auto"/>
        <w:right w:val="none" w:sz="0" w:space="0" w:color="auto"/>
      </w:divBdr>
    </w:div>
    <w:div w:id="1069578166">
      <w:bodyDiv w:val="1"/>
      <w:marLeft w:val="0"/>
      <w:marRight w:val="0"/>
      <w:marTop w:val="0"/>
      <w:marBottom w:val="0"/>
      <w:divBdr>
        <w:top w:val="none" w:sz="0" w:space="0" w:color="auto"/>
        <w:left w:val="none" w:sz="0" w:space="0" w:color="auto"/>
        <w:bottom w:val="none" w:sz="0" w:space="0" w:color="auto"/>
        <w:right w:val="none" w:sz="0" w:space="0" w:color="auto"/>
      </w:divBdr>
    </w:div>
    <w:div w:id="1069766034">
      <w:bodyDiv w:val="1"/>
      <w:marLeft w:val="0"/>
      <w:marRight w:val="0"/>
      <w:marTop w:val="0"/>
      <w:marBottom w:val="0"/>
      <w:divBdr>
        <w:top w:val="none" w:sz="0" w:space="0" w:color="auto"/>
        <w:left w:val="none" w:sz="0" w:space="0" w:color="auto"/>
        <w:bottom w:val="none" w:sz="0" w:space="0" w:color="auto"/>
        <w:right w:val="none" w:sz="0" w:space="0" w:color="auto"/>
      </w:divBdr>
    </w:div>
    <w:div w:id="1070344548">
      <w:bodyDiv w:val="1"/>
      <w:marLeft w:val="0"/>
      <w:marRight w:val="0"/>
      <w:marTop w:val="0"/>
      <w:marBottom w:val="0"/>
      <w:divBdr>
        <w:top w:val="none" w:sz="0" w:space="0" w:color="auto"/>
        <w:left w:val="none" w:sz="0" w:space="0" w:color="auto"/>
        <w:bottom w:val="none" w:sz="0" w:space="0" w:color="auto"/>
        <w:right w:val="none" w:sz="0" w:space="0" w:color="auto"/>
      </w:divBdr>
    </w:div>
    <w:div w:id="1070344884">
      <w:bodyDiv w:val="1"/>
      <w:marLeft w:val="0"/>
      <w:marRight w:val="0"/>
      <w:marTop w:val="0"/>
      <w:marBottom w:val="0"/>
      <w:divBdr>
        <w:top w:val="none" w:sz="0" w:space="0" w:color="auto"/>
        <w:left w:val="none" w:sz="0" w:space="0" w:color="auto"/>
        <w:bottom w:val="none" w:sz="0" w:space="0" w:color="auto"/>
        <w:right w:val="none" w:sz="0" w:space="0" w:color="auto"/>
      </w:divBdr>
    </w:div>
    <w:div w:id="1070495873">
      <w:bodyDiv w:val="1"/>
      <w:marLeft w:val="0"/>
      <w:marRight w:val="0"/>
      <w:marTop w:val="0"/>
      <w:marBottom w:val="0"/>
      <w:divBdr>
        <w:top w:val="none" w:sz="0" w:space="0" w:color="auto"/>
        <w:left w:val="none" w:sz="0" w:space="0" w:color="auto"/>
        <w:bottom w:val="none" w:sz="0" w:space="0" w:color="auto"/>
        <w:right w:val="none" w:sz="0" w:space="0" w:color="auto"/>
      </w:divBdr>
    </w:div>
    <w:div w:id="1070734775">
      <w:bodyDiv w:val="1"/>
      <w:marLeft w:val="0"/>
      <w:marRight w:val="0"/>
      <w:marTop w:val="0"/>
      <w:marBottom w:val="0"/>
      <w:divBdr>
        <w:top w:val="none" w:sz="0" w:space="0" w:color="auto"/>
        <w:left w:val="none" w:sz="0" w:space="0" w:color="auto"/>
        <w:bottom w:val="none" w:sz="0" w:space="0" w:color="auto"/>
        <w:right w:val="none" w:sz="0" w:space="0" w:color="auto"/>
      </w:divBdr>
    </w:div>
    <w:div w:id="1070812543">
      <w:bodyDiv w:val="1"/>
      <w:marLeft w:val="0"/>
      <w:marRight w:val="0"/>
      <w:marTop w:val="0"/>
      <w:marBottom w:val="0"/>
      <w:divBdr>
        <w:top w:val="none" w:sz="0" w:space="0" w:color="auto"/>
        <w:left w:val="none" w:sz="0" w:space="0" w:color="auto"/>
        <w:bottom w:val="none" w:sz="0" w:space="0" w:color="auto"/>
        <w:right w:val="none" w:sz="0" w:space="0" w:color="auto"/>
      </w:divBdr>
    </w:div>
    <w:div w:id="1071272798">
      <w:bodyDiv w:val="1"/>
      <w:marLeft w:val="0"/>
      <w:marRight w:val="0"/>
      <w:marTop w:val="0"/>
      <w:marBottom w:val="0"/>
      <w:divBdr>
        <w:top w:val="none" w:sz="0" w:space="0" w:color="auto"/>
        <w:left w:val="none" w:sz="0" w:space="0" w:color="auto"/>
        <w:bottom w:val="none" w:sz="0" w:space="0" w:color="auto"/>
        <w:right w:val="none" w:sz="0" w:space="0" w:color="auto"/>
      </w:divBdr>
    </w:div>
    <w:div w:id="1071386337">
      <w:bodyDiv w:val="1"/>
      <w:marLeft w:val="0"/>
      <w:marRight w:val="0"/>
      <w:marTop w:val="0"/>
      <w:marBottom w:val="0"/>
      <w:divBdr>
        <w:top w:val="none" w:sz="0" w:space="0" w:color="auto"/>
        <w:left w:val="none" w:sz="0" w:space="0" w:color="auto"/>
        <w:bottom w:val="none" w:sz="0" w:space="0" w:color="auto"/>
        <w:right w:val="none" w:sz="0" w:space="0" w:color="auto"/>
      </w:divBdr>
    </w:div>
    <w:div w:id="1071584832">
      <w:bodyDiv w:val="1"/>
      <w:marLeft w:val="0"/>
      <w:marRight w:val="0"/>
      <w:marTop w:val="0"/>
      <w:marBottom w:val="0"/>
      <w:divBdr>
        <w:top w:val="none" w:sz="0" w:space="0" w:color="auto"/>
        <w:left w:val="none" w:sz="0" w:space="0" w:color="auto"/>
        <w:bottom w:val="none" w:sz="0" w:space="0" w:color="auto"/>
        <w:right w:val="none" w:sz="0" w:space="0" w:color="auto"/>
      </w:divBdr>
    </w:div>
    <w:div w:id="1071973676">
      <w:bodyDiv w:val="1"/>
      <w:marLeft w:val="0"/>
      <w:marRight w:val="0"/>
      <w:marTop w:val="0"/>
      <w:marBottom w:val="0"/>
      <w:divBdr>
        <w:top w:val="none" w:sz="0" w:space="0" w:color="auto"/>
        <w:left w:val="none" w:sz="0" w:space="0" w:color="auto"/>
        <w:bottom w:val="none" w:sz="0" w:space="0" w:color="auto"/>
        <w:right w:val="none" w:sz="0" w:space="0" w:color="auto"/>
      </w:divBdr>
    </w:div>
    <w:div w:id="1072586502">
      <w:bodyDiv w:val="1"/>
      <w:marLeft w:val="0"/>
      <w:marRight w:val="0"/>
      <w:marTop w:val="0"/>
      <w:marBottom w:val="0"/>
      <w:divBdr>
        <w:top w:val="none" w:sz="0" w:space="0" w:color="auto"/>
        <w:left w:val="none" w:sz="0" w:space="0" w:color="auto"/>
        <w:bottom w:val="none" w:sz="0" w:space="0" w:color="auto"/>
        <w:right w:val="none" w:sz="0" w:space="0" w:color="auto"/>
      </w:divBdr>
    </w:div>
    <w:div w:id="1072891638">
      <w:bodyDiv w:val="1"/>
      <w:marLeft w:val="0"/>
      <w:marRight w:val="0"/>
      <w:marTop w:val="0"/>
      <w:marBottom w:val="0"/>
      <w:divBdr>
        <w:top w:val="none" w:sz="0" w:space="0" w:color="auto"/>
        <w:left w:val="none" w:sz="0" w:space="0" w:color="auto"/>
        <w:bottom w:val="none" w:sz="0" w:space="0" w:color="auto"/>
        <w:right w:val="none" w:sz="0" w:space="0" w:color="auto"/>
      </w:divBdr>
    </w:div>
    <w:div w:id="1073355107">
      <w:bodyDiv w:val="1"/>
      <w:marLeft w:val="0"/>
      <w:marRight w:val="0"/>
      <w:marTop w:val="0"/>
      <w:marBottom w:val="0"/>
      <w:divBdr>
        <w:top w:val="none" w:sz="0" w:space="0" w:color="auto"/>
        <w:left w:val="none" w:sz="0" w:space="0" w:color="auto"/>
        <w:bottom w:val="none" w:sz="0" w:space="0" w:color="auto"/>
        <w:right w:val="none" w:sz="0" w:space="0" w:color="auto"/>
      </w:divBdr>
    </w:div>
    <w:div w:id="1073548689">
      <w:bodyDiv w:val="1"/>
      <w:marLeft w:val="0"/>
      <w:marRight w:val="0"/>
      <w:marTop w:val="0"/>
      <w:marBottom w:val="0"/>
      <w:divBdr>
        <w:top w:val="none" w:sz="0" w:space="0" w:color="auto"/>
        <w:left w:val="none" w:sz="0" w:space="0" w:color="auto"/>
        <w:bottom w:val="none" w:sz="0" w:space="0" w:color="auto"/>
        <w:right w:val="none" w:sz="0" w:space="0" w:color="auto"/>
      </w:divBdr>
    </w:div>
    <w:div w:id="1074400700">
      <w:bodyDiv w:val="1"/>
      <w:marLeft w:val="0"/>
      <w:marRight w:val="0"/>
      <w:marTop w:val="0"/>
      <w:marBottom w:val="0"/>
      <w:divBdr>
        <w:top w:val="none" w:sz="0" w:space="0" w:color="auto"/>
        <w:left w:val="none" w:sz="0" w:space="0" w:color="auto"/>
        <w:bottom w:val="none" w:sz="0" w:space="0" w:color="auto"/>
        <w:right w:val="none" w:sz="0" w:space="0" w:color="auto"/>
      </w:divBdr>
    </w:div>
    <w:div w:id="1077433973">
      <w:bodyDiv w:val="1"/>
      <w:marLeft w:val="0"/>
      <w:marRight w:val="0"/>
      <w:marTop w:val="0"/>
      <w:marBottom w:val="0"/>
      <w:divBdr>
        <w:top w:val="none" w:sz="0" w:space="0" w:color="auto"/>
        <w:left w:val="none" w:sz="0" w:space="0" w:color="auto"/>
        <w:bottom w:val="none" w:sz="0" w:space="0" w:color="auto"/>
        <w:right w:val="none" w:sz="0" w:space="0" w:color="auto"/>
      </w:divBdr>
    </w:div>
    <w:div w:id="1078331851">
      <w:bodyDiv w:val="1"/>
      <w:marLeft w:val="0"/>
      <w:marRight w:val="0"/>
      <w:marTop w:val="0"/>
      <w:marBottom w:val="0"/>
      <w:divBdr>
        <w:top w:val="none" w:sz="0" w:space="0" w:color="auto"/>
        <w:left w:val="none" w:sz="0" w:space="0" w:color="auto"/>
        <w:bottom w:val="none" w:sz="0" w:space="0" w:color="auto"/>
        <w:right w:val="none" w:sz="0" w:space="0" w:color="auto"/>
      </w:divBdr>
    </w:div>
    <w:div w:id="1078675847">
      <w:bodyDiv w:val="1"/>
      <w:marLeft w:val="0"/>
      <w:marRight w:val="0"/>
      <w:marTop w:val="0"/>
      <w:marBottom w:val="0"/>
      <w:divBdr>
        <w:top w:val="none" w:sz="0" w:space="0" w:color="auto"/>
        <w:left w:val="none" w:sz="0" w:space="0" w:color="auto"/>
        <w:bottom w:val="none" w:sz="0" w:space="0" w:color="auto"/>
        <w:right w:val="none" w:sz="0" w:space="0" w:color="auto"/>
      </w:divBdr>
    </w:div>
    <w:div w:id="1078745710">
      <w:bodyDiv w:val="1"/>
      <w:marLeft w:val="0"/>
      <w:marRight w:val="0"/>
      <w:marTop w:val="0"/>
      <w:marBottom w:val="0"/>
      <w:divBdr>
        <w:top w:val="none" w:sz="0" w:space="0" w:color="auto"/>
        <w:left w:val="none" w:sz="0" w:space="0" w:color="auto"/>
        <w:bottom w:val="none" w:sz="0" w:space="0" w:color="auto"/>
        <w:right w:val="none" w:sz="0" w:space="0" w:color="auto"/>
      </w:divBdr>
    </w:div>
    <w:div w:id="1078941266">
      <w:bodyDiv w:val="1"/>
      <w:marLeft w:val="0"/>
      <w:marRight w:val="0"/>
      <w:marTop w:val="0"/>
      <w:marBottom w:val="0"/>
      <w:divBdr>
        <w:top w:val="none" w:sz="0" w:space="0" w:color="auto"/>
        <w:left w:val="none" w:sz="0" w:space="0" w:color="auto"/>
        <w:bottom w:val="none" w:sz="0" w:space="0" w:color="auto"/>
        <w:right w:val="none" w:sz="0" w:space="0" w:color="auto"/>
      </w:divBdr>
    </w:div>
    <w:div w:id="1079213263">
      <w:bodyDiv w:val="1"/>
      <w:marLeft w:val="0"/>
      <w:marRight w:val="0"/>
      <w:marTop w:val="0"/>
      <w:marBottom w:val="0"/>
      <w:divBdr>
        <w:top w:val="none" w:sz="0" w:space="0" w:color="auto"/>
        <w:left w:val="none" w:sz="0" w:space="0" w:color="auto"/>
        <w:bottom w:val="none" w:sz="0" w:space="0" w:color="auto"/>
        <w:right w:val="none" w:sz="0" w:space="0" w:color="auto"/>
      </w:divBdr>
    </w:div>
    <w:div w:id="1080130094">
      <w:bodyDiv w:val="1"/>
      <w:marLeft w:val="0"/>
      <w:marRight w:val="0"/>
      <w:marTop w:val="0"/>
      <w:marBottom w:val="0"/>
      <w:divBdr>
        <w:top w:val="none" w:sz="0" w:space="0" w:color="auto"/>
        <w:left w:val="none" w:sz="0" w:space="0" w:color="auto"/>
        <w:bottom w:val="none" w:sz="0" w:space="0" w:color="auto"/>
        <w:right w:val="none" w:sz="0" w:space="0" w:color="auto"/>
      </w:divBdr>
    </w:div>
    <w:div w:id="1082607217">
      <w:bodyDiv w:val="1"/>
      <w:marLeft w:val="0"/>
      <w:marRight w:val="0"/>
      <w:marTop w:val="0"/>
      <w:marBottom w:val="0"/>
      <w:divBdr>
        <w:top w:val="none" w:sz="0" w:space="0" w:color="auto"/>
        <w:left w:val="none" w:sz="0" w:space="0" w:color="auto"/>
        <w:bottom w:val="none" w:sz="0" w:space="0" w:color="auto"/>
        <w:right w:val="none" w:sz="0" w:space="0" w:color="auto"/>
      </w:divBdr>
    </w:div>
    <w:div w:id="1083406716">
      <w:bodyDiv w:val="1"/>
      <w:marLeft w:val="0"/>
      <w:marRight w:val="0"/>
      <w:marTop w:val="0"/>
      <w:marBottom w:val="0"/>
      <w:divBdr>
        <w:top w:val="none" w:sz="0" w:space="0" w:color="auto"/>
        <w:left w:val="none" w:sz="0" w:space="0" w:color="auto"/>
        <w:bottom w:val="none" w:sz="0" w:space="0" w:color="auto"/>
        <w:right w:val="none" w:sz="0" w:space="0" w:color="auto"/>
      </w:divBdr>
    </w:div>
    <w:div w:id="1083795499">
      <w:bodyDiv w:val="1"/>
      <w:marLeft w:val="0"/>
      <w:marRight w:val="0"/>
      <w:marTop w:val="0"/>
      <w:marBottom w:val="0"/>
      <w:divBdr>
        <w:top w:val="none" w:sz="0" w:space="0" w:color="auto"/>
        <w:left w:val="none" w:sz="0" w:space="0" w:color="auto"/>
        <w:bottom w:val="none" w:sz="0" w:space="0" w:color="auto"/>
        <w:right w:val="none" w:sz="0" w:space="0" w:color="auto"/>
      </w:divBdr>
    </w:div>
    <w:div w:id="1083840139">
      <w:bodyDiv w:val="1"/>
      <w:marLeft w:val="0"/>
      <w:marRight w:val="0"/>
      <w:marTop w:val="0"/>
      <w:marBottom w:val="0"/>
      <w:divBdr>
        <w:top w:val="none" w:sz="0" w:space="0" w:color="auto"/>
        <w:left w:val="none" w:sz="0" w:space="0" w:color="auto"/>
        <w:bottom w:val="none" w:sz="0" w:space="0" w:color="auto"/>
        <w:right w:val="none" w:sz="0" w:space="0" w:color="auto"/>
      </w:divBdr>
    </w:div>
    <w:div w:id="1084231176">
      <w:bodyDiv w:val="1"/>
      <w:marLeft w:val="0"/>
      <w:marRight w:val="0"/>
      <w:marTop w:val="0"/>
      <w:marBottom w:val="0"/>
      <w:divBdr>
        <w:top w:val="none" w:sz="0" w:space="0" w:color="auto"/>
        <w:left w:val="none" w:sz="0" w:space="0" w:color="auto"/>
        <w:bottom w:val="none" w:sz="0" w:space="0" w:color="auto"/>
        <w:right w:val="none" w:sz="0" w:space="0" w:color="auto"/>
      </w:divBdr>
    </w:div>
    <w:div w:id="1085103022">
      <w:bodyDiv w:val="1"/>
      <w:marLeft w:val="0"/>
      <w:marRight w:val="0"/>
      <w:marTop w:val="0"/>
      <w:marBottom w:val="0"/>
      <w:divBdr>
        <w:top w:val="none" w:sz="0" w:space="0" w:color="auto"/>
        <w:left w:val="none" w:sz="0" w:space="0" w:color="auto"/>
        <w:bottom w:val="none" w:sz="0" w:space="0" w:color="auto"/>
        <w:right w:val="none" w:sz="0" w:space="0" w:color="auto"/>
      </w:divBdr>
    </w:div>
    <w:div w:id="1085682895">
      <w:bodyDiv w:val="1"/>
      <w:marLeft w:val="0"/>
      <w:marRight w:val="0"/>
      <w:marTop w:val="0"/>
      <w:marBottom w:val="0"/>
      <w:divBdr>
        <w:top w:val="none" w:sz="0" w:space="0" w:color="auto"/>
        <w:left w:val="none" w:sz="0" w:space="0" w:color="auto"/>
        <w:bottom w:val="none" w:sz="0" w:space="0" w:color="auto"/>
        <w:right w:val="none" w:sz="0" w:space="0" w:color="auto"/>
      </w:divBdr>
    </w:div>
    <w:div w:id="1085876388">
      <w:bodyDiv w:val="1"/>
      <w:marLeft w:val="0"/>
      <w:marRight w:val="0"/>
      <w:marTop w:val="0"/>
      <w:marBottom w:val="0"/>
      <w:divBdr>
        <w:top w:val="none" w:sz="0" w:space="0" w:color="auto"/>
        <w:left w:val="none" w:sz="0" w:space="0" w:color="auto"/>
        <w:bottom w:val="none" w:sz="0" w:space="0" w:color="auto"/>
        <w:right w:val="none" w:sz="0" w:space="0" w:color="auto"/>
      </w:divBdr>
    </w:div>
    <w:div w:id="1086002606">
      <w:bodyDiv w:val="1"/>
      <w:marLeft w:val="0"/>
      <w:marRight w:val="0"/>
      <w:marTop w:val="0"/>
      <w:marBottom w:val="0"/>
      <w:divBdr>
        <w:top w:val="none" w:sz="0" w:space="0" w:color="auto"/>
        <w:left w:val="none" w:sz="0" w:space="0" w:color="auto"/>
        <w:bottom w:val="none" w:sz="0" w:space="0" w:color="auto"/>
        <w:right w:val="none" w:sz="0" w:space="0" w:color="auto"/>
      </w:divBdr>
    </w:div>
    <w:div w:id="1086263636">
      <w:bodyDiv w:val="1"/>
      <w:marLeft w:val="0"/>
      <w:marRight w:val="0"/>
      <w:marTop w:val="0"/>
      <w:marBottom w:val="0"/>
      <w:divBdr>
        <w:top w:val="none" w:sz="0" w:space="0" w:color="auto"/>
        <w:left w:val="none" w:sz="0" w:space="0" w:color="auto"/>
        <w:bottom w:val="none" w:sz="0" w:space="0" w:color="auto"/>
        <w:right w:val="none" w:sz="0" w:space="0" w:color="auto"/>
      </w:divBdr>
    </w:div>
    <w:div w:id="1088310037">
      <w:bodyDiv w:val="1"/>
      <w:marLeft w:val="0"/>
      <w:marRight w:val="0"/>
      <w:marTop w:val="0"/>
      <w:marBottom w:val="0"/>
      <w:divBdr>
        <w:top w:val="none" w:sz="0" w:space="0" w:color="auto"/>
        <w:left w:val="none" w:sz="0" w:space="0" w:color="auto"/>
        <w:bottom w:val="none" w:sz="0" w:space="0" w:color="auto"/>
        <w:right w:val="none" w:sz="0" w:space="0" w:color="auto"/>
      </w:divBdr>
    </w:div>
    <w:div w:id="1088578967">
      <w:bodyDiv w:val="1"/>
      <w:marLeft w:val="0"/>
      <w:marRight w:val="0"/>
      <w:marTop w:val="0"/>
      <w:marBottom w:val="0"/>
      <w:divBdr>
        <w:top w:val="none" w:sz="0" w:space="0" w:color="auto"/>
        <w:left w:val="none" w:sz="0" w:space="0" w:color="auto"/>
        <w:bottom w:val="none" w:sz="0" w:space="0" w:color="auto"/>
        <w:right w:val="none" w:sz="0" w:space="0" w:color="auto"/>
      </w:divBdr>
    </w:div>
    <w:div w:id="1088885204">
      <w:bodyDiv w:val="1"/>
      <w:marLeft w:val="0"/>
      <w:marRight w:val="0"/>
      <w:marTop w:val="0"/>
      <w:marBottom w:val="0"/>
      <w:divBdr>
        <w:top w:val="none" w:sz="0" w:space="0" w:color="auto"/>
        <w:left w:val="none" w:sz="0" w:space="0" w:color="auto"/>
        <w:bottom w:val="none" w:sz="0" w:space="0" w:color="auto"/>
        <w:right w:val="none" w:sz="0" w:space="0" w:color="auto"/>
      </w:divBdr>
    </w:div>
    <w:div w:id="1088959819">
      <w:bodyDiv w:val="1"/>
      <w:marLeft w:val="0"/>
      <w:marRight w:val="0"/>
      <w:marTop w:val="0"/>
      <w:marBottom w:val="0"/>
      <w:divBdr>
        <w:top w:val="none" w:sz="0" w:space="0" w:color="auto"/>
        <w:left w:val="none" w:sz="0" w:space="0" w:color="auto"/>
        <w:bottom w:val="none" w:sz="0" w:space="0" w:color="auto"/>
        <w:right w:val="none" w:sz="0" w:space="0" w:color="auto"/>
      </w:divBdr>
    </w:div>
    <w:div w:id="1089498373">
      <w:bodyDiv w:val="1"/>
      <w:marLeft w:val="0"/>
      <w:marRight w:val="0"/>
      <w:marTop w:val="0"/>
      <w:marBottom w:val="0"/>
      <w:divBdr>
        <w:top w:val="none" w:sz="0" w:space="0" w:color="auto"/>
        <w:left w:val="none" w:sz="0" w:space="0" w:color="auto"/>
        <w:bottom w:val="none" w:sz="0" w:space="0" w:color="auto"/>
        <w:right w:val="none" w:sz="0" w:space="0" w:color="auto"/>
      </w:divBdr>
    </w:div>
    <w:div w:id="1089498512">
      <w:bodyDiv w:val="1"/>
      <w:marLeft w:val="0"/>
      <w:marRight w:val="0"/>
      <w:marTop w:val="0"/>
      <w:marBottom w:val="0"/>
      <w:divBdr>
        <w:top w:val="none" w:sz="0" w:space="0" w:color="auto"/>
        <w:left w:val="none" w:sz="0" w:space="0" w:color="auto"/>
        <w:bottom w:val="none" w:sz="0" w:space="0" w:color="auto"/>
        <w:right w:val="none" w:sz="0" w:space="0" w:color="auto"/>
      </w:divBdr>
    </w:div>
    <w:div w:id="1089693258">
      <w:bodyDiv w:val="1"/>
      <w:marLeft w:val="0"/>
      <w:marRight w:val="0"/>
      <w:marTop w:val="0"/>
      <w:marBottom w:val="0"/>
      <w:divBdr>
        <w:top w:val="none" w:sz="0" w:space="0" w:color="auto"/>
        <w:left w:val="none" w:sz="0" w:space="0" w:color="auto"/>
        <w:bottom w:val="none" w:sz="0" w:space="0" w:color="auto"/>
        <w:right w:val="none" w:sz="0" w:space="0" w:color="auto"/>
      </w:divBdr>
    </w:div>
    <w:div w:id="1090276141">
      <w:bodyDiv w:val="1"/>
      <w:marLeft w:val="0"/>
      <w:marRight w:val="0"/>
      <w:marTop w:val="0"/>
      <w:marBottom w:val="0"/>
      <w:divBdr>
        <w:top w:val="none" w:sz="0" w:space="0" w:color="auto"/>
        <w:left w:val="none" w:sz="0" w:space="0" w:color="auto"/>
        <w:bottom w:val="none" w:sz="0" w:space="0" w:color="auto"/>
        <w:right w:val="none" w:sz="0" w:space="0" w:color="auto"/>
      </w:divBdr>
    </w:div>
    <w:div w:id="1090350190">
      <w:bodyDiv w:val="1"/>
      <w:marLeft w:val="0"/>
      <w:marRight w:val="0"/>
      <w:marTop w:val="0"/>
      <w:marBottom w:val="0"/>
      <w:divBdr>
        <w:top w:val="none" w:sz="0" w:space="0" w:color="auto"/>
        <w:left w:val="none" w:sz="0" w:space="0" w:color="auto"/>
        <w:bottom w:val="none" w:sz="0" w:space="0" w:color="auto"/>
        <w:right w:val="none" w:sz="0" w:space="0" w:color="auto"/>
      </w:divBdr>
    </w:div>
    <w:div w:id="1090467302">
      <w:bodyDiv w:val="1"/>
      <w:marLeft w:val="0"/>
      <w:marRight w:val="0"/>
      <w:marTop w:val="0"/>
      <w:marBottom w:val="0"/>
      <w:divBdr>
        <w:top w:val="none" w:sz="0" w:space="0" w:color="auto"/>
        <w:left w:val="none" w:sz="0" w:space="0" w:color="auto"/>
        <w:bottom w:val="none" w:sz="0" w:space="0" w:color="auto"/>
        <w:right w:val="none" w:sz="0" w:space="0" w:color="auto"/>
      </w:divBdr>
    </w:div>
    <w:div w:id="1090470638">
      <w:bodyDiv w:val="1"/>
      <w:marLeft w:val="0"/>
      <w:marRight w:val="0"/>
      <w:marTop w:val="0"/>
      <w:marBottom w:val="0"/>
      <w:divBdr>
        <w:top w:val="none" w:sz="0" w:space="0" w:color="auto"/>
        <w:left w:val="none" w:sz="0" w:space="0" w:color="auto"/>
        <w:bottom w:val="none" w:sz="0" w:space="0" w:color="auto"/>
        <w:right w:val="none" w:sz="0" w:space="0" w:color="auto"/>
      </w:divBdr>
    </w:div>
    <w:div w:id="1091047373">
      <w:bodyDiv w:val="1"/>
      <w:marLeft w:val="0"/>
      <w:marRight w:val="0"/>
      <w:marTop w:val="0"/>
      <w:marBottom w:val="0"/>
      <w:divBdr>
        <w:top w:val="none" w:sz="0" w:space="0" w:color="auto"/>
        <w:left w:val="none" w:sz="0" w:space="0" w:color="auto"/>
        <w:bottom w:val="none" w:sz="0" w:space="0" w:color="auto"/>
        <w:right w:val="none" w:sz="0" w:space="0" w:color="auto"/>
      </w:divBdr>
    </w:div>
    <w:div w:id="1092554550">
      <w:bodyDiv w:val="1"/>
      <w:marLeft w:val="0"/>
      <w:marRight w:val="0"/>
      <w:marTop w:val="0"/>
      <w:marBottom w:val="0"/>
      <w:divBdr>
        <w:top w:val="none" w:sz="0" w:space="0" w:color="auto"/>
        <w:left w:val="none" w:sz="0" w:space="0" w:color="auto"/>
        <w:bottom w:val="none" w:sz="0" w:space="0" w:color="auto"/>
        <w:right w:val="none" w:sz="0" w:space="0" w:color="auto"/>
      </w:divBdr>
    </w:div>
    <w:div w:id="1092700395">
      <w:bodyDiv w:val="1"/>
      <w:marLeft w:val="0"/>
      <w:marRight w:val="0"/>
      <w:marTop w:val="0"/>
      <w:marBottom w:val="0"/>
      <w:divBdr>
        <w:top w:val="none" w:sz="0" w:space="0" w:color="auto"/>
        <w:left w:val="none" w:sz="0" w:space="0" w:color="auto"/>
        <w:bottom w:val="none" w:sz="0" w:space="0" w:color="auto"/>
        <w:right w:val="none" w:sz="0" w:space="0" w:color="auto"/>
      </w:divBdr>
    </w:div>
    <w:div w:id="1092702312">
      <w:bodyDiv w:val="1"/>
      <w:marLeft w:val="0"/>
      <w:marRight w:val="0"/>
      <w:marTop w:val="0"/>
      <w:marBottom w:val="0"/>
      <w:divBdr>
        <w:top w:val="none" w:sz="0" w:space="0" w:color="auto"/>
        <w:left w:val="none" w:sz="0" w:space="0" w:color="auto"/>
        <w:bottom w:val="none" w:sz="0" w:space="0" w:color="auto"/>
        <w:right w:val="none" w:sz="0" w:space="0" w:color="auto"/>
      </w:divBdr>
    </w:div>
    <w:div w:id="1093743355">
      <w:bodyDiv w:val="1"/>
      <w:marLeft w:val="0"/>
      <w:marRight w:val="0"/>
      <w:marTop w:val="0"/>
      <w:marBottom w:val="0"/>
      <w:divBdr>
        <w:top w:val="none" w:sz="0" w:space="0" w:color="auto"/>
        <w:left w:val="none" w:sz="0" w:space="0" w:color="auto"/>
        <w:bottom w:val="none" w:sz="0" w:space="0" w:color="auto"/>
        <w:right w:val="none" w:sz="0" w:space="0" w:color="auto"/>
      </w:divBdr>
    </w:div>
    <w:div w:id="1096050542">
      <w:bodyDiv w:val="1"/>
      <w:marLeft w:val="0"/>
      <w:marRight w:val="0"/>
      <w:marTop w:val="0"/>
      <w:marBottom w:val="0"/>
      <w:divBdr>
        <w:top w:val="none" w:sz="0" w:space="0" w:color="auto"/>
        <w:left w:val="none" w:sz="0" w:space="0" w:color="auto"/>
        <w:bottom w:val="none" w:sz="0" w:space="0" w:color="auto"/>
        <w:right w:val="none" w:sz="0" w:space="0" w:color="auto"/>
      </w:divBdr>
    </w:div>
    <w:div w:id="1096369807">
      <w:bodyDiv w:val="1"/>
      <w:marLeft w:val="0"/>
      <w:marRight w:val="0"/>
      <w:marTop w:val="0"/>
      <w:marBottom w:val="0"/>
      <w:divBdr>
        <w:top w:val="none" w:sz="0" w:space="0" w:color="auto"/>
        <w:left w:val="none" w:sz="0" w:space="0" w:color="auto"/>
        <w:bottom w:val="none" w:sz="0" w:space="0" w:color="auto"/>
        <w:right w:val="none" w:sz="0" w:space="0" w:color="auto"/>
      </w:divBdr>
    </w:div>
    <w:div w:id="1096562563">
      <w:bodyDiv w:val="1"/>
      <w:marLeft w:val="0"/>
      <w:marRight w:val="0"/>
      <w:marTop w:val="0"/>
      <w:marBottom w:val="0"/>
      <w:divBdr>
        <w:top w:val="none" w:sz="0" w:space="0" w:color="auto"/>
        <w:left w:val="none" w:sz="0" w:space="0" w:color="auto"/>
        <w:bottom w:val="none" w:sz="0" w:space="0" w:color="auto"/>
        <w:right w:val="none" w:sz="0" w:space="0" w:color="auto"/>
      </w:divBdr>
    </w:div>
    <w:div w:id="1098328372">
      <w:bodyDiv w:val="1"/>
      <w:marLeft w:val="0"/>
      <w:marRight w:val="0"/>
      <w:marTop w:val="0"/>
      <w:marBottom w:val="0"/>
      <w:divBdr>
        <w:top w:val="none" w:sz="0" w:space="0" w:color="auto"/>
        <w:left w:val="none" w:sz="0" w:space="0" w:color="auto"/>
        <w:bottom w:val="none" w:sz="0" w:space="0" w:color="auto"/>
        <w:right w:val="none" w:sz="0" w:space="0" w:color="auto"/>
      </w:divBdr>
    </w:div>
    <w:div w:id="1098864696">
      <w:bodyDiv w:val="1"/>
      <w:marLeft w:val="0"/>
      <w:marRight w:val="0"/>
      <w:marTop w:val="0"/>
      <w:marBottom w:val="0"/>
      <w:divBdr>
        <w:top w:val="none" w:sz="0" w:space="0" w:color="auto"/>
        <w:left w:val="none" w:sz="0" w:space="0" w:color="auto"/>
        <w:bottom w:val="none" w:sz="0" w:space="0" w:color="auto"/>
        <w:right w:val="none" w:sz="0" w:space="0" w:color="auto"/>
      </w:divBdr>
    </w:div>
    <w:div w:id="1099789258">
      <w:bodyDiv w:val="1"/>
      <w:marLeft w:val="0"/>
      <w:marRight w:val="0"/>
      <w:marTop w:val="0"/>
      <w:marBottom w:val="0"/>
      <w:divBdr>
        <w:top w:val="none" w:sz="0" w:space="0" w:color="auto"/>
        <w:left w:val="none" w:sz="0" w:space="0" w:color="auto"/>
        <w:bottom w:val="none" w:sz="0" w:space="0" w:color="auto"/>
        <w:right w:val="none" w:sz="0" w:space="0" w:color="auto"/>
      </w:divBdr>
    </w:div>
    <w:div w:id="1099910282">
      <w:bodyDiv w:val="1"/>
      <w:marLeft w:val="0"/>
      <w:marRight w:val="0"/>
      <w:marTop w:val="0"/>
      <w:marBottom w:val="0"/>
      <w:divBdr>
        <w:top w:val="none" w:sz="0" w:space="0" w:color="auto"/>
        <w:left w:val="none" w:sz="0" w:space="0" w:color="auto"/>
        <w:bottom w:val="none" w:sz="0" w:space="0" w:color="auto"/>
        <w:right w:val="none" w:sz="0" w:space="0" w:color="auto"/>
      </w:divBdr>
    </w:div>
    <w:div w:id="1100100516">
      <w:bodyDiv w:val="1"/>
      <w:marLeft w:val="0"/>
      <w:marRight w:val="0"/>
      <w:marTop w:val="0"/>
      <w:marBottom w:val="0"/>
      <w:divBdr>
        <w:top w:val="none" w:sz="0" w:space="0" w:color="auto"/>
        <w:left w:val="none" w:sz="0" w:space="0" w:color="auto"/>
        <w:bottom w:val="none" w:sz="0" w:space="0" w:color="auto"/>
        <w:right w:val="none" w:sz="0" w:space="0" w:color="auto"/>
      </w:divBdr>
    </w:div>
    <w:div w:id="1100686329">
      <w:bodyDiv w:val="1"/>
      <w:marLeft w:val="0"/>
      <w:marRight w:val="0"/>
      <w:marTop w:val="0"/>
      <w:marBottom w:val="0"/>
      <w:divBdr>
        <w:top w:val="none" w:sz="0" w:space="0" w:color="auto"/>
        <w:left w:val="none" w:sz="0" w:space="0" w:color="auto"/>
        <w:bottom w:val="none" w:sz="0" w:space="0" w:color="auto"/>
        <w:right w:val="none" w:sz="0" w:space="0" w:color="auto"/>
      </w:divBdr>
    </w:div>
    <w:div w:id="1100754827">
      <w:bodyDiv w:val="1"/>
      <w:marLeft w:val="0"/>
      <w:marRight w:val="0"/>
      <w:marTop w:val="0"/>
      <w:marBottom w:val="0"/>
      <w:divBdr>
        <w:top w:val="none" w:sz="0" w:space="0" w:color="auto"/>
        <w:left w:val="none" w:sz="0" w:space="0" w:color="auto"/>
        <w:bottom w:val="none" w:sz="0" w:space="0" w:color="auto"/>
        <w:right w:val="none" w:sz="0" w:space="0" w:color="auto"/>
      </w:divBdr>
    </w:div>
    <w:div w:id="1101145761">
      <w:bodyDiv w:val="1"/>
      <w:marLeft w:val="0"/>
      <w:marRight w:val="0"/>
      <w:marTop w:val="0"/>
      <w:marBottom w:val="0"/>
      <w:divBdr>
        <w:top w:val="none" w:sz="0" w:space="0" w:color="auto"/>
        <w:left w:val="none" w:sz="0" w:space="0" w:color="auto"/>
        <w:bottom w:val="none" w:sz="0" w:space="0" w:color="auto"/>
        <w:right w:val="none" w:sz="0" w:space="0" w:color="auto"/>
      </w:divBdr>
    </w:div>
    <w:div w:id="1101485833">
      <w:bodyDiv w:val="1"/>
      <w:marLeft w:val="0"/>
      <w:marRight w:val="0"/>
      <w:marTop w:val="0"/>
      <w:marBottom w:val="0"/>
      <w:divBdr>
        <w:top w:val="none" w:sz="0" w:space="0" w:color="auto"/>
        <w:left w:val="none" w:sz="0" w:space="0" w:color="auto"/>
        <w:bottom w:val="none" w:sz="0" w:space="0" w:color="auto"/>
        <w:right w:val="none" w:sz="0" w:space="0" w:color="auto"/>
      </w:divBdr>
    </w:div>
    <w:div w:id="1102803068">
      <w:bodyDiv w:val="1"/>
      <w:marLeft w:val="0"/>
      <w:marRight w:val="0"/>
      <w:marTop w:val="0"/>
      <w:marBottom w:val="0"/>
      <w:divBdr>
        <w:top w:val="none" w:sz="0" w:space="0" w:color="auto"/>
        <w:left w:val="none" w:sz="0" w:space="0" w:color="auto"/>
        <w:bottom w:val="none" w:sz="0" w:space="0" w:color="auto"/>
        <w:right w:val="none" w:sz="0" w:space="0" w:color="auto"/>
      </w:divBdr>
    </w:div>
    <w:div w:id="1103526876">
      <w:bodyDiv w:val="1"/>
      <w:marLeft w:val="0"/>
      <w:marRight w:val="0"/>
      <w:marTop w:val="0"/>
      <w:marBottom w:val="0"/>
      <w:divBdr>
        <w:top w:val="none" w:sz="0" w:space="0" w:color="auto"/>
        <w:left w:val="none" w:sz="0" w:space="0" w:color="auto"/>
        <w:bottom w:val="none" w:sz="0" w:space="0" w:color="auto"/>
        <w:right w:val="none" w:sz="0" w:space="0" w:color="auto"/>
      </w:divBdr>
    </w:div>
    <w:div w:id="1103568658">
      <w:bodyDiv w:val="1"/>
      <w:marLeft w:val="0"/>
      <w:marRight w:val="0"/>
      <w:marTop w:val="0"/>
      <w:marBottom w:val="0"/>
      <w:divBdr>
        <w:top w:val="none" w:sz="0" w:space="0" w:color="auto"/>
        <w:left w:val="none" w:sz="0" w:space="0" w:color="auto"/>
        <w:bottom w:val="none" w:sz="0" w:space="0" w:color="auto"/>
        <w:right w:val="none" w:sz="0" w:space="0" w:color="auto"/>
      </w:divBdr>
    </w:div>
    <w:div w:id="1103652169">
      <w:bodyDiv w:val="1"/>
      <w:marLeft w:val="0"/>
      <w:marRight w:val="0"/>
      <w:marTop w:val="0"/>
      <w:marBottom w:val="0"/>
      <w:divBdr>
        <w:top w:val="none" w:sz="0" w:space="0" w:color="auto"/>
        <w:left w:val="none" w:sz="0" w:space="0" w:color="auto"/>
        <w:bottom w:val="none" w:sz="0" w:space="0" w:color="auto"/>
        <w:right w:val="none" w:sz="0" w:space="0" w:color="auto"/>
      </w:divBdr>
    </w:div>
    <w:div w:id="1105030720">
      <w:bodyDiv w:val="1"/>
      <w:marLeft w:val="0"/>
      <w:marRight w:val="0"/>
      <w:marTop w:val="0"/>
      <w:marBottom w:val="0"/>
      <w:divBdr>
        <w:top w:val="none" w:sz="0" w:space="0" w:color="auto"/>
        <w:left w:val="none" w:sz="0" w:space="0" w:color="auto"/>
        <w:bottom w:val="none" w:sz="0" w:space="0" w:color="auto"/>
        <w:right w:val="none" w:sz="0" w:space="0" w:color="auto"/>
      </w:divBdr>
    </w:div>
    <w:div w:id="1106002619">
      <w:bodyDiv w:val="1"/>
      <w:marLeft w:val="0"/>
      <w:marRight w:val="0"/>
      <w:marTop w:val="0"/>
      <w:marBottom w:val="0"/>
      <w:divBdr>
        <w:top w:val="none" w:sz="0" w:space="0" w:color="auto"/>
        <w:left w:val="none" w:sz="0" w:space="0" w:color="auto"/>
        <w:bottom w:val="none" w:sz="0" w:space="0" w:color="auto"/>
        <w:right w:val="none" w:sz="0" w:space="0" w:color="auto"/>
      </w:divBdr>
    </w:div>
    <w:div w:id="1106119278">
      <w:bodyDiv w:val="1"/>
      <w:marLeft w:val="0"/>
      <w:marRight w:val="0"/>
      <w:marTop w:val="0"/>
      <w:marBottom w:val="0"/>
      <w:divBdr>
        <w:top w:val="none" w:sz="0" w:space="0" w:color="auto"/>
        <w:left w:val="none" w:sz="0" w:space="0" w:color="auto"/>
        <w:bottom w:val="none" w:sz="0" w:space="0" w:color="auto"/>
        <w:right w:val="none" w:sz="0" w:space="0" w:color="auto"/>
      </w:divBdr>
    </w:div>
    <w:div w:id="1107962544">
      <w:bodyDiv w:val="1"/>
      <w:marLeft w:val="0"/>
      <w:marRight w:val="0"/>
      <w:marTop w:val="0"/>
      <w:marBottom w:val="0"/>
      <w:divBdr>
        <w:top w:val="none" w:sz="0" w:space="0" w:color="auto"/>
        <w:left w:val="none" w:sz="0" w:space="0" w:color="auto"/>
        <w:bottom w:val="none" w:sz="0" w:space="0" w:color="auto"/>
        <w:right w:val="none" w:sz="0" w:space="0" w:color="auto"/>
      </w:divBdr>
    </w:div>
    <w:div w:id="1108037493">
      <w:bodyDiv w:val="1"/>
      <w:marLeft w:val="0"/>
      <w:marRight w:val="0"/>
      <w:marTop w:val="0"/>
      <w:marBottom w:val="0"/>
      <w:divBdr>
        <w:top w:val="none" w:sz="0" w:space="0" w:color="auto"/>
        <w:left w:val="none" w:sz="0" w:space="0" w:color="auto"/>
        <w:bottom w:val="none" w:sz="0" w:space="0" w:color="auto"/>
        <w:right w:val="none" w:sz="0" w:space="0" w:color="auto"/>
      </w:divBdr>
    </w:div>
    <w:div w:id="1108159279">
      <w:bodyDiv w:val="1"/>
      <w:marLeft w:val="0"/>
      <w:marRight w:val="0"/>
      <w:marTop w:val="0"/>
      <w:marBottom w:val="0"/>
      <w:divBdr>
        <w:top w:val="none" w:sz="0" w:space="0" w:color="auto"/>
        <w:left w:val="none" w:sz="0" w:space="0" w:color="auto"/>
        <w:bottom w:val="none" w:sz="0" w:space="0" w:color="auto"/>
        <w:right w:val="none" w:sz="0" w:space="0" w:color="auto"/>
      </w:divBdr>
    </w:div>
    <w:div w:id="1109082103">
      <w:bodyDiv w:val="1"/>
      <w:marLeft w:val="0"/>
      <w:marRight w:val="0"/>
      <w:marTop w:val="0"/>
      <w:marBottom w:val="0"/>
      <w:divBdr>
        <w:top w:val="none" w:sz="0" w:space="0" w:color="auto"/>
        <w:left w:val="none" w:sz="0" w:space="0" w:color="auto"/>
        <w:bottom w:val="none" w:sz="0" w:space="0" w:color="auto"/>
        <w:right w:val="none" w:sz="0" w:space="0" w:color="auto"/>
      </w:divBdr>
    </w:div>
    <w:div w:id="1109619521">
      <w:bodyDiv w:val="1"/>
      <w:marLeft w:val="0"/>
      <w:marRight w:val="0"/>
      <w:marTop w:val="0"/>
      <w:marBottom w:val="0"/>
      <w:divBdr>
        <w:top w:val="none" w:sz="0" w:space="0" w:color="auto"/>
        <w:left w:val="none" w:sz="0" w:space="0" w:color="auto"/>
        <w:bottom w:val="none" w:sz="0" w:space="0" w:color="auto"/>
        <w:right w:val="none" w:sz="0" w:space="0" w:color="auto"/>
      </w:divBdr>
    </w:div>
    <w:div w:id="1109862179">
      <w:bodyDiv w:val="1"/>
      <w:marLeft w:val="0"/>
      <w:marRight w:val="0"/>
      <w:marTop w:val="0"/>
      <w:marBottom w:val="0"/>
      <w:divBdr>
        <w:top w:val="none" w:sz="0" w:space="0" w:color="auto"/>
        <w:left w:val="none" w:sz="0" w:space="0" w:color="auto"/>
        <w:bottom w:val="none" w:sz="0" w:space="0" w:color="auto"/>
        <w:right w:val="none" w:sz="0" w:space="0" w:color="auto"/>
      </w:divBdr>
    </w:div>
    <w:div w:id="1110321532">
      <w:bodyDiv w:val="1"/>
      <w:marLeft w:val="0"/>
      <w:marRight w:val="0"/>
      <w:marTop w:val="0"/>
      <w:marBottom w:val="0"/>
      <w:divBdr>
        <w:top w:val="none" w:sz="0" w:space="0" w:color="auto"/>
        <w:left w:val="none" w:sz="0" w:space="0" w:color="auto"/>
        <w:bottom w:val="none" w:sz="0" w:space="0" w:color="auto"/>
        <w:right w:val="none" w:sz="0" w:space="0" w:color="auto"/>
      </w:divBdr>
    </w:div>
    <w:div w:id="1110586781">
      <w:bodyDiv w:val="1"/>
      <w:marLeft w:val="0"/>
      <w:marRight w:val="0"/>
      <w:marTop w:val="0"/>
      <w:marBottom w:val="0"/>
      <w:divBdr>
        <w:top w:val="none" w:sz="0" w:space="0" w:color="auto"/>
        <w:left w:val="none" w:sz="0" w:space="0" w:color="auto"/>
        <w:bottom w:val="none" w:sz="0" w:space="0" w:color="auto"/>
        <w:right w:val="none" w:sz="0" w:space="0" w:color="auto"/>
      </w:divBdr>
    </w:div>
    <w:div w:id="1110977094">
      <w:bodyDiv w:val="1"/>
      <w:marLeft w:val="0"/>
      <w:marRight w:val="0"/>
      <w:marTop w:val="0"/>
      <w:marBottom w:val="0"/>
      <w:divBdr>
        <w:top w:val="none" w:sz="0" w:space="0" w:color="auto"/>
        <w:left w:val="none" w:sz="0" w:space="0" w:color="auto"/>
        <w:bottom w:val="none" w:sz="0" w:space="0" w:color="auto"/>
        <w:right w:val="none" w:sz="0" w:space="0" w:color="auto"/>
      </w:divBdr>
    </w:div>
    <w:div w:id="1112087575">
      <w:bodyDiv w:val="1"/>
      <w:marLeft w:val="0"/>
      <w:marRight w:val="0"/>
      <w:marTop w:val="0"/>
      <w:marBottom w:val="0"/>
      <w:divBdr>
        <w:top w:val="none" w:sz="0" w:space="0" w:color="auto"/>
        <w:left w:val="none" w:sz="0" w:space="0" w:color="auto"/>
        <w:bottom w:val="none" w:sz="0" w:space="0" w:color="auto"/>
        <w:right w:val="none" w:sz="0" w:space="0" w:color="auto"/>
      </w:divBdr>
    </w:div>
    <w:div w:id="1114326531">
      <w:bodyDiv w:val="1"/>
      <w:marLeft w:val="0"/>
      <w:marRight w:val="0"/>
      <w:marTop w:val="0"/>
      <w:marBottom w:val="0"/>
      <w:divBdr>
        <w:top w:val="none" w:sz="0" w:space="0" w:color="auto"/>
        <w:left w:val="none" w:sz="0" w:space="0" w:color="auto"/>
        <w:bottom w:val="none" w:sz="0" w:space="0" w:color="auto"/>
        <w:right w:val="none" w:sz="0" w:space="0" w:color="auto"/>
      </w:divBdr>
    </w:div>
    <w:div w:id="1114790725">
      <w:bodyDiv w:val="1"/>
      <w:marLeft w:val="0"/>
      <w:marRight w:val="0"/>
      <w:marTop w:val="0"/>
      <w:marBottom w:val="0"/>
      <w:divBdr>
        <w:top w:val="none" w:sz="0" w:space="0" w:color="auto"/>
        <w:left w:val="none" w:sz="0" w:space="0" w:color="auto"/>
        <w:bottom w:val="none" w:sz="0" w:space="0" w:color="auto"/>
        <w:right w:val="none" w:sz="0" w:space="0" w:color="auto"/>
      </w:divBdr>
    </w:div>
    <w:div w:id="1117287304">
      <w:bodyDiv w:val="1"/>
      <w:marLeft w:val="0"/>
      <w:marRight w:val="0"/>
      <w:marTop w:val="0"/>
      <w:marBottom w:val="0"/>
      <w:divBdr>
        <w:top w:val="none" w:sz="0" w:space="0" w:color="auto"/>
        <w:left w:val="none" w:sz="0" w:space="0" w:color="auto"/>
        <w:bottom w:val="none" w:sz="0" w:space="0" w:color="auto"/>
        <w:right w:val="none" w:sz="0" w:space="0" w:color="auto"/>
      </w:divBdr>
    </w:div>
    <w:div w:id="1117601294">
      <w:bodyDiv w:val="1"/>
      <w:marLeft w:val="0"/>
      <w:marRight w:val="0"/>
      <w:marTop w:val="0"/>
      <w:marBottom w:val="0"/>
      <w:divBdr>
        <w:top w:val="none" w:sz="0" w:space="0" w:color="auto"/>
        <w:left w:val="none" w:sz="0" w:space="0" w:color="auto"/>
        <w:bottom w:val="none" w:sz="0" w:space="0" w:color="auto"/>
        <w:right w:val="none" w:sz="0" w:space="0" w:color="auto"/>
      </w:divBdr>
    </w:div>
    <w:div w:id="1119682631">
      <w:bodyDiv w:val="1"/>
      <w:marLeft w:val="0"/>
      <w:marRight w:val="0"/>
      <w:marTop w:val="0"/>
      <w:marBottom w:val="0"/>
      <w:divBdr>
        <w:top w:val="none" w:sz="0" w:space="0" w:color="auto"/>
        <w:left w:val="none" w:sz="0" w:space="0" w:color="auto"/>
        <w:bottom w:val="none" w:sz="0" w:space="0" w:color="auto"/>
        <w:right w:val="none" w:sz="0" w:space="0" w:color="auto"/>
      </w:divBdr>
    </w:div>
    <w:div w:id="1120151456">
      <w:bodyDiv w:val="1"/>
      <w:marLeft w:val="0"/>
      <w:marRight w:val="0"/>
      <w:marTop w:val="0"/>
      <w:marBottom w:val="0"/>
      <w:divBdr>
        <w:top w:val="none" w:sz="0" w:space="0" w:color="auto"/>
        <w:left w:val="none" w:sz="0" w:space="0" w:color="auto"/>
        <w:bottom w:val="none" w:sz="0" w:space="0" w:color="auto"/>
        <w:right w:val="none" w:sz="0" w:space="0" w:color="auto"/>
      </w:divBdr>
    </w:div>
    <w:div w:id="1120414270">
      <w:bodyDiv w:val="1"/>
      <w:marLeft w:val="0"/>
      <w:marRight w:val="0"/>
      <w:marTop w:val="0"/>
      <w:marBottom w:val="0"/>
      <w:divBdr>
        <w:top w:val="none" w:sz="0" w:space="0" w:color="auto"/>
        <w:left w:val="none" w:sz="0" w:space="0" w:color="auto"/>
        <w:bottom w:val="none" w:sz="0" w:space="0" w:color="auto"/>
        <w:right w:val="none" w:sz="0" w:space="0" w:color="auto"/>
      </w:divBdr>
    </w:div>
    <w:div w:id="1120606842">
      <w:bodyDiv w:val="1"/>
      <w:marLeft w:val="0"/>
      <w:marRight w:val="0"/>
      <w:marTop w:val="0"/>
      <w:marBottom w:val="0"/>
      <w:divBdr>
        <w:top w:val="none" w:sz="0" w:space="0" w:color="auto"/>
        <w:left w:val="none" w:sz="0" w:space="0" w:color="auto"/>
        <w:bottom w:val="none" w:sz="0" w:space="0" w:color="auto"/>
        <w:right w:val="none" w:sz="0" w:space="0" w:color="auto"/>
      </w:divBdr>
    </w:div>
    <w:div w:id="1120806901">
      <w:bodyDiv w:val="1"/>
      <w:marLeft w:val="0"/>
      <w:marRight w:val="0"/>
      <w:marTop w:val="0"/>
      <w:marBottom w:val="0"/>
      <w:divBdr>
        <w:top w:val="none" w:sz="0" w:space="0" w:color="auto"/>
        <w:left w:val="none" w:sz="0" w:space="0" w:color="auto"/>
        <w:bottom w:val="none" w:sz="0" w:space="0" w:color="auto"/>
        <w:right w:val="none" w:sz="0" w:space="0" w:color="auto"/>
      </w:divBdr>
    </w:div>
    <w:div w:id="1121412076">
      <w:bodyDiv w:val="1"/>
      <w:marLeft w:val="0"/>
      <w:marRight w:val="0"/>
      <w:marTop w:val="0"/>
      <w:marBottom w:val="0"/>
      <w:divBdr>
        <w:top w:val="none" w:sz="0" w:space="0" w:color="auto"/>
        <w:left w:val="none" w:sz="0" w:space="0" w:color="auto"/>
        <w:bottom w:val="none" w:sz="0" w:space="0" w:color="auto"/>
        <w:right w:val="none" w:sz="0" w:space="0" w:color="auto"/>
      </w:divBdr>
    </w:div>
    <w:div w:id="1122729729">
      <w:bodyDiv w:val="1"/>
      <w:marLeft w:val="0"/>
      <w:marRight w:val="0"/>
      <w:marTop w:val="0"/>
      <w:marBottom w:val="0"/>
      <w:divBdr>
        <w:top w:val="none" w:sz="0" w:space="0" w:color="auto"/>
        <w:left w:val="none" w:sz="0" w:space="0" w:color="auto"/>
        <w:bottom w:val="none" w:sz="0" w:space="0" w:color="auto"/>
        <w:right w:val="none" w:sz="0" w:space="0" w:color="auto"/>
      </w:divBdr>
    </w:div>
    <w:div w:id="1122965093">
      <w:bodyDiv w:val="1"/>
      <w:marLeft w:val="0"/>
      <w:marRight w:val="0"/>
      <w:marTop w:val="0"/>
      <w:marBottom w:val="0"/>
      <w:divBdr>
        <w:top w:val="none" w:sz="0" w:space="0" w:color="auto"/>
        <w:left w:val="none" w:sz="0" w:space="0" w:color="auto"/>
        <w:bottom w:val="none" w:sz="0" w:space="0" w:color="auto"/>
        <w:right w:val="none" w:sz="0" w:space="0" w:color="auto"/>
      </w:divBdr>
    </w:div>
    <w:div w:id="1123427740">
      <w:bodyDiv w:val="1"/>
      <w:marLeft w:val="0"/>
      <w:marRight w:val="0"/>
      <w:marTop w:val="0"/>
      <w:marBottom w:val="0"/>
      <w:divBdr>
        <w:top w:val="none" w:sz="0" w:space="0" w:color="auto"/>
        <w:left w:val="none" w:sz="0" w:space="0" w:color="auto"/>
        <w:bottom w:val="none" w:sz="0" w:space="0" w:color="auto"/>
        <w:right w:val="none" w:sz="0" w:space="0" w:color="auto"/>
      </w:divBdr>
    </w:div>
    <w:div w:id="1123578354">
      <w:bodyDiv w:val="1"/>
      <w:marLeft w:val="0"/>
      <w:marRight w:val="0"/>
      <w:marTop w:val="0"/>
      <w:marBottom w:val="0"/>
      <w:divBdr>
        <w:top w:val="none" w:sz="0" w:space="0" w:color="auto"/>
        <w:left w:val="none" w:sz="0" w:space="0" w:color="auto"/>
        <w:bottom w:val="none" w:sz="0" w:space="0" w:color="auto"/>
        <w:right w:val="none" w:sz="0" w:space="0" w:color="auto"/>
      </w:divBdr>
    </w:div>
    <w:div w:id="1123620986">
      <w:bodyDiv w:val="1"/>
      <w:marLeft w:val="0"/>
      <w:marRight w:val="0"/>
      <w:marTop w:val="0"/>
      <w:marBottom w:val="0"/>
      <w:divBdr>
        <w:top w:val="none" w:sz="0" w:space="0" w:color="auto"/>
        <w:left w:val="none" w:sz="0" w:space="0" w:color="auto"/>
        <w:bottom w:val="none" w:sz="0" w:space="0" w:color="auto"/>
        <w:right w:val="none" w:sz="0" w:space="0" w:color="auto"/>
      </w:divBdr>
    </w:div>
    <w:div w:id="1125001602">
      <w:bodyDiv w:val="1"/>
      <w:marLeft w:val="0"/>
      <w:marRight w:val="0"/>
      <w:marTop w:val="0"/>
      <w:marBottom w:val="0"/>
      <w:divBdr>
        <w:top w:val="none" w:sz="0" w:space="0" w:color="auto"/>
        <w:left w:val="none" w:sz="0" w:space="0" w:color="auto"/>
        <w:bottom w:val="none" w:sz="0" w:space="0" w:color="auto"/>
        <w:right w:val="none" w:sz="0" w:space="0" w:color="auto"/>
      </w:divBdr>
    </w:div>
    <w:div w:id="1125393747">
      <w:bodyDiv w:val="1"/>
      <w:marLeft w:val="0"/>
      <w:marRight w:val="0"/>
      <w:marTop w:val="0"/>
      <w:marBottom w:val="0"/>
      <w:divBdr>
        <w:top w:val="none" w:sz="0" w:space="0" w:color="auto"/>
        <w:left w:val="none" w:sz="0" w:space="0" w:color="auto"/>
        <w:bottom w:val="none" w:sz="0" w:space="0" w:color="auto"/>
        <w:right w:val="none" w:sz="0" w:space="0" w:color="auto"/>
      </w:divBdr>
    </w:div>
    <w:div w:id="1125613507">
      <w:bodyDiv w:val="1"/>
      <w:marLeft w:val="0"/>
      <w:marRight w:val="0"/>
      <w:marTop w:val="0"/>
      <w:marBottom w:val="0"/>
      <w:divBdr>
        <w:top w:val="none" w:sz="0" w:space="0" w:color="auto"/>
        <w:left w:val="none" w:sz="0" w:space="0" w:color="auto"/>
        <w:bottom w:val="none" w:sz="0" w:space="0" w:color="auto"/>
        <w:right w:val="none" w:sz="0" w:space="0" w:color="auto"/>
      </w:divBdr>
    </w:div>
    <w:div w:id="1125655901">
      <w:bodyDiv w:val="1"/>
      <w:marLeft w:val="0"/>
      <w:marRight w:val="0"/>
      <w:marTop w:val="0"/>
      <w:marBottom w:val="0"/>
      <w:divBdr>
        <w:top w:val="none" w:sz="0" w:space="0" w:color="auto"/>
        <w:left w:val="none" w:sz="0" w:space="0" w:color="auto"/>
        <w:bottom w:val="none" w:sz="0" w:space="0" w:color="auto"/>
        <w:right w:val="none" w:sz="0" w:space="0" w:color="auto"/>
      </w:divBdr>
    </w:div>
    <w:div w:id="1125999233">
      <w:bodyDiv w:val="1"/>
      <w:marLeft w:val="0"/>
      <w:marRight w:val="0"/>
      <w:marTop w:val="0"/>
      <w:marBottom w:val="0"/>
      <w:divBdr>
        <w:top w:val="none" w:sz="0" w:space="0" w:color="auto"/>
        <w:left w:val="none" w:sz="0" w:space="0" w:color="auto"/>
        <w:bottom w:val="none" w:sz="0" w:space="0" w:color="auto"/>
        <w:right w:val="none" w:sz="0" w:space="0" w:color="auto"/>
      </w:divBdr>
    </w:div>
    <w:div w:id="1127774891">
      <w:bodyDiv w:val="1"/>
      <w:marLeft w:val="0"/>
      <w:marRight w:val="0"/>
      <w:marTop w:val="0"/>
      <w:marBottom w:val="0"/>
      <w:divBdr>
        <w:top w:val="none" w:sz="0" w:space="0" w:color="auto"/>
        <w:left w:val="none" w:sz="0" w:space="0" w:color="auto"/>
        <w:bottom w:val="none" w:sz="0" w:space="0" w:color="auto"/>
        <w:right w:val="none" w:sz="0" w:space="0" w:color="auto"/>
      </w:divBdr>
    </w:div>
    <w:div w:id="1128550464">
      <w:bodyDiv w:val="1"/>
      <w:marLeft w:val="0"/>
      <w:marRight w:val="0"/>
      <w:marTop w:val="0"/>
      <w:marBottom w:val="0"/>
      <w:divBdr>
        <w:top w:val="none" w:sz="0" w:space="0" w:color="auto"/>
        <w:left w:val="none" w:sz="0" w:space="0" w:color="auto"/>
        <w:bottom w:val="none" w:sz="0" w:space="0" w:color="auto"/>
        <w:right w:val="none" w:sz="0" w:space="0" w:color="auto"/>
      </w:divBdr>
    </w:div>
    <w:div w:id="1128818599">
      <w:bodyDiv w:val="1"/>
      <w:marLeft w:val="0"/>
      <w:marRight w:val="0"/>
      <w:marTop w:val="0"/>
      <w:marBottom w:val="0"/>
      <w:divBdr>
        <w:top w:val="none" w:sz="0" w:space="0" w:color="auto"/>
        <w:left w:val="none" w:sz="0" w:space="0" w:color="auto"/>
        <w:bottom w:val="none" w:sz="0" w:space="0" w:color="auto"/>
        <w:right w:val="none" w:sz="0" w:space="0" w:color="auto"/>
      </w:divBdr>
    </w:div>
    <w:div w:id="1129132661">
      <w:bodyDiv w:val="1"/>
      <w:marLeft w:val="0"/>
      <w:marRight w:val="0"/>
      <w:marTop w:val="0"/>
      <w:marBottom w:val="0"/>
      <w:divBdr>
        <w:top w:val="none" w:sz="0" w:space="0" w:color="auto"/>
        <w:left w:val="none" w:sz="0" w:space="0" w:color="auto"/>
        <w:bottom w:val="none" w:sz="0" w:space="0" w:color="auto"/>
        <w:right w:val="none" w:sz="0" w:space="0" w:color="auto"/>
      </w:divBdr>
    </w:div>
    <w:div w:id="1129593759">
      <w:bodyDiv w:val="1"/>
      <w:marLeft w:val="0"/>
      <w:marRight w:val="0"/>
      <w:marTop w:val="0"/>
      <w:marBottom w:val="0"/>
      <w:divBdr>
        <w:top w:val="none" w:sz="0" w:space="0" w:color="auto"/>
        <w:left w:val="none" w:sz="0" w:space="0" w:color="auto"/>
        <w:bottom w:val="none" w:sz="0" w:space="0" w:color="auto"/>
        <w:right w:val="none" w:sz="0" w:space="0" w:color="auto"/>
      </w:divBdr>
    </w:div>
    <w:div w:id="1130169503">
      <w:bodyDiv w:val="1"/>
      <w:marLeft w:val="0"/>
      <w:marRight w:val="0"/>
      <w:marTop w:val="0"/>
      <w:marBottom w:val="0"/>
      <w:divBdr>
        <w:top w:val="none" w:sz="0" w:space="0" w:color="auto"/>
        <w:left w:val="none" w:sz="0" w:space="0" w:color="auto"/>
        <w:bottom w:val="none" w:sz="0" w:space="0" w:color="auto"/>
        <w:right w:val="none" w:sz="0" w:space="0" w:color="auto"/>
      </w:divBdr>
    </w:div>
    <w:div w:id="1131095711">
      <w:bodyDiv w:val="1"/>
      <w:marLeft w:val="0"/>
      <w:marRight w:val="0"/>
      <w:marTop w:val="0"/>
      <w:marBottom w:val="0"/>
      <w:divBdr>
        <w:top w:val="none" w:sz="0" w:space="0" w:color="auto"/>
        <w:left w:val="none" w:sz="0" w:space="0" w:color="auto"/>
        <w:bottom w:val="none" w:sz="0" w:space="0" w:color="auto"/>
        <w:right w:val="none" w:sz="0" w:space="0" w:color="auto"/>
      </w:divBdr>
    </w:div>
    <w:div w:id="1131096108">
      <w:bodyDiv w:val="1"/>
      <w:marLeft w:val="0"/>
      <w:marRight w:val="0"/>
      <w:marTop w:val="0"/>
      <w:marBottom w:val="0"/>
      <w:divBdr>
        <w:top w:val="none" w:sz="0" w:space="0" w:color="auto"/>
        <w:left w:val="none" w:sz="0" w:space="0" w:color="auto"/>
        <w:bottom w:val="none" w:sz="0" w:space="0" w:color="auto"/>
        <w:right w:val="none" w:sz="0" w:space="0" w:color="auto"/>
      </w:divBdr>
    </w:div>
    <w:div w:id="1131436060">
      <w:bodyDiv w:val="1"/>
      <w:marLeft w:val="0"/>
      <w:marRight w:val="0"/>
      <w:marTop w:val="0"/>
      <w:marBottom w:val="0"/>
      <w:divBdr>
        <w:top w:val="none" w:sz="0" w:space="0" w:color="auto"/>
        <w:left w:val="none" w:sz="0" w:space="0" w:color="auto"/>
        <w:bottom w:val="none" w:sz="0" w:space="0" w:color="auto"/>
        <w:right w:val="none" w:sz="0" w:space="0" w:color="auto"/>
      </w:divBdr>
    </w:div>
    <w:div w:id="1132409870">
      <w:bodyDiv w:val="1"/>
      <w:marLeft w:val="0"/>
      <w:marRight w:val="0"/>
      <w:marTop w:val="0"/>
      <w:marBottom w:val="0"/>
      <w:divBdr>
        <w:top w:val="none" w:sz="0" w:space="0" w:color="auto"/>
        <w:left w:val="none" w:sz="0" w:space="0" w:color="auto"/>
        <w:bottom w:val="none" w:sz="0" w:space="0" w:color="auto"/>
        <w:right w:val="none" w:sz="0" w:space="0" w:color="auto"/>
      </w:divBdr>
    </w:div>
    <w:div w:id="1132476528">
      <w:bodyDiv w:val="1"/>
      <w:marLeft w:val="0"/>
      <w:marRight w:val="0"/>
      <w:marTop w:val="0"/>
      <w:marBottom w:val="0"/>
      <w:divBdr>
        <w:top w:val="none" w:sz="0" w:space="0" w:color="auto"/>
        <w:left w:val="none" w:sz="0" w:space="0" w:color="auto"/>
        <w:bottom w:val="none" w:sz="0" w:space="0" w:color="auto"/>
        <w:right w:val="none" w:sz="0" w:space="0" w:color="auto"/>
      </w:divBdr>
    </w:div>
    <w:div w:id="1134102162">
      <w:bodyDiv w:val="1"/>
      <w:marLeft w:val="0"/>
      <w:marRight w:val="0"/>
      <w:marTop w:val="0"/>
      <w:marBottom w:val="0"/>
      <w:divBdr>
        <w:top w:val="none" w:sz="0" w:space="0" w:color="auto"/>
        <w:left w:val="none" w:sz="0" w:space="0" w:color="auto"/>
        <w:bottom w:val="none" w:sz="0" w:space="0" w:color="auto"/>
        <w:right w:val="none" w:sz="0" w:space="0" w:color="auto"/>
      </w:divBdr>
    </w:div>
    <w:div w:id="1134298836">
      <w:bodyDiv w:val="1"/>
      <w:marLeft w:val="0"/>
      <w:marRight w:val="0"/>
      <w:marTop w:val="0"/>
      <w:marBottom w:val="0"/>
      <w:divBdr>
        <w:top w:val="none" w:sz="0" w:space="0" w:color="auto"/>
        <w:left w:val="none" w:sz="0" w:space="0" w:color="auto"/>
        <w:bottom w:val="none" w:sz="0" w:space="0" w:color="auto"/>
        <w:right w:val="none" w:sz="0" w:space="0" w:color="auto"/>
      </w:divBdr>
    </w:div>
    <w:div w:id="1134568621">
      <w:bodyDiv w:val="1"/>
      <w:marLeft w:val="0"/>
      <w:marRight w:val="0"/>
      <w:marTop w:val="0"/>
      <w:marBottom w:val="0"/>
      <w:divBdr>
        <w:top w:val="none" w:sz="0" w:space="0" w:color="auto"/>
        <w:left w:val="none" w:sz="0" w:space="0" w:color="auto"/>
        <w:bottom w:val="none" w:sz="0" w:space="0" w:color="auto"/>
        <w:right w:val="none" w:sz="0" w:space="0" w:color="auto"/>
      </w:divBdr>
    </w:div>
    <w:div w:id="1134910231">
      <w:bodyDiv w:val="1"/>
      <w:marLeft w:val="0"/>
      <w:marRight w:val="0"/>
      <w:marTop w:val="0"/>
      <w:marBottom w:val="0"/>
      <w:divBdr>
        <w:top w:val="none" w:sz="0" w:space="0" w:color="auto"/>
        <w:left w:val="none" w:sz="0" w:space="0" w:color="auto"/>
        <w:bottom w:val="none" w:sz="0" w:space="0" w:color="auto"/>
        <w:right w:val="none" w:sz="0" w:space="0" w:color="auto"/>
      </w:divBdr>
    </w:div>
    <w:div w:id="1135178599">
      <w:bodyDiv w:val="1"/>
      <w:marLeft w:val="0"/>
      <w:marRight w:val="0"/>
      <w:marTop w:val="0"/>
      <w:marBottom w:val="0"/>
      <w:divBdr>
        <w:top w:val="none" w:sz="0" w:space="0" w:color="auto"/>
        <w:left w:val="none" w:sz="0" w:space="0" w:color="auto"/>
        <w:bottom w:val="none" w:sz="0" w:space="0" w:color="auto"/>
        <w:right w:val="none" w:sz="0" w:space="0" w:color="auto"/>
      </w:divBdr>
    </w:div>
    <w:div w:id="1136023834">
      <w:bodyDiv w:val="1"/>
      <w:marLeft w:val="0"/>
      <w:marRight w:val="0"/>
      <w:marTop w:val="0"/>
      <w:marBottom w:val="0"/>
      <w:divBdr>
        <w:top w:val="none" w:sz="0" w:space="0" w:color="auto"/>
        <w:left w:val="none" w:sz="0" w:space="0" w:color="auto"/>
        <w:bottom w:val="none" w:sz="0" w:space="0" w:color="auto"/>
        <w:right w:val="none" w:sz="0" w:space="0" w:color="auto"/>
      </w:divBdr>
    </w:div>
    <w:div w:id="1136096274">
      <w:bodyDiv w:val="1"/>
      <w:marLeft w:val="0"/>
      <w:marRight w:val="0"/>
      <w:marTop w:val="0"/>
      <w:marBottom w:val="0"/>
      <w:divBdr>
        <w:top w:val="none" w:sz="0" w:space="0" w:color="auto"/>
        <w:left w:val="none" w:sz="0" w:space="0" w:color="auto"/>
        <w:bottom w:val="none" w:sz="0" w:space="0" w:color="auto"/>
        <w:right w:val="none" w:sz="0" w:space="0" w:color="auto"/>
      </w:divBdr>
    </w:div>
    <w:div w:id="1136265663">
      <w:bodyDiv w:val="1"/>
      <w:marLeft w:val="0"/>
      <w:marRight w:val="0"/>
      <w:marTop w:val="0"/>
      <w:marBottom w:val="0"/>
      <w:divBdr>
        <w:top w:val="none" w:sz="0" w:space="0" w:color="auto"/>
        <w:left w:val="none" w:sz="0" w:space="0" w:color="auto"/>
        <w:bottom w:val="none" w:sz="0" w:space="0" w:color="auto"/>
        <w:right w:val="none" w:sz="0" w:space="0" w:color="auto"/>
      </w:divBdr>
    </w:div>
    <w:div w:id="1136532413">
      <w:bodyDiv w:val="1"/>
      <w:marLeft w:val="0"/>
      <w:marRight w:val="0"/>
      <w:marTop w:val="0"/>
      <w:marBottom w:val="0"/>
      <w:divBdr>
        <w:top w:val="none" w:sz="0" w:space="0" w:color="auto"/>
        <w:left w:val="none" w:sz="0" w:space="0" w:color="auto"/>
        <w:bottom w:val="none" w:sz="0" w:space="0" w:color="auto"/>
        <w:right w:val="none" w:sz="0" w:space="0" w:color="auto"/>
      </w:divBdr>
    </w:div>
    <w:div w:id="1137183645">
      <w:bodyDiv w:val="1"/>
      <w:marLeft w:val="0"/>
      <w:marRight w:val="0"/>
      <w:marTop w:val="0"/>
      <w:marBottom w:val="0"/>
      <w:divBdr>
        <w:top w:val="none" w:sz="0" w:space="0" w:color="auto"/>
        <w:left w:val="none" w:sz="0" w:space="0" w:color="auto"/>
        <w:bottom w:val="none" w:sz="0" w:space="0" w:color="auto"/>
        <w:right w:val="none" w:sz="0" w:space="0" w:color="auto"/>
      </w:divBdr>
    </w:div>
    <w:div w:id="1138062792">
      <w:bodyDiv w:val="1"/>
      <w:marLeft w:val="0"/>
      <w:marRight w:val="0"/>
      <w:marTop w:val="0"/>
      <w:marBottom w:val="0"/>
      <w:divBdr>
        <w:top w:val="none" w:sz="0" w:space="0" w:color="auto"/>
        <w:left w:val="none" w:sz="0" w:space="0" w:color="auto"/>
        <w:bottom w:val="none" w:sz="0" w:space="0" w:color="auto"/>
        <w:right w:val="none" w:sz="0" w:space="0" w:color="auto"/>
      </w:divBdr>
    </w:div>
    <w:div w:id="1139151504">
      <w:bodyDiv w:val="1"/>
      <w:marLeft w:val="0"/>
      <w:marRight w:val="0"/>
      <w:marTop w:val="0"/>
      <w:marBottom w:val="0"/>
      <w:divBdr>
        <w:top w:val="none" w:sz="0" w:space="0" w:color="auto"/>
        <w:left w:val="none" w:sz="0" w:space="0" w:color="auto"/>
        <w:bottom w:val="none" w:sz="0" w:space="0" w:color="auto"/>
        <w:right w:val="none" w:sz="0" w:space="0" w:color="auto"/>
      </w:divBdr>
    </w:div>
    <w:div w:id="1139306314">
      <w:bodyDiv w:val="1"/>
      <w:marLeft w:val="0"/>
      <w:marRight w:val="0"/>
      <w:marTop w:val="0"/>
      <w:marBottom w:val="0"/>
      <w:divBdr>
        <w:top w:val="none" w:sz="0" w:space="0" w:color="auto"/>
        <w:left w:val="none" w:sz="0" w:space="0" w:color="auto"/>
        <w:bottom w:val="none" w:sz="0" w:space="0" w:color="auto"/>
        <w:right w:val="none" w:sz="0" w:space="0" w:color="auto"/>
      </w:divBdr>
    </w:div>
    <w:div w:id="1139570285">
      <w:bodyDiv w:val="1"/>
      <w:marLeft w:val="0"/>
      <w:marRight w:val="0"/>
      <w:marTop w:val="0"/>
      <w:marBottom w:val="0"/>
      <w:divBdr>
        <w:top w:val="none" w:sz="0" w:space="0" w:color="auto"/>
        <w:left w:val="none" w:sz="0" w:space="0" w:color="auto"/>
        <w:bottom w:val="none" w:sz="0" w:space="0" w:color="auto"/>
        <w:right w:val="none" w:sz="0" w:space="0" w:color="auto"/>
      </w:divBdr>
    </w:div>
    <w:div w:id="1139760975">
      <w:bodyDiv w:val="1"/>
      <w:marLeft w:val="0"/>
      <w:marRight w:val="0"/>
      <w:marTop w:val="0"/>
      <w:marBottom w:val="0"/>
      <w:divBdr>
        <w:top w:val="none" w:sz="0" w:space="0" w:color="auto"/>
        <w:left w:val="none" w:sz="0" w:space="0" w:color="auto"/>
        <w:bottom w:val="none" w:sz="0" w:space="0" w:color="auto"/>
        <w:right w:val="none" w:sz="0" w:space="0" w:color="auto"/>
      </w:divBdr>
    </w:div>
    <w:div w:id="1139807570">
      <w:bodyDiv w:val="1"/>
      <w:marLeft w:val="0"/>
      <w:marRight w:val="0"/>
      <w:marTop w:val="0"/>
      <w:marBottom w:val="0"/>
      <w:divBdr>
        <w:top w:val="none" w:sz="0" w:space="0" w:color="auto"/>
        <w:left w:val="none" w:sz="0" w:space="0" w:color="auto"/>
        <w:bottom w:val="none" w:sz="0" w:space="0" w:color="auto"/>
        <w:right w:val="none" w:sz="0" w:space="0" w:color="auto"/>
      </w:divBdr>
    </w:div>
    <w:div w:id="1139954459">
      <w:bodyDiv w:val="1"/>
      <w:marLeft w:val="0"/>
      <w:marRight w:val="0"/>
      <w:marTop w:val="0"/>
      <w:marBottom w:val="0"/>
      <w:divBdr>
        <w:top w:val="none" w:sz="0" w:space="0" w:color="auto"/>
        <w:left w:val="none" w:sz="0" w:space="0" w:color="auto"/>
        <w:bottom w:val="none" w:sz="0" w:space="0" w:color="auto"/>
        <w:right w:val="none" w:sz="0" w:space="0" w:color="auto"/>
      </w:divBdr>
    </w:div>
    <w:div w:id="1140264834">
      <w:bodyDiv w:val="1"/>
      <w:marLeft w:val="0"/>
      <w:marRight w:val="0"/>
      <w:marTop w:val="0"/>
      <w:marBottom w:val="0"/>
      <w:divBdr>
        <w:top w:val="none" w:sz="0" w:space="0" w:color="auto"/>
        <w:left w:val="none" w:sz="0" w:space="0" w:color="auto"/>
        <w:bottom w:val="none" w:sz="0" w:space="0" w:color="auto"/>
        <w:right w:val="none" w:sz="0" w:space="0" w:color="auto"/>
      </w:divBdr>
    </w:div>
    <w:div w:id="1140611863">
      <w:bodyDiv w:val="1"/>
      <w:marLeft w:val="0"/>
      <w:marRight w:val="0"/>
      <w:marTop w:val="0"/>
      <w:marBottom w:val="0"/>
      <w:divBdr>
        <w:top w:val="none" w:sz="0" w:space="0" w:color="auto"/>
        <w:left w:val="none" w:sz="0" w:space="0" w:color="auto"/>
        <w:bottom w:val="none" w:sz="0" w:space="0" w:color="auto"/>
        <w:right w:val="none" w:sz="0" w:space="0" w:color="auto"/>
      </w:divBdr>
    </w:div>
    <w:div w:id="1142305364">
      <w:bodyDiv w:val="1"/>
      <w:marLeft w:val="0"/>
      <w:marRight w:val="0"/>
      <w:marTop w:val="0"/>
      <w:marBottom w:val="0"/>
      <w:divBdr>
        <w:top w:val="none" w:sz="0" w:space="0" w:color="auto"/>
        <w:left w:val="none" w:sz="0" w:space="0" w:color="auto"/>
        <w:bottom w:val="none" w:sz="0" w:space="0" w:color="auto"/>
        <w:right w:val="none" w:sz="0" w:space="0" w:color="auto"/>
      </w:divBdr>
    </w:div>
    <w:div w:id="1142313207">
      <w:bodyDiv w:val="1"/>
      <w:marLeft w:val="0"/>
      <w:marRight w:val="0"/>
      <w:marTop w:val="0"/>
      <w:marBottom w:val="0"/>
      <w:divBdr>
        <w:top w:val="none" w:sz="0" w:space="0" w:color="auto"/>
        <w:left w:val="none" w:sz="0" w:space="0" w:color="auto"/>
        <w:bottom w:val="none" w:sz="0" w:space="0" w:color="auto"/>
        <w:right w:val="none" w:sz="0" w:space="0" w:color="auto"/>
      </w:divBdr>
    </w:div>
    <w:div w:id="1142962633">
      <w:bodyDiv w:val="1"/>
      <w:marLeft w:val="0"/>
      <w:marRight w:val="0"/>
      <w:marTop w:val="0"/>
      <w:marBottom w:val="0"/>
      <w:divBdr>
        <w:top w:val="none" w:sz="0" w:space="0" w:color="auto"/>
        <w:left w:val="none" w:sz="0" w:space="0" w:color="auto"/>
        <w:bottom w:val="none" w:sz="0" w:space="0" w:color="auto"/>
        <w:right w:val="none" w:sz="0" w:space="0" w:color="auto"/>
      </w:divBdr>
    </w:div>
    <w:div w:id="1143158317">
      <w:bodyDiv w:val="1"/>
      <w:marLeft w:val="0"/>
      <w:marRight w:val="0"/>
      <w:marTop w:val="0"/>
      <w:marBottom w:val="0"/>
      <w:divBdr>
        <w:top w:val="none" w:sz="0" w:space="0" w:color="auto"/>
        <w:left w:val="none" w:sz="0" w:space="0" w:color="auto"/>
        <w:bottom w:val="none" w:sz="0" w:space="0" w:color="auto"/>
        <w:right w:val="none" w:sz="0" w:space="0" w:color="auto"/>
      </w:divBdr>
    </w:div>
    <w:div w:id="1144395055">
      <w:bodyDiv w:val="1"/>
      <w:marLeft w:val="0"/>
      <w:marRight w:val="0"/>
      <w:marTop w:val="0"/>
      <w:marBottom w:val="0"/>
      <w:divBdr>
        <w:top w:val="none" w:sz="0" w:space="0" w:color="auto"/>
        <w:left w:val="none" w:sz="0" w:space="0" w:color="auto"/>
        <w:bottom w:val="none" w:sz="0" w:space="0" w:color="auto"/>
        <w:right w:val="none" w:sz="0" w:space="0" w:color="auto"/>
      </w:divBdr>
    </w:div>
    <w:div w:id="1144587385">
      <w:bodyDiv w:val="1"/>
      <w:marLeft w:val="0"/>
      <w:marRight w:val="0"/>
      <w:marTop w:val="0"/>
      <w:marBottom w:val="0"/>
      <w:divBdr>
        <w:top w:val="none" w:sz="0" w:space="0" w:color="auto"/>
        <w:left w:val="none" w:sz="0" w:space="0" w:color="auto"/>
        <w:bottom w:val="none" w:sz="0" w:space="0" w:color="auto"/>
        <w:right w:val="none" w:sz="0" w:space="0" w:color="auto"/>
      </w:divBdr>
    </w:div>
    <w:div w:id="1144811302">
      <w:bodyDiv w:val="1"/>
      <w:marLeft w:val="0"/>
      <w:marRight w:val="0"/>
      <w:marTop w:val="0"/>
      <w:marBottom w:val="0"/>
      <w:divBdr>
        <w:top w:val="none" w:sz="0" w:space="0" w:color="auto"/>
        <w:left w:val="none" w:sz="0" w:space="0" w:color="auto"/>
        <w:bottom w:val="none" w:sz="0" w:space="0" w:color="auto"/>
        <w:right w:val="none" w:sz="0" w:space="0" w:color="auto"/>
      </w:divBdr>
    </w:div>
    <w:div w:id="1144929963">
      <w:bodyDiv w:val="1"/>
      <w:marLeft w:val="0"/>
      <w:marRight w:val="0"/>
      <w:marTop w:val="0"/>
      <w:marBottom w:val="0"/>
      <w:divBdr>
        <w:top w:val="none" w:sz="0" w:space="0" w:color="auto"/>
        <w:left w:val="none" w:sz="0" w:space="0" w:color="auto"/>
        <w:bottom w:val="none" w:sz="0" w:space="0" w:color="auto"/>
        <w:right w:val="none" w:sz="0" w:space="0" w:color="auto"/>
      </w:divBdr>
    </w:div>
    <w:div w:id="1145124247">
      <w:bodyDiv w:val="1"/>
      <w:marLeft w:val="0"/>
      <w:marRight w:val="0"/>
      <w:marTop w:val="0"/>
      <w:marBottom w:val="0"/>
      <w:divBdr>
        <w:top w:val="none" w:sz="0" w:space="0" w:color="auto"/>
        <w:left w:val="none" w:sz="0" w:space="0" w:color="auto"/>
        <w:bottom w:val="none" w:sz="0" w:space="0" w:color="auto"/>
        <w:right w:val="none" w:sz="0" w:space="0" w:color="auto"/>
      </w:divBdr>
    </w:div>
    <w:div w:id="1145312576">
      <w:bodyDiv w:val="1"/>
      <w:marLeft w:val="0"/>
      <w:marRight w:val="0"/>
      <w:marTop w:val="0"/>
      <w:marBottom w:val="0"/>
      <w:divBdr>
        <w:top w:val="none" w:sz="0" w:space="0" w:color="auto"/>
        <w:left w:val="none" w:sz="0" w:space="0" w:color="auto"/>
        <w:bottom w:val="none" w:sz="0" w:space="0" w:color="auto"/>
        <w:right w:val="none" w:sz="0" w:space="0" w:color="auto"/>
      </w:divBdr>
    </w:div>
    <w:div w:id="1145589118">
      <w:bodyDiv w:val="1"/>
      <w:marLeft w:val="0"/>
      <w:marRight w:val="0"/>
      <w:marTop w:val="0"/>
      <w:marBottom w:val="0"/>
      <w:divBdr>
        <w:top w:val="none" w:sz="0" w:space="0" w:color="auto"/>
        <w:left w:val="none" w:sz="0" w:space="0" w:color="auto"/>
        <w:bottom w:val="none" w:sz="0" w:space="0" w:color="auto"/>
        <w:right w:val="none" w:sz="0" w:space="0" w:color="auto"/>
      </w:divBdr>
    </w:div>
    <w:div w:id="1145779438">
      <w:bodyDiv w:val="1"/>
      <w:marLeft w:val="0"/>
      <w:marRight w:val="0"/>
      <w:marTop w:val="0"/>
      <w:marBottom w:val="0"/>
      <w:divBdr>
        <w:top w:val="none" w:sz="0" w:space="0" w:color="auto"/>
        <w:left w:val="none" w:sz="0" w:space="0" w:color="auto"/>
        <w:bottom w:val="none" w:sz="0" w:space="0" w:color="auto"/>
        <w:right w:val="none" w:sz="0" w:space="0" w:color="auto"/>
      </w:divBdr>
    </w:div>
    <w:div w:id="1145970563">
      <w:bodyDiv w:val="1"/>
      <w:marLeft w:val="0"/>
      <w:marRight w:val="0"/>
      <w:marTop w:val="0"/>
      <w:marBottom w:val="0"/>
      <w:divBdr>
        <w:top w:val="none" w:sz="0" w:space="0" w:color="auto"/>
        <w:left w:val="none" w:sz="0" w:space="0" w:color="auto"/>
        <w:bottom w:val="none" w:sz="0" w:space="0" w:color="auto"/>
        <w:right w:val="none" w:sz="0" w:space="0" w:color="auto"/>
      </w:divBdr>
    </w:div>
    <w:div w:id="1146043640">
      <w:bodyDiv w:val="1"/>
      <w:marLeft w:val="0"/>
      <w:marRight w:val="0"/>
      <w:marTop w:val="0"/>
      <w:marBottom w:val="0"/>
      <w:divBdr>
        <w:top w:val="none" w:sz="0" w:space="0" w:color="auto"/>
        <w:left w:val="none" w:sz="0" w:space="0" w:color="auto"/>
        <w:bottom w:val="none" w:sz="0" w:space="0" w:color="auto"/>
        <w:right w:val="none" w:sz="0" w:space="0" w:color="auto"/>
      </w:divBdr>
    </w:div>
    <w:div w:id="1147941023">
      <w:bodyDiv w:val="1"/>
      <w:marLeft w:val="0"/>
      <w:marRight w:val="0"/>
      <w:marTop w:val="0"/>
      <w:marBottom w:val="0"/>
      <w:divBdr>
        <w:top w:val="none" w:sz="0" w:space="0" w:color="auto"/>
        <w:left w:val="none" w:sz="0" w:space="0" w:color="auto"/>
        <w:bottom w:val="none" w:sz="0" w:space="0" w:color="auto"/>
        <w:right w:val="none" w:sz="0" w:space="0" w:color="auto"/>
      </w:divBdr>
    </w:div>
    <w:div w:id="1148473135">
      <w:bodyDiv w:val="1"/>
      <w:marLeft w:val="0"/>
      <w:marRight w:val="0"/>
      <w:marTop w:val="0"/>
      <w:marBottom w:val="0"/>
      <w:divBdr>
        <w:top w:val="none" w:sz="0" w:space="0" w:color="auto"/>
        <w:left w:val="none" w:sz="0" w:space="0" w:color="auto"/>
        <w:bottom w:val="none" w:sz="0" w:space="0" w:color="auto"/>
        <w:right w:val="none" w:sz="0" w:space="0" w:color="auto"/>
      </w:divBdr>
    </w:div>
    <w:div w:id="1149008455">
      <w:bodyDiv w:val="1"/>
      <w:marLeft w:val="0"/>
      <w:marRight w:val="0"/>
      <w:marTop w:val="0"/>
      <w:marBottom w:val="0"/>
      <w:divBdr>
        <w:top w:val="none" w:sz="0" w:space="0" w:color="auto"/>
        <w:left w:val="none" w:sz="0" w:space="0" w:color="auto"/>
        <w:bottom w:val="none" w:sz="0" w:space="0" w:color="auto"/>
        <w:right w:val="none" w:sz="0" w:space="0" w:color="auto"/>
      </w:divBdr>
    </w:div>
    <w:div w:id="1150826530">
      <w:bodyDiv w:val="1"/>
      <w:marLeft w:val="0"/>
      <w:marRight w:val="0"/>
      <w:marTop w:val="0"/>
      <w:marBottom w:val="0"/>
      <w:divBdr>
        <w:top w:val="none" w:sz="0" w:space="0" w:color="auto"/>
        <w:left w:val="none" w:sz="0" w:space="0" w:color="auto"/>
        <w:bottom w:val="none" w:sz="0" w:space="0" w:color="auto"/>
        <w:right w:val="none" w:sz="0" w:space="0" w:color="auto"/>
      </w:divBdr>
    </w:div>
    <w:div w:id="1152679359">
      <w:bodyDiv w:val="1"/>
      <w:marLeft w:val="0"/>
      <w:marRight w:val="0"/>
      <w:marTop w:val="0"/>
      <w:marBottom w:val="0"/>
      <w:divBdr>
        <w:top w:val="none" w:sz="0" w:space="0" w:color="auto"/>
        <w:left w:val="none" w:sz="0" w:space="0" w:color="auto"/>
        <w:bottom w:val="none" w:sz="0" w:space="0" w:color="auto"/>
        <w:right w:val="none" w:sz="0" w:space="0" w:color="auto"/>
      </w:divBdr>
    </w:div>
    <w:div w:id="1153253426">
      <w:bodyDiv w:val="1"/>
      <w:marLeft w:val="0"/>
      <w:marRight w:val="0"/>
      <w:marTop w:val="0"/>
      <w:marBottom w:val="0"/>
      <w:divBdr>
        <w:top w:val="none" w:sz="0" w:space="0" w:color="auto"/>
        <w:left w:val="none" w:sz="0" w:space="0" w:color="auto"/>
        <w:bottom w:val="none" w:sz="0" w:space="0" w:color="auto"/>
        <w:right w:val="none" w:sz="0" w:space="0" w:color="auto"/>
      </w:divBdr>
    </w:div>
    <w:div w:id="1154443782">
      <w:bodyDiv w:val="1"/>
      <w:marLeft w:val="0"/>
      <w:marRight w:val="0"/>
      <w:marTop w:val="0"/>
      <w:marBottom w:val="0"/>
      <w:divBdr>
        <w:top w:val="none" w:sz="0" w:space="0" w:color="auto"/>
        <w:left w:val="none" w:sz="0" w:space="0" w:color="auto"/>
        <w:bottom w:val="none" w:sz="0" w:space="0" w:color="auto"/>
        <w:right w:val="none" w:sz="0" w:space="0" w:color="auto"/>
      </w:divBdr>
    </w:div>
    <w:div w:id="1155075055">
      <w:bodyDiv w:val="1"/>
      <w:marLeft w:val="0"/>
      <w:marRight w:val="0"/>
      <w:marTop w:val="0"/>
      <w:marBottom w:val="0"/>
      <w:divBdr>
        <w:top w:val="none" w:sz="0" w:space="0" w:color="auto"/>
        <w:left w:val="none" w:sz="0" w:space="0" w:color="auto"/>
        <w:bottom w:val="none" w:sz="0" w:space="0" w:color="auto"/>
        <w:right w:val="none" w:sz="0" w:space="0" w:color="auto"/>
      </w:divBdr>
    </w:div>
    <w:div w:id="1155334672">
      <w:bodyDiv w:val="1"/>
      <w:marLeft w:val="0"/>
      <w:marRight w:val="0"/>
      <w:marTop w:val="0"/>
      <w:marBottom w:val="0"/>
      <w:divBdr>
        <w:top w:val="none" w:sz="0" w:space="0" w:color="auto"/>
        <w:left w:val="none" w:sz="0" w:space="0" w:color="auto"/>
        <w:bottom w:val="none" w:sz="0" w:space="0" w:color="auto"/>
        <w:right w:val="none" w:sz="0" w:space="0" w:color="auto"/>
      </w:divBdr>
    </w:div>
    <w:div w:id="1155491718">
      <w:bodyDiv w:val="1"/>
      <w:marLeft w:val="0"/>
      <w:marRight w:val="0"/>
      <w:marTop w:val="0"/>
      <w:marBottom w:val="0"/>
      <w:divBdr>
        <w:top w:val="none" w:sz="0" w:space="0" w:color="auto"/>
        <w:left w:val="none" w:sz="0" w:space="0" w:color="auto"/>
        <w:bottom w:val="none" w:sz="0" w:space="0" w:color="auto"/>
        <w:right w:val="none" w:sz="0" w:space="0" w:color="auto"/>
      </w:divBdr>
    </w:div>
    <w:div w:id="1155533053">
      <w:bodyDiv w:val="1"/>
      <w:marLeft w:val="0"/>
      <w:marRight w:val="0"/>
      <w:marTop w:val="0"/>
      <w:marBottom w:val="0"/>
      <w:divBdr>
        <w:top w:val="none" w:sz="0" w:space="0" w:color="auto"/>
        <w:left w:val="none" w:sz="0" w:space="0" w:color="auto"/>
        <w:bottom w:val="none" w:sz="0" w:space="0" w:color="auto"/>
        <w:right w:val="none" w:sz="0" w:space="0" w:color="auto"/>
      </w:divBdr>
    </w:div>
    <w:div w:id="1155684069">
      <w:bodyDiv w:val="1"/>
      <w:marLeft w:val="0"/>
      <w:marRight w:val="0"/>
      <w:marTop w:val="0"/>
      <w:marBottom w:val="0"/>
      <w:divBdr>
        <w:top w:val="none" w:sz="0" w:space="0" w:color="auto"/>
        <w:left w:val="none" w:sz="0" w:space="0" w:color="auto"/>
        <w:bottom w:val="none" w:sz="0" w:space="0" w:color="auto"/>
        <w:right w:val="none" w:sz="0" w:space="0" w:color="auto"/>
      </w:divBdr>
    </w:div>
    <w:div w:id="1156804988">
      <w:bodyDiv w:val="1"/>
      <w:marLeft w:val="0"/>
      <w:marRight w:val="0"/>
      <w:marTop w:val="0"/>
      <w:marBottom w:val="0"/>
      <w:divBdr>
        <w:top w:val="none" w:sz="0" w:space="0" w:color="auto"/>
        <w:left w:val="none" w:sz="0" w:space="0" w:color="auto"/>
        <w:bottom w:val="none" w:sz="0" w:space="0" w:color="auto"/>
        <w:right w:val="none" w:sz="0" w:space="0" w:color="auto"/>
      </w:divBdr>
    </w:div>
    <w:div w:id="1156919637">
      <w:bodyDiv w:val="1"/>
      <w:marLeft w:val="0"/>
      <w:marRight w:val="0"/>
      <w:marTop w:val="0"/>
      <w:marBottom w:val="0"/>
      <w:divBdr>
        <w:top w:val="none" w:sz="0" w:space="0" w:color="auto"/>
        <w:left w:val="none" w:sz="0" w:space="0" w:color="auto"/>
        <w:bottom w:val="none" w:sz="0" w:space="0" w:color="auto"/>
        <w:right w:val="none" w:sz="0" w:space="0" w:color="auto"/>
      </w:divBdr>
    </w:div>
    <w:div w:id="1157651111">
      <w:bodyDiv w:val="1"/>
      <w:marLeft w:val="0"/>
      <w:marRight w:val="0"/>
      <w:marTop w:val="0"/>
      <w:marBottom w:val="0"/>
      <w:divBdr>
        <w:top w:val="none" w:sz="0" w:space="0" w:color="auto"/>
        <w:left w:val="none" w:sz="0" w:space="0" w:color="auto"/>
        <w:bottom w:val="none" w:sz="0" w:space="0" w:color="auto"/>
        <w:right w:val="none" w:sz="0" w:space="0" w:color="auto"/>
      </w:divBdr>
    </w:div>
    <w:div w:id="1157720714">
      <w:bodyDiv w:val="1"/>
      <w:marLeft w:val="0"/>
      <w:marRight w:val="0"/>
      <w:marTop w:val="0"/>
      <w:marBottom w:val="0"/>
      <w:divBdr>
        <w:top w:val="none" w:sz="0" w:space="0" w:color="auto"/>
        <w:left w:val="none" w:sz="0" w:space="0" w:color="auto"/>
        <w:bottom w:val="none" w:sz="0" w:space="0" w:color="auto"/>
        <w:right w:val="none" w:sz="0" w:space="0" w:color="auto"/>
      </w:divBdr>
    </w:div>
    <w:div w:id="1157771652">
      <w:bodyDiv w:val="1"/>
      <w:marLeft w:val="0"/>
      <w:marRight w:val="0"/>
      <w:marTop w:val="0"/>
      <w:marBottom w:val="0"/>
      <w:divBdr>
        <w:top w:val="none" w:sz="0" w:space="0" w:color="auto"/>
        <w:left w:val="none" w:sz="0" w:space="0" w:color="auto"/>
        <w:bottom w:val="none" w:sz="0" w:space="0" w:color="auto"/>
        <w:right w:val="none" w:sz="0" w:space="0" w:color="auto"/>
      </w:divBdr>
    </w:div>
    <w:div w:id="1159611692">
      <w:bodyDiv w:val="1"/>
      <w:marLeft w:val="0"/>
      <w:marRight w:val="0"/>
      <w:marTop w:val="0"/>
      <w:marBottom w:val="0"/>
      <w:divBdr>
        <w:top w:val="none" w:sz="0" w:space="0" w:color="auto"/>
        <w:left w:val="none" w:sz="0" w:space="0" w:color="auto"/>
        <w:bottom w:val="none" w:sz="0" w:space="0" w:color="auto"/>
        <w:right w:val="none" w:sz="0" w:space="0" w:color="auto"/>
      </w:divBdr>
    </w:div>
    <w:div w:id="1160081953">
      <w:bodyDiv w:val="1"/>
      <w:marLeft w:val="0"/>
      <w:marRight w:val="0"/>
      <w:marTop w:val="0"/>
      <w:marBottom w:val="0"/>
      <w:divBdr>
        <w:top w:val="none" w:sz="0" w:space="0" w:color="auto"/>
        <w:left w:val="none" w:sz="0" w:space="0" w:color="auto"/>
        <w:bottom w:val="none" w:sz="0" w:space="0" w:color="auto"/>
        <w:right w:val="none" w:sz="0" w:space="0" w:color="auto"/>
      </w:divBdr>
    </w:div>
    <w:div w:id="1160386174">
      <w:bodyDiv w:val="1"/>
      <w:marLeft w:val="0"/>
      <w:marRight w:val="0"/>
      <w:marTop w:val="0"/>
      <w:marBottom w:val="0"/>
      <w:divBdr>
        <w:top w:val="none" w:sz="0" w:space="0" w:color="auto"/>
        <w:left w:val="none" w:sz="0" w:space="0" w:color="auto"/>
        <w:bottom w:val="none" w:sz="0" w:space="0" w:color="auto"/>
        <w:right w:val="none" w:sz="0" w:space="0" w:color="auto"/>
      </w:divBdr>
    </w:div>
    <w:div w:id="1161653622">
      <w:bodyDiv w:val="1"/>
      <w:marLeft w:val="0"/>
      <w:marRight w:val="0"/>
      <w:marTop w:val="0"/>
      <w:marBottom w:val="0"/>
      <w:divBdr>
        <w:top w:val="none" w:sz="0" w:space="0" w:color="auto"/>
        <w:left w:val="none" w:sz="0" w:space="0" w:color="auto"/>
        <w:bottom w:val="none" w:sz="0" w:space="0" w:color="auto"/>
        <w:right w:val="none" w:sz="0" w:space="0" w:color="auto"/>
      </w:divBdr>
    </w:div>
    <w:div w:id="1161653900">
      <w:bodyDiv w:val="1"/>
      <w:marLeft w:val="0"/>
      <w:marRight w:val="0"/>
      <w:marTop w:val="0"/>
      <w:marBottom w:val="0"/>
      <w:divBdr>
        <w:top w:val="none" w:sz="0" w:space="0" w:color="auto"/>
        <w:left w:val="none" w:sz="0" w:space="0" w:color="auto"/>
        <w:bottom w:val="none" w:sz="0" w:space="0" w:color="auto"/>
        <w:right w:val="none" w:sz="0" w:space="0" w:color="auto"/>
      </w:divBdr>
    </w:div>
    <w:div w:id="1162350061">
      <w:bodyDiv w:val="1"/>
      <w:marLeft w:val="0"/>
      <w:marRight w:val="0"/>
      <w:marTop w:val="0"/>
      <w:marBottom w:val="0"/>
      <w:divBdr>
        <w:top w:val="none" w:sz="0" w:space="0" w:color="auto"/>
        <w:left w:val="none" w:sz="0" w:space="0" w:color="auto"/>
        <w:bottom w:val="none" w:sz="0" w:space="0" w:color="auto"/>
        <w:right w:val="none" w:sz="0" w:space="0" w:color="auto"/>
      </w:divBdr>
    </w:div>
    <w:div w:id="1162350291">
      <w:bodyDiv w:val="1"/>
      <w:marLeft w:val="0"/>
      <w:marRight w:val="0"/>
      <w:marTop w:val="0"/>
      <w:marBottom w:val="0"/>
      <w:divBdr>
        <w:top w:val="none" w:sz="0" w:space="0" w:color="auto"/>
        <w:left w:val="none" w:sz="0" w:space="0" w:color="auto"/>
        <w:bottom w:val="none" w:sz="0" w:space="0" w:color="auto"/>
        <w:right w:val="none" w:sz="0" w:space="0" w:color="auto"/>
      </w:divBdr>
    </w:div>
    <w:div w:id="1162618322">
      <w:bodyDiv w:val="1"/>
      <w:marLeft w:val="0"/>
      <w:marRight w:val="0"/>
      <w:marTop w:val="0"/>
      <w:marBottom w:val="0"/>
      <w:divBdr>
        <w:top w:val="none" w:sz="0" w:space="0" w:color="auto"/>
        <w:left w:val="none" w:sz="0" w:space="0" w:color="auto"/>
        <w:bottom w:val="none" w:sz="0" w:space="0" w:color="auto"/>
        <w:right w:val="none" w:sz="0" w:space="0" w:color="auto"/>
      </w:divBdr>
    </w:div>
    <w:div w:id="1162887003">
      <w:bodyDiv w:val="1"/>
      <w:marLeft w:val="0"/>
      <w:marRight w:val="0"/>
      <w:marTop w:val="0"/>
      <w:marBottom w:val="0"/>
      <w:divBdr>
        <w:top w:val="none" w:sz="0" w:space="0" w:color="auto"/>
        <w:left w:val="none" w:sz="0" w:space="0" w:color="auto"/>
        <w:bottom w:val="none" w:sz="0" w:space="0" w:color="auto"/>
        <w:right w:val="none" w:sz="0" w:space="0" w:color="auto"/>
      </w:divBdr>
    </w:div>
    <w:div w:id="1164079395">
      <w:bodyDiv w:val="1"/>
      <w:marLeft w:val="0"/>
      <w:marRight w:val="0"/>
      <w:marTop w:val="0"/>
      <w:marBottom w:val="0"/>
      <w:divBdr>
        <w:top w:val="none" w:sz="0" w:space="0" w:color="auto"/>
        <w:left w:val="none" w:sz="0" w:space="0" w:color="auto"/>
        <w:bottom w:val="none" w:sz="0" w:space="0" w:color="auto"/>
        <w:right w:val="none" w:sz="0" w:space="0" w:color="auto"/>
      </w:divBdr>
    </w:div>
    <w:div w:id="1164198238">
      <w:bodyDiv w:val="1"/>
      <w:marLeft w:val="0"/>
      <w:marRight w:val="0"/>
      <w:marTop w:val="0"/>
      <w:marBottom w:val="0"/>
      <w:divBdr>
        <w:top w:val="none" w:sz="0" w:space="0" w:color="auto"/>
        <w:left w:val="none" w:sz="0" w:space="0" w:color="auto"/>
        <w:bottom w:val="none" w:sz="0" w:space="0" w:color="auto"/>
        <w:right w:val="none" w:sz="0" w:space="0" w:color="auto"/>
      </w:divBdr>
    </w:div>
    <w:div w:id="1164321978">
      <w:bodyDiv w:val="1"/>
      <w:marLeft w:val="0"/>
      <w:marRight w:val="0"/>
      <w:marTop w:val="0"/>
      <w:marBottom w:val="0"/>
      <w:divBdr>
        <w:top w:val="none" w:sz="0" w:space="0" w:color="auto"/>
        <w:left w:val="none" w:sz="0" w:space="0" w:color="auto"/>
        <w:bottom w:val="none" w:sz="0" w:space="0" w:color="auto"/>
        <w:right w:val="none" w:sz="0" w:space="0" w:color="auto"/>
      </w:divBdr>
    </w:div>
    <w:div w:id="1164471147">
      <w:bodyDiv w:val="1"/>
      <w:marLeft w:val="0"/>
      <w:marRight w:val="0"/>
      <w:marTop w:val="0"/>
      <w:marBottom w:val="0"/>
      <w:divBdr>
        <w:top w:val="none" w:sz="0" w:space="0" w:color="auto"/>
        <w:left w:val="none" w:sz="0" w:space="0" w:color="auto"/>
        <w:bottom w:val="none" w:sz="0" w:space="0" w:color="auto"/>
        <w:right w:val="none" w:sz="0" w:space="0" w:color="auto"/>
      </w:divBdr>
    </w:div>
    <w:div w:id="1166432692">
      <w:bodyDiv w:val="1"/>
      <w:marLeft w:val="0"/>
      <w:marRight w:val="0"/>
      <w:marTop w:val="0"/>
      <w:marBottom w:val="0"/>
      <w:divBdr>
        <w:top w:val="none" w:sz="0" w:space="0" w:color="auto"/>
        <w:left w:val="none" w:sz="0" w:space="0" w:color="auto"/>
        <w:bottom w:val="none" w:sz="0" w:space="0" w:color="auto"/>
        <w:right w:val="none" w:sz="0" w:space="0" w:color="auto"/>
      </w:divBdr>
    </w:div>
    <w:div w:id="1166941698">
      <w:bodyDiv w:val="1"/>
      <w:marLeft w:val="0"/>
      <w:marRight w:val="0"/>
      <w:marTop w:val="0"/>
      <w:marBottom w:val="0"/>
      <w:divBdr>
        <w:top w:val="none" w:sz="0" w:space="0" w:color="auto"/>
        <w:left w:val="none" w:sz="0" w:space="0" w:color="auto"/>
        <w:bottom w:val="none" w:sz="0" w:space="0" w:color="auto"/>
        <w:right w:val="none" w:sz="0" w:space="0" w:color="auto"/>
      </w:divBdr>
    </w:div>
    <w:div w:id="1168252339">
      <w:bodyDiv w:val="1"/>
      <w:marLeft w:val="0"/>
      <w:marRight w:val="0"/>
      <w:marTop w:val="0"/>
      <w:marBottom w:val="0"/>
      <w:divBdr>
        <w:top w:val="none" w:sz="0" w:space="0" w:color="auto"/>
        <w:left w:val="none" w:sz="0" w:space="0" w:color="auto"/>
        <w:bottom w:val="none" w:sz="0" w:space="0" w:color="auto"/>
        <w:right w:val="none" w:sz="0" w:space="0" w:color="auto"/>
      </w:divBdr>
    </w:div>
    <w:div w:id="1168448692">
      <w:bodyDiv w:val="1"/>
      <w:marLeft w:val="0"/>
      <w:marRight w:val="0"/>
      <w:marTop w:val="0"/>
      <w:marBottom w:val="0"/>
      <w:divBdr>
        <w:top w:val="none" w:sz="0" w:space="0" w:color="auto"/>
        <w:left w:val="none" w:sz="0" w:space="0" w:color="auto"/>
        <w:bottom w:val="none" w:sz="0" w:space="0" w:color="auto"/>
        <w:right w:val="none" w:sz="0" w:space="0" w:color="auto"/>
      </w:divBdr>
    </w:div>
    <w:div w:id="1169171194">
      <w:bodyDiv w:val="1"/>
      <w:marLeft w:val="0"/>
      <w:marRight w:val="0"/>
      <w:marTop w:val="0"/>
      <w:marBottom w:val="0"/>
      <w:divBdr>
        <w:top w:val="none" w:sz="0" w:space="0" w:color="auto"/>
        <w:left w:val="none" w:sz="0" w:space="0" w:color="auto"/>
        <w:bottom w:val="none" w:sz="0" w:space="0" w:color="auto"/>
        <w:right w:val="none" w:sz="0" w:space="0" w:color="auto"/>
      </w:divBdr>
    </w:div>
    <w:div w:id="1169832912">
      <w:bodyDiv w:val="1"/>
      <w:marLeft w:val="0"/>
      <w:marRight w:val="0"/>
      <w:marTop w:val="0"/>
      <w:marBottom w:val="0"/>
      <w:divBdr>
        <w:top w:val="none" w:sz="0" w:space="0" w:color="auto"/>
        <w:left w:val="none" w:sz="0" w:space="0" w:color="auto"/>
        <w:bottom w:val="none" w:sz="0" w:space="0" w:color="auto"/>
        <w:right w:val="none" w:sz="0" w:space="0" w:color="auto"/>
      </w:divBdr>
    </w:div>
    <w:div w:id="1170175264">
      <w:bodyDiv w:val="1"/>
      <w:marLeft w:val="0"/>
      <w:marRight w:val="0"/>
      <w:marTop w:val="0"/>
      <w:marBottom w:val="0"/>
      <w:divBdr>
        <w:top w:val="none" w:sz="0" w:space="0" w:color="auto"/>
        <w:left w:val="none" w:sz="0" w:space="0" w:color="auto"/>
        <w:bottom w:val="none" w:sz="0" w:space="0" w:color="auto"/>
        <w:right w:val="none" w:sz="0" w:space="0" w:color="auto"/>
      </w:divBdr>
    </w:div>
    <w:div w:id="1170218963">
      <w:bodyDiv w:val="1"/>
      <w:marLeft w:val="0"/>
      <w:marRight w:val="0"/>
      <w:marTop w:val="0"/>
      <w:marBottom w:val="0"/>
      <w:divBdr>
        <w:top w:val="none" w:sz="0" w:space="0" w:color="auto"/>
        <w:left w:val="none" w:sz="0" w:space="0" w:color="auto"/>
        <w:bottom w:val="none" w:sz="0" w:space="0" w:color="auto"/>
        <w:right w:val="none" w:sz="0" w:space="0" w:color="auto"/>
      </w:divBdr>
    </w:div>
    <w:div w:id="1170369048">
      <w:bodyDiv w:val="1"/>
      <w:marLeft w:val="0"/>
      <w:marRight w:val="0"/>
      <w:marTop w:val="0"/>
      <w:marBottom w:val="0"/>
      <w:divBdr>
        <w:top w:val="none" w:sz="0" w:space="0" w:color="auto"/>
        <w:left w:val="none" w:sz="0" w:space="0" w:color="auto"/>
        <w:bottom w:val="none" w:sz="0" w:space="0" w:color="auto"/>
        <w:right w:val="none" w:sz="0" w:space="0" w:color="auto"/>
      </w:divBdr>
    </w:div>
    <w:div w:id="1171142012">
      <w:bodyDiv w:val="1"/>
      <w:marLeft w:val="0"/>
      <w:marRight w:val="0"/>
      <w:marTop w:val="0"/>
      <w:marBottom w:val="0"/>
      <w:divBdr>
        <w:top w:val="none" w:sz="0" w:space="0" w:color="auto"/>
        <w:left w:val="none" w:sz="0" w:space="0" w:color="auto"/>
        <w:bottom w:val="none" w:sz="0" w:space="0" w:color="auto"/>
        <w:right w:val="none" w:sz="0" w:space="0" w:color="auto"/>
      </w:divBdr>
    </w:div>
    <w:div w:id="1171675040">
      <w:bodyDiv w:val="1"/>
      <w:marLeft w:val="0"/>
      <w:marRight w:val="0"/>
      <w:marTop w:val="0"/>
      <w:marBottom w:val="0"/>
      <w:divBdr>
        <w:top w:val="none" w:sz="0" w:space="0" w:color="auto"/>
        <w:left w:val="none" w:sz="0" w:space="0" w:color="auto"/>
        <w:bottom w:val="none" w:sz="0" w:space="0" w:color="auto"/>
        <w:right w:val="none" w:sz="0" w:space="0" w:color="auto"/>
      </w:divBdr>
    </w:div>
    <w:div w:id="1172065776">
      <w:bodyDiv w:val="1"/>
      <w:marLeft w:val="0"/>
      <w:marRight w:val="0"/>
      <w:marTop w:val="0"/>
      <w:marBottom w:val="0"/>
      <w:divBdr>
        <w:top w:val="none" w:sz="0" w:space="0" w:color="auto"/>
        <w:left w:val="none" w:sz="0" w:space="0" w:color="auto"/>
        <w:bottom w:val="none" w:sz="0" w:space="0" w:color="auto"/>
        <w:right w:val="none" w:sz="0" w:space="0" w:color="auto"/>
      </w:divBdr>
    </w:div>
    <w:div w:id="1172915155">
      <w:bodyDiv w:val="1"/>
      <w:marLeft w:val="0"/>
      <w:marRight w:val="0"/>
      <w:marTop w:val="0"/>
      <w:marBottom w:val="0"/>
      <w:divBdr>
        <w:top w:val="none" w:sz="0" w:space="0" w:color="auto"/>
        <w:left w:val="none" w:sz="0" w:space="0" w:color="auto"/>
        <w:bottom w:val="none" w:sz="0" w:space="0" w:color="auto"/>
        <w:right w:val="none" w:sz="0" w:space="0" w:color="auto"/>
      </w:divBdr>
    </w:div>
    <w:div w:id="1173030997">
      <w:bodyDiv w:val="1"/>
      <w:marLeft w:val="0"/>
      <w:marRight w:val="0"/>
      <w:marTop w:val="0"/>
      <w:marBottom w:val="0"/>
      <w:divBdr>
        <w:top w:val="none" w:sz="0" w:space="0" w:color="auto"/>
        <w:left w:val="none" w:sz="0" w:space="0" w:color="auto"/>
        <w:bottom w:val="none" w:sz="0" w:space="0" w:color="auto"/>
        <w:right w:val="none" w:sz="0" w:space="0" w:color="auto"/>
      </w:divBdr>
    </w:div>
    <w:div w:id="1176578417">
      <w:bodyDiv w:val="1"/>
      <w:marLeft w:val="0"/>
      <w:marRight w:val="0"/>
      <w:marTop w:val="0"/>
      <w:marBottom w:val="0"/>
      <w:divBdr>
        <w:top w:val="none" w:sz="0" w:space="0" w:color="auto"/>
        <w:left w:val="none" w:sz="0" w:space="0" w:color="auto"/>
        <w:bottom w:val="none" w:sz="0" w:space="0" w:color="auto"/>
        <w:right w:val="none" w:sz="0" w:space="0" w:color="auto"/>
      </w:divBdr>
    </w:div>
    <w:div w:id="1176650534">
      <w:bodyDiv w:val="1"/>
      <w:marLeft w:val="0"/>
      <w:marRight w:val="0"/>
      <w:marTop w:val="0"/>
      <w:marBottom w:val="0"/>
      <w:divBdr>
        <w:top w:val="none" w:sz="0" w:space="0" w:color="auto"/>
        <w:left w:val="none" w:sz="0" w:space="0" w:color="auto"/>
        <w:bottom w:val="none" w:sz="0" w:space="0" w:color="auto"/>
        <w:right w:val="none" w:sz="0" w:space="0" w:color="auto"/>
      </w:divBdr>
    </w:div>
    <w:div w:id="1176724052">
      <w:bodyDiv w:val="1"/>
      <w:marLeft w:val="0"/>
      <w:marRight w:val="0"/>
      <w:marTop w:val="0"/>
      <w:marBottom w:val="0"/>
      <w:divBdr>
        <w:top w:val="none" w:sz="0" w:space="0" w:color="auto"/>
        <w:left w:val="none" w:sz="0" w:space="0" w:color="auto"/>
        <w:bottom w:val="none" w:sz="0" w:space="0" w:color="auto"/>
        <w:right w:val="none" w:sz="0" w:space="0" w:color="auto"/>
      </w:divBdr>
    </w:div>
    <w:div w:id="1177378521">
      <w:bodyDiv w:val="1"/>
      <w:marLeft w:val="0"/>
      <w:marRight w:val="0"/>
      <w:marTop w:val="0"/>
      <w:marBottom w:val="0"/>
      <w:divBdr>
        <w:top w:val="none" w:sz="0" w:space="0" w:color="auto"/>
        <w:left w:val="none" w:sz="0" w:space="0" w:color="auto"/>
        <w:bottom w:val="none" w:sz="0" w:space="0" w:color="auto"/>
        <w:right w:val="none" w:sz="0" w:space="0" w:color="auto"/>
      </w:divBdr>
    </w:div>
    <w:div w:id="1178500118">
      <w:bodyDiv w:val="1"/>
      <w:marLeft w:val="0"/>
      <w:marRight w:val="0"/>
      <w:marTop w:val="0"/>
      <w:marBottom w:val="0"/>
      <w:divBdr>
        <w:top w:val="none" w:sz="0" w:space="0" w:color="auto"/>
        <w:left w:val="none" w:sz="0" w:space="0" w:color="auto"/>
        <w:bottom w:val="none" w:sz="0" w:space="0" w:color="auto"/>
        <w:right w:val="none" w:sz="0" w:space="0" w:color="auto"/>
      </w:divBdr>
    </w:div>
    <w:div w:id="1178617771">
      <w:bodyDiv w:val="1"/>
      <w:marLeft w:val="0"/>
      <w:marRight w:val="0"/>
      <w:marTop w:val="0"/>
      <w:marBottom w:val="0"/>
      <w:divBdr>
        <w:top w:val="none" w:sz="0" w:space="0" w:color="auto"/>
        <w:left w:val="none" w:sz="0" w:space="0" w:color="auto"/>
        <w:bottom w:val="none" w:sz="0" w:space="0" w:color="auto"/>
        <w:right w:val="none" w:sz="0" w:space="0" w:color="auto"/>
      </w:divBdr>
    </w:div>
    <w:div w:id="1178739997">
      <w:bodyDiv w:val="1"/>
      <w:marLeft w:val="0"/>
      <w:marRight w:val="0"/>
      <w:marTop w:val="0"/>
      <w:marBottom w:val="0"/>
      <w:divBdr>
        <w:top w:val="none" w:sz="0" w:space="0" w:color="auto"/>
        <w:left w:val="none" w:sz="0" w:space="0" w:color="auto"/>
        <w:bottom w:val="none" w:sz="0" w:space="0" w:color="auto"/>
        <w:right w:val="none" w:sz="0" w:space="0" w:color="auto"/>
      </w:divBdr>
    </w:div>
    <w:div w:id="1178957501">
      <w:bodyDiv w:val="1"/>
      <w:marLeft w:val="0"/>
      <w:marRight w:val="0"/>
      <w:marTop w:val="0"/>
      <w:marBottom w:val="0"/>
      <w:divBdr>
        <w:top w:val="none" w:sz="0" w:space="0" w:color="auto"/>
        <w:left w:val="none" w:sz="0" w:space="0" w:color="auto"/>
        <w:bottom w:val="none" w:sz="0" w:space="0" w:color="auto"/>
        <w:right w:val="none" w:sz="0" w:space="0" w:color="auto"/>
      </w:divBdr>
    </w:div>
    <w:div w:id="1179008886">
      <w:bodyDiv w:val="1"/>
      <w:marLeft w:val="0"/>
      <w:marRight w:val="0"/>
      <w:marTop w:val="0"/>
      <w:marBottom w:val="0"/>
      <w:divBdr>
        <w:top w:val="none" w:sz="0" w:space="0" w:color="auto"/>
        <w:left w:val="none" w:sz="0" w:space="0" w:color="auto"/>
        <w:bottom w:val="none" w:sz="0" w:space="0" w:color="auto"/>
        <w:right w:val="none" w:sz="0" w:space="0" w:color="auto"/>
      </w:divBdr>
    </w:div>
    <w:div w:id="1179270954">
      <w:bodyDiv w:val="1"/>
      <w:marLeft w:val="0"/>
      <w:marRight w:val="0"/>
      <w:marTop w:val="0"/>
      <w:marBottom w:val="0"/>
      <w:divBdr>
        <w:top w:val="none" w:sz="0" w:space="0" w:color="auto"/>
        <w:left w:val="none" w:sz="0" w:space="0" w:color="auto"/>
        <w:bottom w:val="none" w:sz="0" w:space="0" w:color="auto"/>
        <w:right w:val="none" w:sz="0" w:space="0" w:color="auto"/>
      </w:divBdr>
    </w:div>
    <w:div w:id="1180856033">
      <w:bodyDiv w:val="1"/>
      <w:marLeft w:val="0"/>
      <w:marRight w:val="0"/>
      <w:marTop w:val="0"/>
      <w:marBottom w:val="0"/>
      <w:divBdr>
        <w:top w:val="none" w:sz="0" w:space="0" w:color="auto"/>
        <w:left w:val="none" w:sz="0" w:space="0" w:color="auto"/>
        <w:bottom w:val="none" w:sz="0" w:space="0" w:color="auto"/>
        <w:right w:val="none" w:sz="0" w:space="0" w:color="auto"/>
      </w:divBdr>
    </w:div>
    <w:div w:id="1180923553">
      <w:bodyDiv w:val="1"/>
      <w:marLeft w:val="0"/>
      <w:marRight w:val="0"/>
      <w:marTop w:val="0"/>
      <w:marBottom w:val="0"/>
      <w:divBdr>
        <w:top w:val="none" w:sz="0" w:space="0" w:color="auto"/>
        <w:left w:val="none" w:sz="0" w:space="0" w:color="auto"/>
        <w:bottom w:val="none" w:sz="0" w:space="0" w:color="auto"/>
        <w:right w:val="none" w:sz="0" w:space="0" w:color="auto"/>
      </w:divBdr>
    </w:div>
    <w:div w:id="1181168296">
      <w:bodyDiv w:val="1"/>
      <w:marLeft w:val="0"/>
      <w:marRight w:val="0"/>
      <w:marTop w:val="0"/>
      <w:marBottom w:val="0"/>
      <w:divBdr>
        <w:top w:val="none" w:sz="0" w:space="0" w:color="auto"/>
        <w:left w:val="none" w:sz="0" w:space="0" w:color="auto"/>
        <w:bottom w:val="none" w:sz="0" w:space="0" w:color="auto"/>
        <w:right w:val="none" w:sz="0" w:space="0" w:color="auto"/>
      </w:divBdr>
    </w:div>
    <w:div w:id="1181511259">
      <w:bodyDiv w:val="1"/>
      <w:marLeft w:val="0"/>
      <w:marRight w:val="0"/>
      <w:marTop w:val="0"/>
      <w:marBottom w:val="0"/>
      <w:divBdr>
        <w:top w:val="none" w:sz="0" w:space="0" w:color="auto"/>
        <w:left w:val="none" w:sz="0" w:space="0" w:color="auto"/>
        <w:bottom w:val="none" w:sz="0" w:space="0" w:color="auto"/>
        <w:right w:val="none" w:sz="0" w:space="0" w:color="auto"/>
      </w:divBdr>
    </w:div>
    <w:div w:id="1181704511">
      <w:bodyDiv w:val="1"/>
      <w:marLeft w:val="0"/>
      <w:marRight w:val="0"/>
      <w:marTop w:val="0"/>
      <w:marBottom w:val="0"/>
      <w:divBdr>
        <w:top w:val="none" w:sz="0" w:space="0" w:color="auto"/>
        <w:left w:val="none" w:sz="0" w:space="0" w:color="auto"/>
        <w:bottom w:val="none" w:sz="0" w:space="0" w:color="auto"/>
        <w:right w:val="none" w:sz="0" w:space="0" w:color="auto"/>
      </w:divBdr>
    </w:div>
    <w:div w:id="1181745768">
      <w:bodyDiv w:val="1"/>
      <w:marLeft w:val="0"/>
      <w:marRight w:val="0"/>
      <w:marTop w:val="0"/>
      <w:marBottom w:val="0"/>
      <w:divBdr>
        <w:top w:val="none" w:sz="0" w:space="0" w:color="auto"/>
        <w:left w:val="none" w:sz="0" w:space="0" w:color="auto"/>
        <w:bottom w:val="none" w:sz="0" w:space="0" w:color="auto"/>
        <w:right w:val="none" w:sz="0" w:space="0" w:color="auto"/>
      </w:divBdr>
    </w:div>
    <w:div w:id="1182089701">
      <w:bodyDiv w:val="1"/>
      <w:marLeft w:val="0"/>
      <w:marRight w:val="0"/>
      <w:marTop w:val="0"/>
      <w:marBottom w:val="0"/>
      <w:divBdr>
        <w:top w:val="none" w:sz="0" w:space="0" w:color="auto"/>
        <w:left w:val="none" w:sz="0" w:space="0" w:color="auto"/>
        <w:bottom w:val="none" w:sz="0" w:space="0" w:color="auto"/>
        <w:right w:val="none" w:sz="0" w:space="0" w:color="auto"/>
      </w:divBdr>
    </w:div>
    <w:div w:id="1182281587">
      <w:bodyDiv w:val="1"/>
      <w:marLeft w:val="0"/>
      <w:marRight w:val="0"/>
      <w:marTop w:val="0"/>
      <w:marBottom w:val="0"/>
      <w:divBdr>
        <w:top w:val="none" w:sz="0" w:space="0" w:color="auto"/>
        <w:left w:val="none" w:sz="0" w:space="0" w:color="auto"/>
        <w:bottom w:val="none" w:sz="0" w:space="0" w:color="auto"/>
        <w:right w:val="none" w:sz="0" w:space="0" w:color="auto"/>
      </w:divBdr>
    </w:div>
    <w:div w:id="1182284163">
      <w:bodyDiv w:val="1"/>
      <w:marLeft w:val="0"/>
      <w:marRight w:val="0"/>
      <w:marTop w:val="0"/>
      <w:marBottom w:val="0"/>
      <w:divBdr>
        <w:top w:val="none" w:sz="0" w:space="0" w:color="auto"/>
        <w:left w:val="none" w:sz="0" w:space="0" w:color="auto"/>
        <w:bottom w:val="none" w:sz="0" w:space="0" w:color="auto"/>
        <w:right w:val="none" w:sz="0" w:space="0" w:color="auto"/>
      </w:divBdr>
    </w:div>
    <w:div w:id="1182356113">
      <w:bodyDiv w:val="1"/>
      <w:marLeft w:val="0"/>
      <w:marRight w:val="0"/>
      <w:marTop w:val="0"/>
      <w:marBottom w:val="0"/>
      <w:divBdr>
        <w:top w:val="none" w:sz="0" w:space="0" w:color="auto"/>
        <w:left w:val="none" w:sz="0" w:space="0" w:color="auto"/>
        <w:bottom w:val="none" w:sz="0" w:space="0" w:color="auto"/>
        <w:right w:val="none" w:sz="0" w:space="0" w:color="auto"/>
      </w:divBdr>
    </w:div>
    <w:div w:id="1183781231">
      <w:bodyDiv w:val="1"/>
      <w:marLeft w:val="0"/>
      <w:marRight w:val="0"/>
      <w:marTop w:val="0"/>
      <w:marBottom w:val="0"/>
      <w:divBdr>
        <w:top w:val="none" w:sz="0" w:space="0" w:color="auto"/>
        <w:left w:val="none" w:sz="0" w:space="0" w:color="auto"/>
        <w:bottom w:val="none" w:sz="0" w:space="0" w:color="auto"/>
        <w:right w:val="none" w:sz="0" w:space="0" w:color="auto"/>
      </w:divBdr>
    </w:div>
    <w:div w:id="1183864251">
      <w:bodyDiv w:val="1"/>
      <w:marLeft w:val="0"/>
      <w:marRight w:val="0"/>
      <w:marTop w:val="0"/>
      <w:marBottom w:val="0"/>
      <w:divBdr>
        <w:top w:val="none" w:sz="0" w:space="0" w:color="auto"/>
        <w:left w:val="none" w:sz="0" w:space="0" w:color="auto"/>
        <w:bottom w:val="none" w:sz="0" w:space="0" w:color="auto"/>
        <w:right w:val="none" w:sz="0" w:space="0" w:color="auto"/>
      </w:divBdr>
    </w:div>
    <w:div w:id="1184788692">
      <w:bodyDiv w:val="1"/>
      <w:marLeft w:val="0"/>
      <w:marRight w:val="0"/>
      <w:marTop w:val="0"/>
      <w:marBottom w:val="0"/>
      <w:divBdr>
        <w:top w:val="none" w:sz="0" w:space="0" w:color="auto"/>
        <w:left w:val="none" w:sz="0" w:space="0" w:color="auto"/>
        <w:bottom w:val="none" w:sz="0" w:space="0" w:color="auto"/>
        <w:right w:val="none" w:sz="0" w:space="0" w:color="auto"/>
      </w:divBdr>
    </w:div>
    <w:div w:id="1185168144">
      <w:bodyDiv w:val="1"/>
      <w:marLeft w:val="0"/>
      <w:marRight w:val="0"/>
      <w:marTop w:val="0"/>
      <w:marBottom w:val="0"/>
      <w:divBdr>
        <w:top w:val="none" w:sz="0" w:space="0" w:color="auto"/>
        <w:left w:val="none" w:sz="0" w:space="0" w:color="auto"/>
        <w:bottom w:val="none" w:sz="0" w:space="0" w:color="auto"/>
        <w:right w:val="none" w:sz="0" w:space="0" w:color="auto"/>
      </w:divBdr>
    </w:div>
    <w:div w:id="1185941262">
      <w:bodyDiv w:val="1"/>
      <w:marLeft w:val="0"/>
      <w:marRight w:val="0"/>
      <w:marTop w:val="0"/>
      <w:marBottom w:val="0"/>
      <w:divBdr>
        <w:top w:val="none" w:sz="0" w:space="0" w:color="auto"/>
        <w:left w:val="none" w:sz="0" w:space="0" w:color="auto"/>
        <w:bottom w:val="none" w:sz="0" w:space="0" w:color="auto"/>
        <w:right w:val="none" w:sz="0" w:space="0" w:color="auto"/>
      </w:divBdr>
    </w:div>
    <w:div w:id="1186868727">
      <w:bodyDiv w:val="1"/>
      <w:marLeft w:val="0"/>
      <w:marRight w:val="0"/>
      <w:marTop w:val="0"/>
      <w:marBottom w:val="0"/>
      <w:divBdr>
        <w:top w:val="none" w:sz="0" w:space="0" w:color="auto"/>
        <w:left w:val="none" w:sz="0" w:space="0" w:color="auto"/>
        <w:bottom w:val="none" w:sz="0" w:space="0" w:color="auto"/>
        <w:right w:val="none" w:sz="0" w:space="0" w:color="auto"/>
      </w:divBdr>
    </w:div>
    <w:div w:id="1186940335">
      <w:bodyDiv w:val="1"/>
      <w:marLeft w:val="0"/>
      <w:marRight w:val="0"/>
      <w:marTop w:val="0"/>
      <w:marBottom w:val="0"/>
      <w:divBdr>
        <w:top w:val="none" w:sz="0" w:space="0" w:color="auto"/>
        <w:left w:val="none" w:sz="0" w:space="0" w:color="auto"/>
        <w:bottom w:val="none" w:sz="0" w:space="0" w:color="auto"/>
        <w:right w:val="none" w:sz="0" w:space="0" w:color="auto"/>
      </w:divBdr>
    </w:div>
    <w:div w:id="1187329305">
      <w:bodyDiv w:val="1"/>
      <w:marLeft w:val="0"/>
      <w:marRight w:val="0"/>
      <w:marTop w:val="0"/>
      <w:marBottom w:val="0"/>
      <w:divBdr>
        <w:top w:val="none" w:sz="0" w:space="0" w:color="auto"/>
        <w:left w:val="none" w:sz="0" w:space="0" w:color="auto"/>
        <w:bottom w:val="none" w:sz="0" w:space="0" w:color="auto"/>
        <w:right w:val="none" w:sz="0" w:space="0" w:color="auto"/>
      </w:divBdr>
    </w:div>
    <w:div w:id="1187408576">
      <w:bodyDiv w:val="1"/>
      <w:marLeft w:val="0"/>
      <w:marRight w:val="0"/>
      <w:marTop w:val="0"/>
      <w:marBottom w:val="0"/>
      <w:divBdr>
        <w:top w:val="none" w:sz="0" w:space="0" w:color="auto"/>
        <w:left w:val="none" w:sz="0" w:space="0" w:color="auto"/>
        <w:bottom w:val="none" w:sz="0" w:space="0" w:color="auto"/>
        <w:right w:val="none" w:sz="0" w:space="0" w:color="auto"/>
      </w:divBdr>
    </w:div>
    <w:div w:id="1187870452">
      <w:bodyDiv w:val="1"/>
      <w:marLeft w:val="0"/>
      <w:marRight w:val="0"/>
      <w:marTop w:val="0"/>
      <w:marBottom w:val="0"/>
      <w:divBdr>
        <w:top w:val="none" w:sz="0" w:space="0" w:color="auto"/>
        <w:left w:val="none" w:sz="0" w:space="0" w:color="auto"/>
        <w:bottom w:val="none" w:sz="0" w:space="0" w:color="auto"/>
        <w:right w:val="none" w:sz="0" w:space="0" w:color="auto"/>
      </w:divBdr>
    </w:div>
    <w:div w:id="1188252292">
      <w:bodyDiv w:val="1"/>
      <w:marLeft w:val="0"/>
      <w:marRight w:val="0"/>
      <w:marTop w:val="0"/>
      <w:marBottom w:val="0"/>
      <w:divBdr>
        <w:top w:val="none" w:sz="0" w:space="0" w:color="auto"/>
        <w:left w:val="none" w:sz="0" w:space="0" w:color="auto"/>
        <w:bottom w:val="none" w:sz="0" w:space="0" w:color="auto"/>
        <w:right w:val="none" w:sz="0" w:space="0" w:color="auto"/>
      </w:divBdr>
    </w:div>
    <w:div w:id="1188719297">
      <w:bodyDiv w:val="1"/>
      <w:marLeft w:val="0"/>
      <w:marRight w:val="0"/>
      <w:marTop w:val="0"/>
      <w:marBottom w:val="0"/>
      <w:divBdr>
        <w:top w:val="none" w:sz="0" w:space="0" w:color="auto"/>
        <w:left w:val="none" w:sz="0" w:space="0" w:color="auto"/>
        <w:bottom w:val="none" w:sz="0" w:space="0" w:color="auto"/>
        <w:right w:val="none" w:sz="0" w:space="0" w:color="auto"/>
      </w:divBdr>
    </w:div>
    <w:div w:id="1188830088">
      <w:bodyDiv w:val="1"/>
      <w:marLeft w:val="0"/>
      <w:marRight w:val="0"/>
      <w:marTop w:val="0"/>
      <w:marBottom w:val="0"/>
      <w:divBdr>
        <w:top w:val="none" w:sz="0" w:space="0" w:color="auto"/>
        <w:left w:val="none" w:sz="0" w:space="0" w:color="auto"/>
        <w:bottom w:val="none" w:sz="0" w:space="0" w:color="auto"/>
        <w:right w:val="none" w:sz="0" w:space="0" w:color="auto"/>
      </w:divBdr>
    </w:div>
    <w:div w:id="1188982054">
      <w:bodyDiv w:val="1"/>
      <w:marLeft w:val="0"/>
      <w:marRight w:val="0"/>
      <w:marTop w:val="0"/>
      <w:marBottom w:val="0"/>
      <w:divBdr>
        <w:top w:val="none" w:sz="0" w:space="0" w:color="auto"/>
        <w:left w:val="none" w:sz="0" w:space="0" w:color="auto"/>
        <w:bottom w:val="none" w:sz="0" w:space="0" w:color="auto"/>
        <w:right w:val="none" w:sz="0" w:space="0" w:color="auto"/>
      </w:divBdr>
    </w:div>
    <w:div w:id="1189758926">
      <w:bodyDiv w:val="1"/>
      <w:marLeft w:val="0"/>
      <w:marRight w:val="0"/>
      <w:marTop w:val="0"/>
      <w:marBottom w:val="0"/>
      <w:divBdr>
        <w:top w:val="none" w:sz="0" w:space="0" w:color="auto"/>
        <w:left w:val="none" w:sz="0" w:space="0" w:color="auto"/>
        <w:bottom w:val="none" w:sz="0" w:space="0" w:color="auto"/>
        <w:right w:val="none" w:sz="0" w:space="0" w:color="auto"/>
      </w:divBdr>
    </w:div>
    <w:div w:id="1190145149">
      <w:bodyDiv w:val="1"/>
      <w:marLeft w:val="0"/>
      <w:marRight w:val="0"/>
      <w:marTop w:val="0"/>
      <w:marBottom w:val="0"/>
      <w:divBdr>
        <w:top w:val="none" w:sz="0" w:space="0" w:color="auto"/>
        <w:left w:val="none" w:sz="0" w:space="0" w:color="auto"/>
        <w:bottom w:val="none" w:sz="0" w:space="0" w:color="auto"/>
        <w:right w:val="none" w:sz="0" w:space="0" w:color="auto"/>
      </w:divBdr>
    </w:div>
    <w:div w:id="1191069405">
      <w:bodyDiv w:val="1"/>
      <w:marLeft w:val="0"/>
      <w:marRight w:val="0"/>
      <w:marTop w:val="0"/>
      <w:marBottom w:val="0"/>
      <w:divBdr>
        <w:top w:val="none" w:sz="0" w:space="0" w:color="auto"/>
        <w:left w:val="none" w:sz="0" w:space="0" w:color="auto"/>
        <w:bottom w:val="none" w:sz="0" w:space="0" w:color="auto"/>
        <w:right w:val="none" w:sz="0" w:space="0" w:color="auto"/>
      </w:divBdr>
    </w:div>
    <w:div w:id="1191258423">
      <w:bodyDiv w:val="1"/>
      <w:marLeft w:val="0"/>
      <w:marRight w:val="0"/>
      <w:marTop w:val="0"/>
      <w:marBottom w:val="0"/>
      <w:divBdr>
        <w:top w:val="none" w:sz="0" w:space="0" w:color="auto"/>
        <w:left w:val="none" w:sz="0" w:space="0" w:color="auto"/>
        <w:bottom w:val="none" w:sz="0" w:space="0" w:color="auto"/>
        <w:right w:val="none" w:sz="0" w:space="0" w:color="auto"/>
      </w:divBdr>
    </w:div>
    <w:div w:id="1192761807">
      <w:bodyDiv w:val="1"/>
      <w:marLeft w:val="0"/>
      <w:marRight w:val="0"/>
      <w:marTop w:val="0"/>
      <w:marBottom w:val="0"/>
      <w:divBdr>
        <w:top w:val="none" w:sz="0" w:space="0" w:color="auto"/>
        <w:left w:val="none" w:sz="0" w:space="0" w:color="auto"/>
        <w:bottom w:val="none" w:sz="0" w:space="0" w:color="auto"/>
        <w:right w:val="none" w:sz="0" w:space="0" w:color="auto"/>
      </w:divBdr>
    </w:div>
    <w:div w:id="1194071662">
      <w:bodyDiv w:val="1"/>
      <w:marLeft w:val="0"/>
      <w:marRight w:val="0"/>
      <w:marTop w:val="0"/>
      <w:marBottom w:val="0"/>
      <w:divBdr>
        <w:top w:val="none" w:sz="0" w:space="0" w:color="auto"/>
        <w:left w:val="none" w:sz="0" w:space="0" w:color="auto"/>
        <w:bottom w:val="none" w:sz="0" w:space="0" w:color="auto"/>
        <w:right w:val="none" w:sz="0" w:space="0" w:color="auto"/>
      </w:divBdr>
    </w:div>
    <w:div w:id="1194422609">
      <w:bodyDiv w:val="1"/>
      <w:marLeft w:val="0"/>
      <w:marRight w:val="0"/>
      <w:marTop w:val="0"/>
      <w:marBottom w:val="0"/>
      <w:divBdr>
        <w:top w:val="none" w:sz="0" w:space="0" w:color="auto"/>
        <w:left w:val="none" w:sz="0" w:space="0" w:color="auto"/>
        <w:bottom w:val="none" w:sz="0" w:space="0" w:color="auto"/>
        <w:right w:val="none" w:sz="0" w:space="0" w:color="auto"/>
      </w:divBdr>
    </w:div>
    <w:div w:id="1194881159">
      <w:bodyDiv w:val="1"/>
      <w:marLeft w:val="0"/>
      <w:marRight w:val="0"/>
      <w:marTop w:val="0"/>
      <w:marBottom w:val="0"/>
      <w:divBdr>
        <w:top w:val="none" w:sz="0" w:space="0" w:color="auto"/>
        <w:left w:val="none" w:sz="0" w:space="0" w:color="auto"/>
        <w:bottom w:val="none" w:sz="0" w:space="0" w:color="auto"/>
        <w:right w:val="none" w:sz="0" w:space="0" w:color="auto"/>
      </w:divBdr>
    </w:div>
    <w:div w:id="1194922563">
      <w:bodyDiv w:val="1"/>
      <w:marLeft w:val="0"/>
      <w:marRight w:val="0"/>
      <w:marTop w:val="0"/>
      <w:marBottom w:val="0"/>
      <w:divBdr>
        <w:top w:val="none" w:sz="0" w:space="0" w:color="auto"/>
        <w:left w:val="none" w:sz="0" w:space="0" w:color="auto"/>
        <w:bottom w:val="none" w:sz="0" w:space="0" w:color="auto"/>
        <w:right w:val="none" w:sz="0" w:space="0" w:color="auto"/>
      </w:divBdr>
    </w:div>
    <w:div w:id="1195191314">
      <w:bodyDiv w:val="1"/>
      <w:marLeft w:val="0"/>
      <w:marRight w:val="0"/>
      <w:marTop w:val="0"/>
      <w:marBottom w:val="0"/>
      <w:divBdr>
        <w:top w:val="none" w:sz="0" w:space="0" w:color="auto"/>
        <w:left w:val="none" w:sz="0" w:space="0" w:color="auto"/>
        <w:bottom w:val="none" w:sz="0" w:space="0" w:color="auto"/>
        <w:right w:val="none" w:sz="0" w:space="0" w:color="auto"/>
      </w:divBdr>
    </w:div>
    <w:div w:id="1195533949">
      <w:bodyDiv w:val="1"/>
      <w:marLeft w:val="0"/>
      <w:marRight w:val="0"/>
      <w:marTop w:val="0"/>
      <w:marBottom w:val="0"/>
      <w:divBdr>
        <w:top w:val="none" w:sz="0" w:space="0" w:color="auto"/>
        <w:left w:val="none" w:sz="0" w:space="0" w:color="auto"/>
        <w:bottom w:val="none" w:sz="0" w:space="0" w:color="auto"/>
        <w:right w:val="none" w:sz="0" w:space="0" w:color="auto"/>
      </w:divBdr>
    </w:div>
    <w:div w:id="1195580746">
      <w:bodyDiv w:val="1"/>
      <w:marLeft w:val="0"/>
      <w:marRight w:val="0"/>
      <w:marTop w:val="0"/>
      <w:marBottom w:val="0"/>
      <w:divBdr>
        <w:top w:val="none" w:sz="0" w:space="0" w:color="auto"/>
        <w:left w:val="none" w:sz="0" w:space="0" w:color="auto"/>
        <w:bottom w:val="none" w:sz="0" w:space="0" w:color="auto"/>
        <w:right w:val="none" w:sz="0" w:space="0" w:color="auto"/>
      </w:divBdr>
    </w:div>
    <w:div w:id="1196043307">
      <w:bodyDiv w:val="1"/>
      <w:marLeft w:val="0"/>
      <w:marRight w:val="0"/>
      <w:marTop w:val="0"/>
      <w:marBottom w:val="0"/>
      <w:divBdr>
        <w:top w:val="none" w:sz="0" w:space="0" w:color="auto"/>
        <w:left w:val="none" w:sz="0" w:space="0" w:color="auto"/>
        <w:bottom w:val="none" w:sz="0" w:space="0" w:color="auto"/>
        <w:right w:val="none" w:sz="0" w:space="0" w:color="auto"/>
      </w:divBdr>
    </w:div>
    <w:div w:id="1196307871">
      <w:bodyDiv w:val="1"/>
      <w:marLeft w:val="0"/>
      <w:marRight w:val="0"/>
      <w:marTop w:val="0"/>
      <w:marBottom w:val="0"/>
      <w:divBdr>
        <w:top w:val="none" w:sz="0" w:space="0" w:color="auto"/>
        <w:left w:val="none" w:sz="0" w:space="0" w:color="auto"/>
        <w:bottom w:val="none" w:sz="0" w:space="0" w:color="auto"/>
        <w:right w:val="none" w:sz="0" w:space="0" w:color="auto"/>
      </w:divBdr>
    </w:div>
    <w:div w:id="1196312168">
      <w:bodyDiv w:val="1"/>
      <w:marLeft w:val="0"/>
      <w:marRight w:val="0"/>
      <w:marTop w:val="0"/>
      <w:marBottom w:val="0"/>
      <w:divBdr>
        <w:top w:val="none" w:sz="0" w:space="0" w:color="auto"/>
        <w:left w:val="none" w:sz="0" w:space="0" w:color="auto"/>
        <w:bottom w:val="none" w:sz="0" w:space="0" w:color="auto"/>
        <w:right w:val="none" w:sz="0" w:space="0" w:color="auto"/>
      </w:divBdr>
    </w:div>
    <w:div w:id="1197156314">
      <w:bodyDiv w:val="1"/>
      <w:marLeft w:val="0"/>
      <w:marRight w:val="0"/>
      <w:marTop w:val="0"/>
      <w:marBottom w:val="0"/>
      <w:divBdr>
        <w:top w:val="none" w:sz="0" w:space="0" w:color="auto"/>
        <w:left w:val="none" w:sz="0" w:space="0" w:color="auto"/>
        <w:bottom w:val="none" w:sz="0" w:space="0" w:color="auto"/>
        <w:right w:val="none" w:sz="0" w:space="0" w:color="auto"/>
      </w:divBdr>
    </w:div>
    <w:div w:id="1197348952">
      <w:bodyDiv w:val="1"/>
      <w:marLeft w:val="0"/>
      <w:marRight w:val="0"/>
      <w:marTop w:val="0"/>
      <w:marBottom w:val="0"/>
      <w:divBdr>
        <w:top w:val="none" w:sz="0" w:space="0" w:color="auto"/>
        <w:left w:val="none" w:sz="0" w:space="0" w:color="auto"/>
        <w:bottom w:val="none" w:sz="0" w:space="0" w:color="auto"/>
        <w:right w:val="none" w:sz="0" w:space="0" w:color="auto"/>
      </w:divBdr>
    </w:div>
    <w:div w:id="1197625319">
      <w:bodyDiv w:val="1"/>
      <w:marLeft w:val="0"/>
      <w:marRight w:val="0"/>
      <w:marTop w:val="0"/>
      <w:marBottom w:val="0"/>
      <w:divBdr>
        <w:top w:val="none" w:sz="0" w:space="0" w:color="auto"/>
        <w:left w:val="none" w:sz="0" w:space="0" w:color="auto"/>
        <w:bottom w:val="none" w:sz="0" w:space="0" w:color="auto"/>
        <w:right w:val="none" w:sz="0" w:space="0" w:color="auto"/>
      </w:divBdr>
    </w:div>
    <w:div w:id="1197743321">
      <w:bodyDiv w:val="1"/>
      <w:marLeft w:val="0"/>
      <w:marRight w:val="0"/>
      <w:marTop w:val="0"/>
      <w:marBottom w:val="0"/>
      <w:divBdr>
        <w:top w:val="none" w:sz="0" w:space="0" w:color="auto"/>
        <w:left w:val="none" w:sz="0" w:space="0" w:color="auto"/>
        <w:bottom w:val="none" w:sz="0" w:space="0" w:color="auto"/>
        <w:right w:val="none" w:sz="0" w:space="0" w:color="auto"/>
      </w:divBdr>
    </w:div>
    <w:div w:id="1198082983">
      <w:bodyDiv w:val="1"/>
      <w:marLeft w:val="0"/>
      <w:marRight w:val="0"/>
      <w:marTop w:val="0"/>
      <w:marBottom w:val="0"/>
      <w:divBdr>
        <w:top w:val="none" w:sz="0" w:space="0" w:color="auto"/>
        <w:left w:val="none" w:sz="0" w:space="0" w:color="auto"/>
        <w:bottom w:val="none" w:sz="0" w:space="0" w:color="auto"/>
        <w:right w:val="none" w:sz="0" w:space="0" w:color="auto"/>
      </w:divBdr>
    </w:div>
    <w:div w:id="1198276866">
      <w:bodyDiv w:val="1"/>
      <w:marLeft w:val="0"/>
      <w:marRight w:val="0"/>
      <w:marTop w:val="0"/>
      <w:marBottom w:val="0"/>
      <w:divBdr>
        <w:top w:val="none" w:sz="0" w:space="0" w:color="auto"/>
        <w:left w:val="none" w:sz="0" w:space="0" w:color="auto"/>
        <w:bottom w:val="none" w:sz="0" w:space="0" w:color="auto"/>
        <w:right w:val="none" w:sz="0" w:space="0" w:color="auto"/>
      </w:divBdr>
    </w:div>
    <w:div w:id="1198279740">
      <w:bodyDiv w:val="1"/>
      <w:marLeft w:val="0"/>
      <w:marRight w:val="0"/>
      <w:marTop w:val="0"/>
      <w:marBottom w:val="0"/>
      <w:divBdr>
        <w:top w:val="none" w:sz="0" w:space="0" w:color="auto"/>
        <w:left w:val="none" w:sz="0" w:space="0" w:color="auto"/>
        <w:bottom w:val="none" w:sz="0" w:space="0" w:color="auto"/>
        <w:right w:val="none" w:sz="0" w:space="0" w:color="auto"/>
      </w:divBdr>
    </w:div>
    <w:div w:id="1200240313">
      <w:bodyDiv w:val="1"/>
      <w:marLeft w:val="0"/>
      <w:marRight w:val="0"/>
      <w:marTop w:val="0"/>
      <w:marBottom w:val="0"/>
      <w:divBdr>
        <w:top w:val="none" w:sz="0" w:space="0" w:color="auto"/>
        <w:left w:val="none" w:sz="0" w:space="0" w:color="auto"/>
        <w:bottom w:val="none" w:sz="0" w:space="0" w:color="auto"/>
        <w:right w:val="none" w:sz="0" w:space="0" w:color="auto"/>
      </w:divBdr>
    </w:div>
    <w:div w:id="1200358003">
      <w:bodyDiv w:val="1"/>
      <w:marLeft w:val="0"/>
      <w:marRight w:val="0"/>
      <w:marTop w:val="0"/>
      <w:marBottom w:val="0"/>
      <w:divBdr>
        <w:top w:val="none" w:sz="0" w:space="0" w:color="auto"/>
        <w:left w:val="none" w:sz="0" w:space="0" w:color="auto"/>
        <w:bottom w:val="none" w:sz="0" w:space="0" w:color="auto"/>
        <w:right w:val="none" w:sz="0" w:space="0" w:color="auto"/>
      </w:divBdr>
    </w:div>
    <w:div w:id="1200510869">
      <w:bodyDiv w:val="1"/>
      <w:marLeft w:val="0"/>
      <w:marRight w:val="0"/>
      <w:marTop w:val="0"/>
      <w:marBottom w:val="0"/>
      <w:divBdr>
        <w:top w:val="none" w:sz="0" w:space="0" w:color="auto"/>
        <w:left w:val="none" w:sz="0" w:space="0" w:color="auto"/>
        <w:bottom w:val="none" w:sz="0" w:space="0" w:color="auto"/>
        <w:right w:val="none" w:sz="0" w:space="0" w:color="auto"/>
      </w:divBdr>
    </w:div>
    <w:div w:id="1200632949">
      <w:bodyDiv w:val="1"/>
      <w:marLeft w:val="0"/>
      <w:marRight w:val="0"/>
      <w:marTop w:val="0"/>
      <w:marBottom w:val="0"/>
      <w:divBdr>
        <w:top w:val="none" w:sz="0" w:space="0" w:color="auto"/>
        <w:left w:val="none" w:sz="0" w:space="0" w:color="auto"/>
        <w:bottom w:val="none" w:sz="0" w:space="0" w:color="auto"/>
        <w:right w:val="none" w:sz="0" w:space="0" w:color="auto"/>
      </w:divBdr>
    </w:div>
    <w:div w:id="1201093297">
      <w:bodyDiv w:val="1"/>
      <w:marLeft w:val="0"/>
      <w:marRight w:val="0"/>
      <w:marTop w:val="0"/>
      <w:marBottom w:val="0"/>
      <w:divBdr>
        <w:top w:val="none" w:sz="0" w:space="0" w:color="auto"/>
        <w:left w:val="none" w:sz="0" w:space="0" w:color="auto"/>
        <w:bottom w:val="none" w:sz="0" w:space="0" w:color="auto"/>
        <w:right w:val="none" w:sz="0" w:space="0" w:color="auto"/>
      </w:divBdr>
    </w:div>
    <w:div w:id="1201623687">
      <w:bodyDiv w:val="1"/>
      <w:marLeft w:val="0"/>
      <w:marRight w:val="0"/>
      <w:marTop w:val="0"/>
      <w:marBottom w:val="0"/>
      <w:divBdr>
        <w:top w:val="none" w:sz="0" w:space="0" w:color="auto"/>
        <w:left w:val="none" w:sz="0" w:space="0" w:color="auto"/>
        <w:bottom w:val="none" w:sz="0" w:space="0" w:color="auto"/>
        <w:right w:val="none" w:sz="0" w:space="0" w:color="auto"/>
      </w:divBdr>
    </w:div>
    <w:div w:id="1201629974">
      <w:bodyDiv w:val="1"/>
      <w:marLeft w:val="0"/>
      <w:marRight w:val="0"/>
      <w:marTop w:val="0"/>
      <w:marBottom w:val="0"/>
      <w:divBdr>
        <w:top w:val="none" w:sz="0" w:space="0" w:color="auto"/>
        <w:left w:val="none" w:sz="0" w:space="0" w:color="auto"/>
        <w:bottom w:val="none" w:sz="0" w:space="0" w:color="auto"/>
        <w:right w:val="none" w:sz="0" w:space="0" w:color="auto"/>
      </w:divBdr>
    </w:div>
    <w:div w:id="1203635724">
      <w:bodyDiv w:val="1"/>
      <w:marLeft w:val="0"/>
      <w:marRight w:val="0"/>
      <w:marTop w:val="0"/>
      <w:marBottom w:val="0"/>
      <w:divBdr>
        <w:top w:val="none" w:sz="0" w:space="0" w:color="auto"/>
        <w:left w:val="none" w:sz="0" w:space="0" w:color="auto"/>
        <w:bottom w:val="none" w:sz="0" w:space="0" w:color="auto"/>
        <w:right w:val="none" w:sz="0" w:space="0" w:color="auto"/>
      </w:divBdr>
    </w:div>
    <w:div w:id="1204102255">
      <w:bodyDiv w:val="1"/>
      <w:marLeft w:val="0"/>
      <w:marRight w:val="0"/>
      <w:marTop w:val="0"/>
      <w:marBottom w:val="0"/>
      <w:divBdr>
        <w:top w:val="none" w:sz="0" w:space="0" w:color="auto"/>
        <w:left w:val="none" w:sz="0" w:space="0" w:color="auto"/>
        <w:bottom w:val="none" w:sz="0" w:space="0" w:color="auto"/>
        <w:right w:val="none" w:sz="0" w:space="0" w:color="auto"/>
      </w:divBdr>
    </w:div>
    <w:div w:id="1205604243">
      <w:bodyDiv w:val="1"/>
      <w:marLeft w:val="0"/>
      <w:marRight w:val="0"/>
      <w:marTop w:val="0"/>
      <w:marBottom w:val="0"/>
      <w:divBdr>
        <w:top w:val="none" w:sz="0" w:space="0" w:color="auto"/>
        <w:left w:val="none" w:sz="0" w:space="0" w:color="auto"/>
        <w:bottom w:val="none" w:sz="0" w:space="0" w:color="auto"/>
        <w:right w:val="none" w:sz="0" w:space="0" w:color="auto"/>
      </w:divBdr>
    </w:div>
    <w:div w:id="1205752350">
      <w:bodyDiv w:val="1"/>
      <w:marLeft w:val="0"/>
      <w:marRight w:val="0"/>
      <w:marTop w:val="0"/>
      <w:marBottom w:val="0"/>
      <w:divBdr>
        <w:top w:val="none" w:sz="0" w:space="0" w:color="auto"/>
        <w:left w:val="none" w:sz="0" w:space="0" w:color="auto"/>
        <w:bottom w:val="none" w:sz="0" w:space="0" w:color="auto"/>
        <w:right w:val="none" w:sz="0" w:space="0" w:color="auto"/>
      </w:divBdr>
    </w:div>
    <w:div w:id="1206139802">
      <w:bodyDiv w:val="1"/>
      <w:marLeft w:val="0"/>
      <w:marRight w:val="0"/>
      <w:marTop w:val="0"/>
      <w:marBottom w:val="0"/>
      <w:divBdr>
        <w:top w:val="none" w:sz="0" w:space="0" w:color="auto"/>
        <w:left w:val="none" w:sz="0" w:space="0" w:color="auto"/>
        <w:bottom w:val="none" w:sz="0" w:space="0" w:color="auto"/>
        <w:right w:val="none" w:sz="0" w:space="0" w:color="auto"/>
      </w:divBdr>
    </w:div>
    <w:div w:id="1207986373">
      <w:bodyDiv w:val="1"/>
      <w:marLeft w:val="0"/>
      <w:marRight w:val="0"/>
      <w:marTop w:val="0"/>
      <w:marBottom w:val="0"/>
      <w:divBdr>
        <w:top w:val="none" w:sz="0" w:space="0" w:color="auto"/>
        <w:left w:val="none" w:sz="0" w:space="0" w:color="auto"/>
        <w:bottom w:val="none" w:sz="0" w:space="0" w:color="auto"/>
        <w:right w:val="none" w:sz="0" w:space="0" w:color="auto"/>
      </w:divBdr>
    </w:div>
    <w:div w:id="1208684681">
      <w:bodyDiv w:val="1"/>
      <w:marLeft w:val="0"/>
      <w:marRight w:val="0"/>
      <w:marTop w:val="0"/>
      <w:marBottom w:val="0"/>
      <w:divBdr>
        <w:top w:val="none" w:sz="0" w:space="0" w:color="auto"/>
        <w:left w:val="none" w:sz="0" w:space="0" w:color="auto"/>
        <w:bottom w:val="none" w:sz="0" w:space="0" w:color="auto"/>
        <w:right w:val="none" w:sz="0" w:space="0" w:color="auto"/>
      </w:divBdr>
    </w:div>
    <w:div w:id="1209954727">
      <w:bodyDiv w:val="1"/>
      <w:marLeft w:val="0"/>
      <w:marRight w:val="0"/>
      <w:marTop w:val="0"/>
      <w:marBottom w:val="0"/>
      <w:divBdr>
        <w:top w:val="none" w:sz="0" w:space="0" w:color="auto"/>
        <w:left w:val="none" w:sz="0" w:space="0" w:color="auto"/>
        <w:bottom w:val="none" w:sz="0" w:space="0" w:color="auto"/>
        <w:right w:val="none" w:sz="0" w:space="0" w:color="auto"/>
      </w:divBdr>
    </w:div>
    <w:div w:id="1210726207">
      <w:bodyDiv w:val="1"/>
      <w:marLeft w:val="0"/>
      <w:marRight w:val="0"/>
      <w:marTop w:val="0"/>
      <w:marBottom w:val="0"/>
      <w:divBdr>
        <w:top w:val="none" w:sz="0" w:space="0" w:color="auto"/>
        <w:left w:val="none" w:sz="0" w:space="0" w:color="auto"/>
        <w:bottom w:val="none" w:sz="0" w:space="0" w:color="auto"/>
        <w:right w:val="none" w:sz="0" w:space="0" w:color="auto"/>
      </w:divBdr>
    </w:div>
    <w:div w:id="1211654657">
      <w:bodyDiv w:val="1"/>
      <w:marLeft w:val="0"/>
      <w:marRight w:val="0"/>
      <w:marTop w:val="0"/>
      <w:marBottom w:val="0"/>
      <w:divBdr>
        <w:top w:val="none" w:sz="0" w:space="0" w:color="auto"/>
        <w:left w:val="none" w:sz="0" w:space="0" w:color="auto"/>
        <w:bottom w:val="none" w:sz="0" w:space="0" w:color="auto"/>
        <w:right w:val="none" w:sz="0" w:space="0" w:color="auto"/>
      </w:divBdr>
    </w:div>
    <w:div w:id="1212764584">
      <w:bodyDiv w:val="1"/>
      <w:marLeft w:val="0"/>
      <w:marRight w:val="0"/>
      <w:marTop w:val="0"/>
      <w:marBottom w:val="0"/>
      <w:divBdr>
        <w:top w:val="none" w:sz="0" w:space="0" w:color="auto"/>
        <w:left w:val="none" w:sz="0" w:space="0" w:color="auto"/>
        <w:bottom w:val="none" w:sz="0" w:space="0" w:color="auto"/>
        <w:right w:val="none" w:sz="0" w:space="0" w:color="auto"/>
      </w:divBdr>
    </w:div>
    <w:div w:id="1213230141">
      <w:bodyDiv w:val="1"/>
      <w:marLeft w:val="0"/>
      <w:marRight w:val="0"/>
      <w:marTop w:val="0"/>
      <w:marBottom w:val="0"/>
      <w:divBdr>
        <w:top w:val="none" w:sz="0" w:space="0" w:color="auto"/>
        <w:left w:val="none" w:sz="0" w:space="0" w:color="auto"/>
        <w:bottom w:val="none" w:sz="0" w:space="0" w:color="auto"/>
        <w:right w:val="none" w:sz="0" w:space="0" w:color="auto"/>
      </w:divBdr>
    </w:div>
    <w:div w:id="1216240366">
      <w:bodyDiv w:val="1"/>
      <w:marLeft w:val="0"/>
      <w:marRight w:val="0"/>
      <w:marTop w:val="0"/>
      <w:marBottom w:val="0"/>
      <w:divBdr>
        <w:top w:val="none" w:sz="0" w:space="0" w:color="auto"/>
        <w:left w:val="none" w:sz="0" w:space="0" w:color="auto"/>
        <w:bottom w:val="none" w:sz="0" w:space="0" w:color="auto"/>
        <w:right w:val="none" w:sz="0" w:space="0" w:color="auto"/>
      </w:divBdr>
    </w:div>
    <w:div w:id="1217279834">
      <w:bodyDiv w:val="1"/>
      <w:marLeft w:val="0"/>
      <w:marRight w:val="0"/>
      <w:marTop w:val="0"/>
      <w:marBottom w:val="0"/>
      <w:divBdr>
        <w:top w:val="none" w:sz="0" w:space="0" w:color="auto"/>
        <w:left w:val="none" w:sz="0" w:space="0" w:color="auto"/>
        <w:bottom w:val="none" w:sz="0" w:space="0" w:color="auto"/>
        <w:right w:val="none" w:sz="0" w:space="0" w:color="auto"/>
      </w:divBdr>
    </w:div>
    <w:div w:id="1217353427">
      <w:bodyDiv w:val="1"/>
      <w:marLeft w:val="0"/>
      <w:marRight w:val="0"/>
      <w:marTop w:val="0"/>
      <w:marBottom w:val="0"/>
      <w:divBdr>
        <w:top w:val="none" w:sz="0" w:space="0" w:color="auto"/>
        <w:left w:val="none" w:sz="0" w:space="0" w:color="auto"/>
        <w:bottom w:val="none" w:sz="0" w:space="0" w:color="auto"/>
        <w:right w:val="none" w:sz="0" w:space="0" w:color="auto"/>
      </w:divBdr>
    </w:div>
    <w:div w:id="1217817165">
      <w:bodyDiv w:val="1"/>
      <w:marLeft w:val="0"/>
      <w:marRight w:val="0"/>
      <w:marTop w:val="0"/>
      <w:marBottom w:val="0"/>
      <w:divBdr>
        <w:top w:val="none" w:sz="0" w:space="0" w:color="auto"/>
        <w:left w:val="none" w:sz="0" w:space="0" w:color="auto"/>
        <w:bottom w:val="none" w:sz="0" w:space="0" w:color="auto"/>
        <w:right w:val="none" w:sz="0" w:space="0" w:color="auto"/>
      </w:divBdr>
    </w:div>
    <w:div w:id="1218974704">
      <w:bodyDiv w:val="1"/>
      <w:marLeft w:val="0"/>
      <w:marRight w:val="0"/>
      <w:marTop w:val="0"/>
      <w:marBottom w:val="0"/>
      <w:divBdr>
        <w:top w:val="none" w:sz="0" w:space="0" w:color="auto"/>
        <w:left w:val="none" w:sz="0" w:space="0" w:color="auto"/>
        <w:bottom w:val="none" w:sz="0" w:space="0" w:color="auto"/>
        <w:right w:val="none" w:sz="0" w:space="0" w:color="auto"/>
      </w:divBdr>
    </w:div>
    <w:div w:id="1219438505">
      <w:bodyDiv w:val="1"/>
      <w:marLeft w:val="0"/>
      <w:marRight w:val="0"/>
      <w:marTop w:val="0"/>
      <w:marBottom w:val="0"/>
      <w:divBdr>
        <w:top w:val="none" w:sz="0" w:space="0" w:color="auto"/>
        <w:left w:val="none" w:sz="0" w:space="0" w:color="auto"/>
        <w:bottom w:val="none" w:sz="0" w:space="0" w:color="auto"/>
        <w:right w:val="none" w:sz="0" w:space="0" w:color="auto"/>
      </w:divBdr>
    </w:div>
    <w:div w:id="1220097553">
      <w:bodyDiv w:val="1"/>
      <w:marLeft w:val="0"/>
      <w:marRight w:val="0"/>
      <w:marTop w:val="0"/>
      <w:marBottom w:val="0"/>
      <w:divBdr>
        <w:top w:val="none" w:sz="0" w:space="0" w:color="auto"/>
        <w:left w:val="none" w:sz="0" w:space="0" w:color="auto"/>
        <w:bottom w:val="none" w:sz="0" w:space="0" w:color="auto"/>
        <w:right w:val="none" w:sz="0" w:space="0" w:color="auto"/>
      </w:divBdr>
    </w:div>
    <w:div w:id="1220242896">
      <w:bodyDiv w:val="1"/>
      <w:marLeft w:val="0"/>
      <w:marRight w:val="0"/>
      <w:marTop w:val="0"/>
      <w:marBottom w:val="0"/>
      <w:divBdr>
        <w:top w:val="none" w:sz="0" w:space="0" w:color="auto"/>
        <w:left w:val="none" w:sz="0" w:space="0" w:color="auto"/>
        <w:bottom w:val="none" w:sz="0" w:space="0" w:color="auto"/>
        <w:right w:val="none" w:sz="0" w:space="0" w:color="auto"/>
      </w:divBdr>
    </w:div>
    <w:div w:id="1220822162">
      <w:bodyDiv w:val="1"/>
      <w:marLeft w:val="0"/>
      <w:marRight w:val="0"/>
      <w:marTop w:val="0"/>
      <w:marBottom w:val="0"/>
      <w:divBdr>
        <w:top w:val="none" w:sz="0" w:space="0" w:color="auto"/>
        <w:left w:val="none" w:sz="0" w:space="0" w:color="auto"/>
        <w:bottom w:val="none" w:sz="0" w:space="0" w:color="auto"/>
        <w:right w:val="none" w:sz="0" w:space="0" w:color="auto"/>
      </w:divBdr>
    </w:div>
    <w:div w:id="1222399200">
      <w:bodyDiv w:val="1"/>
      <w:marLeft w:val="0"/>
      <w:marRight w:val="0"/>
      <w:marTop w:val="0"/>
      <w:marBottom w:val="0"/>
      <w:divBdr>
        <w:top w:val="none" w:sz="0" w:space="0" w:color="auto"/>
        <w:left w:val="none" w:sz="0" w:space="0" w:color="auto"/>
        <w:bottom w:val="none" w:sz="0" w:space="0" w:color="auto"/>
        <w:right w:val="none" w:sz="0" w:space="0" w:color="auto"/>
      </w:divBdr>
    </w:div>
    <w:div w:id="1222406076">
      <w:bodyDiv w:val="1"/>
      <w:marLeft w:val="0"/>
      <w:marRight w:val="0"/>
      <w:marTop w:val="0"/>
      <w:marBottom w:val="0"/>
      <w:divBdr>
        <w:top w:val="none" w:sz="0" w:space="0" w:color="auto"/>
        <w:left w:val="none" w:sz="0" w:space="0" w:color="auto"/>
        <w:bottom w:val="none" w:sz="0" w:space="0" w:color="auto"/>
        <w:right w:val="none" w:sz="0" w:space="0" w:color="auto"/>
      </w:divBdr>
    </w:div>
    <w:div w:id="1222785952">
      <w:bodyDiv w:val="1"/>
      <w:marLeft w:val="0"/>
      <w:marRight w:val="0"/>
      <w:marTop w:val="0"/>
      <w:marBottom w:val="0"/>
      <w:divBdr>
        <w:top w:val="none" w:sz="0" w:space="0" w:color="auto"/>
        <w:left w:val="none" w:sz="0" w:space="0" w:color="auto"/>
        <w:bottom w:val="none" w:sz="0" w:space="0" w:color="auto"/>
        <w:right w:val="none" w:sz="0" w:space="0" w:color="auto"/>
      </w:divBdr>
    </w:div>
    <w:div w:id="1224372711">
      <w:bodyDiv w:val="1"/>
      <w:marLeft w:val="0"/>
      <w:marRight w:val="0"/>
      <w:marTop w:val="0"/>
      <w:marBottom w:val="0"/>
      <w:divBdr>
        <w:top w:val="none" w:sz="0" w:space="0" w:color="auto"/>
        <w:left w:val="none" w:sz="0" w:space="0" w:color="auto"/>
        <w:bottom w:val="none" w:sz="0" w:space="0" w:color="auto"/>
        <w:right w:val="none" w:sz="0" w:space="0" w:color="auto"/>
      </w:divBdr>
    </w:div>
    <w:div w:id="1224875974">
      <w:bodyDiv w:val="1"/>
      <w:marLeft w:val="0"/>
      <w:marRight w:val="0"/>
      <w:marTop w:val="0"/>
      <w:marBottom w:val="0"/>
      <w:divBdr>
        <w:top w:val="none" w:sz="0" w:space="0" w:color="auto"/>
        <w:left w:val="none" w:sz="0" w:space="0" w:color="auto"/>
        <w:bottom w:val="none" w:sz="0" w:space="0" w:color="auto"/>
        <w:right w:val="none" w:sz="0" w:space="0" w:color="auto"/>
      </w:divBdr>
    </w:div>
    <w:div w:id="1225261481">
      <w:bodyDiv w:val="1"/>
      <w:marLeft w:val="0"/>
      <w:marRight w:val="0"/>
      <w:marTop w:val="0"/>
      <w:marBottom w:val="0"/>
      <w:divBdr>
        <w:top w:val="none" w:sz="0" w:space="0" w:color="auto"/>
        <w:left w:val="none" w:sz="0" w:space="0" w:color="auto"/>
        <w:bottom w:val="none" w:sz="0" w:space="0" w:color="auto"/>
        <w:right w:val="none" w:sz="0" w:space="0" w:color="auto"/>
      </w:divBdr>
    </w:div>
    <w:div w:id="1226527665">
      <w:bodyDiv w:val="1"/>
      <w:marLeft w:val="0"/>
      <w:marRight w:val="0"/>
      <w:marTop w:val="0"/>
      <w:marBottom w:val="0"/>
      <w:divBdr>
        <w:top w:val="none" w:sz="0" w:space="0" w:color="auto"/>
        <w:left w:val="none" w:sz="0" w:space="0" w:color="auto"/>
        <w:bottom w:val="none" w:sz="0" w:space="0" w:color="auto"/>
        <w:right w:val="none" w:sz="0" w:space="0" w:color="auto"/>
      </w:divBdr>
    </w:div>
    <w:div w:id="1226575335">
      <w:bodyDiv w:val="1"/>
      <w:marLeft w:val="0"/>
      <w:marRight w:val="0"/>
      <w:marTop w:val="0"/>
      <w:marBottom w:val="0"/>
      <w:divBdr>
        <w:top w:val="none" w:sz="0" w:space="0" w:color="auto"/>
        <w:left w:val="none" w:sz="0" w:space="0" w:color="auto"/>
        <w:bottom w:val="none" w:sz="0" w:space="0" w:color="auto"/>
        <w:right w:val="none" w:sz="0" w:space="0" w:color="auto"/>
      </w:divBdr>
    </w:div>
    <w:div w:id="1227497424">
      <w:bodyDiv w:val="1"/>
      <w:marLeft w:val="0"/>
      <w:marRight w:val="0"/>
      <w:marTop w:val="0"/>
      <w:marBottom w:val="0"/>
      <w:divBdr>
        <w:top w:val="none" w:sz="0" w:space="0" w:color="auto"/>
        <w:left w:val="none" w:sz="0" w:space="0" w:color="auto"/>
        <w:bottom w:val="none" w:sz="0" w:space="0" w:color="auto"/>
        <w:right w:val="none" w:sz="0" w:space="0" w:color="auto"/>
      </w:divBdr>
    </w:div>
    <w:div w:id="1228146232">
      <w:bodyDiv w:val="1"/>
      <w:marLeft w:val="0"/>
      <w:marRight w:val="0"/>
      <w:marTop w:val="0"/>
      <w:marBottom w:val="0"/>
      <w:divBdr>
        <w:top w:val="none" w:sz="0" w:space="0" w:color="auto"/>
        <w:left w:val="none" w:sz="0" w:space="0" w:color="auto"/>
        <w:bottom w:val="none" w:sz="0" w:space="0" w:color="auto"/>
        <w:right w:val="none" w:sz="0" w:space="0" w:color="auto"/>
      </w:divBdr>
    </w:div>
    <w:div w:id="1228146537">
      <w:bodyDiv w:val="1"/>
      <w:marLeft w:val="0"/>
      <w:marRight w:val="0"/>
      <w:marTop w:val="0"/>
      <w:marBottom w:val="0"/>
      <w:divBdr>
        <w:top w:val="none" w:sz="0" w:space="0" w:color="auto"/>
        <w:left w:val="none" w:sz="0" w:space="0" w:color="auto"/>
        <w:bottom w:val="none" w:sz="0" w:space="0" w:color="auto"/>
        <w:right w:val="none" w:sz="0" w:space="0" w:color="auto"/>
      </w:divBdr>
    </w:div>
    <w:div w:id="1230535038">
      <w:bodyDiv w:val="1"/>
      <w:marLeft w:val="0"/>
      <w:marRight w:val="0"/>
      <w:marTop w:val="0"/>
      <w:marBottom w:val="0"/>
      <w:divBdr>
        <w:top w:val="none" w:sz="0" w:space="0" w:color="auto"/>
        <w:left w:val="none" w:sz="0" w:space="0" w:color="auto"/>
        <w:bottom w:val="none" w:sz="0" w:space="0" w:color="auto"/>
        <w:right w:val="none" w:sz="0" w:space="0" w:color="auto"/>
      </w:divBdr>
    </w:div>
    <w:div w:id="1230992362">
      <w:bodyDiv w:val="1"/>
      <w:marLeft w:val="0"/>
      <w:marRight w:val="0"/>
      <w:marTop w:val="0"/>
      <w:marBottom w:val="0"/>
      <w:divBdr>
        <w:top w:val="none" w:sz="0" w:space="0" w:color="auto"/>
        <w:left w:val="none" w:sz="0" w:space="0" w:color="auto"/>
        <w:bottom w:val="none" w:sz="0" w:space="0" w:color="auto"/>
        <w:right w:val="none" w:sz="0" w:space="0" w:color="auto"/>
      </w:divBdr>
    </w:div>
    <w:div w:id="1233195585">
      <w:bodyDiv w:val="1"/>
      <w:marLeft w:val="0"/>
      <w:marRight w:val="0"/>
      <w:marTop w:val="0"/>
      <w:marBottom w:val="0"/>
      <w:divBdr>
        <w:top w:val="none" w:sz="0" w:space="0" w:color="auto"/>
        <w:left w:val="none" w:sz="0" w:space="0" w:color="auto"/>
        <w:bottom w:val="none" w:sz="0" w:space="0" w:color="auto"/>
        <w:right w:val="none" w:sz="0" w:space="0" w:color="auto"/>
      </w:divBdr>
    </w:div>
    <w:div w:id="1233663833">
      <w:bodyDiv w:val="1"/>
      <w:marLeft w:val="0"/>
      <w:marRight w:val="0"/>
      <w:marTop w:val="0"/>
      <w:marBottom w:val="0"/>
      <w:divBdr>
        <w:top w:val="none" w:sz="0" w:space="0" w:color="auto"/>
        <w:left w:val="none" w:sz="0" w:space="0" w:color="auto"/>
        <w:bottom w:val="none" w:sz="0" w:space="0" w:color="auto"/>
        <w:right w:val="none" w:sz="0" w:space="0" w:color="auto"/>
      </w:divBdr>
    </w:div>
    <w:div w:id="1234319607">
      <w:bodyDiv w:val="1"/>
      <w:marLeft w:val="0"/>
      <w:marRight w:val="0"/>
      <w:marTop w:val="0"/>
      <w:marBottom w:val="0"/>
      <w:divBdr>
        <w:top w:val="none" w:sz="0" w:space="0" w:color="auto"/>
        <w:left w:val="none" w:sz="0" w:space="0" w:color="auto"/>
        <w:bottom w:val="none" w:sz="0" w:space="0" w:color="auto"/>
        <w:right w:val="none" w:sz="0" w:space="0" w:color="auto"/>
      </w:divBdr>
    </w:div>
    <w:div w:id="1234849960">
      <w:bodyDiv w:val="1"/>
      <w:marLeft w:val="0"/>
      <w:marRight w:val="0"/>
      <w:marTop w:val="0"/>
      <w:marBottom w:val="0"/>
      <w:divBdr>
        <w:top w:val="none" w:sz="0" w:space="0" w:color="auto"/>
        <w:left w:val="none" w:sz="0" w:space="0" w:color="auto"/>
        <w:bottom w:val="none" w:sz="0" w:space="0" w:color="auto"/>
        <w:right w:val="none" w:sz="0" w:space="0" w:color="auto"/>
      </w:divBdr>
    </w:div>
    <w:div w:id="1235240275">
      <w:bodyDiv w:val="1"/>
      <w:marLeft w:val="0"/>
      <w:marRight w:val="0"/>
      <w:marTop w:val="0"/>
      <w:marBottom w:val="0"/>
      <w:divBdr>
        <w:top w:val="none" w:sz="0" w:space="0" w:color="auto"/>
        <w:left w:val="none" w:sz="0" w:space="0" w:color="auto"/>
        <w:bottom w:val="none" w:sz="0" w:space="0" w:color="auto"/>
        <w:right w:val="none" w:sz="0" w:space="0" w:color="auto"/>
      </w:divBdr>
    </w:div>
    <w:div w:id="1236624762">
      <w:bodyDiv w:val="1"/>
      <w:marLeft w:val="0"/>
      <w:marRight w:val="0"/>
      <w:marTop w:val="0"/>
      <w:marBottom w:val="0"/>
      <w:divBdr>
        <w:top w:val="none" w:sz="0" w:space="0" w:color="auto"/>
        <w:left w:val="none" w:sz="0" w:space="0" w:color="auto"/>
        <w:bottom w:val="none" w:sz="0" w:space="0" w:color="auto"/>
        <w:right w:val="none" w:sz="0" w:space="0" w:color="auto"/>
      </w:divBdr>
    </w:div>
    <w:div w:id="1236816494">
      <w:bodyDiv w:val="1"/>
      <w:marLeft w:val="0"/>
      <w:marRight w:val="0"/>
      <w:marTop w:val="0"/>
      <w:marBottom w:val="0"/>
      <w:divBdr>
        <w:top w:val="none" w:sz="0" w:space="0" w:color="auto"/>
        <w:left w:val="none" w:sz="0" w:space="0" w:color="auto"/>
        <w:bottom w:val="none" w:sz="0" w:space="0" w:color="auto"/>
        <w:right w:val="none" w:sz="0" w:space="0" w:color="auto"/>
      </w:divBdr>
    </w:div>
    <w:div w:id="1239091972">
      <w:bodyDiv w:val="1"/>
      <w:marLeft w:val="0"/>
      <w:marRight w:val="0"/>
      <w:marTop w:val="0"/>
      <w:marBottom w:val="0"/>
      <w:divBdr>
        <w:top w:val="none" w:sz="0" w:space="0" w:color="auto"/>
        <w:left w:val="none" w:sz="0" w:space="0" w:color="auto"/>
        <w:bottom w:val="none" w:sz="0" w:space="0" w:color="auto"/>
        <w:right w:val="none" w:sz="0" w:space="0" w:color="auto"/>
      </w:divBdr>
    </w:div>
    <w:div w:id="1239632540">
      <w:bodyDiv w:val="1"/>
      <w:marLeft w:val="0"/>
      <w:marRight w:val="0"/>
      <w:marTop w:val="0"/>
      <w:marBottom w:val="0"/>
      <w:divBdr>
        <w:top w:val="none" w:sz="0" w:space="0" w:color="auto"/>
        <w:left w:val="none" w:sz="0" w:space="0" w:color="auto"/>
        <w:bottom w:val="none" w:sz="0" w:space="0" w:color="auto"/>
        <w:right w:val="none" w:sz="0" w:space="0" w:color="auto"/>
      </w:divBdr>
    </w:div>
    <w:div w:id="1239633977">
      <w:bodyDiv w:val="1"/>
      <w:marLeft w:val="0"/>
      <w:marRight w:val="0"/>
      <w:marTop w:val="0"/>
      <w:marBottom w:val="0"/>
      <w:divBdr>
        <w:top w:val="none" w:sz="0" w:space="0" w:color="auto"/>
        <w:left w:val="none" w:sz="0" w:space="0" w:color="auto"/>
        <w:bottom w:val="none" w:sz="0" w:space="0" w:color="auto"/>
        <w:right w:val="none" w:sz="0" w:space="0" w:color="auto"/>
      </w:divBdr>
    </w:div>
    <w:div w:id="1239824788">
      <w:bodyDiv w:val="1"/>
      <w:marLeft w:val="0"/>
      <w:marRight w:val="0"/>
      <w:marTop w:val="0"/>
      <w:marBottom w:val="0"/>
      <w:divBdr>
        <w:top w:val="none" w:sz="0" w:space="0" w:color="auto"/>
        <w:left w:val="none" w:sz="0" w:space="0" w:color="auto"/>
        <w:bottom w:val="none" w:sz="0" w:space="0" w:color="auto"/>
        <w:right w:val="none" w:sz="0" w:space="0" w:color="auto"/>
      </w:divBdr>
    </w:div>
    <w:div w:id="1239906633">
      <w:bodyDiv w:val="1"/>
      <w:marLeft w:val="0"/>
      <w:marRight w:val="0"/>
      <w:marTop w:val="0"/>
      <w:marBottom w:val="0"/>
      <w:divBdr>
        <w:top w:val="none" w:sz="0" w:space="0" w:color="auto"/>
        <w:left w:val="none" w:sz="0" w:space="0" w:color="auto"/>
        <w:bottom w:val="none" w:sz="0" w:space="0" w:color="auto"/>
        <w:right w:val="none" w:sz="0" w:space="0" w:color="auto"/>
      </w:divBdr>
    </w:div>
    <w:div w:id="1239941253">
      <w:bodyDiv w:val="1"/>
      <w:marLeft w:val="0"/>
      <w:marRight w:val="0"/>
      <w:marTop w:val="0"/>
      <w:marBottom w:val="0"/>
      <w:divBdr>
        <w:top w:val="none" w:sz="0" w:space="0" w:color="auto"/>
        <w:left w:val="none" w:sz="0" w:space="0" w:color="auto"/>
        <w:bottom w:val="none" w:sz="0" w:space="0" w:color="auto"/>
        <w:right w:val="none" w:sz="0" w:space="0" w:color="auto"/>
      </w:divBdr>
    </w:div>
    <w:div w:id="1241063462">
      <w:bodyDiv w:val="1"/>
      <w:marLeft w:val="0"/>
      <w:marRight w:val="0"/>
      <w:marTop w:val="0"/>
      <w:marBottom w:val="0"/>
      <w:divBdr>
        <w:top w:val="none" w:sz="0" w:space="0" w:color="auto"/>
        <w:left w:val="none" w:sz="0" w:space="0" w:color="auto"/>
        <w:bottom w:val="none" w:sz="0" w:space="0" w:color="auto"/>
        <w:right w:val="none" w:sz="0" w:space="0" w:color="auto"/>
      </w:divBdr>
    </w:div>
    <w:div w:id="1241331103">
      <w:bodyDiv w:val="1"/>
      <w:marLeft w:val="0"/>
      <w:marRight w:val="0"/>
      <w:marTop w:val="0"/>
      <w:marBottom w:val="0"/>
      <w:divBdr>
        <w:top w:val="none" w:sz="0" w:space="0" w:color="auto"/>
        <w:left w:val="none" w:sz="0" w:space="0" w:color="auto"/>
        <w:bottom w:val="none" w:sz="0" w:space="0" w:color="auto"/>
        <w:right w:val="none" w:sz="0" w:space="0" w:color="auto"/>
      </w:divBdr>
    </w:div>
    <w:div w:id="1241335272">
      <w:bodyDiv w:val="1"/>
      <w:marLeft w:val="0"/>
      <w:marRight w:val="0"/>
      <w:marTop w:val="0"/>
      <w:marBottom w:val="0"/>
      <w:divBdr>
        <w:top w:val="none" w:sz="0" w:space="0" w:color="auto"/>
        <w:left w:val="none" w:sz="0" w:space="0" w:color="auto"/>
        <w:bottom w:val="none" w:sz="0" w:space="0" w:color="auto"/>
        <w:right w:val="none" w:sz="0" w:space="0" w:color="auto"/>
      </w:divBdr>
    </w:div>
    <w:div w:id="1241717542">
      <w:bodyDiv w:val="1"/>
      <w:marLeft w:val="0"/>
      <w:marRight w:val="0"/>
      <w:marTop w:val="0"/>
      <w:marBottom w:val="0"/>
      <w:divBdr>
        <w:top w:val="none" w:sz="0" w:space="0" w:color="auto"/>
        <w:left w:val="none" w:sz="0" w:space="0" w:color="auto"/>
        <w:bottom w:val="none" w:sz="0" w:space="0" w:color="auto"/>
        <w:right w:val="none" w:sz="0" w:space="0" w:color="auto"/>
      </w:divBdr>
    </w:div>
    <w:div w:id="1242567551">
      <w:bodyDiv w:val="1"/>
      <w:marLeft w:val="0"/>
      <w:marRight w:val="0"/>
      <w:marTop w:val="0"/>
      <w:marBottom w:val="0"/>
      <w:divBdr>
        <w:top w:val="none" w:sz="0" w:space="0" w:color="auto"/>
        <w:left w:val="none" w:sz="0" w:space="0" w:color="auto"/>
        <w:bottom w:val="none" w:sz="0" w:space="0" w:color="auto"/>
        <w:right w:val="none" w:sz="0" w:space="0" w:color="auto"/>
      </w:divBdr>
    </w:div>
    <w:div w:id="1242712677">
      <w:bodyDiv w:val="1"/>
      <w:marLeft w:val="0"/>
      <w:marRight w:val="0"/>
      <w:marTop w:val="0"/>
      <w:marBottom w:val="0"/>
      <w:divBdr>
        <w:top w:val="none" w:sz="0" w:space="0" w:color="auto"/>
        <w:left w:val="none" w:sz="0" w:space="0" w:color="auto"/>
        <w:bottom w:val="none" w:sz="0" w:space="0" w:color="auto"/>
        <w:right w:val="none" w:sz="0" w:space="0" w:color="auto"/>
      </w:divBdr>
    </w:div>
    <w:div w:id="1242760255">
      <w:bodyDiv w:val="1"/>
      <w:marLeft w:val="0"/>
      <w:marRight w:val="0"/>
      <w:marTop w:val="0"/>
      <w:marBottom w:val="0"/>
      <w:divBdr>
        <w:top w:val="none" w:sz="0" w:space="0" w:color="auto"/>
        <w:left w:val="none" w:sz="0" w:space="0" w:color="auto"/>
        <w:bottom w:val="none" w:sz="0" w:space="0" w:color="auto"/>
        <w:right w:val="none" w:sz="0" w:space="0" w:color="auto"/>
      </w:divBdr>
    </w:div>
    <w:div w:id="1242762760">
      <w:bodyDiv w:val="1"/>
      <w:marLeft w:val="0"/>
      <w:marRight w:val="0"/>
      <w:marTop w:val="0"/>
      <w:marBottom w:val="0"/>
      <w:divBdr>
        <w:top w:val="none" w:sz="0" w:space="0" w:color="auto"/>
        <w:left w:val="none" w:sz="0" w:space="0" w:color="auto"/>
        <w:bottom w:val="none" w:sz="0" w:space="0" w:color="auto"/>
        <w:right w:val="none" w:sz="0" w:space="0" w:color="auto"/>
      </w:divBdr>
    </w:div>
    <w:div w:id="1242906921">
      <w:bodyDiv w:val="1"/>
      <w:marLeft w:val="0"/>
      <w:marRight w:val="0"/>
      <w:marTop w:val="0"/>
      <w:marBottom w:val="0"/>
      <w:divBdr>
        <w:top w:val="none" w:sz="0" w:space="0" w:color="auto"/>
        <w:left w:val="none" w:sz="0" w:space="0" w:color="auto"/>
        <w:bottom w:val="none" w:sz="0" w:space="0" w:color="auto"/>
        <w:right w:val="none" w:sz="0" w:space="0" w:color="auto"/>
      </w:divBdr>
    </w:div>
    <w:div w:id="1242909489">
      <w:bodyDiv w:val="1"/>
      <w:marLeft w:val="0"/>
      <w:marRight w:val="0"/>
      <w:marTop w:val="0"/>
      <w:marBottom w:val="0"/>
      <w:divBdr>
        <w:top w:val="none" w:sz="0" w:space="0" w:color="auto"/>
        <w:left w:val="none" w:sz="0" w:space="0" w:color="auto"/>
        <w:bottom w:val="none" w:sz="0" w:space="0" w:color="auto"/>
        <w:right w:val="none" w:sz="0" w:space="0" w:color="auto"/>
      </w:divBdr>
    </w:div>
    <w:div w:id="1243417054">
      <w:bodyDiv w:val="1"/>
      <w:marLeft w:val="0"/>
      <w:marRight w:val="0"/>
      <w:marTop w:val="0"/>
      <w:marBottom w:val="0"/>
      <w:divBdr>
        <w:top w:val="none" w:sz="0" w:space="0" w:color="auto"/>
        <w:left w:val="none" w:sz="0" w:space="0" w:color="auto"/>
        <w:bottom w:val="none" w:sz="0" w:space="0" w:color="auto"/>
        <w:right w:val="none" w:sz="0" w:space="0" w:color="auto"/>
      </w:divBdr>
    </w:div>
    <w:div w:id="1244341140">
      <w:bodyDiv w:val="1"/>
      <w:marLeft w:val="0"/>
      <w:marRight w:val="0"/>
      <w:marTop w:val="0"/>
      <w:marBottom w:val="0"/>
      <w:divBdr>
        <w:top w:val="none" w:sz="0" w:space="0" w:color="auto"/>
        <w:left w:val="none" w:sz="0" w:space="0" w:color="auto"/>
        <w:bottom w:val="none" w:sz="0" w:space="0" w:color="auto"/>
        <w:right w:val="none" w:sz="0" w:space="0" w:color="auto"/>
      </w:divBdr>
    </w:div>
    <w:div w:id="1244409510">
      <w:bodyDiv w:val="1"/>
      <w:marLeft w:val="0"/>
      <w:marRight w:val="0"/>
      <w:marTop w:val="0"/>
      <w:marBottom w:val="0"/>
      <w:divBdr>
        <w:top w:val="none" w:sz="0" w:space="0" w:color="auto"/>
        <w:left w:val="none" w:sz="0" w:space="0" w:color="auto"/>
        <w:bottom w:val="none" w:sz="0" w:space="0" w:color="auto"/>
        <w:right w:val="none" w:sz="0" w:space="0" w:color="auto"/>
      </w:divBdr>
    </w:div>
    <w:div w:id="1246648882">
      <w:bodyDiv w:val="1"/>
      <w:marLeft w:val="0"/>
      <w:marRight w:val="0"/>
      <w:marTop w:val="0"/>
      <w:marBottom w:val="0"/>
      <w:divBdr>
        <w:top w:val="none" w:sz="0" w:space="0" w:color="auto"/>
        <w:left w:val="none" w:sz="0" w:space="0" w:color="auto"/>
        <w:bottom w:val="none" w:sz="0" w:space="0" w:color="auto"/>
        <w:right w:val="none" w:sz="0" w:space="0" w:color="auto"/>
      </w:divBdr>
    </w:div>
    <w:div w:id="1246838887">
      <w:bodyDiv w:val="1"/>
      <w:marLeft w:val="0"/>
      <w:marRight w:val="0"/>
      <w:marTop w:val="0"/>
      <w:marBottom w:val="0"/>
      <w:divBdr>
        <w:top w:val="none" w:sz="0" w:space="0" w:color="auto"/>
        <w:left w:val="none" w:sz="0" w:space="0" w:color="auto"/>
        <w:bottom w:val="none" w:sz="0" w:space="0" w:color="auto"/>
        <w:right w:val="none" w:sz="0" w:space="0" w:color="auto"/>
      </w:divBdr>
    </w:div>
    <w:div w:id="1247346916">
      <w:bodyDiv w:val="1"/>
      <w:marLeft w:val="0"/>
      <w:marRight w:val="0"/>
      <w:marTop w:val="0"/>
      <w:marBottom w:val="0"/>
      <w:divBdr>
        <w:top w:val="none" w:sz="0" w:space="0" w:color="auto"/>
        <w:left w:val="none" w:sz="0" w:space="0" w:color="auto"/>
        <w:bottom w:val="none" w:sz="0" w:space="0" w:color="auto"/>
        <w:right w:val="none" w:sz="0" w:space="0" w:color="auto"/>
      </w:divBdr>
    </w:div>
    <w:div w:id="1247960931">
      <w:bodyDiv w:val="1"/>
      <w:marLeft w:val="0"/>
      <w:marRight w:val="0"/>
      <w:marTop w:val="0"/>
      <w:marBottom w:val="0"/>
      <w:divBdr>
        <w:top w:val="none" w:sz="0" w:space="0" w:color="auto"/>
        <w:left w:val="none" w:sz="0" w:space="0" w:color="auto"/>
        <w:bottom w:val="none" w:sz="0" w:space="0" w:color="auto"/>
        <w:right w:val="none" w:sz="0" w:space="0" w:color="auto"/>
      </w:divBdr>
    </w:div>
    <w:div w:id="1248078249">
      <w:bodyDiv w:val="1"/>
      <w:marLeft w:val="0"/>
      <w:marRight w:val="0"/>
      <w:marTop w:val="0"/>
      <w:marBottom w:val="0"/>
      <w:divBdr>
        <w:top w:val="none" w:sz="0" w:space="0" w:color="auto"/>
        <w:left w:val="none" w:sz="0" w:space="0" w:color="auto"/>
        <w:bottom w:val="none" w:sz="0" w:space="0" w:color="auto"/>
        <w:right w:val="none" w:sz="0" w:space="0" w:color="auto"/>
      </w:divBdr>
    </w:div>
    <w:div w:id="1248268686">
      <w:bodyDiv w:val="1"/>
      <w:marLeft w:val="0"/>
      <w:marRight w:val="0"/>
      <w:marTop w:val="0"/>
      <w:marBottom w:val="0"/>
      <w:divBdr>
        <w:top w:val="none" w:sz="0" w:space="0" w:color="auto"/>
        <w:left w:val="none" w:sz="0" w:space="0" w:color="auto"/>
        <w:bottom w:val="none" w:sz="0" w:space="0" w:color="auto"/>
        <w:right w:val="none" w:sz="0" w:space="0" w:color="auto"/>
      </w:divBdr>
    </w:div>
    <w:div w:id="1248342548">
      <w:bodyDiv w:val="1"/>
      <w:marLeft w:val="0"/>
      <w:marRight w:val="0"/>
      <w:marTop w:val="0"/>
      <w:marBottom w:val="0"/>
      <w:divBdr>
        <w:top w:val="none" w:sz="0" w:space="0" w:color="auto"/>
        <w:left w:val="none" w:sz="0" w:space="0" w:color="auto"/>
        <w:bottom w:val="none" w:sz="0" w:space="0" w:color="auto"/>
        <w:right w:val="none" w:sz="0" w:space="0" w:color="auto"/>
      </w:divBdr>
    </w:div>
    <w:div w:id="1248923246">
      <w:bodyDiv w:val="1"/>
      <w:marLeft w:val="0"/>
      <w:marRight w:val="0"/>
      <w:marTop w:val="0"/>
      <w:marBottom w:val="0"/>
      <w:divBdr>
        <w:top w:val="none" w:sz="0" w:space="0" w:color="auto"/>
        <w:left w:val="none" w:sz="0" w:space="0" w:color="auto"/>
        <w:bottom w:val="none" w:sz="0" w:space="0" w:color="auto"/>
        <w:right w:val="none" w:sz="0" w:space="0" w:color="auto"/>
      </w:divBdr>
    </w:div>
    <w:div w:id="1249732621">
      <w:bodyDiv w:val="1"/>
      <w:marLeft w:val="0"/>
      <w:marRight w:val="0"/>
      <w:marTop w:val="0"/>
      <w:marBottom w:val="0"/>
      <w:divBdr>
        <w:top w:val="none" w:sz="0" w:space="0" w:color="auto"/>
        <w:left w:val="none" w:sz="0" w:space="0" w:color="auto"/>
        <w:bottom w:val="none" w:sz="0" w:space="0" w:color="auto"/>
        <w:right w:val="none" w:sz="0" w:space="0" w:color="auto"/>
      </w:divBdr>
    </w:div>
    <w:div w:id="1250502010">
      <w:bodyDiv w:val="1"/>
      <w:marLeft w:val="0"/>
      <w:marRight w:val="0"/>
      <w:marTop w:val="0"/>
      <w:marBottom w:val="0"/>
      <w:divBdr>
        <w:top w:val="none" w:sz="0" w:space="0" w:color="auto"/>
        <w:left w:val="none" w:sz="0" w:space="0" w:color="auto"/>
        <w:bottom w:val="none" w:sz="0" w:space="0" w:color="auto"/>
        <w:right w:val="none" w:sz="0" w:space="0" w:color="auto"/>
      </w:divBdr>
    </w:div>
    <w:div w:id="1250887237">
      <w:bodyDiv w:val="1"/>
      <w:marLeft w:val="0"/>
      <w:marRight w:val="0"/>
      <w:marTop w:val="0"/>
      <w:marBottom w:val="0"/>
      <w:divBdr>
        <w:top w:val="none" w:sz="0" w:space="0" w:color="auto"/>
        <w:left w:val="none" w:sz="0" w:space="0" w:color="auto"/>
        <w:bottom w:val="none" w:sz="0" w:space="0" w:color="auto"/>
        <w:right w:val="none" w:sz="0" w:space="0" w:color="auto"/>
      </w:divBdr>
    </w:div>
    <w:div w:id="1250964003">
      <w:bodyDiv w:val="1"/>
      <w:marLeft w:val="0"/>
      <w:marRight w:val="0"/>
      <w:marTop w:val="0"/>
      <w:marBottom w:val="0"/>
      <w:divBdr>
        <w:top w:val="none" w:sz="0" w:space="0" w:color="auto"/>
        <w:left w:val="none" w:sz="0" w:space="0" w:color="auto"/>
        <w:bottom w:val="none" w:sz="0" w:space="0" w:color="auto"/>
        <w:right w:val="none" w:sz="0" w:space="0" w:color="auto"/>
      </w:divBdr>
    </w:div>
    <w:div w:id="1251040531">
      <w:bodyDiv w:val="1"/>
      <w:marLeft w:val="0"/>
      <w:marRight w:val="0"/>
      <w:marTop w:val="0"/>
      <w:marBottom w:val="0"/>
      <w:divBdr>
        <w:top w:val="none" w:sz="0" w:space="0" w:color="auto"/>
        <w:left w:val="none" w:sz="0" w:space="0" w:color="auto"/>
        <w:bottom w:val="none" w:sz="0" w:space="0" w:color="auto"/>
        <w:right w:val="none" w:sz="0" w:space="0" w:color="auto"/>
      </w:divBdr>
    </w:div>
    <w:div w:id="1251701123">
      <w:bodyDiv w:val="1"/>
      <w:marLeft w:val="0"/>
      <w:marRight w:val="0"/>
      <w:marTop w:val="0"/>
      <w:marBottom w:val="0"/>
      <w:divBdr>
        <w:top w:val="none" w:sz="0" w:space="0" w:color="auto"/>
        <w:left w:val="none" w:sz="0" w:space="0" w:color="auto"/>
        <w:bottom w:val="none" w:sz="0" w:space="0" w:color="auto"/>
        <w:right w:val="none" w:sz="0" w:space="0" w:color="auto"/>
      </w:divBdr>
    </w:div>
    <w:div w:id="1251966207">
      <w:bodyDiv w:val="1"/>
      <w:marLeft w:val="0"/>
      <w:marRight w:val="0"/>
      <w:marTop w:val="0"/>
      <w:marBottom w:val="0"/>
      <w:divBdr>
        <w:top w:val="none" w:sz="0" w:space="0" w:color="auto"/>
        <w:left w:val="none" w:sz="0" w:space="0" w:color="auto"/>
        <w:bottom w:val="none" w:sz="0" w:space="0" w:color="auto"/>
        <w:right w:val="none" w:sz="0" w:space="0" w:color="auto"/>
      </w:divBdr>
    </w:div>
    <w:div w:id="1252934325">
      <w:bodyDiv w:val="1"/>
      <w:marLeft w:val="0"/>
      <w:marRight w:val="0"/>
      <w:marTop w:val="0"/>
      <w:marBottom w:val="0"/>
      <w:divBdr>
        <w:top w:val="none" w:sz="0" w:space="0" w:color="auto"/>
        <w:left w:val="none" w:sz="0" w:space="0" w:color="auto"/>
        <w:bottom w:val="none" w:sz="0" w:space="0" w:color="auto"/>
        <w:right w:val="none" w:sz="0" w:space="0" w:color="auto"/>
      </w:divBdr>
    </w:div>
    <w:div w:id="1253248109">
      <w:bodyDiv w:val="1"/>
      <w:marLeft w:val="0"/>
      <w:marRight w:val="0"/>
      <w:marTop w:val="0"/>
      <w:marBottom w:val="0"/>
      <w:divBdr>
        <w:top w:val="none" w:sz="0" w:space="0" w:color="auto"/>
        <w:left w:val="none" w:sz="0" w:space="0" w:color="auto"/>
        <w:bottom w:val="none" w:sz="0" w:space="0" w:color="auto"/>
        <w:right w:val="none" w:sz="0" w:space="0" w:color="auto"/>
      </w:divBdr>
    </w:div>
    <w:div w:id="1254315691">
      <w:bodyDiv w:val="1"/>
      <w:marLeft w:val="0"/>
      <w:marRight w:val="0"/>
      <w:marTop w:val="0"/>
      <w:marBottom w:val="0"/>
      <w:divBdr>
        <w:top w:val="none" w:sz="0" w:space="0" w:color="auto"/>
        <w:left w:val="none" w:sz="0" w:space="0" w:color="auto"/>
        <w:bottom w:val="none" w:sz="0" w:space="0" w:color="auto"/>
        <w:right w:val="none" w:sz="0" w:space="0" w:color="auto"/>
      </w:divBdr>
    </w:div>
    <w:div w:id="1255016375">
      <w:bodyDiv w:val="1"/>
      <w:marLeft w:val="0"/>
      <w:marRight w:val="0"/>
      <w:marTop w:val="0"/>
      <w:marBottom w:val="0"/>
      <w:divBdr>
        <w:top w:val="none" w:sz="0" w:space="0" w:color="auto"/>
        <w:left w:val="none" w:sz="0" w:space="0" w:color="auto"/>
        <w:bottom w:val="none" w:sz="0" w:space="0" w:color="auto"/>
        <w:right w:val="none" w:sz="0" w:space="0" w:color="auto"/>
      </w:divBdr>
    </w:div>
    <w:div w:id="1255164186">
      <w:bodyDiv w:val="1"/>
      <w:marLeft w:val="0"/>
      <w:marRight w:val="0"/>
      <w:marTop w:val="0"/>
      <w:marBottom w:val="0"/>
      <w:divBdr>
        <w:top w:val="none" w:sz="0" w:space="0" w:color="auto"/>
        <w:left w:val="none" w:sz="0" w:space="0" w:color="auto"/>
        <w:bottom w:val="none" w:sz="0" w:space="0" w:color="auto"/>
        <w:right w:val="none" w:sz="0" w:space="0" w:color="auto"/>
      </w:divBdr>
    </w:div>
    <w:div w:id="1255553987">
      <w:bodyDiv w:val="1"/>
      <w:marLeft w:val="0"/>
      <w:marRight w:val="0"/>
      <w:marTop w:val="0"/>
      <w:marBottom w:val="0"/>
      <w:divBdr>
        <w:top w:val="none" w:sz="0" w:space="0" w:color="auto"/>
        <w:left w:val="none" w:sz="0" w:space="0" w:color="auto"/>
        <w:bottom w:val="none" w:sz="0" w:space="0" w:color="auto"/>
        <w:right w:val="none" w:sz="0" w:space="0" w:color="auto"/>
      </w:divBdr>
    </w:div>
    <w:div w:id="1256280325">
      <w:bodyDiv w:val="1"/>
      <w:marLeft w:val="0"/>
      <w:marRight w:val="0"/>
      <w:marTop w:val="0"/>
      <w:marBottom w:val="0"/>
      <w:divBdr>
        <w:top w:val="none" w:sz="0" w:space="0" w:color="auto"/>
        <w:left w:val="none" w:sz="0" w:space="0" w:color="auto"/>
        <w:bottom w:val="none" w:sz="0" w:space="0" w:color="auto"/>
        <w:right w:val="none" w:sz="0" w:space="0" w:color="auto"/>
      </w:divBdr>
    </w:div>
    <w:div w:id="1256523128">
      <w:bodyDiv w:val="1"/>
      <w:marLeft w:val="0"/>
      <w:marRight w:val="0"/>
      <w:marTop w:val="0"/>
      <w:marBottom w:val="0"/>
      <w:divBdr>
        <w:top w:val="none" w:sz="0" w:space="0" w:color="auto"/>
        <w:left w:val="none" w:sz="0" w:space="0" w:color="auto"/>
        <w:bottom w:val="none" w:sz="0" w:space="0" w:color="auto"/>
        <w:right w:val="none" w:sz="0" w:space="0" w:color="auto"/>
      </w:divBdr>
    </w:div>
    <w:div w:id="1257247785">
      <w:bodyDiv w:val="1"/>
      <w:marLeft w:val="0"/>
      <w:marRight w:val="0"/>
      <w:marTop w:val="0"/>
      <w:marBottom w:val="0"/>
      <w:divBdr>
        <w:top w:val="none" w:sz="0" w:space="0" w:color="auto"/>
        <w:left w:val="none" w:sz="0" w:space="0" w:color="auto"/>
        <w:bottom w:val="none" w:sz="0" w:space="0" w:color="auto"/>
        <w:right w:val="none" w:sz="0" w:space="0" w:color="auto"/>
      </w:divBdr>
    </w:div>
    <w:div w:id="1257440206">
      <w:bodyDiv w:val="1"/>
      <w:marLeft w:val="0"/>
      <w:marRight w:val="0"/>
      <w:marTop w:val="0"/>
      <w:marBottom w:val="0"/>
      <w:divBdr>
        <w:top w:val="none" w:sz="0" w:space="0" w:color="auto"/>
        <w:left w:val="none" w:sz="0" w:space="0" w:color="auto"/>
        <w:bottom w:val="none" w:sz="0" w:space="0" w:color="auto"/>
        <w:right w:val="none" w:sz="0" w:space="0" w:color="auto"/>
      </w:divBdr>
    </w:div>
    <w:div w:id="1257909313">
      <w:bodyDiv w:val="1"/>
      <w:marLeft w:val="0"/>
      <w:marRight w:val="0"/>
      <w:marTop w:val="0"/>
      <w:marBottom w:val="0"/>
      <w:divBdr>
        <w:top w:val="none" w:sz="0" w:space="0" w:color="auto"/>
        <w:left w:val="none" w:sz="0" w:space="0" w:color="auto"/>
        <w:bottom w:val="none" w:sz="0" w:space="0" w:color="auto"/>
        <w:right w:val="none" w:sz="0" w:space="0" w:color="auto"/>
      </w:divBdr>
    </w:div>
    <w:div w:id="1258058365">
      <w:bodyDiv w:val="1"/>
      <w:marLeft w:val="0"/>
      <w:marRight w:val="0"/>
      <w:marTop w:val="0"/>
      <w:marBottom w:val="0"/>
      <w:divBdr>
        <w:top w:val="none" w:sz="0" w:space="0" w:color="auto"/>
        <w:left w:val="none" w:sz="0" w:space="0" w:color="auto"/>
        <w:bottom w:val="none" w:sz="0" w:space="0" w:color="auto"/>
        <w:right w:val="none" w:sz="0" w:space="0" w:color="auto"/>
      </w:divBdr>
    </w:div>
    <w:div w:id="1258323916">
      <w:bodyDiv w:val="1"/>
      <w:marLeft w:val="0"/>
      <w:marRight w:val="0"/>
      <w:marTop w:val="0"/>
      <w:marBottom w:val="0"/>
      <w:divBdr>
        <w:top w:val="none" w:sz="0" w:space="0" w:color="auto"/>
        <w:left w:val="none" w:sz="0" w:space="0" w:color="auto"/>
        <w:bottom w:val="none" w:sz="0" w:space="0" w:color="auto"/>
        <w:right w:val="none" w:sz="0" w:space="0" w:color="auto"/>
      </w:divBdr>
    </w:div>
    <w:div w:id="1258371021">
      <w:bodyDiv w:val="1"/>
      <w:marLeft w:val="0"/>
      <w:marRight w:val="0"/>
      <w:marTop w:val="0"/>
      <w:marBottom w:val="0"/>
      <w:divBdr>
        <w:top w:val="none" w:sz="0" w:space="0" w:color="auto"/>
        <w:left w:val="none" w:sz="0" w:space="0" w:color="auto"/>
        <w:bottom w:val="none" w:sz="0" w:space="0" w:color="auto"/>
        <w:right w:val="none" w:sz="0" w:space="0" w:color="auto"/>
      </w:divBdr>
    </w:div>
    <w:div w:id="1258828121">
      <w:bodyDiv w:val="1"/>
      <w:marLeft w:val="0"/>
      <w:marRight w:val="0"/>
      <w:marTop w:val="0"/>
      <w:marBottom w:val="0"/>
      <w:divBdr>
        <w:top w:val="none" w:sz="0" w:space="0" w:color="auto"/>
        <w:left w:val="none" w:sz="0" w:space="0" w:color="auto"/>
        <w:bottom w:val="none" w:sz="0" w:space="0" w:color="auto"/>
        <w:right w:val="none" w:sz="0" w:space="0" w:color="auto"/>
      </w:divBdr>
    </w:div>
    <w:div w:id="1259219194">
      <w:bodyDiv w:val="1"/>
      <w:marLeft w:val="0"/>
      <w:marRight w:val="0"/>
      <w:marTop w:val="0"/>
      <w:marBottom w:val="0"/>
      <w:divBdr>
        <w:top w:val="none" w:sz="0" w:space="0" w:color="auto"/>
        <w:left w:val="none" w:sz="0" w:space="0" w:color="auto"/>
        <w:bottom w:val="none" w:sz="0" w:space="0" w:color="auto"/>
        <w:right w:val="none" w:sz="0" w:space="0" w:color="auto"/>
      </w:divBdr>
    </w:div>
    <w:div w:id="1259634685">
      <w:bodyDiv w:val="1"/>
      <w:marLeft w:val="0"/>
      <w:marRight w:val="0"/>
      <w:marTop w:val="0"/>
      <w:marBottom w:val="0"/>
      <w:divBdr>
        <w:top w:val="none" w:sz="0" w:space="0" w:color="auto"/>
        <w:left w:val="none" w:sz="0" w:space="0" w:color="auto"/>
        <w:bottom w:val="none" w:sz="0" w:space="0" w:color="auto"/>
        <w:right w:val="none" w:sz="0" w:space="0" w:color="auto"/>
      </w:divBdr>
    </w:div>
    <w:div w:id="1260022270">
      <w:bodyDiv w:val="1"/>
      <w:marLeft w:val="0"/>
      <w:marRight w:val="0"/>
      <w:marTop w:val="0"/>
      <w:marBottom w:val="0"/>
      <w:divBdr>
        <w:top w:val="none" w:sz="0" w:space="0" w:color="auto"/>
        <w:left w:val="none" w:sz="0" w:space="0" w:color="auto"/>
        <w:bottom w:val="none" w:sz="0" w:space="0" w:color="auto"/>
        <w:right w:val="none" w:sz="0" w:space="0" w:color="auto"/>
      </w:divBdr>
    </w:div>
    <w:div w:id="1260287662">
      <w:bodyDiv w:val="1"/>
      <w:marLeft w:val="0"/>
      <w:marRight w:val="0"/>
      <w:marTop w:val="0"/>
      <w:marBottom w:val="0"/>
      <w:divBdr>
        <w:top w:val="none" w:sz="0" w:space="0" w:color="auto"/>
        <w:left w:val="none" w:sz="0" w:space="0" w:color="auto"/>
        <w:bottom w:val="none" w:sz="0" w:space="0" w:color="auto"/>
        <w:right w:val="none" w:sz="0" w:space="0" w:color="auto"/>
      </w:divBdr>
    </w:div>
    <w:div w:id="1260988586">
      <w:bodyDiv w:val="1"/>
      <w:marLeft w:val="0"/>
      <w:marRight w:val="0"/>
      <w:marTop w:val="0"/>
      <w:marBottom w:val="0"/>
      <w:divBdr>
        <w:top w:val="none" w:sz="0" w:space="0" w:color="auto"/>
        <w:left w:val="none" w:sz="0" w:space="0" w:color="auto"/>
        <w:bottom w:val="none" w:sz="0" w:space="0" w:color="auto"/>
        <w:right w:val="none" w:sz="0" w:space="0" w:color="auto"/>
      </w:divBdr>
    </w:div>
    <w:div w:id="1261914476">
      <w:bodyDiv w:val="1"/>
      <w:marLeft w:val="0"/>
      <w:marRight w:val="0"/>
      <w:marTop w:val="0"/>
      <w:marBottom w:val="0"/>
      <w:divBdr>
        <w:top w:val="none" w:sz="0" w:space="0" w:color="auto"/>
        <w:left w:val="none" w:sz="0" w:space="0" w:color="auto"/>
        <w:bottom w:val="none" w:sz="0" w:space="0" w:color="auto"/>
        <w:right w:val="none" w:sz="0" w:space="0" w:color="auto"/>
      </w:divBdr>
    </w:div>
    <w:div w:id="1263682702">
      <w:bodyDiv w:val="1"/>
      <w:marLeft w:val="0"/>
      <w:marRight w:val="0"/>
      <w:marTop w:val="0"/>
      <w:marBottom w:val="0"/>
      <w:divBdr>
        <w:top w:val="none" w:sz="0" w:space="0" w:color="auto"/>
        <w:left w:val="none" w:sz="0" w:space="0" w:color="auto"/>
        <w:bottom w:val="none" w:sz="0" w:space="0" w:color="auto"/>
        <w:right w:val="none" w:sz="0" w:space="0" w:color="auto"/>
      </w:divBdr>
    </w:div>
    <w:div w:id="1264264870">
      <w:bodyDiv w:val="1"/>
      <w:marLeft w:val="0"/>
      <w:marRight w:val="0"/>
      <w:marTop w:val="0"/>
      <w:marBottom w:val="0"/>
      <w:divBdr>
        <w:top w:val="none" w:sz="0" w:space="0" w:color="auto"/>
        <w:left w:val="none" w:sz="0" w:space="0" w:color="auto"/>
        <w:bottom w:val="none" w:sz="0" w:space="0" w:color="auto"/>
        <w:right w:val="none" w:sz="0" w:space="0" w:color="auto"/>
      </w:divBdr>
    </w:div>
    <w:div w:id="1264386288">
      <w:bodyDiv w:val="1"/>
      <w:marLeft w:val="0"/>
      <w:marRight w:val="0"/>
      <w:marTop w:val="0"/>
      <w:marBottom w:val="0"/>
      <w:divBdr>
        <w:top w:val="none" w:sz="0" w:space="0" w:color="auto"/>
        <w:left w:val="none" w:sz="0" w:space="0" w:color="auto"/>
        <w:bottom w:val="none" w:sz="0" w:space="0" w:color="auto"/>
        <w:right w:val="none" w:sz="0" w:space="0" w:color="auto"/>
      </w:divBdr>
    </w:div>
    <w:div w:id="1265068491">
      <w:bodyDiv w:val="1"/>
      <w:marLeft w:val="0"/>
      <w:marRight w:val="0"/>
      <w:marTop w:val="0"/>
      <w:marBottom w:val="0"/>
      <w:divBdr>
        <w:top w:val="none" w:sz="0" w:space="0" w:color="auto"/>
        <w:left w:val="none" w:sz="0" w:space="0" w:color="auto"/>
        <w:bottom w:val="none" w:sz="0" w:space="0" w:color="auto"/>
        <w:right w:val="none" w:sz="0" w:space="0" w:color="auto"/>
      </w:divBdr>
    </w:div>
    <w:div w:id="1266035755">
      <w:bodyDiv w:val="1"/>
      <w:marLeft w:val="0"/>
      <w:marRight w:val="0"/>
      <w:marTop w:val="0"/>
      <w:marBottom w:val="0"/>
      <w:divBdr>
        <w:top w:val="none" w:sz="0" w:space="0" w:color="auto"/>
        <w:left w:val="none" w:sz="0" w:space="0" w:color="auto"/>
        <w:bottom w:val="none" w:sz="0" w:space="0" w:color="auto"/>
        <w:right w:val="none" w:sz="0" w:space="0" w:color="auto"/>
      </w:divBdr>
    </w:div>
    <w:div w:id="1266159497">
      <w:bodyDiv w:val="1"/>
      <w:marLeft w:val="0"/>
      <w:marRight w:val="0"/>
      <w:marTop w:val="0"/>
      <w:marBottom w:val="0"/>
      <w:divBdr>
        <w:top w:val="none" w:sz="0" w:space="0" w:color="auto"/>
        <w:left w:val="none" w:sz="0" w:space="0" w:color="auto"/>
        <w:bottom w:val="none" w:sz="0" w:space="0" w:color="auto"/>
        <w:right w:val="none" w:sz="0" w:space="0" w:color="auto"/>
      </w:divBdr>
    </w:div>
    <w:div w:id="1267076598">
      <w:bodyDiv w:val="1"/>
      <w:marLeft w:val="0"/>
      <w:marRight w:val="0"/>
      <w:marTop w:val="0"/>
      <w:marBottom w:val="0"/>
      <w:divBdr>
        <w:top w:val="none" w:sz="0" w:space="0" w:color="auto"/>
        <w:left w:val="none" w:sz="0" w:space="0" w:color="auto"/>
        <w:bottom w:val="none" w:sz="0" w:space="0" w:color="auto"/>
        <w:right w:val="none" w:sz="0" w:space="0" w:color="auto"/>
      </w:divBdr>
    </w:div>
    <w:div w:id="1267152611">
      <w:bodyDiv w:val="1"/>
      <w:marLeft w:val="0"/>
      <w:marRight w:val="0"/>
      <w:marTop w:val="0"/>
      <w:marBottom w:val="0"/>
      <w:divBdr>
        <w:top w:val="none" w:sz="0" w:space="0" w:color="auto"/>
        <w:left w:val="none" w:sz="0" w:space="0" w:color="auto"/>
        <w:bottom w:val="none" w:sz="0" w:space="0" w:color="auto"/>
        <w:right w:val="none" w:sz="0" w:space="0" w:color="auto"/>
      </w:divBdr>
    </w:div>
    <w:div w:id="1267469455">
      <w:bodyDiv w:val="1"/>
      <w:marLeft w:val="0"/>
      <w:marRight w:val="0"/>
      <w:marTop w:val="0"/>
      <w:marBottom w:val="0"/>
      <w:divBdr>
        <w:top w:val="none" w:sz="0" w:space="0" w:color="auto"/>
        <w:left w:val="none" w:sz="0" w:space="0" w:color="auto"/>
        <w:bottom w:val="none" w:sz="0" w:space="0" w:color="auto"/>
        <w:right w:val="none" w:sz="0" w:space="0" w:color="auto"/>
      </w:divBdr>
    </w:div>
    <w:div w:id="1267695181">
      <w:bodyDiv w:val="1"/>
      <w:marLeft w:val="0"/>
      <w:marRight w:val="0"/>
      <w:marTop w:val="0"/>
      <w:marBottom w:val="0"/>
      <w:divBdr>
        <w:top w:val="none" w:sz="0" w:space="0" w:color="auto"/>
        <w:left w:val="none" w:sz="0" w:space="0" w:color="auto"/>
        <w:bottom w:val="none" w:sz="0" w:space="0" w:color="auto"/>
        <w:right w:val="none" w:sz="0" w:space="0" w:color="auto"/>
      </w:divBdr>
    </w:div>
    <w:div w:id="1268465451">
      <w:bodyDiv w:val="1"/>
      <w:marLeft w:val="0"/>
      <w:marRight w:val="0"/>
      <w:marTop w:val="0"/>
      <w:marBottom w:val="0"/>
      <w:divBdr>
        <w:top w:val="none" w:sz="0" w:space="0" w:color="auto"/>
        <w:left w:val="none" w:sz="0" w:space="0" w:color="auto"/>
        <w:bottom w:val="none" w:sz="0" w:space="0" w:color="auto"/>
        <w:right w:val="none" w:sz="0" w:space="0" w:color="auto"/>
      </w:divBdr>
    </w:div>
    <w:div w:id="1269240269">
      <w:bodyDiv w:val="1"/>
      <w:marLeft w:val="0"/>
      <w:marRight w:val="0"/>
      <w:marTop w:val="0"/>
      <w:marBottom w:val="0"/>
      <w:divBdr>
        <w:top w:val="none" w:sz="0" w:space="0" w:color="auto"/>
        <w:left w:val="none" w:sz="0" w:space="0" w:color="auto"/>
        <w:bottom w:val="none" w:sz="0" w:space="0" w:color="auto"/>
        <w:right w:val="none" w:sz="0" w:space="0" w:color="auto"/>
      </w:divBdr>
    </w:div>
    <w:div w:id="1269511730">
      <w:bodyDiv w:val="1"/>
      <w:marLeft w:val="0"/>
      <w:marRight w:val="0"/>
      <w:marTop w:val="0"/>
      <w:marBottom w:val="0"/>
      <w:divBdr>
        <w:top w:val="none" w:sz="0" w:space="0" w:color="auto"/>
        <w:left w:val="none" w:sz="0" w:space="0" w:color="auto"/>
        <w:bottom w:val="none" w:sz="0" w:space="0" w:color="auto"/>
        <w:right w:val="none" w:sz="0" w:space="0" w:color="auto"/>
      </w:divBdr>
    </w:div>
    <w:div w:id="1270239725">
      <w:bodyDiv w:val="1"/>
      <w:marLeft w:val="0"/>
      <w:marRight w:val="0"/>
      <w:marTop w:val="0"/>
      <w:marBottom w:val="0"/>
      <w:divBdr>
        <w:top w:val="none" w:sz="0" w:space="0" w:color="auto"/>
        <w:left w:val="none" w:sz="0" w:space="0" w:color="auto"/>
        <w:bottom w:val="none" w:sz="0" w:space="0" w:color="auto"/>
        <w:right w:val="none" w:sz="0" w:space="0" w:color="auto"/>
      </w:divBdr>
    </w:div>
    <w:div w:id="1270553743">
      <w:bodyDiv w:val="1"/>
      <w:marLeft w:val="0"/>
      <w:marRight w:val="0"/>
      <w:marTop w:val="0"/>
      <w:marBottom w:val="0"/>
      <w:divBdr>
        <w:top w:val="none" w:sz="0" w:space="0" w:color="auto"/>
        <w:left w:val="none" w:sz="0" w:space="0" w:color="auto"/>
        <w:bottom w:val="none" w:sz="0" w:space="0" w:color="auto"/>
        <w:right w:val="none" w:sz="0" w:space="0" w:color="auto"/>
      </w:divBdr>
    </w:div>
    <w:div w:id="1270970597">
      <w:bodyDiv w:val="1"/>
      <w:marLeft w:val="0"/>
      <w:marRight w:val="0"/>
      <w:marTop w:val="0"/>
      <w:marBottom w:val="0"/>
      <w:divBdr>
        <w:top w:val="none" w:sz="0" w:space="0" w:color="auto"/>
        <w:left w:val="none" w:sz="0" w:space="0" w:color="auto"/>
        <w:bottom w:val="none" w:sz="0" w:space="0" w:color="auto"/>
        <w:right w:val="none" w:sz="0" w:space="0" w:color="auto"/>
      </w:divBdr>
    </w:div>
    <w:div w:id="1271937695">
      <w:bodyDiv w:val="1"/>
      <w:marLeft w:val="0"/>
      <w:marRight w:val="0"/>
      <w:marTop w:val="0"/>
      <w:marBottom w:val="0"/>
      <w:divBdr>
        <w:top w:val="none" w:sz="0" w:space="0" w:color="auto"/>
        <w:left w:val="none" w:sz="0" w:space="0" w:color="auto"/>
        <w:bottom w:val="none" w:sz="0" w:space="0" w:color="auto"/>
        <w:right w:val="none" w:sz="0" w:space="0" w:color="auto"/>
      </w:divBdr>
    </w:div>
    <w:div w:id="1273854520">
      <w:bodyDiv w:val="1"/>
      <w:marLeft w:val="0"/>
      <w:marRight w:val="0"/>
      <w:marTop w:val="0"/>
      <w:marBottom w:val="0"/>
      <w:divBdr>
        <w:top w:val="none" w:sz="0" w:space="0" w:color="auto"/>
        <w:left w:val="none" w:sz="0" w:space="0" w:color="auto"/>
        <w:bottom w:val="none" w:sz="0" w:space="0" w:color="auto"/>
        <w:right w:val="none" w:sz="0" w:space="0" w:color="auto"/>
      </w:divBdr>
    </w:div>
    <w:div w:id="1273902621">
      <w:bodyDiv w:val="1"/>
      <w:marLeft w:val="0"/>
      <w:marRight w:val="0"/>
      <w:marTop w:val="0"/>
      <w:marBottom w:val="0"/>
      <w:divBdr>
        <w:top w:val="none" w:sz="0" w:space="0" w:color="auto"/>
        <w:left w:val="none" w:sz="0" w:space="0" w:color="auto"/>
        <w:bottom w:val="none" w:sz="0" w:space="0" w:color="auto"/>
        <w:right w:val="none" w:sz="0" w:space="0" w:color="auto"/>
      </w:divBdr>
    </w:div>
    <w:div w:id="1274243616">
      <w:bodyDiv w:val="1"/>
      <w:marLeft w:val="0"/>
      <w:marRight w:val="0"/>
      <w:marTop w:val="0"/>
      <w:marBottom w:val="0"/>
      <w:divBdr>
        <w:top w:val="none" w:sz="0" w:space="0" w:color="auto"/>
        <w:left w:val="none" w:sz="0" w:space="0" w:color="auto"/>
        <w:bottom w:val="none" w:sz="0" w:space="0" w:color="auto"/>
        <w:right w:val="none" w:sz="0" w:space="0" w:color="auto"/>
      </w:divBdr>
    </w:div>
    <w:div w:id="1274439896">
      <w:bodyDiv w:val="1"/>
      <w:marLeft w:val="0"/>
      <w:marRight w:val="0"/>
      <w:marTop w:val="0"/>
      <w:marBottom w:val="0"/>
      <w:divBdr>
        <w:top w:val="none" w:sz="0" w:space="0" w:color="auto"/>
        <w:left w:val="none" w:sz="0" w:space="0" w:color="auto"/>
        <w:bottom w:val="none" w:sz="0" w:space="0" w:color="auto"/>
        <w:right w:val="none" w:sz="0" w:space="0" w:color="auto"/>
      </w:divBdr>
    </w:div>
    <w:div w:id="1275140098">
      <w:bodyDiv w:val="1"/>
      <w:marLeft w:val="0"/>
      <w:marRight w:val="0"/>
      <w:marTop w:val="0"/>
      <w:marBottom w:val="0"/>
      <w:divBdr>
        <w:top w:val="none" w:sz="0" w:space="0" w:color="auto"/>
        <w:left w:val="none" w:sz="0" w:space="0" w:color="auto"/>
        <w:bottom w:val="none" w:sz="0" w:space="0" w:color="auto"/>
        <w:right w:val="none" w:sz="0" w:space="0" w:color="auto"/>
      </w:divBdr>
    </w:div>
    <w:div w:id="1275557258">
      <w:bodyDiv w:val="1"/>
      <w:marLeft w:val="0"/>
      <w:marRight w:val="0"/>
      <w:marTop w:val="0"/>
      <w:marBottom w:val="0"/>
      <w:divBdr>
        <w:top w:val="none" w:sz="0" w:space="0" w:color="auto"/>
        <w:left w:val="none" w:sz="0" w:space="0" w:color="auto"/>
        <w:bottom w:val="none" w:sz="0" w:space="0" w:color="auto"/>
        <w:right w:val="none" w:sz="0" w:space="0" w:color="auto"/>
      </w:divBdr>
    </w:div>
    <w:div w:id="1275821016">
      <w:bodyDiv w:val="1"/>
      <w:marLeft w:val="0"/>
      <w:marRight w:val="0"/>
      <w:marTop w:val="0"/>
      <w:marBottom w:val="0"/>
      <w:divBdr>
        <w:top w:val="none" w:sz="0" w:space="0" w:color="auto"/>
        <w:left w:val="none" w:sz="0" w:space="0" w:color="auto"/>
        <w:bottom w:val="none" w:sz="0" w:space="0" w:color="auto"/>
        <w:right w:val="none" w:sz="0" w:space="0" w:color="auto"/>
      </w:divBdr>
    </w:div>
    <w:div w:id="1275944555">
      <w:bodyDiv w:val="1"/>
      <w:marLeft w:val="0"/>
      <w:marRight w:val="0"/>
      <w:marTop w:val="0"/>
      <w:marBottom w:val="0"/>
      <w:divBdr>
        <w:top w:val="none" w:sz="0" w:space="0" w:color="auto"/>
        <w:left w:val="none" w:sz="0" w:space="0" w:color="auto"/>
        <w:bottom w:val="none" w:sz="0" w:space="0" w:color="auto"/>
        <w:right w:val="none" w:sz="0" w:space="0" w:color="auto"/>
      </w:divBdr>
    </w:div>
    <w:div w:id="1276134778">
      <w:bodyDiv w:val="1"/>
      <w:marLeft w:val="0"/>
      <w:marRight w:val="0"/>
      <w:marTop w:val="0"/>
      <w:marBottom w:val="0"/>
      <w:divBdr>
        <w:top w:val="none" w:sz="0" w:space="0" w:color="auto"/>
        <w:left w:val="none" w:sz="0" w:space="0" w:color="auto"/>
        <w:bottom w:val="none" w:sz="0" w:space="0" w:color="auto"/>
        <w:right w:val="none" w:sz="0" w:space="0" w:color="auto"/>
      </w:divBdr>
    </w:div>
    <w:div w:id="1276526303">
      <w:bodyDiv w:val="1"/>
      <w:marLeft w:val="0"/>
      <w:marRight w:val="0"/>
      <w:marTop w:val="0"/>
      <w:marBottom w:val="0"/>
      <w:divBdr>
        <w:top w:val="none" w:sz="0" w:space="0" w:color="auto"/>
        <w:left w:val="none" w:sz="0" w:space="0" w:color="auto"/>
        <w:bottom w:val="none" w:sz="0" w:space="0" w:color="auto"/>
        <w:right w:val="none" w:sz="0" w:space="0" w:color="auto"/>
      </w:divBdr>
    </w:div>
    <w:div w:id="1276794762">
      <w:bodyDiv w:val="1"/>
      <w:marLeft w:val="0"/>
      <w:marRight w:val="0"/>
      <w:marTop w:val="0"/>
      <w:marBottom w:val="0"/>
      <w:divBdr>
        <w:top w:val="none" w:sz="0" w:space="0" w:color="auto"/>
        <w:left w:val="none" w:sz="0" w:space="0" w:color="auto"/>
        <w:bottom w:val="none" w:sz="0" w:space="0" w:color="auto"/>
        <w:right w:val="none" w:sz="0" w:space="0" w:color="auto"/>
      </w:divBdr>
    </w:div>
    <w:div w:id="1278607648">
      <w:bodyDiv w:val="1"/>
      <w:marLeft w:val="0"/>
      <w:marRight w:val="0"/>
      <w:marTop w:val="0"/>
      <w:marBottom w:val="0"/>
      <w:divBdr>
        <w:top w:val="none" w:sz="0" w:space="0" w:color="auto"/>
        <w:left w:val="none" w:sz="0" w:space="0" w:color="auto"/>
        <w:bottom w:val="none" w:sz="0" w:space="0" w:color="auto"/>
        <w:right w:val="none" w:sz="0" w:space="0" w:color="auto"/>
      </w:divBdr>
    </w:div>
    <w:div w:id="1278872368">
      <w:bodyDiv w:val="1"/>
      <w:marLeft w:val="0"/>
      <w:marRight w:val="0"/>
      <w:marTop w:val="0"/>
      <w:marBottom w:val="0"/>
      <w:divBdr>
        <w:top w:val="none" w:sz="0" w:space="0" w:color="auto"/>
        <w:left w:val="none" w:sz="0" w:space="0" w:color="auto"/>
        <w:bottom w:val="none" w:sz="0" w:space="0" w:color="auto"/>
        <w:right w:val="none" w:sz="0" w:space="0" w:color="auto"/>
      </w:divBdr>
    </w:div>
    <w:div w:id="1279022270">
      <w:bodyDiv w:val="1"/>
      <w:marLeft w:val="0"/>
      <w:marRight w:val="0"/>
      <w:marTop w:val="0"/>
      <w:marBottom w:val="0"/>
      <w:divBdr>
        <w:top w:val="none" w:sz="0" w:space="0" w:color="auto"/>
        <w:left w:val="none" w:sz="0" w:space="0" w:color="auto"/>
        <w:bottom w:val="none" w:sz="0" w:space="0" w:color="auto"/>
        <w:right w:val="none" w:sz="0" w:space="0" w:color="auto"/>
      </w:divBdr>
    </w:div>
    <w:div w:id="1279333491">
      <w:bodyDiv w:val="1"/>
      <w:marLeft w:val="0"/>
      <w:marRight w:val="0"/>
      <w:marTop w:val="0"/>
      <w:marBottom w:val="0"/>
      <w:divBdr>
        <w:top w:val="none" w:sz="0" w:space="0" w:color="auto"/>
        <w:left w:val="none" w:sz="0" w:space="0" w:color="auto"/>
        <w:bottom w:val="none" w:sz="0" w:space="0" w:color="auto"/>
        <w:right w:val="none" w:sz="0" w:space="0" w:color="auto"/>
      </w:divBdr>
    </w:div>
    <w:div w:id="1279986720">
      <w:bodyDiv w:val="1"/>
      <w:marLeft w:val="0"/>
      <w:marRight w:val="0"/>
      <w:marTop w:val="0"/>
      <w:marBottom w:val="0"/>
      <w:divBdr>
        <w:top w:val="none" w:sz="0" w:space="0" w:color="auto"/>
        <w:left w:val="none" w:sz="0" w:space="0" w:color="auto"/>
        <w:bottom w:val="none" w:sz="0" w:space="0" w:color="auto"/>
        <w:right w:val="none" w:sz="0" w:space="0" w:color="auto"/>
      </w:divBdr>
    </w:div>
    <w:div w:id="1279992537">
      <w:bodyDiv w:val="1"/>
      <w:marLeft w:val="0"/>
      <w:marRight w:val="0"/>
      <w:marTop w:val="0"/>
      <w:marBottom w:val="0"/>
      <w:divBdr>
        <w:top w:val="none" w:sz="0" w:space="0" w:color="auto"/>
        <w:left w:val="none" w:sz="0" w:space="0" w:color="auto"/>
        <w:bottom w:val="none" w:sz="0" w:space="0" w:color="auto"/>
        <w:right w:val="none" w:sz="0" w:space="0" w:color="auto"/>
      </w:divBdr>
    </w:div>
    <w:div w:id="1280643910">
      <w:bodyDiv w:val="1"/>
      <w:marLeft w:val="0"/>
      <w:marRight w:val="0"/>
      <w:marTop w:val="0"/>
      <w:marBottom w:val="0"/>
      <w:divBdr>
        <w:top w:val="none" w:sz="0" w:space="0" w:color="auto"/>
        <w:left w:val="none" w:sz="0" w:space="0" w:color="auto"/>
        <w:bottom w:val="none" w:sz="0" w:space="0" w:color="auto"/>
        <w:right w:val="none" w:sz="0" w:space="0" w:color="auto"/>
      </w:divBdr>
    </w:div>
    <w:div w:id="1281106459">
      <w:bodyDiv w:val="1"/>
      <w:marLeft w:val="0"/>
      <w:marRight w:val="0"/>
      <w:marTop w:val="0"/>
      <w:marBottom w:val="0"/>
      <w:divBdr>
        <w:top w:val="none" w:sz="0" w:space="0" w:color="auto"/>
        <w:left w:val="none" w:sz="0" w:space="0" w:color="auto"/>
        <w:bottom w:val="none" w:sz="0" w:space="0" w:color="auto"/>
        <w:right w:val="none" w:sz="0" w:space="0" w:color="auto"/>
      </w:divBdr>
    </w:div>
    <w:div w:id="1282567645">
      <w:bodyDiv w:val="1"/>
      <w:marLeft w:val="0"/>
      <w:marRight w:val="0"/>
      <w:marTop w:val="0"/>
      <w:marBottom w:val="0"/>
      <w:divBdr>
        <w:top w:val="none" w:sz="0" w:space="0" w:color="auto"/>
        <w:left w:val="none" w:sz="0" w:space="0" w:color="auto"/>
        <w:bottom w:val="none" w:sz="0" w:space="0" w:color="auto"/>
        <w:right w:val="none" w:sz="0" w:space="0" w:color="auto"/>
      </w:divBdr>
    </w:div>
    <w:div w:id="1282687671">
      <w:bodyDiv w:val="1"/>
      <w:marLeft w:val="0"/>
      <w:marRight w:val="0"/>
      <w:marTop w:val="0"/>
      <w:marBottom w:val="0"/>
      <w:divBdr>
        <w:top w:val="none" w:sz="0" w:space="0" w:color="auto"/>
        <w:left w:val="none" w:sz="0" w:space="0" w:color="auto"/>
        <w:bottom w:val="none" w:sz="0" w:space="0" w:color="auto"/>
        <w:right w:val="none" w:sz="0" w:space="0" w:color="auto"/>
      </w:divBdr>
    </w:div>
    <w:div w:id="1283999339">
      <w:bodyDiv w:val="1"/>
      <w:marLeft w:val="0"/>
      <w:marRight w:val="0"/>
      <w:marTop w:val="0"/>
      <w:marBottom w:val="0"/>
      <w:divBdr>
        <w:top w:val="none" w:sz="0" w:space="0" w:color="auto"/>
        <w:left w:val="none" w:sz="0" w:space="0" w:color="auto"/>
        <w:bottom w:val="none" w:sz="0" w:space="0" w:color="auto"/>
        <w:right w:val="none" w:sz="0" w:space="0" w:color="auto"/>
      </w:divBdr>
    </w:div>
    <w:div w:id="1284196494">
      <w:bodyDiv w:val="1"/>
      <w:marLeft w:val="0"/>
      <w:marRight w:val="0"/>
      <w:marTop w:val="0"/>
      <w:marBottom w:val="0"/>
      <w:divBdr>
        <w:top w:val="none" w:sz="0" w:space="0" w:color="auto"/>
        <w:left w:val="none" w:sz="0" w:space="0" w:color="auto"/>
        <w:bottom w:val="none" w:sz="0" w:space="0" w:color="auto"/>
        <w:right w:val="none" w:sz="0" w:space="0" w:color="auto"/>
      </w:divBdr>
    </w:div>
    <w:div w:id="1285162918">
      <w:bodyDiv w:val="1"/>
      <w:marLeft w:val="0"/>
      <w:marRight w:val="0"/>
      <w:marTop w:val="0"/>
      <w:marBottom w:val="0"/>
      <w:divBdr>
        <w:top w:val="none" w:sz="0" w:space="0" w:color="auto"/>
        <w:left w:val="none" w:sz="0" w:space="0" w:color="auto"/>
        <w:bottom w:val="none" w:sz="0" w:space="0" w:color="auto"/>
        <w:right w:val="none" w:sz="0" w:space="0" w:color="auto"/>
      </w:divBdr>
    </w:div>
    <w:div w:id="1286305492">
      <w:bodyDiv w:val="1"/>
      <w:marLeft w:val="0"/>
      <w:marRight w:val="0"/>
      <w:marTop w:val="0"/>
      <w:marBottom w:val="0"/>
      <w:divBdr>
        <w:top w:val="none" w:sz="0" w:space="0" w:color="auto"/>
        <w:left w:val="none" w:sz="0" w:space="0" w:color="auto"/>
        <w:bottom w:val="none" w:sz="0" w:space="0" w:color="auto"/>
        <w:right w:val="none" w:sz="0" w:space="0" w:color="auto"/>
      </w:divBdr>
    </w:div>
    <w:div w:id="1286353420">
      <w:bodyDiv w:val="1"/>
      <w:marLeft w:val="0"/>
      <w:marRight w:val="0"/>
      <w:marTop w:val="0"/>
      <w:marBottom w:val="0"/>
      <w:divBdr>
        <w:top w:val="none" w:sz="0" w:space="0" w:color="auto"/>
        <w:left w:val="none" w:sz="0" w:space="0" w:color="auto"/>
        <w:bottom w:val="none" w:sz="0" w:space="0" w:color="auto"/>
        <w:right w:val="none" w:sz="0" w:space="0" w:color="auto"/>
      </w:divBdr>
    </w:div>
    <w:div w:id="1286424244">
      <w:bodyDiv w:val="1"/>
      <w:marLeft w:val="0"/>
      <w:marRight w:val="0"/>
      <w:marTop w:val="0"/>
      <w:marBottom w:val="0"/>
      <w:divBdr>
        <w:top w:val="none" w:sz="0" w:space="0" w:color="auto"/>
        <w:left w:val="none" w:sz="0" w:space="0" w:color="auto"/>
        <w:bottom w:val="none" w:sz="0" w:space="0" w:color="auto"/>
        <w:right w:val="none" w:sz="0" w:space="0" w:color="auto"/>
      </w:divBdr>
    </w:div>
    <w:div w:id="1286742174">
      <w:bodyDiv w:val="1"/>
      <w:marLeft w:val="0"/>
      <w:marRight w:val="0"/>
      <w:marTop w:val="0"/>
      <w:marBottom w:val="0"/>
      <w:divBdr>
        <w:top w:val="none" w:sz="0" w:space="0" w:color="auto"/>
        <w:left w:val="none" w:sz="0" w:space="0" w:color="auto"/>
        <w:bottom w:val="none" w:sz="0" w:space="0" w:color="auto"/>
        <w:right w:val="none" w:sz="0" w:space="0" w:color="auto"/>
      </w:divBdr>
    </w:div>
    <w:div w:id="1289242563">
      <w:bodyDiv w:val="1"/>
      <w:marLeft w:val="0"/>
      <w:marRight w:val="0"/>
      <w:marTop w:val="0"/>
      <w:marBottom w:val="0"/>
      <w:divBdr>
        <w:top w:val="none" w:sz="0" w:space="0" w:color="auto"/>
        <w:left w:val="none" w:sz="0" w:space="0" w:color="auto"/>
        <w:bottom w:val="none" w:sz="0" w:space="0" w:color="auto"/>
        <w:right w:val="none" w:sz="0" w:space="0" w:color="auto"/>
      </w:divBdr>
    </w:div>
    <w:div w:id="1289707117">
      <w:bodyDiv w:val="1"/>
      <w:marLeft w:val="0"/>
      <w:marRight w:val="0"/>
      <w:marTop w:val="0"/>
      <w:marBottom w:val="0"/>
      <w:divBdr>
        <w:top w:val="none" w:sz="0" w:space="0" w:color="auto"/>
        <w:left w:val="none" w:sz="0" w:space="0" w:color="auto"/>
        <w:bottom w:val="none" w:sz="0" w:space="0" w:color="auto"/>
        <w:right w:val="none" w:sz="0" w:space="0" w:color="auto"/>
      </w:divBdr>
    </w:div>
    <w:div w:id="1290209337">
      <w:bodyDiv w:val="1"/>
      <w:marLeft w:val="0"/>
      <w:marRight w:val="0"/>
      <w:marTop w:val="0"/>
      <w:marBottom w:val="0"/>
      <w:divBdr>
        <w:top w:val="none" w:sz="0" w:space="0" w:color="auto"/>
        <w:left w:val="none" w:sz="0" w:space="0" w:color="auto"/>
        <w:bottom w:val="none" w:sz="0" w:space="0" w:color="auto"/>
        <w:right w:val="none" w:sz="0" w:space="0" w:color="auto"/>
      </w:divBdr>
    </w:div>
    <w:div w:id="1290666659">
      <w:bodyDiv w:val="1"/>
      <w:marLeft w:val="0"/>
      <w:marRight w:val="0"/>
      <w:marTop w:val="0"/>
      <w:marBottom w:val="0"/>
      <w:divBdr>
        <w:top w:val="none" w:sz="0" w:space="0" w:color="auto"/>
        <w:left w:val="none" w:sz="0" w:space="0" w:color="auto"/>
        <w:bottom w:val="none" w:sz="0" w:space="0" w:color="auto"/>
        <w:right w:val="none" w:sz="0" w:space="0" w:color="auto"/>
      </w:divBdr>
    </w:div>
    <w:div w:id="1290669342">
      <w:bodyDiv w:val="1"/>
      <w:marLeft w:val="0"/>
      <w:marRight w:val="0"/>
      <w:marTop w:val="0"/>
      <w:marBottom w:val="0"/>
      <w:divBdr>
        <w:top w:val="none" w:sz="0" w:space="0" w:color="auto"/>
        <w:left w:val="none" w:sz="0" w:space="0" w:color="auto"/>
        <w:bottom w:val="none" w:sz="0" w:space="0" w:color="auto"/>
        <w:right w:val="none" w:sz="0" w:space="0" w:color="auto"/>
      </w:divBdr>
    </w:div>
    <w:div w:id="1291016598">
      <w:bodyDiv w:val="1"/>
      <w:marLeft w:val="0"/>
      <w:marRight w:val="0"/>
      <w:marTop w:val="0"/>
      <w:marBottom w:val="0"/>
      <w:divBdr>
        <w:top w:val="none" w:sz="0" w:space="0" w:color="auto"/>
        <w:left w:val="none" w:sz="0" w:space="0" w:color="auto"/>
        <w:bottom w:val="none" w:sz="0" w:space="0" w:color="auto"/>
        <w:right w:val="none" w:sz="0" w:space="0" w:color="auto"/>
      </w:divBdr>
    </w:div>
    <w:div w:id="1291471439">
      <w:bodyDiv w:val="1"/>
      <w:marLeft w:val="0"/>
      <w:marRight w:val="0"/>
      <w:marTop w:val="0"/>
      <w:marBottom w:val="0"/>
      <w:divBdr>
        <w:top w:val="none" w:sz="0" w:space="0" w:color="auto"/>
        <w:left w:val="none" w:sz="0" w:space="0" w:color="auto"/>
        <w:bottom w:val="none" w:sz="0" w:space="0" w:color="auto"/>
        <w:right w:val="none" w:sz="0" w:space="0" w:color="auto"/>
      </w:divBdr>
    </w:div>
    <w:div w:id="1292173329">
      <w:bodyDiv w:val="1"/>
      <w:marLeft w:val="0"/>
      <w:marRight w:val="0"/>
      <w:marTop w:val="0"/>
      <w:marBottom w:val="0"/>
      <w:divBdr>
        <w:top w:val="none" w:sz="0" w:space="0" w:color="auto"/>
        <w:left w:val="none" w:sz="0" w:space="0" w:color="auto"/>
        <w:bottom w:val="none" w:sz="0" w:space="0" w:color="auto"/>
        <w:right w:val="none" w:sz="0" w:space="0" w:color="auto"/>
      </w:divBdr>
    </w:div>
    <w:div w:id="1293250266">
      <w:bodyDiv w:val="1"/>
      <w:marLeft w:val="0"/>
      <w:marRight w:val="0"/>
      <w:marTop w:val="0"/>
      <w:marBottom w:val="0"/>
      <w:divBdr>
        <w:top w:val="none" w:sz="0" w:space="0" w:color="auto"/>
        <w:left w:val="none" w:sz="0" w:space="0" w:color="auto"/>
        <w:bottom w:val="none" w:sz="0" w:space="0" w:color="auto"/>
        <w:right w:val="none" w:sz="0" w:space="0" w:color="auto"/>
      </w:divBdr>
    </w:div>
    <w:div w:id="1293560000">
      <w:bodyDiv w:val="1"/>
      <w:marLeft w:val="0"/>
      <w:marRight w:val="0"/>
      <w:marTop w:val="0"/>
      <w:marBottom w:val="0"/>
      <w:divBdr>
        <w:top w:val="none" w:sz="0" w:space="0" w:color="auto"/>
        <w:left w:val="none" w:sz="0" w:space="0" w:color="auto"/>
        <w:bottom w:val="none" w:sz="0" w:space="0" w:color="auto"/>
        <w:right w:val="none" w:sz="0" w:space="0" w:color="auto"/>
      </w:divBdr>
    </w:div>
    <w:div w:id="1293629374">
      <w:bodyDiv w:val="1"/>
      <w:marLeft w:val="0"/>
      <w:marRight w:val="0"/>
      <w:marTop w:val="0"/>
      <w:marBottom w:val="0"/>
      <w:divBdr>
        <w:top w:val="none" w:sz="0" w:space="0" w:color="auto"/>
        <w:left w:val="none" w:sz="0" w:space="0" w:color="auto"/>
        <w:bottom w:val="none" w:sz="0" w:space="0" w:color="auto"/>
        <w:right w:val="none" w:sz="0" w:space="0" w:color="auto"/>
      </w:divBdr>
    </w:div>
    <w:div w:id="1294602408">
      <w:bodyDiv w:val="1"/>
      <w:marLeft w:val="0"/>
      <w:marRight w:val="0"/>
      <w:marTop w:val="0"/>
      <w:marBottom w:val="0"/>
      <w:divBdr>
        <w:top w:val="none" w:sz="0" w:space="0" w:color="auto"/>
        <w:left w:val="none" w:sz="0" w:space="0" w:color="auto"/>
        <w:bottom w:val="none" w:sz="0" w:space="0" w:color="auto"/>
        <w:right w:val="none" w:sz="0" w:space="0" w:color="auto"/>
      </w:divBdr>
    </w:div>
    <w:div w:id="1295141168">
      <w:bodyDiv w:val="1"/>
      <w:marLeft w:val="0"/>
      <w:marRight w:val="0"/>
      <w:marTop w:val="0"/>
      <w:marBottom w:val="0"/>
      <w:divBdr>
        <w:top w:val="none" w:sz="0" w:space="0" w:color="auto"/>
        <w:left w:val="none" w:sz="0" w:space="0" w:color="auto"/>
        <w:bottom w:val="none" w:sz="0" w:space="0" w:color="auto"/>
        <w:right w:val="none" w:sz="0" w:space="0" w:color="auto"/>
      </w:divBdr>
    </w:div>
    <w:div w:id="1295597463">
      <w:bodyDiv w:val="1"/>
      <w:marLeft w:val="0"/>
      <w:marRight w:val="0"/>
      <w:marTop w:val="0"/>
      <w:marBottom w:val="0"/>
      <w:divBdr>
        <w:top w:val="none" w:sz="0" w:space="0" w:color="auto"/>
        <w:left w:val="none" w:sz="0" w:space="0" w:color="auto"/>
        <w:bottom w:val="none" w:sz="0" w:space="0" w:color="auto"/>
        <w:right w:val="none" w:sz="0" w:space="0" w:color="auto"/>
      </w:divBdr>
    </w:div>
    <w:div w:id="1295714386">
      <w:bodyDiv w:val="1"/>
      <w:marLeft w:val="0"/>
      <w:marRight w:val="0"/>
      <w:marTop w:val="0"/>
      <w:marBottom w:val="0"/>
      <w:divBdr>
        <w:top w:val="none" w:sz="0" w:space="0" w:color="auto"/>
        <w:left w:val="none" w:sz="0" w:space="0" w:color="auto"/>
        <w:bottom w:val="none" w:sz="0" w:space="0" w:color="auto"/>
        <w:right w:val="none" w:sz="0" w:space="0" w:color="auto"/>
      </w:divBdr>
    </w:div>
    <w:div w:id="1295715415">
      <w:bodyDiv w:val="1"/>
      <w:marLeft w:val="0"/>
      <w:marRight w:val="0"/>
      <w:marTop w:val="0"/>
      <w:marBottom w:val="0"/>
      <w:divBdr>
        <w:top w:val="none" w:sz="0" w:space="0" w:color="auto"/>
        <w:left w:val="none" w:sz="0" w:space="0" w:color="auto"/>
        <w:bottom w:val="none" w:sz="0" w:space="0" w:color="auto"/>
        <w:right w:val="none" w:sz="0" w:space="0" w:color="auto"/>
      </w:divBdr>
    </w:div>
    <w:div w:id="1296326469">
      <w:bodyDiv w:val="1"/>
      <w:marLeft w:val="0"/>
      <w:marRight w:val="0"/>
      <w:marTop w:val="0"/>
      <w:marBottom w:val="0"/>
      <w:divBdr>
        <w:top w:val="none" w:sz="0" w:space="0" w:color="auto"/>
        <w:left w:val="none" w:sz="0" w:space="0" w:color="auto"/>
        <w:bottom w:val="none" w:sz="0" w:space="0" w:color="auto"/>
        <w:right w:val="none" w:sz="0" w:space="0" w:color="auto"/>
      </w:divBdr>
    </w:div>
    <w:div w:id="1297565776">
      <w:bodyDiv w:val="1"/>
      <w:marLeft w:val="0"/>
      <w:marRight w:val="0"/>
      <w:marTop w:val="0"/>
      <w:marBottom w:val="0"/>
      <w:divBdr>
        <w:top w:val="none" w:sz="0" w:space="0" w:color="auto"/>
        <w:left w:val="none" w:sz="0" w:space="0" w:color="auto"/>
        <w:bottom w:val="none" w:sz="0" w:space="0" w:color="auto"/>
        <w:right w:val="none" w:sz="0" w:space="0" w:color="auto"/>
      </w:divBdr>
    </w:div>
    <w:div w:id="1297683932">
      <w:bodyDiv w:val="1"/>
      <w:marLeft w:val="0"/>
      <w:marRight w:val="0"/>
      <w:marTop w:val="0"/>
      <w:marBottom w:val="0"/>
      <w:divBdr>
        <w:top w:val="none" w:sz="0" w:space="0" w:color="auto"/>
        <w:left w:val="none" w:sz="0" w:space="0" w:color="auto"/>
        <w:bottom w:val="none" w:sz="0" w:space="0" w:color="auto"/>
        <w:right w:val="none" w:sz="0" w:space="0" w:color="auto"/>
      </w:divBdr>
    </w:div>
    <w:div w:id="1297762342">
      <w:bodyDiv w:val="1"/>
      <w:marLeft w:val="0"/>
      <w:marRight w:val="0"/>
      <w:marTop w:val="0"/>
      <w:marBottom w:val="0"/>
      <w:divBdr>
        <w:top w:val="none" w:sz="0" w:space="0" w:color="auto"/>
        <w:left w:val="none" w:sz="0" w:space="0" w:color="auto"/>
        <w:bottom w:val="none" w:sz="0" w:space="0" w:color="auto"/>
        <w:right w:val="none" w:sz="0" w:space="0" w:color="auto"/>
      </w:divBdr>
    </w:div>
    <w:div w:id="1298533052">
      <w:bodyDiv w:val="1"/>
      <w:marLeft w:val="0"/>
      <w:marRight w:val="0"/>
      <w:marTop w:val="0"/>
      <w:marBottom w:val="0"/>
      <w:divBdr>
        <w:top w:val="none" w:sz="0" w:space="0" w:color="auto"/>
        <w:left w:val="none" w:sz="0" w:space="0" w:color="auto"/>
        <w:bottom w:val="none" w:sz="0" w:space="0" w:color="auto"/>
        <w:right w:val="none" w:sz="0" w:space="0" w:color="auto"/>
      </w:divBdr>
    </w:div>
    <w:div w:id="1298756594">
      <w:bodyDiv w:val="1"/>
      <w:marLeft w:val="0"/>
      <w:marRight w:val="0"/>
      <w:marTop w:val="0"/>
      <w:marBottom w:val="0"/>
      <w:divBdr>
        <w:top w:val="none" w:sz="0" w:space="0" w:color="auto"/>
        <w:left w:val="none" w:sz="0" w:space="0" w:color="auto"/>
        <w:bottom w:val="none" w:sz="0" w:space="0" w:color="auto"/>
        <w:right w:val="none" w:sz="0" w:space="0" w:color="auto"/>
      </w:divBdr>
    </w:div>
    <w:div w:id="1298876274">
      <w:bodyDiv w:val="1"/>
      <w:marLeft w:val="0"/>
      <w:marRight w:val="0"/>
      <w:marTop w:val="0"/>
      <w:marBottom w:val="0"/>
      <w:divBdr>
        <w:top w:val="none" w:sz="0" w:space="0" w:color="auto"/>
        <w:left w:val="none" w:sz="0" w:space="0" w:color="auto"/>
        <w:bottom w:val="none" w:sz="0" w:space="0" w:color="auto"/>
        <w:right w:val="none" w:sz="0" w:space="0" w:color="auto"/>
      </w:divBdr>
    </w:div>
    <w:div w:id="1300261346">
      <w:bodyDiv w:val="1"/>
      <w:marLeft w:val="0"/>
      <w:marRight w:val="0"/>
      <w:marTop w:val="0"/>
      <w:marBottom w:val="0"/>
      <w:divBdr>
        <w:top w:val="none" w:sz="0" w:space="0" w:color="auto"/>
        <w:left w:val="none" w:sz="0" w:space="0" w:color="auto"/>
        <w:bottom w:val="none" w:sz="0" w:space="0" w:color="auto"/>
        <w:right w:val="none" w:sz="0" w:space="0" w:color="auto"/>
      </w:divBdr>
    </w:div>
    <w:div w:id="1300383272">
      <w:bodyDiv w:val="1"/>
      <w:marLeft w:val="0"/>
      <w:marRight w:val="0"/>
      <w:marTop w:val="0"/>
      <w:marBottom w:val="0"/>
      <w:divBdr>
        <w:top w:val="none" w:sz="0" w:space="0" w:color="auto"/>
        <w:left w:val="none" w:sz="0" w:space="0" w:color="auto"/>
        <w:bottom w:val="none" w:sz="0" w:space="0" w:color="auto"/>
        <w:right w:val="none" w:sz="0" w:space="0" w:color="auto"/>
      </w:divBdr>
    </w:div>
    <w:div w:id="1301495929">
      <w:bodyDiv w:val="1"/>
      <w:marLeft w:val="0"/>
      <w:marRight w:val="0"/>
      <w:marTop w:val="0"/>
      <w:marBottom w:val="0"/>
      <w:divBdr>
        <w:top w:val="none" w:sz="0" w:space="0" w:color="auto"/>
        <w:left w:val="none" w:sz="0" w:space="0" w:color="auto"/>
        <w:bottom w:val="none" w:sz="0" w:space="0" w:color="auto"/>
        <w:right w:val="none" w:sz="0" w:space="0" w:color="auto"/>
      </w:divBdr>
    </w:div>
    <w:div w:id="1301888542">
      <w:bodyDiv w:val="1"/>
      <w:marLeft w:val="0"/>
      <w:marRight w:val="0"/>
      <w:marTop w:val="0"/>
      <w:marBottom w:val="0"/>
      <w:divBdr>
        <w:top w:val="none" w:sz="0" w:space="0" w:color="auto"/>
        <w:left w:val="none" w:sz="0" w:space="0" w:color="auto"/>
        <w:bottom w:val="none" w:sz="0" w:space="0" w:color="auto"/>
        <w:right w:val="none" w:sz="0" w:space="0" w:color="auto"/>
      </w:divBdr>
    </w:div>
    <w:div w:id="1302687065">
      <w:bodyDiv w:val="1"/>
      <w:marLeft w:val="0"/>
      <w:marRight w:val="0"/>
      <w:marTop w:val="0"/>
      <w:marBottom w:val="0"/>
      <w:divBdr>
        <w:top w:val="none" w:sz="0" w:space="0" w:color="auto"/>
        <w:left w:val="none" w:sz="0" w:space="0" w:color="auto"/>
        <w:bottom w:val="none" w:sz="0" w:space="0" w:color="auto"/>
        <w:right w:val="none" w:sz="0" w:space="0" w:color="auto"/>
      </w:divBdr>
    </w:div>
    <w:div w:id="1302691448">
      <w:bodyDiv w:val="1"/>
      <w:marLeft w:val="0"/>
      <w:marRight w:val="0"/>
      <w:marTop w:val="0"/>
      <w:marBottom w:val="0"/>
      <w:divBdr>
        <w:top w:val="none" w:sz="0" w:space="0" w:color="auto"/>
        <w:left w:val="none" w:sz="0" w:space="0" w:color="auto"/>
        <w:bottom w:val="none" w:sz="0" w:space="0" w:color="auto"/>
        <w:right w:val="none" w:sz="0" w:space="0" w:color="auto"/>
      </w:divBdr>
    </w:div>
    <w:div w:id="1305044669">
      <w:bodyDiv w:val="1"/>
      <w:marLeft w:val="0"/>
      <w:marRight w:val="0"/>
      <w:marTop w:val="0"/>
      <w:marBottom w:val="0"/>
      <w:divBdr>
        <w:top w:val="none" w:sz="0" w:space="0" w:color="auto"/>
        <w:left w:val="none" w:sz="0" w:space="0" w:color="auto"/>
        <w:bottom w:val="none" w:sz="0" w:space="0" w:color="auto"/>
        <w:right w:val="none" w:sz="0" w:space="0" w:color="auto"/>
      </w:divBdr>
    </w:div>
    <w:div w:id="1305156469">
      <w:bodyDiv w:val="1"/>
      <w:marLeft w:val="0"/>
      <w:marRight w:val="0"/>
      <w:marTop w:val="0"/>
      <w:marBottom w:val="0"/>
      <w:divBdr>
        <w:top w:val="none" w:sz="0" w:space="0" w:color="auto"/>
        <w:left w:val="none" w:sz="0" w:space="0" w:color="auto"/>
        <w:bottom w:val="none" w:sz="0" w:space="0" w:color="auto"/>
        <w:right w:val="none" w:sz="0" w:space="0" w:color="auto"/>
      </w:divBdr>
    </w:div>
    <w:div w:id="1306427345">
      <w:bodyDiv w:val="1"/>
      <w:marLeft w:val="0"/>
      <w:marRight w:val="0"/>
      <w:marTop w:val="0"/>
      <w:marBottom w:val="0"/>
      <w:divBdr>
        <w:top w:val="none" w:sz="0" w:space="0" w:color="auto"/>
        <w:left w:val="none" w:sz="0" w:space="0" w:color="auto"/>
        <w:bottom w:val="none" w:sz="0" w:space="0" w:color="auto"/>
        <w:right w:val="none" w:sz="0" w:space="0" w:color="auto"/>
      </w:divBdr>
    </w:div>
    <w:div w:id="1306858907">
      <w:bodyDiv w:val="1"/>
      <w:marLeft w:val="0"/>
      <w:marRight w:val="0"/>
      <w:marTop w:val="0"/>
      <w:marBottom w:val="0"/>
      <w:divBdr>
        <w:top w:val="none" w:sz="0" w:space="0" w:color="auto"/>
        <w:left w:val="none" w:sz="0" w:space="0" w:color="auto"/>
        <w:bottom w:val="none" w:sz="0" w:space="0" w:color="auto"/>
        <w:right w:val="none" w:sz="0" w:space="0" w:color="auto"/>
      </w:divBdr>
    </w:div>
    <w:div w:id="1308389348">
      <w:bodyDiv w:val="1"/>
      <w:marLeft w:val="0"/>
      <w:marRight w:val="0"/>
      <w:marTop w:val="0"/>
      <w:marBottom w:val="0"/>
      <w:divBdr>
        <w:top w:val="none" w:sz="0" w:space="0" w:color="auto"/>
        <w:left w:val="none" w:sz="0" w:space="0" w:color="auto"/>
        <w:bottom w:val="none" w:sz="0" w:space="0" w:color="auto"/>
        <w:right w:val="none" w:sz="0" w:space="0" w:color="auto"/>
      </w:divBdr>
    </w:div>
    <w:div w:id="1308973691">
      <w:bodyDiv w:val="1"/>
      <w:marLeft w:val="0"/>
      <w:marRight w:val="0"/>
      <w:marTop w:val="0"/>
      <w:marBottom w:val="0"/>
      <w:divBdr>
        <w:top w:val="none" w:sz="0" w:space="0" w:color="auto"/>
        <w:left w:val="none" w:sz="0" w:space="0" w:color="auto"/>
        <w:bottom w:val="none" w:sz="0" w:space="0" w:color="auto"/>
        <w:right w:val="none" w:sz="0" w:space="0" w:color="auto"/>
      </w:divBdr>
    </w:div>
    <w:div w:id="1309630158">
      <w:bodyDiv w:val="1"/>
      <w:marLeft w:val="0"/>
      <w:marRight w:val="0"/>
      <w:marTop w:val="0"/>
      <w:marBottom w:val="0"/>
      <w:divBdr>
        <w:top w:val="none" w:sz="0" w:space="0" w:color="auto"/>
        <w:left w:val="none" w:sz="0" w:space="0" w:color="auto"/>
        <w:bottom w:val="none" w:sz="0" w:space="0" w:color="auto"/>
        <w:right w:val="none" w:sz="0" w:space="0" w:color="auto"/>
      </w:divBdr>
    </w:div>
    <w:div w:id="1309900304">
      <w:bodyDiv w:val="1"/>
      <w:marLeft w:val="0"/>
      <w:marRight w:val="0"/>
      <w:marTop w:val="0"/>
      <w:marBottom w:val="0"/>
      <w:divBdr>
        <w:top w:val="none" w:sz="0" w:space="0" w:color="auto"/>
        <w:left w:val="none" w:sz="0" w:space="0" w:color="auto"/>
        <w:bottom w:val="none" w:sz="0" w:space="0" w:color="auto"/>
        <w:right w:val="none" w:sz="0" w:space="0" w:color="auto"/>
      </w:divBdr>
    </w:div>
    <w:div w:id="1310861461">
      <w:bodyDiv w:val="1"/>
      <w:marLeft w:val="0"/>
      <w:marRight w:val="0"/>
      <w:marTop w:val="0"/>
      <w:marBottom w:val="0"/>
      <w:divBdr>
        <w:top w:val="none" w:sz="0" w:space="0" w:color="auto"/>
        <w:left w:val="none" w:sz="0" w:space="0" w:color="auto"/>
        <w:bottom w:val="none" w:sz="0" w:space="0" w:color="auto"/>
        <w:right w:val="none" w:sz="0" w:space="0" w:color="auto"/>
      </w:divBdr>
    </w:div>
    <w:div w:id="1311129397">
      <w:bodyDiv w:val="1"/>
      <w:marLeft w:val="0"/>
      <w:marRight w:val="0"/>
      <w:marTop w:val="0"/>
      <w:marBottom w:val="0"/>
      <w:divBdr>
        <w:top w:val="none" w:sz="0" w:space="0" w:color="auto"/>
        <w:left w:val="none" w:sz="0" w:space="0" w:color="auto"/>
        <w:bottom w:val="none" w:sz="0" w:space="0" w:color="auto"/>
        <w:right w:val="none" w:sz="0" w:space="0" w:color="auto"/>
      </w:divBdr>
    </w:div>
    <w:div w:id="1311135760">
      <w:bodyDiv w:val="1"/>
      <w:marLeft w:val="0"/>
      <w:marRight w:val="0"/>
      <w:marTop w:val="0"/>
      <w:marBottom w:val="0"/>
      <w:divBdr>
        <w:top w:val="none" w:sz="0" w:space="0" w:color="auto"/>
        <w:left w:val="none" w:sz="0" w:space="0" w:color="auto"/>
        <w:bottom w:val="none" w:sz="0" w:space="0" w:color="auto"/>
        <w:right w:val="none" w:sz="0" w:space="0" w:color="auto"/>
      </w:divBdr>
    </w:div>
    <w:div w:id="1313368959">
      <w:bodyDiv w:val="1"/>
      <w:marLeft w:val="0"/>
      <w:marRight w:val="0"/>
      <w:marTop w:val="0"/>
      <w:marBottom w:val="0"/>
      <w:divBdr>
        <w:top w:val="none" w:sz="0" w:space="0" w:color="auto"/>
        <w:left w:val="none" w:sz="0" w:space="0" w:color="auto"/>
        <w:bottom w:val="none" w:sz="0" w:space="0" w:color="auto"/>
        <w:right w:val="none" w:sz="0" w:space="0" w:color="auto"/>
      </w:divBdr>
    </w:div>
    <w:div w:id="1314791148">
      <w:bodyDiv w:val="1"/>
      <w:marLeft w:val="0"/>
      <w:marRight w:val="0"/>
      <w:marTop w:val="0"/>
      <w:marBottom w:val="0"/>
      <w:divBdr>
        <w:top w:val="none" w:sz="0" w:space="0" w:color="auto"/>
        <w:left w:val="none" w:sz="0" w:space="0" w:color="auto"/>
        <w:bottom w:val="none" w:sz="0" w:space="0" w:color="auto"/>
        <w:right w:val="none" w:sz="0" w:space="0" w:color="auto"/>
      </w:divBdr>
    </w:div>
    <w:div w:id="1315256118">
      <w:bodyDiv w:val="1"/>
      <w:marLeft w:val="0"/>
      <w:marRight w:val="0"/>
      <w:marTop w:val="0"/>
      <w:marBottom w:val="0"/>
      <w:divBdr>
        <w:top w:val="none" w:sz="0" w:space="0" w:color="auto"/>
        <w:left w:val="none" w:sz="0" w:space="0" w:color="auto"/>
        <w:bottom w:val="none" w:sz="0" w:space="0" w:color="auto"/>
        <w:right w:val="none" w:sz="0" w:space="0" w:color="auto"/>
      </w:divBdr>
    </w:div>
    <w:div w:id="1315646653">
      <w:bodyDiv w:val="1"/>
      <w:marLeft w:val="0"/>
      <w:marRight w:val="0"/>
      <w:marTop w:val="0"/>
      <w:marBottom w:val="0"/>
      <w:divBdr>
        <w:top w:val="none" w:sz="0" w:space="0" w:color="auto"/>
        <w:left w:val="none" w:sz="0" w:space="0" w:color="auto"/>
        <w:bottom w:val="none" w:sz="0" w:space="0" w:color="auto"/>
        <w:right w:val="none" w:sz="0" w:space="0" w:color="auto"/>
      </w:divBdr>
    </w:div>
    <w:div w:id="1316302353">
      <w:bodyDiv w:val="1"/>
      <w:marLeft w:val="0"/>
      <w:marRight w:val="0"/>
      <w:marTop w:val="0"/>
      <w:marBottom w:val="0"/>
      <w:divBdr>
        <w:top w:val="none" w:sz="0" w:space="0" w:color="auto"/>
        <w:left w:val="none" w:sz="0" w:space="0" w:color="auto"/>
        <w:bottom w:val="none" w:sz="0" w:space="0" w:color="auto"/>
        <w:right w:val="none" w:sz="0" w:space="0" w:color="auto"/>
      </w:divBdr>
    </w:div>
    <w:div w:id="1316491749">
      <w:bodyDiv w:val="1"/>
      <w:marLeft w:val="0"/>
      <w:marRight w:val="0"/>
      <w:marTop w:val="0"/>
      <w:marBottom w:val="0"/>
      <w:divBdr>
        <w:top w:val="none" w:sz="0" w:space="0" w:color="auto"/>
        <w:left w:val="none" w:sz="0" w:space="0" w:color="auto"/>
        <w:bottom w:val="none" w:sz="0" w:space="0" w:color="auto"/>
        <w:right w:val="none" w:sz="0" w:space="0" w:color="auto"/>
      </w:divBdr>
    </w:div>
    <w:div w:id="1318069910">
      <w:bodyDiv w:val="1"/>
      <w:marLeft w:val="0"/>
      <w:marRight w:val="0"/>
      <w:marTop w:val="0"/>
      <w:marBottom w:val="0"/>
      <w:divBdr>
        <w:top w:val="none" w:sz="0" w:space="0" w:color="auto"/>
        <w:left w:val="none" w:sz="0" w:space="0" w:color="auto"/>
        <w:bottom w:val="none" w:sz="0" w:space="0" w:color="auto"/>
        <w:right w:val="none" w:sz="0" w:space="0" w:color="auto"/>
      </w:divBdr>
    </w:div>
    <w:div w:id="1318150678">
      <w:bodyDiv w:val="1"/>
      <w:marLeft w:val="0"/>
      <w:marRight w:val="0"/>
      <w:marTop w:val="0"/>
      <w:marBottom w:val="0"/>
      <w:divBdr>
        <w:top w:val="none" w:sz="0" w:space="0" w:color="auto"/>
        <w:left w:val="none" w:sz="0" w:space="0" w:color="auto"/>
        <w:bottom w:val="none" w:sz="0" w:space="0" w:color="auto"/>
        <w:right w:val="none" w:sz="0" w:space="0" w:color="auto"/>
      </w:divBdr>
    </w:div>
    <w:div w:id="1318416148">
      <w:bodyDiv w:val="1"/>
      <w:marLeft w:val="0"/>
      <w:marRight w:val="0"/>
      <w:marTop w:val="0"/>
      <w:marBottom w:val="0"/>
      <w:divBdr>
        <w:top w:val="none" w:sz="0" w:space="0" w:color="auto"/>
        <w:left w:val="none" w:sz="0" w:space="0" w:color="auto"/>
        <w:bottom w:val="none" w:sz="0" w:space="0" w:color="auto"/>
        <w:right w:val="none" w:sz="0" w:space="0" w:color="auto"/>
      </w:divBdr>
    </w:div>
    <w:div w:id="1321931448">
      <w:bodyDiv w:val="1"/>
      <w:marLeft w:val="0"/>
      <w:marRight w:val="0"/>
      <w:marTop w:val="0"/>
      <w:marBottom w:val="0"/>
      <w:divBdr>
        <w:top w:val="none" w:sz="0" w:space="0" w:color="auto"/>
        <w:left w:val="none" w:sz="0" w:space="0" w:color="auto"/>
        <w:bottom w:val="none" w:sz="0" w:space="0" w:color="auto"/>
        <w:right w:val="none" w:sz="0" w:space="0" w:color="auto"/>
      </w:divBdr>
    </w:div>
    <w:div w:id="1322386067">
      <w:bodyDiv w:val="1"/>
      <w:marLeft w:val="0"/>
      <w:marRight w:val="0"/>
      <w:marTop w:val="0"/>
      <w:marBottom w:val="0"/>
      <w:divBdr>
        <w:top w:val="none" w:sz="0" w:space="0" w:color="auto"/>
        <w:left w:val="none" w:sz="0" w:space="0" w:color="auto"/>
        <w:bottom w:val="none" w:sz="0" w:space="0" w:color="auto"/>
        <w:right w:val="none" w:sz="0" w:space="0" w:color="auto"/>
      </w:divBdr>
    </w:div>
    <w:div w:id="1323243960">
      <w:bodyDiv w:val="1"/>
      <w:marLeft w:val="0"/>
      <w:marRight w:val="0"/>
      <w:marTop w:val="0"/>
      <w:marBottom w:val="0"/>
      <w:divBdr>
        <w:top w:val="none" w:sz="0" w:space="0" w:color="auto"/>
        <w:left w:val="none" w:sz="0" w:space="0" w:color="auto"/>
        <w:bottom w:val="none" w:sz="0" w:space="0" w:color="auto"/>
        <w:right w:val="none" w:sz="0" w:space="0" w:color="auto"/>
      </w:divBdr>
    </w:div>
    <w:div w:id="1324820109">
      <w:bodyDiv w:val="1"/>
      <w:marLeft w:val="0"/>
      <w:marRight w:val="0"/>
      <w:marTop w:val="0"/>
      <w:marBottom w:val="0"/>
      <w:divBdr>
        <w:top w:val="none" w:sz="0" w:space="0" w:color="auto"/>
        <w:left w:val="none" w:sz="0" w:space="0" w:color="auto"/>
        <w:bottom w:val="none" w:sz="0" w:space="0" w:color="auto"/>
        <w:right w:val="none" w:sz="0" w:space="0" w:color="auto"/>
      </w:divBdr>
    </w:div>
    <w:div w:id="1325547315">
      <w:bodyDiv w:val="1"/>
      <w:marLeft w:val="0"/>
      <w:marRight w:val="0"/>
      <w:marTop w:val="0"/>
      <w:marBottom w:val="0"/>
      <w:divBdr>
        <w:top w:val="none" w:sz="0" w:space="0" w:color="auto"/>
        <w:left w:val="none" w:sz="0" w:space="0" w:color="auto"/>
        <w:bottom w:val="none" w:sz="0" w:space="0" w:color="auto"/>
        <w:right w:val="none" w:sz="0" w:space="0" w:color="auto"/>
      </w:divBdr>
    </w:div>
    <w:div w:id="1326786829">
      <w:bodyDiv w:val="1"/>
      <w:marLeft w:val="0"/>
      <w:marRight w:val="0"/>
      <w:marTop w:val="0"/>
      <w:marBottom w:val="0"/>
      <w:divBdr>
        <w:top w:val="none" w:sz="0" w:space="0" w:color="auto"/>
        <w:left w:val="none" w:sz="0" w:space="0" w:color="auto"/>
        <w:bottom w:val="none" w:sz="0" w:space="0" w:color="auto"/>
        <w:right w:val="none" w:sz="0" w:space="0" w:color="auto"/>
      </w:divBdr>
    </w:div>
    <w:div w:id="1326977454">
      <w:bodyDiv w:val="1"/>
      <w:marLeft w:val="0"/>
      <w:marRight w:val="0"/>
      <w:marTop w:val="0"/>
      <w:marBottom w:val="0"/>
      <w:divBdr>
        <w:top w:val="none" w:sz="0" w:space="0" w:color="auto"/>
        <w:left w:val="none" w:sz="0" w:space="0" w:color="auto"/>
        <w:bottom w:val="none" w:sz="0" w:space="0" w:color="auto"/>
        <w:right w:val="none" w:sz="0" w:space="0" w:color="auto"/>
      </w:divBdr>
    </w:div>
    <w:div w:id="1327052841">
      <w:bodyDiv w:val="1"/>
      <w:marLeft w:val="0"/>
      <w:marRight w:val="0"/>
      <w:marTop w:val="0"/>
      <w:marBottom w:val="0"/>
      <w:divBdr>
        <w:top w:val="none" w:sz="0" w:space="0" w:color="auto"/>
        <w:left w:val="none" w:sz="0" w:space="0" w:color="auto"/>
        <w:bottom w:val="none" w:sz="0" w:space="0" w:color="auto"/>
        <w:right w:val="none" w:sz="0" w:space="0" w:color="auto"/>
      </w:divBdr>
    </w:div>
    <w:div w:id="1327367146">
      <w:bodyDiv w:val="1"/>
      <w:marLeft w:val="0"/>
      <w:marRight w:val="0"/>
      <w:marTop w:val="0"/>
      <w:marBottom w:val="0"/>
      <w:divBdr>
        <w:top w:val="none" w:sz="0" w:space="0" w:color="auto"/>
        <w:left w:val="none" w:sz="0" w:space="0" w:color="auto"/>
        <w:bottom w:val="none" w:sz="0" w:space="0" w:color="auto"/>
        <w:right w:val="none" w:sz="0" w:space="0" w:color="auto"/>
      </w:divBdr>
    </w:div>
    <w:div w:id="1327705696">
      <w:bodyDiv w:val="1"/>
      <w:marLeft w:val="0"/>
      <w:marRight w:val="0"/>
      <w:marTop w:val="0"/>
      <w:marBottom w:val="0"/>
      <w:divBdr>
        <w:top w:val="none" w:sz="0" w:space="0" w:color="auto"/>
        <w:left w:val="none" w:sz="0" w:space="0" w:color="auto"/>
        <w:bottom w:val="none" w:sz="0" w:space="0" w:color="auto"/>
        <w:right w:val="none" w:sz="0" w:space="0" w:color="auto"/>
      </w:divBdr>
    </w:div>
    <w:div w:id="1328440462">
      <w:bodyDiv w:val="1"/>
      <w:marLeft w:val="0"/>
      <w:marRight w:val="0"/>
      <w:marTop w:val="0"/>
      <w:marBottom w:val="0"/>
      <w:divBdr>
        <w:top w:val="none" w:sz="0" w:space="0" w:color="auto"/>
        <w:left w:val="none" w:sz="0" w:space="0" w:color="auto"/>
        <w:bottom w:val="none" w:sz="0" w:space="0" w:color="auto"/>
        <w:right w:val="none" w:sz="0" w:space="0" w:color="auto"/>
      </w:divBdr>
    </w:div>
    <w:div w:id="1328629302">
      <w:bodyDiv w:val="1"/>
      <w:marLeft w:val="0"/>
      <w:marRight w:val="0"/>
      <w:marTop w:val="0"/>
      <w:marBottom w:val="0"/>
      <w:divBdr>
        <w:top w:val="none" w:sz="0" w:space="0" w:color="auto"/>
        <w:left w:val="none" w:sz="0" w:space="0" w:color="auto"/>
        <w:bottom w:val="none" w:sz="0" w:space="0" w:color="auto"/>
        <w:right w:val="none" w:sz="0" w:space="0" w:color="auto"/>
      </w:divBdr>
    </w:div>
    <w:div w:id="1328630046">
      <w:bodyDiv w:val="1"/>
      <w:marLeft w:val="0"/>
      <w:marRight w:val="0"/>
      <w:marTop w:val="0"/>
      <w:marBottom w:val="0"/>
      <w:divBdr>
        <w:top w:val="none" w:sz="0" w:space="0" w:color="auto"/>
        <w:left w:val="none" w:sz="0" w:space="0" w:color="auto"/>
        <w:bottom w:val="none" w:sz="0" w:space="0" w:color="auto"/>
        <w:right w:val="none" w:sz="0" w:space="0" w:color="auto"/>
      </w:divBdr>
    </w:div>
    <w:div w:id="1328747106">
      <w:bodyDiv w:val="1"/>
      <w:marLeft w:val="0"/>
      <w:marRight w:val="0"/>
      <w:marTop w:val="0"/>
      <w:marBottom w:val="0"/>
      <w:divBdr>
        <w:top w:val="none" w:sz="0" w:space="0" w:color="auto"/>
        <w:left w:val="none" w:sz="0" w:space="0" w:color="auto"/>
        <w:bottom w:val="none" w:sz="0" w:space="0" w:color="auto"/>
        <w:right w:val="none" w:sz="0" w:space="0" w:color="auto"/>
      </w:divBdr>
    </w:div>
    <w:div w:id="1328753310">
      <w:bodyDiv w:val="1"/>
      <w:marLeft w:val="0"/>
      <w:marRight w:val="0"/>
      <w:marTop w:val="0"/>
      <w:marBottom w:val="0"/>
      <w:divBdr>
        <w:top w:val="none" w:sz="0" w:space="0" w:color="auto"/>
        <w:left w:val="none" w:sz="0" w:space="0" w:color="auto"/>
        <w:bottom w:val="none" w:sz="0" w:space="0" w:color="auto"/>
        <w:right w:val="none" w:sz="0" w:space="0" w:color="auto"/>
      </w:divBdr>
    </w:div>
    <w:div w:id="1329867196">
      <w:bodyDiv w:val="1"/>
      <w:marLeft w:val="0"/>
      <w:marRight w:val="0"/>
      <w:marTop w:val="0"/>
      <w:marBottom w:val="0"/>
      <w:divBdr>
        <w:top w:val="none" w:sz="0" w:space="0" w:color="auto"/>
        <w:left w:val="none" w:sz="0" w:space="0" w:color="auto"/>
        <w:bottom w:val="none" w:sz="0" w:space="0" w:color="auto"/>
        <w:right w:val="none" w:sz="0" w:space="0" w:color="auto"/>
      </w:divBdr>
    </w:div>
    <w:div w:id="1330790653">
      <w:bodyDiv w:val="1"/>
      <w:marLeft w:val="0"/>
      <w:marRight w:val="0"/>
      <w:marTop w:val="0"/>
      <w:marBottom w:val="0"/>
      <w:divBdr>
        <w:top w:val="none" w:sz="0" w:space="0" w:color="auto"/>
        <w:left w:val="none" w:sz="0" w:space="0" w:color="auto"/>
        <w:bottom w:val="none" w:sz="0" w:space="0" w:color="auto"/>
        <w:right w:val="none" w:sz="0" w:space="0" w:color="auto"/>
      </w:divBdr>
    </w:div>
    <w:div w:id="1331718614">
      <w:bodyDiv w:val="1"/>
      <w:marLeft w:val="0"/>
      <w:marRight w:val="0"/>
      <w:marTop w:val="0"/>
      <w:marBottom w:val="0"/>
      <w:divBdr>
        <w:top w:val="none" w:sz="0" w:space="0" w:color="auto"/>
        <w:left w:val="none" w:sz="0" w:space="0" w:color="auto"/>
        <w:bottom w:val="none" w:sz="0" w:space="0" w:color="auto"/>
        <w:right w:val="none" w:sz="0" w:space="0" w:color="auto"/>
      </w:divBdr>
    </w:div>
    <w:div w:id="1331832213">
      <w:bodyDiv w:val="1"/>
      <w:marLeft w:val="0"/>
      <w:marRight w:val="0"/>
      <w:marTop w:val="0"/>
      <w:marBottom w:val="0"/>
      <w:divBdr>
        <w:top w:val="none" w:sz="0" w:space="0" w:color="auto"/>
        <w:left w:val="none" w:sz="0" w:space="0" w:color="auto"/>
        <w:bottom w:val="none" w:sz="0" w:space="0" w:color="auto"/>
        <w:right w:val="none" w:sz="0" w:space="0" w:color="auto"/>
      </w:divBdr>
    </w:div>
    <w:div w:id="1331982816">
      <w:bodyDiv w:val="1"/>
      <w:marLeft w:val="0"/>
      <w:marRight w:val="0"/>
      <w:marTop w:val="0"/>
      <w:marBottom w:val="0"/>
      <w:divBdr>
        <w:top w:val="none" w:sz="0" w:space="0" w:color="auto"/>
        <w:left w:val="none" w:sz="0" w:space="0" w:color="auto"/>
        <w:bottom w:val="none" w:sz="0" w:space="0" w:color="auto"/>
        <w:right w:val="none" w:sz="0" w:space="0" w:color="auto"/>
      </w:divBdr>
    </w:div>
    <w:div w:id="1332102359">
      <w:bodyDiv w:val="1"/>
      <w:marLeft w:val="0"/>
      <w:marRight w:val="0"/>
      <w:marTop w:val="0"/>
      <w:marBottom w:val="0"/>
      <w:divBdr>
        <w:top w:val="none" w:sz="0" w:space="0" w:color="auto"/>
        <w:left w:val="none" w:sz="0" w:space="0" w:color="auto"/>
        <w:bottom w:val="none" w:sz="0" w:space="0" w:color="auto"/>
        <w:right w:val="none" w:sz="0" w:space="0" w:color="auto"/>
      </w:divBdr>
    </w:div>
    <w:div w:id="1332441831">
      <w:bodyDiv w:val="1"/>
      <w:marLeft w:val="0"/>
      <w:marRight w:val="0"/>
      <w:marTop w:val="0"/>
      <w:marBottom w:val="0"/>
      <w:divBdr>
        <w:top w:val="none" w:sz="0" w:space="0" w:color="auto"/>
        <w:left w:val="none" w:sz="0" w:space="0" w:color="auto"/>
        <w:bottom w:val="none" w:sz="0" w:space="0" w:color="auto"/>
        <w:right w:val="none" w:sz="0" w:space="0" w:color="auto"/>
      </w:divBdr>
    </w:div>
    <w:div w:id="1333223276">
      <w:bodyDiv w:val="1"/>
      <w:marLeft w:val="0"/>
      <w:marRight w:val="0"/>
      <w:marTop w:val="0"/>
      <w:marBottom w:val="0"/>
      <w:divBdr>
        <w:top w:val="none" w:sz="0" w:space="0" w:color="auto"/>
        <w:left w:val="none" w:sz="0" w:space="0" w:color="auto"/>
        <w:bottom w:val="none" w:sz="0" w:space="0" w:color="auto"/>
        <w:right w:val="none" w:sz="0" w:space="0" w:color="auto"/>
      </w:divBdr>
    </w:div>
    <w:div w:id="1334410258">
      <w:bodyDiv w:val="1"/>
      <w:marLeft w:val="0"/>
      <w:marRight w:val="0"/>
      <w:marTop w:val="0"/>
      <w:marBottom w:val="0"/>
      <w:divBdr>
        <w:top w:val="none" w:sz="0" w:space="0" w:color="auto"/>
        <w:left w:val="none" w:sz="0" w:space="0" w:color="auto"/>
        <w:bottom w:val="none" w:sz="0" w:space="0" w:color="auto"/>
        <w:right w:val="none" w:sz="0" w:space="0" w:color="auto"/>
      </w:divBdr>
    </w:div>
    <w:div w:id="1334576704">
      <w:bodyDiv w:val="1"/>
      <w:marLeft w:val="0"/>
      <w:marRight w:val="0"/>
      <w:marTop w:val="0"/>
      <w:marBottom w:val="0"/>
      <w:divBdr>
        <w:top w:val="none" w:sz="0" w:space="0" w:color="auto"/>
        <w:left w:val="none" w:sz="0" w:space="0" w:color="auto"/>
        <w:bottom w:val="none" w:sz="0" w:space="0" w:color="auto"/>
        <w:right w:val="none" w:sz="0" w:space="0" w:color="auto"/>
      </w:divBdr>
    </w:div>
    <w:div w:id="1334642900">
      <w:bodyDiv w:val="1"/>
      <w:marLeft w:val="0"/>
      <w:marRight w:val="0"/>
      <w:marTop w:val="0"/>
      <w:marBottom w:val="0"/>
      <w:divBdr>
        <w:top w:val="none" w:sz="0" w:space="0" w:color="auto"/>
        <w:left w:val="none" w:sz="0" w:space="0" w:color="auto"/>
        <w:bottom w:val="none" w:sz="0" w:space="0" w:color="auto"/>
        <w:right w:val="none" w:sz="0" w:space="0" w:color="auto"/>
      </w:divBdr>
    </w:div>
    <w:div w:id="1335259065">
      <w:bodyDiv w:val="1"/>
      <w:marLeft w:val="0"/>
      <w:marRight w:val="0"/>
      <w:marTop w:val="0"/>
      <w:marBottom w:val="0"/>
      <w:divBdr>
        <w:top w:val="none" w:sz="0" w:space="0" w:color="auto"/>
        <w:left w:val="none" w:sz="0" w:space="0" w:color="auto"/>
        <w:bottom w:val="none" w:sz="0" w:space="0" w:color="auto"/>
        <w:right w:val="none" w:sz="0" w:space="0" w:color="auto"/>
      </w:divBdr>
    </w:div>
    <w:div w:id="1335261329">
      <w:bodyDiv w:val="1"/>
      <w:marLeft w:val="0"/>
      <w:marRight w:val="0"/>
      <w:marTop w:val="0"/>
      <w:marBottom w:val="0"/>
      <w:divBdr>
        <w:top w:val="none" w:sz="0" w:space="0" w:color="auto"/>
        <w:left w:val="none" w:sz="0" w:space="0" w:color="auto"/>
        <w:bottom w:val="none" w:sz="0" w:space="0" w:color="auto"/>
        <w:right w:val="none" w:sz="0" w:space="0" w:color="auto"/>
      </w:divBdr>
    </w:div>
    <w:div w:id="1335380982">
      <w:bodyDiv w:val="1"/>
      <w:marLeft w:val="0"/>
      <w:marRight w:val="0"/>
      <w:marTop w:val="0"/>
      <w:marBottom w:val="0"/>
      <w:divBdr>
        <w:top w:val="none" w:sz="0" w:space="0" w:color="auto"/>
        <w:left w:val="none" w:sz="0" w:space="0" w:color="auto"/>
        <w:bottom w:val="none" w:sz="0" w:space="0" w:color="auto"/>
        <w:right w:val="none" w:sz="0" w:space="0" w:color="auto"/>
      </w:divBdr>
    </w:div>
    <w:div w:id="1335650103">
      <w:bodyDiv w:val="1"/>
      <w:marLeft w:val="0"/>
      <w:marRight w:val="0"/>
      <w:marTop w:val="0"/>
      <w:marBottom w:val="0"/>
      <w:divBdr>
        <w:top w:val="none" w:sz="0" w:space="0" w:color="auto"/>
        <w:left w:val="none" w:sz="0" w:space="0" w:color="auto"/>
        <w:bottom w:val="none" w:sz="0" w:space="0" w:color="auto"/>
        <w:right w:val="none" w:sz="0" w:space="0" w:color="auto"/>
      </w:divBdr>
    </w:div>
    <w:div w:id="1336804886">
      <w:bodyDiv w:val="1"/>
      <w:marLeft w:val="0"/>
      <w:marRight w:val="0"/>
      <w:marTop w:val="0"/>
      <w:marBottom w:val="0"/>
      <w:divBdr>
        <w:top w:val="none" w:sz="0" w:space="0" w:color="auto"/>
        <w:left w:val="none" w:sz="0" w:space="0" w:color="auto"/>
        <w:bottom w:val="none" w:sz="0" w:space="0" w:color="auto"/>
        <w:right w:val="none" w:sz="0" w:space="0" w:color="auto"/>
      </w:divBdr>
    </w:div>
    <w:div w:id="1337197296">
      <w:bodyDiv w:val="1"/>
      <w:marLeft w:val="0"/>
      <w:marRight w:val="0"/>
      <w:marTop w:val="0"/>
      <w:marBottom w:val="0"/>
      <w:divBdr>
        <w:top w:val="none" w:sz="0" w:space="0" w:color="auto"/>
        <w:left w:val="none" w:sz="0" w:space="0" w:color="auto"/>
        <w:bottom w:val="none" w:sz="0" w:space="0" w:color="auto"/>
        <w:right w:val="none" w:sz="0" w:space="0" w:color="auto"/>
      </w:divBdr>
    </w:div>
    <w:div w:id="1337535923">
      <w:bodyDiv w:val="1"/>
      <w:marLeft w:val="0"/>
      <w:marRight w:val="0"/>
      <w:marTop w:val="0"/>
      <w:marBottom w:val="0"/>
      <w:divBdr>
        <w:top w:val="none" w:sz="0" w:space="0" w:color="auto"/>
        <w:left w:val="none" w:sz="0" w:space="0" w:color="auto"/>
        <w:bottom w:val="none" w:sz="0" w:space="0" w:color="auto"/>
        <w:right w:val="none" w:sz="0" w:space="0" w:color="auto"/>
      </w:divBdr>
    </w:div>
    <w:div w:id="1337609615">
      <w:bodyDiv w:val="1"/>
      <w:marLeft w:val="0"/>
      <w:marRight w:val="0"/>
      <w:marTop w:val="0"/>
      <w:marBottom w:val="0"/>
      <w:divBdr>
        <w:top w:val="none" w:sz="0" w:space="0" w:color="auto"/>
        <w:left w:val="none" w:sz="0" w:space="0" w:color="auto"/>
        <w:bottom w:val="none" w:sz="0" w:space="0" w:color="auto"/>
        <w:right w:val="none" w:sz="0" w:space="0" w:color="auto"/>
      </w:divBdr>
    </w:div>
    <w:div w:id="1337657633">
      <w:bodyDiv w:val="1"/>
      <w:marLeft w:val="0"/>
      <w:marRight w:val="0"/>
      <w:marTop w:val="0"/>
      <w:marBottom w:val="0"/>
      <w:divBdr>
        <w:top w:val="none" w:sz="0" w:space="0" w:color="auto"/>
        <w:left w:val="none" w:sz="0" w:space="0" w:color="auto"/>
        <w:bottom w:val="none" w:sz="0" w:space="0" w:color="auto"/>
        <w:right w:val="none" w:sz="0" w:space="0" w:color="auto"/>
      </w:divBdr>
    </w:div>
    <w:div w:id="1338655724">
      <w:bodyDiv w:val="1"/>
      <w:marLeft w:val="0"/>
      <w:marRight w:val="0"/>
      <w:marTop w:val="0"/>
      <w:marBottom w:val="0"/>
      <w:divBdr>
        <w:top w:val="none" w:sz="0" w:space="0" w:color="auto"/>
        <w:left w:val="none" w:sz="0" w:space="0" w:color="auto"/>
        <w:bottom w:val="none" w:sz="0" w:space="0" w:color="auto"/>
        <w:right w:val="none" w:sz="0" w:space="0" w:color="auto"/>
      </w:divBdr>
    </w:div>
    <w:div w:id="1338727009">
      <w:bodyDiv w:val="1"/>
      <w:marLeft w:val="0"/>
      <w:marRight w:val="0"/>
      <w:marTop w:val="0"/>
      <w:marBottom w:val="0"/>
      <w:divBdr>
        <w:top w:val="none" w:sz="0" w:space="0" w:color="auto"/>
        <w:left w:val="none" w:sz="0" w:space="0" w:color="auto"/>
        <w:bottom w:val="none" w:sz="0" w:space="0" w:color="auto"/>
        <w:right w:val="none" w:sz="0" w:space="0" w:color="auto"/>
      </w:divBdr>
    </w:div>
    <w:div w:id="1339040578">
      <w:bodyDiv w:val="1"/>
      <w:marLeft w:val="0"/>
      <w:marRight w:val="0"/>
      <w:marTop w:val="0"/>
      <w:marBottom w:val="0"/>
      <w:divBdr>
        <w:top w:val="none" w:sz="0" w:space="0" w:color="auto"/>
        <w:left w:val="none" w:sz="0" w:space="0" w:color="auto"/>
        <w:bottom w:val="none" w:sz="0" w:space="0" w:color="auto"/>
        <w:right w:val="none" w:sz="0" w:space="0" w:color="auto"/>
      </w:divBdr>
    </w:div>
    <w:div w:id="1340543873">
      <w:bodyDiv w:val="1"/>
      <w:marLeft w:val="0"/>
      <w:marRight w:val="0"/>
      <w:marTop w:val="0"/>
      <w:marBottom w:val="0"/>
      <w:divBdr>
        <w:top w:val="none" w:sz="0" w:space="0" w:color="auto"/>
        <w:left w:val="none" w:sz="0" w:space="0" w:color="auto"/>
        <w:bottom w:val="none" w:sz="0" w:space="0" w:color="auto"/>
        <w:right w:val="none" w:sz="0" w:space="0" w:color="auto"/>
      </w:divBdr>
    </w:div>
    <w:div w:id="1340736510">
      <w:bodyDiv w:val="1"/>
      <w:marLeft w:val="0"/>
      <w:marRight w:val="0"/>
      <w:marTop w:val="0"/>
      <w:marBottom w:val="0"/>
      <w:divBdr>
        <w:top w:val="none" w:sz="0" w:space="0" w:color="auto"/>
        <w:left w:val="none" w:sz="0" w:space="0" w:color="auto"/>
        <w:bottom w:val="none" w:sz="0" w:space="0" w:color="auto"/>
        <w:right w:val="none" w:sz="0" w:space="0" w:color="auto"/>
      </w:divBdr>
    </w:div>
    <w:div w:id="1341156185">
      <w:bodyDiv w:val="1"/>
      <w:marLeft w:val="0"/>
      <w:marRight w:val="0"/>
      <w:marTop w:val="0"/>
      <w:marBottom w:val="0"/>
      <w:divBdr>
        <w:top w:val="none" w:sz="0" w:space="0" w:color="auto"/>
        <w:left w:val="none" w:sz="0" w:space="0" w:color="auto"/>
        <w:bottom w:val="none" w:sz="0" w:space="0" w:color="auto"/>
        <w:right w:val="none" w:sz="0" w:space="0" w:color="auto"/>
      </w:divBdr>
    </w:div>
    <w:div w:id="1341391509">
      <w:bodyDiv w:val="1"/>
      <w:marLeft w:val="0"/>
      <w:marRight w:val="0"/>
      <w:marTop w:val="0"/>
      <w:marBottom w:val="0"/>
      <w:divBdr>
        <w:top w:val="none" w:sz="0" w:space="0" w:color="auto"/>
        <w:left w:val="none" w:sz="0" w:space="0" w:color="auto"/>
        <w:bottom w:val="none" w:sz="0" w:space="0" w:color="auto"/>
        <w:right w:val="none" w:sz="0" w:space="0" w:color="auto"/>
      </w:divBdr>
    </w:div>
    <w:div w:id="1342395725">
      <w:bodyDiv w:val="1"/>
      <w:marLeft w:val="0"/>
      <w:marRight w:val="0"/>
      <w:marTop w:val="0"/>
      <w:marBottom w:val="0"/>
      <w:divBdr>
        <w:top w:val="none" w:sz="0" w:space="0" w:color="auto"/>
        <w:left w:val="none" w:sz="0" w:space="0" w:color="auto"/>
        <w:bottom w:val="none" w:sz="0" w:space="0" w:color="auto"/>
        <w:right w:val="none" w:sz="0" w:space="0" w:color="auto"/>
      </w:divBdr>
    </w:div>
    <w:div w:id="1343511591">
      <w:bodyDiv w:val="1"/>
      <w:marLeft w:val="0"/>
      <w:marRight w:val="0"/>
      <w:marTop w:val="0"/>
      <w:marBottom w:val="0"/>
      <w:divBdr>
        <w:top w:val="none" w:sz="0" w:space="0" w:color="auto"/>
        <w:left w:val="none" w:sz="0" w:space="0" w:color="auto"/>
        <w:bottom w:val="none" w:sz="0" w:space="0" w:color="auto"/>
        <w:right w:val="none" w:sz="0" w:space="0" w:color="auto"/>
      </w:divBdr>
    </w:div>
    <w:div w:id="1343703975">
      <w:bodyDiv w:val="1"/>
      <w:marLeft w:val="0"/>
      <w:marRight w:val="0"/>
      <w:marTop w:val="0"/>
      <w:marBottom w:val="0"/>
      <w:divBdr>
        <w:top w:val="none" w:sz="0" w:space="0" w:color="auto"/>
        <w:left w:val="none" w:sz="0" w:space="0" w:color="auto"/>
        <w:bottom w:val="none" w:sz="0" w:space="0" w:color="auto"/>
        <w:right w:val="none" w:sz="0" w:space="0" w:color="auto"/>
      </w:divBdr>
    </w:div>
    <w:div w:id="1344210909">
      <w:bodyDiv w:val="1"/>
      <w:marLeft w:val="0"/>
      <w:marRight w:val="0"/>
      <w:marTop w:val="0"/>
      <w:marBottom w:val="0"/>
      <w:divBdr>
        <w:top w:val="none" w:sz="0" w:space="0" w:color="auto"/>
        <w:left w:val="none" w:sz="0" w:space="0" w:color="auto"/>
        <w:bottom w:val="none" w:sz="0" w:space="0" w:color="auto"/>
        <w:right w:val="none" w:sz="0" w:space="0" w:color="auto"/>
      </w:divBdr>
    </w:div>
    <w:div w:id="1345933811">
      <w:bodyDiv w:val="1"/>
      <w:marLeft w:val="0"/>
      <w:marRight w:val="0"/>
      <w:marTop w:val="0"/>
      <w:marBottom w:val="0"/>
      <w:divBdr>
        <w:top w:val="none" w:sz="0" w:space="0" w:color="auto"/>
        <w:left w:val="none" w:sz="0" w:space="0" w:color="auto"/>
        <w:bottom w:val="none" w:sz="0" w:space="0" w:color="auto"/>
        <w:right w:val="none" w:sz="0" w:space="0" w:color="auto"/>
      </w:divBdr>
    </w:div>
    <w:div w:id="1346058154">
      <w:bodyDiv w:val="1"/>
      <w:marLeft w:val="0"/>
      <w:marRight w:val="0"/>
      <w:marTop w:val="0"/>
      <w:marBottom w:val="0"/>
      <w:divBdr>
        <w:top w:val="none" w:sz="0" w:space="0" w:color="auto"/>
        <w:left w:val="none" w:sz="0" w:space="0" w:color="auto"/>
        <w:bottom w:val="none" w:sz="0" w:space="0" w:color="auto"/>
        <w:right w:val="none" w:sz="0" w:space="0" w:color="auto"/>
      </w:divBdr>
    </w:div>
    <w:div w:id="1346438247">
      <w:bodyDiv w:val="1"/>
      <w:marLeft w:val="0"/>
      <w:marRight w:val="0"/>
      <w:marTop w:val="0"/>
      <w:marBottom w:val="0"/>
      <w:divBdr>
        <w:top w:val="none" w:sz="0" w:space="0" w:color="auto"/>
        <w:left w:val="none" w:sz="0" w:space="0" w:color="auto"/>
        <w:bottom w:val="none" w:sz="0" w:space="0" w:color="auto"/>
        <w:right w:val="none" w:sz="0" w:space="0" w:color="auto"/>
      </w:divBdr>
    </w:div>
    <w:div w:id="1347437254">
      <w:bodyDiv w:val="1"/>
      <w:marLeft w:val="0"/>
      <w:marRight w:val="0"/>
      <w:marTop w:val="0"/>
      <w:marBottom w:val="0"/>
      <w:divBdr>
        <w:top w:val="none" w:sz="0" w:space="0" w:color="auto"/>
        <w:left w:val="none" w:sz="0" w:space="0" w:color="auto"/>
        <w:bottom w:val="none" w:sz="0" w:space="0" w:color="auto"/>
        <w:right w:val="none" w:sz="0" w:space="0" w:color="auto"/>
      </w:divBdr>
    </w:div>
    <w:div w:id="1348168963">
      <w:bodyDiv w:val="1"/>
      <w:marLeft w:val="0"/>
      <w:marRight w:val="0"/>
      <w:marTop w:val="0"/>
      <w:marBottom w:val="0"/>
      <w:divBdr>
        <w:top w:val="none" w:sz="0" w:space="0" w:color="auto"/>
        <w:left w:val="none" w:sz="0" w:space="0" w:color="auto"/>
        <w:bottom w:val="none" w:sz="0" w:space="0" w:color="auto"/>
        <w:right w:val="none" w:sz="0" w:space="0" w:color="auto"/>
      </w:divBdr>
    </w:div>
    <w:div w:id="1348410290">
      <w:bodyDiv w:val="1"/>
      <w:marLeft w:val="0"/>
      <w:marRight w:val="0"/>
      <w:marTop w:val="0"/>
      <w:marBottom w:val="0"/>
      <w:divBdr>
        <w:top w:val="none" w:sz="0" w:space="0" w:color="auto"/>
        <w:left w:val="none" w:sz="0" w:space="0" w:color="auto"/>
        <w:bottom w:val="none" w:sz="0" w:space="0" w:color="auto"/>
        <w:right w:val="none" w:sz="0" w:space="0" w:color="auto"/>
      </w:divBdr>
    </w:div>
    <w:div w:id="1349019881">
      <w:bodyDiv w:val="1"/>
      <w:marLeft w:val="0"/>
      <w:marRight w:val="0"/>
      <w:marTop w:val="0"/>
      <w:marBottom w:val="0"/>
      <w:divBdr>
        <w:top w:val="none" w:sz="0" w:space="0" w:color="auto"/>
        <w:left w:val="none" w:sz="0" w:space="0" w:color="auto"/>
        <w:bottom w:val="none" w:sz="0" w:space="0" w:color="auto"/>
        <w:right w:val="none" w:sz="0" w:space="0" w:color="auto"/>
      </w:divBdr>
    </w:div>
    <w:div w:id="1349411247">
      <w:bodyDiv w:val="1"/>
      <w:marLeft w:val="0"/>
      <w:marRight w:val="0"/>
      <w:marTop w:val="0"/>
      <w:marBottom w:val="0"/>
      <w:divBdr>
        <w:top w:val="none" w:sz="0" w:space="0" w:color="auto"/>
        <w:left w:val="none" w:sz="0" w:space="0" w:color="auto"/>
        <w:bottom w:val="none" w:sz="0" w:space="0" w:color="auto"/>
        <w:right w:val="none" w:sz="0" w:space="0" w:color="auto"/>
      </w:divBdr>
    </w:div>
    <w:div w:id="1349792401">
      <w:bodyDiv w:val="1"/>
      <w:marLeft w:val="0"/>
      <w:marRight w:val="0"/>
      <w:marTop w:val="0"/>
      <w:marBottom w:val="0"/>
      <w:divBdr>
        <w:top w:val="none" w:sz="0" w:space="0" w:color="auto"/>
        <w:left w:val="none" w:sz="0" w:space="0" w:color="auto"/>
        <w:bottom w:val="none" w:sz="0" w:space="0" w:color="auto"/>
        <w:right w:val="none" w:sz="0" w:space="0" w:color="auto"/>
      </w:divBdr>
    </w:div>
    <w:div w:id="1349986943">
      <w:bodyDiv w:val="1"/>
      <w:marLeft w:val="0"/>
      <w:marRight w:val="0"/>
      <w:marTop w:val="0"/>
      <w:marBottom w:val="0"/>
      <w:divBdr>
        <w:top w:val="none" w:sz="0" w:space="0" w:color="auto"/>
        <w:left w:val="none" w:sz="0" w:space="0" w:color="auto"/>
        <w:bottom w:val="none" w:sz="0" w:space="0" w:color="auto"/>
        <w:right w:val="none" w:sz="0" w:space="0" w:color="auto"/>
      </w:divBdr>
    </w:div>
    <w:div w:id="1350639057">
      <w:bodyDiv w:val="1"/>
      <w:marLeft w:val="0"/>
      <w:marRight w:val="0"/>
      <w:marTop w:val="0"/>
      <w:marBottom w:val="0"/>
      <w:divBdr>
        <w:top w:val="none" w:sz="0" w:space="0" w:color="auto"/>
        <w:left w:val="none" w:sz="0" w:space="0" w:color="auto"/>
        <w:bottom w:val="none" w:sz="0" w:space="0" w:color="auto"/>
        <w:right w:val="none" w:sz="0" w:space="0" w:color="auto"/>
      </w:divBdr>
    </w:div>
    <w:div w:id="1350717358">
      <w:bodyDiv w:val="1"/>
      <w:marLeft w:val="0"/>
      <w:marRight w:val="0"/>
      <w:marTop w:val="0"/>
      <w:marBottom w:val="0"/>
      <w:divBdr>
        <w:top w:val="none" w:sz="0" w:space="0" w:color="auto"/>
        <w:left w:val="none" w:sz="0" w:space="0" w:color="auto"/>
        <w:bottom w:val="none" w:sz="0" w:space="0" w:color="auto"/>
        <w:right w:val="none" w:sz="0" w:space="0" w:color="auto"/>
      </w:divBdr>
    </w:div>
    <w:div w:id="1351372830">
      <w:bodyDiv w:val="1"/>
      <w:marLeft w:val="0"/>
      <w:marRight w:val="0"/>
      <w:marTop w:val="0"/>
      <w:marBottom w:val="0"/>
      <w:divBdr>
        <w:top w:val="none" w:sz="0" w:space="0" w:color="auto"/>
        <w:left w:val="none" w:sz="0" w:space="0" w:color="auto"/>
        <w:bottom w:val="none" w:sz="0" w:space="0" w:color="auto"/>
        <w:right w:val="none" w:sz="0" w:space="0" w:color="auto"/>
      </w:divBdr>
    </w:div>
    <w:div w:id="1352141643">
      <w:bodyDiv w:val="1"/>
      <w:marLeft w:val="0"/>
      <w:marRight w:val="0"/>
      <w:marTop w:val="0"/>
      <w:marBottom w:val="0"/>
      <w:divBdr>
        <w:top w:val="none" w:sz="0" w:space="0" w:color="auto"/>
        <w:left w:val="none" w:sz="0" w:space="0" w:color="auto"/>
        <w:bottom w:val="none" w:sz="0" w:space="0" w:color="auto"/>
        <w:right w:val="none" w:sz="0" w:space="0" w:color="auto"/>
      </w:divBdr>
    </w:div>
    <w:div w:id="1353803524">
      <w:bodyDiv w:val="1"/>
      <w:marLeft w:val="0"/>
      <w:marRight w:val="0"/>
      <w:marTop w:val="0"/>
      <w:marBottom w:val="0"/>
      <w:divBdr>
        <w:top w:val="none" w:sz="0" w:space="0" w:color="auto"/>
        <w:left w:val="none" w:sz="0" w:space="0" w:color="auto"/>
        <w:bottom w:val="none" w:sz="0" w:space="0" w:color="auto"/>
        <w:right w:val="none" w:sz="0" w:space="0" w:color="auto"/>
      </w:divBdr>
    </w:div>
    <w:div w:id="1354041606">
      <w:bodyDiv w:val="1"/>
      <w:marLeft w:val="0"/>
      <w:marRight w:val="0"/>
      <w:marTop w:val="0"/>
      <w:marBottom w:val="0"/>
      <w:divBdr>
        <w:top w:val="none" w:sz="0" w:space="0" w:color="auto"/>
        <w:left w:val="none" w:sz="0" w:space="0" w:color="auto"/>
        <w:bottom w:val="none" w:sz="0" w:space="0" w:color="auto"/>
        <w:right w:val="none" w:sz="0" w:space="0" w:color="auto"/>
      </w:divBdr>
    </w:div>
    <w:div w:id="1356686699">
      <w:bodyDiv w:val="1"/>
      <w:marLeft w:val="0"/>
      <w:marRight w:val="0"/>
      <w:marTop w:val="0"/>
      <w:marBottom w:val="0"/>
      <w:divBdr>
        <w:top w:val="none" w:sz="0" w:space="0" w:color="auto"/>
        <w:left w:val="none" w:sz="0" w:space="0" w:color="auto"/>
        <w:bottom w:val="none" w:sz="0" w:space="0" w:color="auto"/>
        <w:right w:val="none" w:sz="0" w:space="0" w:color="auto"/>
      </w:divBdr>
    </w:div>
    <w:div w:id="1356884682">
      <w:bodyDiv w:val="1"/>
      <w:marLeft w:val="0"/>
      <w:marRight w:val="0"/>
      <w:marTop w:val="0"/>
      <w:marBottom w:val="0"/>
      <w:divBdr>
        <w:top w:val="none" w:sz="0" w:space="0" w:color="auto"/>
        <w:left w:val="none" w:sz="0" w:space="0" w:color="auto"/>
        <w:bottom w:val="none" w:sz="0" w:space="0" w:color="auto"/>
        <w:right w:val="none" w:sz="0" w:space="0" w:color="auto"/>
      </w:divBdr>
    </w:div>
    <w:div w:id="1357275446">
      <w:bodyDiv w:val="1"/>
      <w:marLeft w:val="0"/>
      <w:marRight w:val="0"/>
      <w:marTop w:val="0"/>
      <w:marBottom w:val="0"/>
      <w:divBdr>
        <w:top w:val="none" w:sz="0" w:space="0" w:color="auto"/>
        <w:left w:val="none" w:sz="0" w:space="0" w:color="auto"/>
        <w:bottom w:val="none" w:sz="0" w:space="0" w:color="auto"/>
        <w:right w:val="none" w:sz="0" w:space="0" w:color="auto"/>
      </w:divBdr>
    </w:div>
    <w:div w:id="1357538597">
      <w:bodyDiv w:val="1"/>
      <w:marLeft w:val="0"/>
      <w:marRight w:val="0"/>
      <w:marTop w:val="0"/>
      <w:marBottom w:val="0"/>
      <w:divBdr>
        <w:top w:val="none" w:sz="0" w:space="0" w:color="auto"/>
        <w:left w:val="none" w:sz="0" w:space="0" w:color="auto"/>
        <w:bottom w:val="none" w:sz="0" w:space="0" w:color="auto"/>
        <w:right w:val="none" w:sz="0" w:space="0" w:color="auto"/>
      </w:divBdr>
    </w:div>
    <w:div w:id="1357845855">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59506331">
      <w:bodyDiv w:val="1"/>
      <w:marLeft w:val="0"/>
      <w:marRight w:val="0"/>
      <w:marTop w:val="0"/>
      <w:marBottom w:val="0"/>
      <w:divBdr>
        <w:top w:val="none" w:sz="0" w:space="0" w:color="auto"/>
        <w:left w:val="none" w:sz="0" w:space="0" w:color="auto"/>
        <w:bottom w:val="none" w:sz="0" w:space="0" w:color="auto"/>
        <w:right w:val="none" w:sz="0" w:space="0" w:color="auto"/>
      </w:divBdr>
    </w:div>
    <w:div w:id="1360008754">
      <w:bodyDiv w:val="1"/>
      <w:marLeft w:val="0"/>
      <w:marRight w:val="0"/>
      <w:marTop w:val="0"/>
      <w:marBottom w:val="0"/>
      <w:divBdr>
        <w:top w:val="none" w:sz="0" w:space="0" w:color="auto"/>
        <w:left w:val="none" w:sz="0" w:space="0" w:color="auto"/>
        <w:bottom w:val="none" w:sz="0" w:space="0" w:color="auto"/>
        <w:right w:val="none" w:sz="0" w:space="0" w:color="auto"/>
      </w:divBdr>
    </w:div>
    <w:div w:id="1360398115">
      <w:bodyDiv w:val="1"/>
      <w:marLeft w:val="0"/>
      <w:marRight w:val="0"/>
      <w:marTop w:val="0"/>
      <w:marBottom w:val="0"/>
      <w:divBdr>
        <w:top w:val="none" w:sz="0" w:space="0" w:color="auto"/>
        <w:left w:val="none" w:sz="0" w:space="0" w:color="auto"/>
        <w:bottom w:val="none" w:sz="0" w:space="0" w:color="auto"/>
        <w:right w:val="none" w:sz="0" w:space="0" w:color="auto"/>
      </w:divBdr>
    </w:div>
    <w:div w:id="1360624650">
      <w:bodyDiv w:val="1"/>
      <w:marLeft w:val="0"/>
      <w:marRight w:val="0"/>
      <w:marTop w:val="0"/>
      <w:marBottom w:val="0"/>
      <w:divBdr>
        <w:top w:val="none" w:sz="0" w:space="0" w:color="auto"/>
        <w:left w:val="none" w:sz="0" w:space="0" w:color="auto"/>
        <w:bottom w:val="none" w:sz="0" w:space="0" w:color="auto"/>
        <w:right w:val="none" w:sz="0" w:space="0" w:color="auto"/>
      </w:divBdr>
    </w:div>
    <w:div w:id="1361006381">
      <w:bodyDiv w:val="1"/>
      <w:marLeft w:val="0"/>
      <w:marRight w:val="0"/>
      <w:marTop w:val="0"/>
      <w:marBottom w:val="0"/>
      <w:divBdr>
        <w:top w:val="none" w:sz="0" w:space="0" w:color="auto"/>
        <w:left w:val="none" w:sz="0" w:space="0" w:color="auto"/>
        <w:bottom w:val="none" w:sz="0" w:space="0" w:color="auto"/>
        <w:right w:val="none" w:sz="0" w:space="0" w:color="auto"/>
      </w:divBdr>
    </w:div>
    <w:div w:id="1361277348">
      <w:bodyDiv w:val="1"/>
      <w:marLeft w:val="0"/>
      <w:marRight w:val="0"/>
      <w:marTop w:val="0"/>
      <w:marBottom w:val="0"/>
      <w:divBdr>
        <w:top w:val="none" w:sz="0" w:space="0" w:color="auto"/>
        <w:left w:val="none" w:sz="0" w:space="0" w:color="auto"/>
        <w:bottom w:val="none" w:sz="0" w:space="0" w:color="auto"/>
        <w:right w:val="none" w:sz="0" w:space="0" w:color="auto"/>
      </w:divBdr>
    </w:div>
    <w:div w:id="1362777197">
      <w:bodyDiv w:val="1"/>
      <w:marLeft w:val="0"/>
      <w:marRight w:val="0"/>
      <w:marTop w:val="0"/>
      <w:marBottom w:val="0"/>
      <w:divBdr>
        <w:top w:val="none" w:sz="0" w:space="0" w:color="auto"/>
        <w:left w:val="none" w:sz="0" w:space="0" w:color="auto"/>
        <w:bottom w:val="none" w:sz="0" w:space="0" w:color="auto"/>
        <w:right w:val="none" w:sz="0" w:space="0" w:color="auto"/>
      </w:divBdr>
    </w:div>
    <w:div w:id="1363286380">
      <w:bodyDiv w:val="1"/>
      <w:marLeft w:val="0"/>
      <w:marRight w:val="0"/>
      <w:marTop w:val="0"/>
      <w:marBottom w:val="0"/>
      <w:divBdr>
        <w:top w:val="none" w:sz="0" w:space="0" w:color="auto"/>
        <w:left w:val="none" w:sz="0" w:space="0" w:color="auto"/>
        <w:bottom w:val="none" w:sz="0" w:space="0" w:color="auto"/>
        <w:right w:val="none" w:sz="0" w:space="0" w:color="auto"/>
      </w:divBdr>
    </w:div>
    <w:div w:id="1364210183">
      <w:bodyDiv w:val="1"/>
      <w:marLeft w:val="0"/>
      <w:marRight w:val="0"/>
      <w:marTop w:val="0"/>
      <w:marBottom w:val="0"/>
      <w:divBdr>
        <w:top w:val="none" w:sz="0" w:space="0" w:color="auto"/>
        <w:left w:val="none" w:sz="0" w:space="0" w:color="auto"/>
        <w:bottom w:val="none" w:sz="0" w:space="0" w:color="auto"/>
        <w:right w:val="none" w:sz="0" w:space="0" w:color="auto"/>
      </w:divBdr>
    </w:div>
    <w:div w:id="1364862969">
      <w:bodyDiv w:val="1"/>
      <w:marLeft w:val="0"/>
      <w:marRight w:val="0"/>
      <w:marTop w:val="0"/>
      <w:marBottom w:val="0"/>
      <w:divBdr>
        <w:top w:val="none" w:sz="0" w:space="0" w:color="auto"/>
        <w:left w:val="none" w:sz="0" w:space="0" w:color="auto"/>
        <w:bottom w:val="none" w:sz="0" w:space="0" w:color="auto"/>
        <w:right w:val="none" w:sz="0" w:space="0" w:color="auto"/>
      </w:divBdr>
    </w:div>
    <w:div w:id="1365784857">
      <w:bodyDiv w:val="1"/>
      <w:marLeft w:val="0"/>
      <w:marRight w:val="0"/>
      <w:marTop w:val="0"/>
      <w:marBottom w:val="0"/>
      <w:divBdr>
        <w:top w:val="none" w:sz="0" w:space="0" w:color="auto"/>
        <w:left w:val="none" w:sz="0" w:space="0" w:color="auto"/>
        <w:bottom w:val="none" w:sz="0" w:space="0" w:color="auto"/>
        <w:right w:val="none" w:sz="0" w:space="0" w:color="auto"/>
      </w:divBdr>
    </w:div>
    <w:div w:id="1366518713">
      <w:bodyDiv w:val="1"/>
      <w:marLeft w:val="0"/>
      <w:marRight w:val="0"/>
      <w:marTop w:val="0"/>
      <w:marBottom w:val="0"/>
      <w:divBdr>
        <w:top w:val="none" w:sz="0" w:space="0" w:color="auto"/>
        <w:left w:val="none" w:sz="0" w:space="0" w:color="auto"/>
        <w:bottom w:val="none" w:sz="0" w:space="0" w:color="auto"/>
        <w:right w:val="none" w:sz="0" w:space="0" w:color="auto"/>
      </w:divBdr>
    </w:div>
    <w:div w:id="1366714079">
      <w:bodyDiv w:val="1"/>
      <w:marLeft w:val="0"/>
      <w:marRight w:val="0"/>
      <w:marTop w:val="0"/>
      <w:marBottom w:val="0"/>
      <w:divBdr>
        <w:top w:val="none" w:sz="0" w:space="0" w:color="auto"/>
        <w:left w:val="none" w:sz="0" w:space="0" w:color="auto"/>
        <w:bottom w:val="none" w:sz="0" w:space="0" w:color="auto"/>
        <w:right w:val="none" w:sz="0" w:space="0" w:color="auto"/>
      </w:divBdr>
    </w:div>
    <w:div w:id="1367096308">
      <w:bodyDiv w:val="1"/>
      <w:marLeft w:val="0"/>
      <w:marRight w:val="0"/>
      <w:marTop w:val="0"/>
      <w:marBottom w:val="0"/>
      <w:divBdr>
        <w:top w:val="none" w:sz="0" w:space="0" w:color="auto"/>
        <w:left w:val="none" w:sz="0" w:space="0" w:color="auto"/>
        <w:bottom w:val="none" w:sz="0" w:space="0" w:color="auto"/>
        <w:right w:val="none" w:sz="0" w:space="0" w:color="auto"/>
      </w:divBdr>
    </w:div>
    <w:div w:id="1367103089">
      <w:bodyDiv w:val="1"/>
      <w:marLeft w:val="0"/>
      <w:marRight w:val="0"/>
      <w:marTop w:val="0"/>
      <w:marBottom w:val="0"/>
      <w:divBdr>
        <w:top w:val="none" w:sz="0" w:space="0" w:color="auto"/>
        <w:left w:val="none" w:sz="0" w:space="0" w:color="auto"/>
        <w:bottom w:val="none" w:sz="0" w:space="0" w:color="auto"/>
        <w:right w:val="none" w:sz="0" w:space="0" w:color="auto"/>
      </w:divBdr>
    </w:div>
    <w:div w:id="1368988277">
      <w:bodyDiv w:val="1"/>
      <w:marLeft w:val="0"/>
      <w:marRight w:val="0"/>
      <w:marTop w:val="0"/>
      <w:marBottom w:val="0"/>
      <w:divBdr>
        <w:top w:val="none" w:sz="0" w:space="0" w:color="auto"/>
        <w:left w:val="none" w:sz="0" w:space="0" w:color="auto"/>
        <w:bottom w:val="none" w:sz="0" w:space="0" w:color="auto"/>
        <w:right w:val="none" w:sz="0" w:space="0" w:color="auto"/>
      </w:divBdr>
    </w:div>
    <w:div w:id="1369572868">
      <w:bodyDiv w:val="1"/>
      <w:marLeft w:val="0"/>
      <w:marRight w:val="0"/>
      <w:marTop w:val="0"/>
      <w:marBottom w:val="0"/>
      <w:divBdr>
        <w:top w:val="none" w:sz="0" w:space="0" w:color="auto"/>
        <w:left w:val="none" w:sz="0" w:space="0" w:color="auto"/>
        <w:bottom w:val="none" w:sz="0" w:space="0" w:color="auto"/>
        <w:right w:val="none" w:sz="0" w:space="0" w:color="auto"/>
      </w:divBdr>
    </w:div>
    <w:div w:id="1370183410">
      <w:bodyDiv w:val="1"/>
      <w:marLeft w:val="0"/>
      <w:marRight w:val="0"/>
      <w:marTop w:val="0"/>
      <w:marBottom w:val="0"/>
      <w:divBdr>
        <w:top w:val="none" w:sz="0" w:space="0" w:color="auto"/>
        <w:left w:val="none" w:sz="0" w:space="0" w:color="auto"/>
        <w:bottom w:val="none" w:sz="0" w:space="0" w:color="auto"/>
        <w:right w:val="none" w:sz="0" w:space="0" w:color="auto"/>
      </w:divBdr>
    </w:div>
    <w:div w:id="1370378171">
      <w:bodyDiv w:val="1"/>
      <w:marLeft w:val="0"/>
      <w:marRight w:val="0"/>
      <w:marTop w:val="0"/>
      <w:marBottom w:val="0"/>
      <w:divBdr>
        <w:top w:val="none" w:sz="0" w:space="0" w:color="auto"/>
        <w:left w:val="none" w:sz="0" w:space="0" w:color="auto"/>
        <w:bottom w:val="none" w:sz="0" w:space="0" w:color="auto"/>
        <w:right w:val="none" w:sz="0" w:space="0" w:color="auto"/>
      </w:divBdr>
    </w:div>
    <w:div w:id="1370494810">
      <w:bodyDiv w:val="1"/>
      <w:marLeft w:val="0"/>
      <w:marRight w:val="0"/>
      <w:marTop w:val="0"/>
      <w:marBottom w:val="0"/>
      <w:divBdr>
        <w:top w:val="none" w:sz="0" w:space="0" w:color="auto"/>
        <w:left w:val="none" w:sz="0" w:space="0" w:color="auto"/>
        <w:bottom w:val="none" w:sz="0" w:space="0" w:color="auto"/>
        <w:right w:val="none" w:sz="0" w:space="0" w:color="auto"/>
      </w:divBdr>
    </w:div>
    <w:div w:id="1370643294">
      <w:bodyDiv w:val="1"/>
      <w:marLeft w:val="0"/>
      <w:marRight w:val="0"/>
      <w:marTop w:val="0"/>
      <w:marBottom w:val="0"/>
      <w:divBdr>
        <w:top w:val="none" w:sz="0" w:space="0" w:color="auto"/>
        <w:left w:val="none" w:sz="0" w:space="0" w:color="auto"/>
        <w:bottom w:val="none" w:sz="0" w:space="0" w:color="auto"/>
        <w:right w:val="none" w:sz="0" w:space="0" w:color="auto"/>
      </w:divBdr>
    </w:div>
    <w:div w:id="1370685829">
      <w:bodyDiv w:val="1"/>
      <w:marLeft w:val="0"/>
      <w:marRight w:val="0"/>
      <w:marTop w:val="0"/>
      <w:marBottom w:val="0"/>
      <w:divBdr>
        <w:top w:val="none" w:sz="0" w:space="0" w:color="auto"/>
        <w:left w:val="none" w:sz="0" w:space="0" w:color="auto"/>
        <w:bottom w:val="none" w:sz="0" w:space="0" w:color="auto"/>
        <w:right w:val="none" w:sz="0" w:space="0" w:color="auto"/>
      </w:divBdr>
    </w:div>
    <w:div w:id="1371761017">
      <w:bodyDiv w:val="1"/>
      <w:marLeft w:val="0"/>
      <w:marRight w:val="0"/>
      <w:marTop w:val="0"/>
      <w:marBottom w:val="0"/>
      <w:divBdr>
        <w:top w:val="none" w:sz="0" w:space="0" w:color="auto"/>
        <w:left w:val="none" w:sz="0" w:space="0" w:color="auto"/>
        <w:bottom w:val="none" w:sz="0" w:space="0" w:color="auto"/>
        <w:right w:val="none" w:sz="0" w:space="0" w:color="auto"/>
      </w:divBdr>
    </w:div>
    <w:div w:id="1372149858">
      <w:bodyDiv w:val="1"/>
      <w:marLeft w:val="0"/>
      <w:marRight w:val="0"/>
      <w:marTop w:val="0"/>
      <w:marBottom w:val="0"/>
      <w:divBdr>
        <w:top w:val="none" w:sz="0" w:space="0" w:color="auto"/>
        <w:left w:val="none" w:sz="0" w:space="0" w:color="auto"/>
        <w:bottom w:val="none" w:sz="0" w:space="0" w:color="auto"/>
        <w:right w:val="none" w:sz="0" w:space="0" w:color="auto"/>
      </w:divBdr>
    </w:div>
    <w:div w:id="1372608317">
      <w:bodyDiv w:val="1"/>
      <w:marLeft w:val="0"/>
      <w:marRight w:val="0"/>
      <w:marTop w:val="0"/>
      <w:marBottom w:val="0"/>
      <w:divBdr>
        <w:top w:val="none" w:sz="0" w:space="0" w:color="auto"/>
        <w:left w:val="none" w:sz="0" w:space="0" w:color="auto"/>
        <w:bottom w:val="none" w:sz="0" w:space="0" w:color="auto"/>
        <w:right w:val="none" w:sz="0" w:space="0" w:color="auto"/>
      </w:divBdr>
    </w:div>
    <w:div w:id="1374696223">
      <w:bodyDiv w:val="1"/>
      <w:marLeft w:val="0"/>
      <w:marRight w:val="0"/>
      <w:marTop w:val="0"/>
      <w:marBottom w:val="0"/>
      <w:divBdr>
        <w:top w:val="none" w:sz="0" w:space="0" w:color="auto"/>
        <w:left w:val="none" w:sz="0" w:space="0" w:color="auto"/>
        <w:bottom w:val="none" w:sz="0" w:space="0" w:color="auto"/>
        <w:right w:val="none" w:sz="0" w:space="0" w:color="auto"/>
      </w:divBdr>
    </w:div>
    <w:div w:id="1376469920">
      <w:bodyDiv w:val="1"/>
      <w:marLeft w:val="0"/>
      <w:marRight w:val="0"/>
      <w:marTop w:val="0"/>
      <w:marBottom w:val="0"/>
      <w:divBdr>
        <w:top w:val="none" w:sz="0" w:space="0" w:color="auto"/>
        <w:left w:val="none" w:sz="0" w:space="0" w:color="auto"/>
        <w:bottom w:val="none" w:sz="0" w:space="0" w:color="auto"/>
        <w:right w:val="none" w:sz="0" w:space="0" w:color="auto"/>
      </w:divBdr>
    </w:div>
    <w:div w:id="1377394979">
      <w:bodyDiv w:val="1"/>
      <w:marLeft w:val="0"/>
      <w:marRight w:val="0"/>
      <w:marTop w:val="0"/>
      <w:marBottom w:val="0"/>
      <w:divBdr>
        <w:top w:val="none" w:sz="0" w:space="0" w:color="auto"/>
        <w:left w:val="none" w:sz="0" w:space="0" w:color="auto"/>
        <w:bottom w:val="none" w:sz="0" w:space="0" w:color="auto"/>
        <w:right w:val="none" w:sz="0" w:space="0" w:color="auto"/>
      </w:divBdr>
    </w:div>
    <w:div w:id="1377462438">
      <w:bodyDiv w:val="1"/>
      <w:marLeft w:val="0"/>
      <w:marRight w:val="0"/>
      <w:marTop w:val="0"/>
      <w:marBottom w:val="0"/>
      <w:divBdr>
        <w:top w:val="none" w:sz="0" w:space="0" w:color="auto"/>
        <w:left w:val="none" w:sz="0" w:space="0" w:color="auto"/>
        <w:bottom w:val="none" w:sz="0" w:space="0" w:color="auto"/>
        <w:right w:val="none" w:sz="0" w:space="0" w:color="auto"/>
      </w:divBdr>
    </w:div>
    <w:div w:id="1377730008">
      <w:bodyDiv w:val="1"/>
      <w:marLeft w:val="0"/>
      <w:marRight w:val="0"/>
      <w:marTop w:val="0"/>
      <w:marBottom w:val="0"/>
      <w:divBdr>
        <w:top w:val="none" w:sz="0" w:space="0" w:color="auto"/>
        <w:left w:val="none" w:sz="0" w:space="0" w:color="auto"/>
        <w:bottom w:val="none" w:sz="0" w:space="0" w:color="auto"/>
        <w:right w:val="none" w:sz="0" w:space="0" w:color="auto"/>
      </w:divBdr>
    </w:div>
    <w:div w:id="1378357684">
      <w:bodyDiv w:val="1"/>
      <w:marLeft w:val="0"/>
      <w:marRight w:val="0"/>
      <w:marTop w:val="0"/>
      <w:marBottom w:val="0"/>
      <w:divBdr>
        <w:top w:val="none" w:sz="0" w:space="0" w:color="auto"/>
        <w:left w:val="none" w:sz="0" w:space="0" w:color="auto"/>
        <w:bottom w:val="none" w:sz="0" w:space="0" w:color="auto"/>
        <w:right w:val="none" w:sz="0" w:space="0" w:color="auto"/>
      </w:divBdr>
    </w:div>
    <w:div w:id="1378427586">
      <w:bodyDiv w:val="1"/>
      <w:marLeft w:val="0"/>
      <w:marRight w:val="0"/>
      <w:marTop w:val="0"/>
      <w:marBottom w:val="0"/>
      <w:divBdr>
        <w:top w:val="none" w:sz="0" w:space="0" w:color="auto"/>
        <w:left w:val="none" w:sz="0" w:space="0" w:color="auto"/>
        <w:bottom w:val="none" w:sz="0" w:space="0" w:color="auto"/>
        <w:right w:val="none" w:sz="0" w:space="0" w:color="auto"/>
      </w:divBdr>
    </w:div>
    <w:div w:id="1381200336">
      <w:bodyDiv w:val="1"/>
      <w:marLeft w:val="0"/>
      <w:marRight w:val="0"/>
      <w:marTop w:val="0"/>
      <w:marBottom w:val="0"/>
      <w:divBdr>
        <w:top w:val="none" w:sz="0" w:space="0" w:color="auto"/>
        <w:left w:val="none" w:sz="0" w:space="0" w:color="auto"/>
        <w:bottom w:val="none" w:sz="0" w:space="0" w:color="auto"/>
        <w:right w:val="none" w:sz="0" w:space="0" w:color="auto"/>
      </w:divBdr>
    </w:div>
    <w:div w:id="1381711535">
      <w:bodyDiv w:val="1"/>
      <w:marLeft w:val="0"/>
      <w:marRight w:val="0"/>
      <w:marTop w:val="0"/>
      <w:marBottom w:val="0"/>
      <w:divBdr>
        <w:top w:val="none" w:sz="0" w:space="0" w:color="auto"/>
        <w:left w:val="none" w:sz="0" w:space="0" w:color="auto"/>
        <w:bottom w:val="none" w:sz="0" w:space="0" w:color="auto"/>
        <w:right w:val="none" w:sz="0" w:space="0" w:color="auto"/>
      </w:divBdr>
    </w:div>
    <w:div w:id="1381828149">
      <w:bodyDiv w:val="1"/>
      <w:marLeft w:val="0"/>
      <w:marRight w:val="0"/>
      <w:marTop w:val="0"/>
      <w:marBottom w:val="0"/>
      <w:divBdr>
        <w:top w:val="none" w:sz="0" w:space="0" w:color="auto"/>
        <w:left w:val="none" w:sz="0" w:space="0" w:color="auto"/>
        <w:bottom w:val="none" w:sz="0" w:space="0" w:color="auto"/>
        <w:right w:val="none" w:sz="0" w:space="0" w:color="auto"/>
      </w:divBdr>
    </w:div>
    <w:div w:id="1382024594">
      <w:bodyDiv w:val="1"/>
      <w:marLeft w:val="0"/>
      <w:marRight w:val="0"/>
      <w:marTop w:val="0"/>
      <w:marBottom w:val="0"/>
      <w:divBdr>
        <w:top w:val="none" w:sz="0" w:space="0" w:color="auto"/>
        <w:left w:val="none" w:sz="0" w:space="0" w:color="auto"/>
        <w:bottom w:val="none" w:sz="0" w:space="0" w:color="auto"/>
        <w:right w:val="none" w:sz="0" w:space="0" w:color="auto"/>
      </w:divBdr>
    </w:div>
    <w:div w:id="1382441468">
      <w:bodyDiv w:val="1"/>
      <w:marLeft w:val="0"/>
      <w:marRight w:val="0"/>
      <w:marTop w:val="0"/>
      <w:marBottom w:val="0"/>
      <w:divBdr>
        <w:top w:val="none" w:sz="0" w:space="0" w:color="auto"/>
        <w:left w:val="none" w:sz="0" w:space="0" w:color="auto"/>
        <w:bottom w:val="none" w:sz="0" w:space="0" w:color="auto"/>
        <w:right w:val="none" w:sz="0" w:space="0" w:color="auto"/>
      </w:divBdr>
    </w:div>
    <w:div w:id="1384216772">
      <w:bodyDiv w:val="1"/>
      <w:marLeft w:val="0"/>
      <w:marRight w:val="0"/>
      <w:marTop w:val="0"/>
      <w:marBottom w:val="0"/>
      <w:divBdr>
        <w:top w:val="none" w:sz="0" w:space="0" w:color="auto"/>
        <w:left w:val="none" w:sz="0" w:space="0" w:color="auto"/>
        <w:bottom w:val="none" w:sz="0" w:space="0" w:color="auto"/>
        <w:right w:val="none" w:sz="0" w:space="0" w:color="auto"/>
      </w:divBdr>
    </w:div>
    <w:div w:id="1384406653">
      <w:bodyDiv w:val="1"/>
      <w:marLeft w:val="0"/>
      <w:marRight w:val="0"/>
      <w:marTop w:val="0"/>
      <w:marBottom w:val="0"/>
      <w:divBdr>
        <w:top w:val="none" w:sz="0" w:space="0" w:color="auto"/>
        <w:left w:val="none" w:sz="0" w:space="0" w:color="auto"/>
        <w:bottom w:val="none" w:sz="0" w:space="0" w:color="auto"/>
        <w:right w:val="none" w:sz="0" w:space="0" w:color="auto"/>
      </w:divBdr>
    </w:div>
    <w:div w:id="1384449174">
      <w:bodyDiv w:val="1"/>
      <w:marLeft w:val="0"/>
      <w:marRight w:val="0"/>
      <w:marTop w:val="0"/>
      <w:marBottom w:val="0"/>
      <w:divBdr>
        <w:top w:val="none" w:sz="0" w:space="0" w:color="auto"/>
        <w:left w:val="none" w:sz="0" w:space="0" w:color="auto"/>
        <w:bottom w:val="none" w:sz="0" w:space="0" w:color="auto"/>
        <w:right w:val="none" w:sz="0" w:space="0" w:color="auto"/>
      </w:divBdr>
    </w:div>
    <w:div w:id="1385104284">
      <w:bodyDiv w:val="1"/>
      <w:marLeft w:val="0"/>
      <w:marRight w:val="0"/>
      <w:marTop w:val="0"/>
      <w:marBottom w:val="0"/>
      <w:divBdr>
        <w:top w:val="none" w:sz="0" w:space="0" w:color="auto"/>
        <w:left w:val="none" w:sz="0" w:space="0" w:color="auto"/>
        <w:bottom w:val="none" w:sz="0" w:space="0" w:color="auto"/>
        <w:right w:val="none" w:sz="0" w:space="0" w:color="auto"/>
      </w:divBdr>
    </w:div>
    <w:div w:id="1385133630">
      <w:bodyDiv w:val="1"/>
      <w:marLeft w:val="0"/>
      <w:marRight w:val="0"/>
      <w:marTop w:val="0"/>
      <w:marBottom w:val="0"/>
      <w:divBdr>
        <w:top w:val="none" w:sz="0" w:space="0" w:color="auto"/>
        <w:left w:val="none" w:sz="0" w:space="0" w:color="auto"/>
        <w:bottom w:val="none" w:sz="0" w:space="0" w:color="auto"/>
        <w:right w:val="none" w:sz="0" w:space="0" w:color="auto"/>
      </w:divBdr>
    </w:div>
    <w:div w:id="1385301043">
      <w:bodyDiv w:val="1"/>
      <w:marLeft w:val="0"/>
      <w:marRight w:val="0"/>
      <w:marTop w:val="0"/>
      <w:marBottom w:val="0"/>
      <w:divBdr>
        <w:top w:val="none" w:sz="0" w:space="0" w:color="auto"/>
        <w:left w:val="none" w:sz="0" w:space="0" w:color="auto"/>
        <w:bottom w:val="none" w:sz="0" w:space="0" w:color="auto"/>
        <w:right w:val="none" w:sz="0" w:space="0" w:color="auto"/>
      </w:divBdr>
    </w:div>
    <w:div w:id="1385374337">
      <w:bodyDiv w:val="1"/>
      <w:marLeft w:val="0"/>
      <w:marRight w:val="0"/>
      <w:marTop w:val="0"/>
      <w:marBottom w:val="0"/>
      <w:divBdr>
        <w:top w:val="none" w:sz="0" w:space="0" w:color="auto"/>
        <w:left w:val="none" w:sz="0" w:space="0" w:color="auto"/>
        <w:bottom w:val="none" w:sz="0" w:space="0" w:color="auto"/>
        <w:right w:val="none" w:sz="0" w:space="0" w:color="auto"/>
      </w:divBdr>
    </w:div>
    <w:div w:id="1386101647">
      <w:bodyDiv w:val="1"/>
      <w:marLeft w:val="0"/>
      <w:marRight w:val="0"/>
      <w:marTop w:val="0"/>
      <w:marBottom w:val="0"/>
      <w:divBdr>
        <w:top w:val="none" w:sz="0" w:space="0" w:color="auto"/>
        <w:left w:val="none" w:sz="0" w:space="0" w:color="auto"/>
        <w:bottom w:val="none" w:sz="0" w:space="0" w:color="auto"/>
        <w:right w:val="none" w:sz="0" w:space="0" w:color="auto"/>
      </w:divBdr>
    </w:div>
    <w:div w:id="1386417954">
      <w:bodyDiv w:val="1"/>
      <w:marLeft w:val="0"/>
      <w:marRight w:val="0"/>
      <w:marTop w:val="0"/>
      <w:marBottom w:val="0"/>
      <w:divBdr>
        <w:top w:val="none" w:sz="0" w:space="0" w:color="auto"/>
        <w:left w:val="none" w:sz="0" w:space="0" w:color="auto"/>
        <w:bottom w:val="none" w:sz="0" w:space="0" w:color="auto"/>
        <w:right w:val="none" w:sz="0" w:space="0" w:color="auto"/>
      </w:divBdr>
    </w:div>
    <w:div w:id="1387679635">
      <w:bodyDiv w:val="1"/>
      <w:marLeft w:val="0"/>
      <w:marRight w:val="0"/>
      <w:marTop w:val="0"/>
      <w:marBottom w:val="0"/>
      <w:divBdr>
        <w:top w:val="none" w:sz="0" w:space="0" w:color="auto"/>
        <w:left w:val="none" w:sz="0" w:space="0" w:color="auto"/>
        <w:bottom w:val="none" w:sz="0" w:space="0" w:color="auto"/>
        <w:right w:val="none" w:sz="0" w:space="0" w:color="auto"/>
      </w:divBdr>
    </w:div>
    <w:div w:id="1388843514">
      <w:bodyDiv w:val="1"/>
      <w:marLeft w:val="0"/>
      <w:marRight w:val="0"/>
      <w:marTop w:val="0"/>
      <w:marBottom w:val="0"/>
      <w:divBdr>
        <w:top w:val="none" w:sz="0" w:space="0" w:color="auto"/>
        <w:left w:val="none" w:sz="0" w:space="0" w:color="auto"/>
        <w:bottom w:val="none" w:sz="0" w:space="0" w:color="auto"/>
        <w:right w:val="none" w:sz="0" w:space="0" w:color="auto"/>
      </w:divBdr>
    </w:div>
    <w:div w:id="1389259908">
      <w:bodyDiv w:val="1"/>
      <w:marLeft w:val="0"/>
      <w:marRight w:val="0"/>
      <w:marTop w:val="0"/>
      <w:marBottom w:val="0"/>
      <w:divBdr>
        <w:top w:val="none" w:sz="0" w:space="0" w:color="auto"/>
        <w:left w:val="none" w:sz="0" w:space="0" w:color="auto"/>
        <w:bottom w:val="none" w:sz="0" w:space="0" w:color="auto"/>
        <w:right w:val="none" w:sz="0" w:space="0" w:color="auto"/>
      </w:divBdr>
    </w:div>
    <w:div w:id="1390033170">
      <w:bodyDiv w:val="1"/>
      <w:marLeft w:val="0"/>
      <w:marRight w:val="0"/>
      <w:marTop w:val="0"/>
      <w:marBottom w:val="0"/>
      <w:divBdr>
        <w:top w:val="none" w:sz="0" w:space="0" w:color="auto"/>
        <w:left w:val="none" w:sz="0" w:space="0" w:color="auto"/>
        <w:bottom w:val="none" w:sz="0" w:space="0" w:color="auto"/>
        <w:right w:val="none" w:sz="0" w:space="0" w:color="auto"/>
      </w:divBdr>
    </w:div>
    <w:div w:id="1390374565">
      <w:bodyDiv w:val="1"/>
      <w:marLeft w:val="0"/>
      <w:marRight w:val="0"/>
      <w:marTop w:val="0"/>
      <w:marBottom w:val="0"/>
      <w:divBdr>
        <w:top w:val="none" w:sz="0" w:space="0" w:color="auto"/>
        <w:left w:val="none" w:sz="0" w:space="0" w:color="auto"/>
        <w:bottom w:val="none" w:sz="0" w:space="0" w:color="auto"/>
        <w:right w:val="none" w:sz="0" w:space="0" w:color="auto"/>
      </w:divBdr>
    </w:div>
    <w:div w:id="1390421215">
      <w:bodyDiv w:val="1"/>
      <w:marLeft w:val="0"/>
      <w:marRight w:val="0"/>
      <w:marTop w:val="0"/>
      <w:marBottom w:val="0"/>
      <w:divBdr>
        <w:top w:val="none" w:sz="0" w:space="0" w:color="auto"/>
        <w:left w:val="none" w:sz="0" w:space="0" w:color="auto"/>
        <w:bottom w:val="none" w:sz="0" w:space="0" w:color="auto"/>
        <w:right w:val="none" w:sz="0" w:space="0" w:color="auto"/>
      </w:divBdr>
    </w:div>
    <w:div w:id="1391658611">
      <w:bodyDiv w:val="1"/>
      <w:marLeft w:val="0"/>
      <w:marRight w:val="0"/>
      <w:marTop w:val="0"/>
      <w:marBottom w:val="0"/>
      <w:divBdr>
        <w:top w:val="none" w:sz="0" w:space="0" w:color="auto"/>
        <w:left w:val="none" w:sz="0" w:space="0" w:color="auto"/>
        <w:bottom w:val="none" w:sz="0" w:space="0" w:color="auto"/>
        <w:right w:val="none" w:sz="0" w:space="0" w:color="auto"/>
      </w:divBdr>
    </w:div>
    <w:div w:id="1391878632">
      <w:bodyDiv w:val="1"/>
      <w:marLeft w:val="0"/>
      <w:marRight w:val="0"/>
      <w:marTop w:val="0"/>
      <w:marBottom w:val="0"/>
      <w:divBdr>
        <w:top w:val="none" w:sz="0" w:space="0" w:color="auto"/>
        <w:left w:val="none" w:sz="0" w:space="0" w:color="auto"/>
        <w:bottom w:val="none" w:sz="0" w:space="0" w:color="auto"/>
        <w:right w:val="none" w:sz="0" w:space="0" w:color="auto"/>
      </w:divBdr>
    </w:div>
    <w:div w:id="1393234010">
      <w:bodyDiv w:val="1"/>
      <w:marLeft w:val="0"/>
      <w:marRight w:val="0"/>
      <w:marTop w:val="0"/>
      <w:marBottom w:val="0"/>
      <w:divBdr>
        <w:top w:val="none" w:sz="0" w:space="0" w:color="auto"/>
        <w:left w:val="none" w:sz="0" w:space="0" w:color="auto"/>
        <w:bottom w:val="none" w:sz="0" w:space="0" w:color="auto"/>
        <w:right w:val="none" w:sz="0" w:space="0" w:color="auto"/>
      </w:divBdr>
    </w:div>
    <w:div w:id="1395005602">
      <w:bodyDiv w:val="1"/>
      <w:marLeft w:val="0"/>
      <w:marRight w:val="0"/>
      <w:marTop w:val="0"/>
      <w:marBottom w:val="0"/>
      <w:divBdr>
        <w:top w:val="none" w:sz="0" w:space="0" w:color="auto"/>
        <w:left w:val="none" w:sz="0" w:space="0" w:color="auto"/>
        <w:bottom w:val="none" w:sz="0" w:space="0" w:color="auto"/>
        <w:right w:val="none" w:sz="0" w:space="0" w:color="auto"/>
      </w:divBdr>
    </w:div>
    <w:div w:id="1395273873">
      <w:bodyDiv w:val="1"/>
      <w:marLeft w:val="0"/>
      <w:marRight w:val="0"/>
      <w:marTop w:val="0"/>
      <w:marBottom w:val="0"/>
      <w:divBdr>
        <w:top w:val="none" w:sz="0" w:space="0" w:color="auto"/>
        <w:left w:val="none" w:sz="0" w:space="0" w:color="auto"/>
        <w:bottom w:val="none" w:sz="0" w:space="0" w:color="auto"/>
        <w:right w:val="none" w:sz="0" w:space="0" w:color="auto"/>
      </w:divBdr>
    </w:div>
    <w:div w:id="1396200961">
      <w:bodyDiv w:val="1"/>
      <w:marLeft w:val="0"/>
      <w:marRight w:val="0"/>
      <w:marTop w:val="0"/>
      <w:marBottom w:val="0"/>
      <w:divBdr>
        <w:top w:val="none" w:sz="0" w:space="0" w:color="auto"/>
        <w:left w:val="none" w:sz="0" w:space="0" w:color="auto"/>
        <w:bottom w:val="none" w:sz="0" w:space="0" w:color="auto"/>
        <w:right w:val="none" w:sz="0" w:space="0" w:color="auto"/>
      </w:divBdr>
    </w:div>
    <w:div w:id="1396389260">
      <w:bodyDiv w:val="1"/>
      <w:marLeft w:val="0"/>
      <w:marRight w:val="0"/>
      <w:marTop w:val="0"/>
      <w:marBottom w:val="0"/>
      <w:divBdr>
        <w:top w:val="none" w:sz="0" w:space="0" w:color="auto"/>
        <w:left w:val="none" w:sz="0" w:space="0" w:color="auto"/>
        <w:bottom w:val="none" w:sz="0" w:space="0" w:color="auto"/>
        <w:right w:val="none" w:sz="0" w:space="0" w:color="auto"/>
      </w:divBdr>
    </w:div>
    <w:div w:id="1396854231">
      <w:bodyDiv w:val="1"/>
      <w:marLeft w:val="0"/>
      <w:marRight w:val="0"/>
      <w:marTop w:val="0"/>
      <w:marBottom w:val="0"/>
      <w:divBdr>
        <w:top w:val="none" w:sz="0" w:space="0" w:color="auto"/>
        <w:left w:val="none" w:sz="0" w:space="0" w:color="auto"/>
        <w:bottom w:val="none" w:sz="0" w:space="0" w:color="auto"/>
        <w:right w:val="none" w:sz="0" w:space="0" w:color="auto"/>
      </w:divBdr>
    </w:div>
    <w:div w:id="1397119863">
      <w:bodyDiv w:val="1"/>
      <w:marLeft w:val="0"/>
      <w:marRight w:val="0"/>
      <w:marTop w:val="0"/>
      <w:marBottom w:val="0"/>
      <w:divBdr>
        <w:top w:val="none" w:sz="0" w:space="0" w:color="auto"/>
        <w:left w:val="none" w:sz="0" w:space="0" w:color="auto"/>
        <w:bottom w:val="none" w:sz="0" w:space="0" w:color="auto"/>
        <w:right w:val="none" w:sz="0" w:space="0" w:color="auto"/>
      </w:divBdr>
    </w:div>
    <w:div w:id="1397167387">
      <w:bodyDiv w:val="1"/>
      <w:marLeft w:val="0"/>
      <w:marRight w:val="0"/>
      <w:marTop w:val="0"/>
      <w:marBottom w:val="0"/>
      <w:divBdr>
        <w:top w:val="none" w:sz="0" w:space="0" w:color="auto"/>
        <w:left w:val="none" w:sz="0" w:space="0" w:color="auto"/>
        <w:bottom w:val="none" w:sz="0" w:space="0" w:color="auto"/>
        <w:right w:val="none" w:sz="0" w:space="0" w:color="auto"/>
      </w:divBdr>
    </w:div>
    <w:div w:id="1397558077">
      <w:bodyDiv w:val="1"/>
      <w:marLeft w:val="0"/>
      <w:marRight w:val="0"/>
      <w:marTop w:val="0"/>
      <w:marBottom w:val="0"/>
      <w:divBdr>
        <w:top w:val="none" w:sz="0" w:space="0" w:color="auto"/>
        <w:left w:val="none" w:sz="0" w:space="0" w:color="auto"/>
        <w:bottom w:val="none" w:sz="0" w:space="0" w:color="auto"/>
        <w:right w:val="none" w:sz="0" w:space="0" w:color="auto"/>
      </w:divBdr>
    </w:div>
    <w:div w:id="1398044666">
      <w:bodyDiv w:val="1"/>
      <w:marLeft w:val="0"/>
      <w:marRight w:val="0"/>
      <w:marTop w:val="0"/>
      <w:marBottom w:val="0"/>
      <w:divBdr>
        <w:top w:val="none" w:sz="0" w:space="0" w:color="auto"/>
        <w:left w:val="none" w:sz="0" w:space="0" w:color="auto"/>
        <w:bottom w:val="none" w:sz="0" w:space="0" w:color="auto"/>
        <w:right w:val="none" w:sz="0" w:space="0" w:color="auto"/>
      </w:divBdr>
    </w:div>
    <w:div w:id="1399547011">
      <w:bodyDiv w:val="1"/>
      <w:marLeft w:val="0"/>
      <w:marRight w:val="0"/>
      <w:marTop w:val="0"/>
      <w:marBottom w:val="0"/>
      <w:divBdr>
        <w:top w:val="none" w:sz="0" w:space="0" w:color="auto"/>
        <w:left w:val="none" w:sz="0" w:space="0" w:color="auto"/>
        <w:bottom w:val="none" w:sz="0" w:space="0" w:color="auto"/>
        <w:right w:val="none" w:sz="0" w:space="0" w:color="auto"/>
      </w:divBdr>
    </w:div>
    <w:div w:id="1399865580">
      <w:bodyDiv w:val="1"/>
      <w:marLeft w:val="0"/>
      <w:marRight w:val="0"/>
      <w:marTop w:val="0"/>
      <w:marBottom w:val="0"/>
      <w:divBdr>
        <w:top w:val="none" w:sz="0" w:space="0" w:color="auto"/>
        <w:left w:val="none" w:sz="0" w:space="0" w:color="auto"/>
        <w:bottom w:val="none" w:sz="0" w:space="0" w:color="auto"/>
        <w:right w:val="none" w:sz="0" w:space="0" w:color="auto"/>
      </w:divBdr>
    </w:div>
    <w:div w:id="1400517323">
      <w:bodyDiv w:val="1"/>
      <w:marLeft w:val="0"/>
      <w:marRight w:val="0"/>
      <w:marTop w:val="0"/>
      <w:marBottom w:val="0"/>
      <w:divBdr>
        <w:top w:val="none" w:sz="0" w:space="0" w:color="auto"/>
        <w:left w:val="none" w:sz="0" w:space="0" w:color="auto"/>
        <w:bottom w:val="none" w:sz="0" w:space="0" w:color="auto"/>
        <w:right w:val="none" w:sz="0" w:space="0" w:color="auto"/>
      </w:divBdr>
    </w:div>
    <w:div w:id="1401293868">
      <w:bodyDiv w:val="1"/>
      <w:marLeft w:val="0"/>
      <w:marRight w:val="0"/>
      <w:marTop w:val="0"/>
      <w:marBottom w:val="0"/>
      <w:divBdr>
        <w:top w:val="none" w:sz="0" w:space="0" w:color="auto"/>
        <w:left w:val="none" w:sz="0" w:space="0" w:color="auto"/>
        <w:bottom w:val="none" w:sz="0" w:space="0" w:color="auto"/>
        <w:right w:val="none" w:sz="0" w:space="0" w:color="auto"/>
      </w:divBdr>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
    <w:div w:id="1403989698">
      <w:bodyDiv w:val="1"/>
      <w:marLeft w:val="0"/>
      <w:marRight w:val="0"/>
      <w:marTop w:val="0"/>
      <w:marBottom w:val="0"/>
      <w:divBdr>
        <w:top w:val="none" w:sz="0" w:space="0" w:color="auto"/>
        <w:left w:val="none" w:sz="0" w:space="0" w:color="auto"/>
        <w:bottom w:val="none" w:sz="0" w:space="0" w:color="auto"/>
        <w:right w:val="none" w:sz="0" w:space="0" w:color="auto"/>
      </w:divBdr>
    </w:div>
    <w:div w:id="1404065040">
      <w:bodyDiv w:val="1"/>
      <w:marLeft w:val="0"/>
      <w:marRight w:val="0"/>
      <w:marTop w:val="0"/>
      <w:marBottom w:val="0"/>
      <w:divBdr>
        <w:top w:val="none" w:sz="0" w:space="0" w:color="auto"/>
        <w:left w:val="none" w:sz="0" w:space="0" w:color="auto"/>
        <w:bottom w:val="none" w:sz="0" w:space="0" w:color="auto"/>
        <w:right w:val="none" w:sz="0" w:space="0" w:color="auto"/>
      </w:divBdr>
    </w:div>
    <w:div w:id="1404447731">
      <w:bodyDiv w:val="1"/>
      <w:marLeft w:val="0"/>
      <w:marRight w:val="0"/>
      <w:marTop w:val="0"/>
      <w:marBottom w:val="0"/>
      <w:divBdr>
        <w:top w:val="none" w:sz="0" w:space="0" w:color="auto"/>
        <w:left w:val="none" w:sz="0" w:space="0" w:color="auto"/>
        <w:bottom w:val="none" w:sz="0" w:space="0" w:color="auto"/>
        <w:right w:val="none" w:sz="0" w:space="0" w:color="auto"/>
      </w:divBdr>
    </w:div>
    <w:div w:id="1406099955">
      <w:bodyDiv w:val="1"/>
      <w:marLeft w:val="0"/>
      <w:marRight w:val="0"/>
      <w:marTop w:val="0"/>
      <w:marBottom w:val="0"/>
      <w:divBdr>
        <w:top w:val="none" w:sz="0" w:space="0" w:color="auto"/>
        <w:left w:val="none" w:sz="0" w:space="0" w:color="auto"/>
        <w:bottom w:val="none" w:sz="0" w:space="0" w:color="auto"/>
        <w:right w:val="none" w:sz="0" w:space="0" w:color="auto"/>
      </w:divBdr>
    </w:div>
    <w:div w:id="1406225314">
      <w:bodyDiv w:val="1"/>
      <w:marLeft w:val="0"/>
      <w:marRight w:val="0"/>
      <w:marTop w:val="0"/>
      <w:marBottom w:val="0"/>
      <w:divBdr>
        <w:top w:val="none" w:sz="0" w:space="0" w:color="auto"/>
        <w:left w:val="none" w:sz="0" w:space="0" w:color="auto"/>
        <w:bottom w:val="none" w:sz="0" w:space="0" w:color="auto"/>
        <w:right w:val="none" w:sz="0" w:space="0" w:color="auto"/>
      </w:divBdr>
    </w:div>
    <w:div w:id="1407069494">
      <w:bodyDiv w:val="1"/>
      <w:marLeft w:val="0"/>
      <w:marRight w:val="0"/>
      <w:marTop w:val="0"/>
      <w:marBottom w:val="0"/>
      <w:divBdr>
        <w:top w:val="none" w:sz="0" w:space="0" w:color="auto"/>
        <w:left w:val="none" w:sz="0" w:space="0" w:color="auto"/>
        <w:bottom w:val="none" w:sz="0" w:space="0" w:color="auto"/>
        <w:right w:val="none" w:sz="0" w:space="0" w:color="auto"/>
      </w:divBdr>
    </w:div>
    <w:div w:id="1407264741">
      <w:bodyDiv w:val="1"/>
      <w:marLeft w:val="0"/>
      <w:marRight w:val="0"/>
      <w:marTop w:val="0"/>
      <w:marBottom w:val="0"/>
      <w:divBdr>
        <w:top w:val="none" w:sz="0" w:space="0" w:color="auto"/>
        <w:left w:val="none" w:sz="0" w:space="0" w:color="auto"/>
        <w:bottom w:val="none" w:sz="0" w:space="0" w:color="auto"/>
        <w:right w:val="none" w:sz="0" w:space="0" w:color="auto"/>
      </w:divBdr>
    </w:div>
    <w:div w:id="1407534037">
      <w:bodyDiv w:val="1"/>
      <w:marLeft w:val="0"/>
      <w:marRight w:val="0"/>
      <w:marTop w:val="0"/>
      <w:marBottom w:val="0"/>
      <w:divBdr>
        <w:top w:val="none" w:sz="0" w:space="0" w:color="auto"/>
        <w:left w:val="none" w:sz="0" w:space="0" w:color="auto"/>
        <w:bottom w:val="none" w:sz="0" w:space="0" w:color="auto"/>
        <w:right w:val="none" w:sz="0" w:space="0" w:color="auto"/>
      </w:divBdr>
    </w:div>
    <w:div w:id="1407653924">
      <w:bodyDiv w:val="1"/>
      <w:marLeft w:val="0"/>
      <w:marRight w:val="0"/>
      <w:marTop w:val="0"/>
      <w:marBottom w:val="0"/>
      <w:divBdr>
        <w:top w:val="none" w:sz="0" w:space="0" w:color="auto"/>
        <w:left w:val="none" w:sz="0" w:space="0" w:color="auto"/>
        <w:bottom w:val="none" w:sz="0" w:space="0" w:color="auto"/>
        <w:right w:val="none" w:sz="0" w:space="0" w:color="auto"/>
      </w:divBdr>
    </w:div>
    <w:div w:id="1407654823">
      <w:bodyDiv w:val="1"/>
      <w:marLeft w:val="0"/>
      <w:marRight w:val="0"/>
      <w:marTop w:val="0"/>
      <w:marBottom w:val="0"/>
      <w:divBdr>
        <w:top w:val="none" w:sz="0" w:space="0" w:color="auto"/>
        <w:left w:val="none" w:sz="0" w:space="0" w:color="auto"/>
        <w:bottom w:val="none" w:sz="0" w:space="0" w:color="auto"/>
        <w:right w:val="none" w:sz="0" w:space="0" w:color="auto"/>
      </w:divBdr>
    </w:div>
    <w:div w:id="1407724922">
      <w:bodyDiv w:val="1"/>
      <w:marLeft w:val="0"/>
      <w:marRight w:val="0"/>
      <w:marTop w:val="0"/>
      <w:marBottom w:val="0"/>
      <w:divBdr>
        <w:top w:val="none" w:sz="0" w:space="0" w:color="auto"/>
        <w:left w:val="none" w:sz="0" w:space="0" w:color="auto"/>
        <w:bottom w:val="none" w:sz="0" w:space="0" w:color="auto"/>
        <w:right w:val="none" w:sz="0" w:space="0" w:color="auto"/>
      </w:divBdr>
    </w:div>
    <w:div w:id="1410271334">
      <w:bodyDiv w:val="1"/>
      <w:marLeft w:val="0"/>
      <w:marRight w:val="0"/>
      <w:marTop w:val="0"/>
      <w:marBottom w:val="0"/>
      <w:divBdr>
        <w:top w:val="none" w:sz="0" w:space="0" w:color="auto"/>
        <w:left w:val="none" w:sz="0" w:space="0" w:color="auto"/>
        <w:bottom w:val="none" w:sz="0" w:space="0" w:color="auto"/>
        <w:right w:val="none" w:sz="0" w:space="0" w:color="auto"/>
      </w:divBdr>
    </w:div>
    <w:div w:id="1410425207">
      <w:bodyDiv w:val="1"/>
      <w:marLeft w:val="0"/>
      <w:marRight w:val="0"/>
      <w:marTop w:val="0"/>
      <w:marBottom w:val="0"/>
      <w:divBdr>
        <w:top w:val="none" w:sz="0" w:space="0" w:color="auto"/>
        <w:left w:val="none" w:sz="0" w:space="0" w:color="auto"/>
        <w:bottom w:val="none" w:sz="0" w:space="0" w:color="auto"/>
        <w:right w:val="none" w:sz="0" w:space="0" w:color="auto"/>
      </w:divBdr>
    </w:div>
    <w:div w:id="1411191763">
      <w:bodyDiv w:val="1"/>
      <w:marLeft w:val="0"/>
      <w:marRight w:val="0"/>
      <w:marTop w:val="0"/>
      <w:marBottom w:val="0"/>
      <w:divBdr>
        <w:top w:val="none" w:sz="0" w:space="0" w:color="auto"/>
        <w:left w:val="none" w:sz="0" w:space="0" w:color="auto"/>
        <w:bottom w:val="none" w:sz="0" w:space="0" w:color="auto"/>
        <w:right w:val="none" w:sz="0" w:space="0" w:color="auto"/>
      </w:divBdr>
    </w:div>
    <w:div w:id="1411275381">
      <w:bodyDiv w:val="1"/>
      <w:marLeft w:val="0"/>
      <w:marRight w:val="0"/>
      <w:marTop w:val="0"/>
      <w:marBottom w:val="0"/>
      <w:divBdr>
        <w:top w:val="none" w:sz="0" w:space="0" w:color="auto"/>
        <w:left w:val="none" w:sz="0" w:space="0" w:color="auto"/>
        <w:bottom w:val="none" w:sz="0" w:space="0" w:color="auto"/>
        <w:right w:val="none" w:sz="0" w:space="0" w:color="auto"/>
      </w:divBdr>
    </w:div>
    <w:div w:id="1411973850">
      <w:bodyDiv w:val="1"/>
      <w:marLeft w:val="0"/>
      <w:marRight w:val="0"/>
      <w:marTop w:val="0"/>
      <w:marBottom w:val="0"/>
      <w:divBdr>
        <w:top w:val="none" w:sz="0" w:space="0" w:color="auto"/>
        <w:left w:val="none" w:sz="0" w:space="0" w:color="auto"/>
        <w:bottom w:val="none" w:sz="0" w:space="0" w:color="auto"/>
        <w:right w:val="none" w:sz="0" w:space="0" w:color="auto"/>
      </w:divBdr>
    </w:div>
    <w:div w:id="1413043780">
      <w:bodyDiv w:val="1"/>
      <w:marLeft w:val="0"/>
      <w:marRight w:val="0"/>
      <w:marTop w:val="0"/>
      <w:marBottom w:val="0"/>
      <w:divBdr>
        <w:top w:val="none" w:sz="0" w:space="0" w:color="auto"/>
        <w:left w:val="none" w:sz="0" w:space="0" w:color="auto"/>
        <w:bottom w:val="none" w:sz="0" w:space="0" w:color="auto"/>
        <w:right w:val="none" w:sz="0" w:space="0" w:color="auto"/>
      </w:divBdr>
    </w:div>
    <w:div w:id="1413240530">
      <w:bodyDiv w:val="1"/>
      <w:marLeft w:val="0"/>
      <w:marRight w:val="0"/>
      <w:marTop w:val="0"/>
      <w:marBottom w:val="0"/>
      <w:divBdr>
        <w:top w:val="none" w:sz="0" w:space="0" w:color="auto"/>
        <w:left w:val="none" w:sz="0" w:space="0" w:color="auto"/>
        <w:bottom w:val="none" w:sz="0" w:space="0" w:color="auto"/>
        <w:right w:val="none" w:sz="0" w:space="0" w:color="auto"/>
      </w:divBdr>
    </w:div>
    <w:div w:id="1414203391">
      <w:bodyDiv w:val="1"/>
      <w:marLeft w:val="0"/>
      <w:marRight w:val="0"/>
      <w:marTop w:val="0"/>
      <w:marBottom w:val="0"/>
      <w:divBdr>
        <w:top w:val="none" w:sz="0" w:space="0" w:color="auto"/>
        <w:left w:val="none" w:sz="0" w:space="0" w:color="auto"/>
        <w:bottom w:val="none" w:sz="0" w:space="0" w:color="auto"/>
        <w:right w:val="none" w:sz="0" w:space="0" w:color="auto"/>
      </w:divBdr>
    </w:div>
    <w:div w:id="1414547888">
      <w:bodyDiv w:val="1"/>
      <w:marLeft w:val="0"/>
      <w:marRight w:val="0"/>
      <w:marTop w:val="0"/>
      <w:marBottom w:val="0"/>
      <w:divBdr>
        <w:top w:val="none" w:sz="0" w:space="0" w:color="auto"/>
        <w:left w:val="none" w:sz="0" w:space="0" w:color="auto"/>
        <w:bottom w:val="none" w:sz="0" w:space="0" w:color="auto"/>
        <w:right w:val="none" w:sz="0" w:space="0" w:color="auto"/>
      </w:divBdr>
    </w:div>
    <w:div w:id="1414623052">
      <w:bodyDiv w:val="1"/>
      <w:marLeft w:val="0"/>
      <w:marRight w:val="0"/>
      <w:marTop w:val="0"/>
      <w:marBottom w:val="0"/>
      <w:divBdr>
        <w:top w:val="none" w:sz="0" w:space="0" w:color="auto"/>
        <w:left w:val="none" w:sz="0" w:space="0" w:color="auto"/>
        <w:bottom w:val="none" w:sz="0" w:space="0" w:color="auto"/>
        <w:right w:val="none" w:sz="0" w:space="0" w:color="auto"/>
      </w:divBdr>
    </w:div>
    <w:div w:id="1415710724">
      <w:bodyDiv w:val="1"/>
      <w:marLeft w:val="0"/>
      <w:marRight w:val="0"/>
      <w:marTop w:val="0"/>
      <w:marBottom w:val="0"/>
      <w:divBdr>
        <w:top w:val="none" w:sz="0" w:space="0" w:color="auto"/>
        <w:left w:val="none" w:sz="0" w:space="0" w:color="auto"/>
        <w:bottom w:val="none" w:sz="0" w:space="0" w:color="auto"/>
        <w:right w:val="none" w:sz="0" w:space="0" w:color="auto"/>
      </w:divBdr>
    </w:div>
    <w:div w:id="1415779130">
      <w:bodyDiv w:val="1"/>
      <w:marLeft w:val="0"/>
      <w:marRight w:val="0"/>
      <w:marTop w:val="0"/>
      <w:marBottom w:val="0"/>
      <w:divBdr>
        <w:top w:val="none" w:sz="0" w:space="0" w:color="auto"/>
        <w:left w:val="none" w:sz="0" w:space="0" w:color="auto"/>
        <w:bottom w:val="none" w:sz="0" w:space="0" w:color="auto"/>
        <w:right w:val="none" w:sz="0" w:space="0" w:color="auto"/>
      </w:divBdr>
    </w:div>
    <w:div w:id="1415780246">
      <w:bodyDiv w:val="1"/>
      <w:marLeft w:val="0"/>
      <w:marRight w:val="0"/>
      <w:marTop w:val="0"/>
      <w:marBottom w:val="0"/>
      <w:divBdr>
        <w:top w:val="none" w:sz="0" w:space="0" w:color="auto"/>
        <w:left w:val="none" w:sz="0" w:space="0" w:color="auto"/>
        <w:bottom w:val="none" w:sz="0" w:space="0" w:color="auto"/>
        <w:right w:val="none" w:sz="0" w:space="0" w:color="auto"/>
      </w:divBdr>
    </w:div>
    <w:div w:id="1416171029">
      <w:bodyDiv w:val="1"/>
      <w:marLeft w:val="0"/>
      <w:marRight w:val="0"/>
      <w:marTop w:val="0"/>
      <w:marBottom w:val="0"/>
      <w:divBdr>
        <w:top w:val="none" w:sz="0" w:space="0" w:color="auto"/>
        <w:left w:val="none" w:sz="0" w:space="0" w:color="auto"/>
        <w:bottom w:val="none" w:sz="0" w:space="0" w:color="auto"/>
        <w:right w:val="none" w:sz="0" w:space="0" w:color="auto"/>
      </w:divBdr>
    </w:div>
    <w:div w:id="1416247470">
      <w:bodyDiv w:val="1"/>
      <w:marLeft w:val="0"/>
      <w:marRight w:val="0"/>
      <w:marTop w:val="0"/>
      <w:marBottom w:val="0"/>
      <w:divBdr>
        <w:top w:val="none" w:sz="0" w:space="0" w:color="auto"/>
        <w:left w:val="none" w:sz="0" w:space="0" w:color="auto"/>
        <w:bottom w:val="none" w:sz="0" w:space="0" w:color="auto"/>
        <w:right w:val="none" w:sz="0" w:space="0" w:color="auto"/>
      </w:divBdr>
    </w:div>
    <w:div w:id="1416973634">
      <w:bodyDiv w:val="1"/>
      <w:marLeft w:val="0"/>
      <w:marRight w:val="0"/>
      <w:marTop w:val="0"/>
      <w:marBottom w:val="0"/>
      <w:divBdr>
        <w:top w:val="none" w:sz="0" w:space="0" w:color="auto"/>
        <w:left w:val="none" w:sz="0" w:space="0" w:color="auto"/>
        <w:bottom w:val="none" w:sz="0" w:space="0" w:color="auto"/>
        <w:right w:val="none" w:sz="0" w:space="0" w:color="auto"/>
      </w:divBdr>
    </w:div>
    <w:div w:id="1417021672">
      <w:bodyDiv w:val="1"/>
      <w:marLeft w:val="0"/>
      <w:marRight w:val="0"/>
      <w:marTop w:val="0"/>
      <w:marBottom w:val="0"/>
      <w:divBdr>
        <w:top w:val="none" w:sz="0" w:space="0" w:color="auto"/>
        <w:left w:val="none" w:sz="0" w:space="0" w:color="auto"/>
        <w:bottom w:val="none" w:sz="0" w:space="0" w:color="auto"/>
        <w:right w:val="none" w:sz="0" w:space="0" w:color="auto"/>
      </w:divBdr>
    </w:div>
    <w:div w:id="1417247350">
      <w:bodyDiv w:val="1"/>
      <w:marLeft w:val="0"/>
      <w:marRight w:val="0"/>
      <w:marTop w:val="0"/>
      <w:marBottom w:val="0"/>
      <w:divBdr>
        <w:top w:val="none" w:sz="0" w:space="0" w:color="auto"/>
        <w:left w:val="none" w:sz="0" w:space="0" w:color="auto"/>
        <w:bottom w:val="none" w:sz="0" w:space="0" w:color="auto"/>
        <w:right w:val="none" w:sz="0" w:space="0" w:color="auto"/>
      </w:divBdr>
    </w:div>
    <w:div w:id="1417628303">
      <w:bodyDiv w:val="1"/>
      <w:marLeft w:val="0"/>
      <w:marRight w:val="0"/>
      <w:marTop w:val="0"/>
      <w:marBottom w:val="0"/>
      <w:divBdr>
        <w:top w:val="none" w:sz="0" w:space="0" w:color="auto"/>
        <w:left w:val="none" w:sz="0" w:space="0" w:color="auto"/>
        <w:bottom w:val="none" w:sz="0" w:space="0" w:color="auto"/>
        <w:right w:val="none" w:sz="0" w:space="0" w:color="auto"/>
      </w:divBdr>
    </w:div>
    <w:div w:id="1417941198">
      <w:bodyDiv w:val="1"/>
      <w:marLeft w:val="0"/>
      <w:marRight w:val="0"/>
      <w:marTop w:val="0"/>
      <w:marBottom w:val="0"/>
      <w:divBdr>
        <w:top w:val="none" w:sz="0" w:space="0" w:color="auto"/>
        <w:left w:val="none" w:sz="0" w:space="0" w:color="auto"/>
        <w:bottom w:val="none" w:sz="0" w:space="0" w:color="auto"/>
        <w:right w:val="none" w:sz="0" w:space="0" w:color="auto"/>
      </w:divBdr>
    </w:div>
    <w:div w:id="1418206097">
      <w:bodyDiv w:val="1"/>
      <w:marLeft w:val="0"/>
      <w:marRight w:val="0"/>
      <w:marTop w:val="0"/>
      <w:marBottom w:val="0"/>
      <w:divBdr>
        <w:top w:val="none" w:sz="0" w:space="0" w:color="auto"/>
        <w:left w:val="none" w:sz="0" w:space="0" w:color="auto"/>
        <w:bottom w:val="none" w:sz="0" w:space="0" w:color="auto"/>
        <w:right w:val="none" w:sz="0" w:space="0" w:color="auto"/>
      </w:divBdr>
    </w:div>
    <w:div w:id="1419789172">
      <w:bodyDiv w:val="1"/>
      <w:marLeft w:val="0"/>
      <w:marRight w:val="0"/>
      <w:marTop w:val="0"/>
      <w:marBottom w:val="0"/>
      <w:divBdr>
        <w:top w:val="none" w:sz="0" w:space="0" w:color="auto"/>
        <w:left w:val="none" w:sz="0" w:space="0" w:color="auto"/>
        <w:bottom w:val="none" w:sz="0" w:space="0" w:color="auto"/>
        <w:right w:val="none" w:sz="0" w:space="0" w:color="auto"/>
      </w:divBdr>
    </w:div>
    <w:div w:id="1419911396">
      <w:bodyDiv w:val="1"/>
      <w:marLeft w:val="0"/>
      <w:marRight w:val="0"/>
      <w:marTop w:val="0"/>
      <w:marBottom w:val="0"/>
      <w:divBdr>
        <w:top w:val="none" w:sz="0" w:space="0" w:color="auto"/>
        <w:left w:val="none" w:sz="0" w:space="0" w:color="auto"/>
        <w:bottom w:val="none" w:sz="0" w:space="0" w:color="auto"/>
        <w:right w:val="none" w:sz="0" w:space="0" w:color="auto"/>
      </w:divBdr>
    </w:div>
    <w:div w:id="1420296529">
      <w:bodyDiv w:val="1"/>
      <w:marLeft w:val="0"/>
      <w:marRight w:val="0"/>
      <w:marTop w:val="0"/>
      <w:marBottom w:val="0"/>
      <w:divBdr>
        <w:top w:val="none" w:sz="0" w:space="0" w:color="auto"/>
        <w:left w:val="none" w:sz="0" w:space="0" w:color="auto"/>
        <w:bottom w:val="none" w:sz="0" w:space="0" w:color="auto"/>
        <w:right w:val="none" w:sz="0" w:space="0" w:color="auto"/>
      </w:divBdr>
    </w:div>
    <w:div w:id="1420717194">
      <w:bodyDiv w:val="1"/>
      <w:marLeft w:val="0"/>
      <w:marRight w:val="0"/>
      <w:marTop w:val="0"/>
      <w:marBottom w:val="0"/>
      <w:divBdr>
        <w:top w:val="none" w:sz="0" w:space="0" w:color="auto"/>
        <w:left w:val="none" w:sz="0" w:space="0" w:color="auto"/>
        <w:bottom w:val="none" w:sz="0" w:space="0" w:color="auto"/>
        <w:right w:val="none" w:sz="0" w:space="0" w:color="auto"/>
      </w:divBdr>
    </w:div>
    <w:div w:id="1421368201">
      <w:bodyDiv w:val="1"/>
      <w:marLeft w:val="0"/>
      <w:marRight w:val="0"/>
      <w:marTop w:val="0"/>
      <w:marBottom w:val="0"/>
      <w:divBdr>
        <w:top w:val="none" w:sz="0" w:space="0" w:color="auto"/>
        <w:left w:val="none" w:sz="0" w:space="0" w:color="auto"/>
        <w:bottom w:val="none" w:sz="0" w:space="0" w:color="auto"/>
        <w:right w:val="none" w:sz="0" w:space="0" w:color="auto"/>
      </w:divBdr>
    </w:div>
    <w:div w:id="1422288126">
      <w:bodyDiv w:val="1"/>
      <w:marLeft w:val="0"/>
      <w:marRight w:val="0"/>
      <w:marTop w:val="0"/>
      <w:marBottom w:val="0"/>
      <w:divBdr>
        <w:top w:val="none" w:sz="0" w:space="0" w:color="auto"/>
        <w:left w:val="none" w:sz="0" w:space="0" w:color="auto"/>
        <w:bottom w:val="none" w:sz="0" w:space="0" w:color="auto"/>
        <w:right w:val="none" w:sz="0" w:space="0" w:color="auto"/>
      </w:divBdr>
    </w:div>
    <w:div w:id="1424256740">
      <w:bodyDiv w:val="1"/>
      <w:marLeft w:val="0"/>
      <w:marRight w:val="0"/>
      <w:marTop w:val="0"/>
      <w:marBottom w:val="0"/>
      <w:divBdr>
        <w:top w:val="none" w:sz="0" w:space="0" w:color="auto"/>
        <w:left w:val="none" w:sz="0" w:space="0" w:color="auto"/>
        <w:bottom w:val="none" w:sz="0" w:space="0" w:color="auto"/>
        <w:right w:val="none" w:sz="0" w:space="0" w:color="auto"/>
      </w:divBdr>
    </w:div>
    <w:div w:id="1425110077">
      <w:bodyDiv w:val="1"/>
      <w:marLeft w:val="0"/>
      <w:marRight w:val="0"/>
      <w:marTop w:val="0"/>
      <w:marBottom w:val="0"/>
      <w:divBdr>
        <w:top w:val="none" w:sz="0" w:space="0" w:color="auto"/>
        <w:left w:val="none" w:sz="0" w:space="0" w:color="auto"/>
        <w:bottom w:val="none" w:sz="0" w:space="0" w:color="auto"/>
        <w:right w:val="none" w:sz="0" w:space="0" w:color="auto"/>
      </w:divBdr>
    </w:div>
    <w:div w:id="1425228391">
      <w:bodyDiv w:val="1"/>
      <w:marLeft w:val="0"/>
      <w:marRight w:val="0"/>
      <w:marTop w:val="0"/>
      <w:marBottom w:val="0"/>
      <w:divBdr>
        <w:top w:val="none" w:sz="0" w:space="0" w:color="auto"/>
        <w:left w:val="none" w:sz="0" w:space="0" w:color="auto"/>
        <w:bottom w:val="none" w:sz="0" w:space="0" w:color="auto"/>
        <w:right w:val="none" w:sz="0" w:space="0" w:color="auto"/>
      </w:divBdr>
    </w:div>
    <w:div w:id="1425372148">
      <w:bodyDiv w:val="1"/>
      <w:marLeft w:val="0"/>
      <w:marRight w:val="0"/>
      <w:marTop w:val="0"/>
      <w:marBottom w:val="0"/>
      <w:divBdr>
        <w:top w:val="none" w:sz="0" w:space="0" w:color="auto"/>
        <w:left w:val="none" w:sz="0" w:space="0" w:color="auto"/>
        <w:bottom w:val="none" w:sz="0" w:space="0" w:color="auto"/>
        <w:right w:val="none" w:sz="0" w:space="0" w:color="auto"/>
      </w:divBdr>
    </w:div>
    <w:div w:id="1425570254">
      <w:bodyDiv w:val="1"/>
      <w:marLeft w:val="0"/>
      <w:marRight w:val="0"/>
      <w:marTop w:val="0"/>
      <w:marBottom w:val="0"/>
      <w:divBdr>
        <w:top w:val="none" w:sz="0" w:space="0" w:color="auto"/>
        <w:left w:val="none" w:sz="0" w:space="0" w:color="auto"/>
        <w:bottom w:val="none" w:sz="0" w:space="0" w:color="auto"/>
        <w:right w:val="none" w:sz="0" w:space="0" w:color="auto"/>
      </w:divBdr>
    </w:div>
    <w:div w:id="1426263461">
      <w:bodyDiv w:val="1"/>
      <w:marLeft w:val="0"/>
      <w:marRight w:val="0"/>
      <w:marTop w:val="0"/>
      <w:marBottom w:val="0"/>
      <w:divBdr>
        <w:top w:val="none" w:sz="0" w:space="0" w:color="auto"/>
        <w:left w:val="none" w:sz="0" w:space="0" w:color="auto"/>
        <w:bottom w:val="none" w:sz="0" w:space="0" w:color="auto"/>
        <w:right w:val="none" w:sz="0" w:space="0" w:color="auto"/>
      </w:divBdr>
    </w:div>
    <w:div w:id="1426267974">
      <w:bodyDiv w:val="1"/>
      <w:marLeft w:val="0"/>
      <w:marRight w:val="0"/>
      <w:marTop w:val="0"/>
      <w:marBottom w:val="0"/>
      <w:divBdr>
        <w:top w:val="none" w:sz="0" w:space="0" w:color="auto"/>
        <w:left w:val="none" w:sz="0" w:space="0" w:color="auto"/>
        <w:bottom w:val="none" w:sz="0" w:space="0" w:color="auto"/>
        <w:right w:val="none" w:sz="0" w:space="0" w:color="auto"/>
      </w:divBdr>
    </w:div>
    <w:div w:id="1426457910">
      <w:bodyDiv w:val="1"/>
      <w:marLeft w:val="0"/>
      <w:marRight w:val="0"/>
      <w:marTop w:val="0"/>
      <w:marBottom w:val="0"/>
      <w:divBdr>
        <w:top w:val="none" w:sz="0" w:space="0" w:color="auto"/>
        <w:left w:val="none" w:sz="0" w:space="0" w:color="auto"/>
        <w:bottom w:val="none" w:sz="0" w:space="0" w:color="auto"/>
        <w:right w:val="none" w:sz="0" w:space="0" w:color="auto"/>
      </w:divBdr>
    </w:div>
    <w:div w:id="1427724599">
      <w:bodyDiv w:val="1"/>
      <w:marLeft w:val="0"/>
      <w:marRight w:val="0"/>
      <w:marTop w:val="0"/>
      <w:marBottom w:val="0"/>
      <w:divBdr>
        <w:top w:val="none" w:sz="0" w:space="0" w:color="auto"/>
        <w:left w:val="none" w:sz="0" w:space="0" w:color="auto"/>
        <w:bottom w:val="none" w:sz="0" w:space="0" w:color="auto"/>
        <w:right w:val="none" w:sz="0" w:space="0" w:color="auto"/>
      </w:divBdr>
    </w:div>
    <w:div w:id="1431507431">
      <w:bodyDiv w:val="1"/>
      <w:marLeft w:val="0"/>
      <w:marRight w:val="0"/>
      <w:marTop w:val="0"/>
      <w:marBottom w:val="0"/>
      <w:divBdr>
        <w:top w:val="none" w:sz="0" w:space="0" w:color="auto"/>
        <w:left w:val="none" w:sz="0" w:space="0" w:color="auto"/>
        <w:bottom w:val="none" w:sz="0" w:space="0" w:color="auto"/>
        <w:right w:val="none" w:sz="0" w:space="0" w:color="auto"/>
      </w:divBdr>
    </w:div>
    <w:div w:id="1431656248">
      <w:bodyDiv w:val="1"/>
      <w:marLeft w:val="0"/>
      <w:marRight w:val="0"/>
      <w:marTop w:val="0"/>
      <w:marBottom w:val="0"/>
      <w:divBdr>
        <w:top w:val="none" w:sz="0" w:space="0" w:color="auto"/>
        <w:left w:val="none" w:sz="0" w:space="0" w:color="auto"/>
        <w:bottom w:val="none" w:sz="0" w:space="0" w:color="auto"/>
        <w:right w:val="none" w:sz="0" w:space="0" w:color="auto"/>
      </w:divBdr>
    </w:div>
    <w:div w:id="1432430178">
      <w:bodyDiv w:val="1"/>
      <w:marLeft w:val="0"/>
      <w:marRight w:val="0"/>
      <w:marTop w:val="0"/>
      <w:marBottom w:val="0"/>
      <w:divBdr>
        <w:top w:val="none" w:sz="0" w:space="0" w:color="auto"/>
        <w:left w:val="none" w:sz="0" w:space="0" w:color="auto"/>
        <w:bottom w:val="none" w:sz="0" w:space="0" w:color="auto"/>
        <w:right w:val="none" w:sz="0" w:space="0" w:color="auto"/>
      </w:divBdr>
    </w:div>
    <w:div w:id="1432773491">
      <w:bodyDiv w:val="1"/>
      <w:marLeft w:val="0"/>
      <w:marRight w:val="0"/>
      <w:marTop w:val="0"/>
      <w:marBottom w:val="0"/>
      <w:divBdr>
        <w:top w:val="none" w:sz="0" w:space="0" w:color="auto"/>
        <w:left w:val="none" w:sz="0" w:space="0" w:color="auto"/>
        <w:bottom w:val="none" w:sz="0" w:space="0" w:color="auto"/>
        <w:right w:val="none" w:sz="0" w:space="0" w:color="auto"/>
      </w:divBdr>
    </w:div>
    <w:div w:id="1433278378">
      <w:bodyDiv w:val="1"/>
      <w:marLeft w:val="0"/>
      <w:marRight w:val="0"/>
      <w:marTop w:val="0"/>
      <w:marBottom w:val="0"/>
      <w:divBdr>
        <w:top w:val="none" w:sz="0" w:space="0" w:color="auto"/>
        <w:left w:val="none" w:sz="0" w:space="0" w:color="auto"/>
        <w:bottom w:val="none" w:sz="0" w:space="0" w:color="auto"/>
        <w:right w:val="none" w:sz="0" w:space="0" w:color="auto"/>
      </w:divBdr>
    </w:div>
    <w:div w:id="1435516611">
      <w:bodyDiv w:val="1"/>
      <w:marLeft w:val="0"/>
      <w:marRight w:val="0"/>
      <w:marTop w:val="0"/>
      <w:marBottom w:val="0"/>
      <w:divBdr>
        <w:top w:val="none" w:sz="0" w:space="0" w:color="auto"/>
        <w:left w:val="none" w:sz="0" w:space="0" w:color="auto"/>
        <w:bottom w:val="none" w:sz="0" w:space="0" w:color="auto"/>
        <w:right w:val="none" w:sz="0" w:space="0" w:color="auto"/>
      </w:divBdr>
    </w:div>
    <w:div w:id="1435975202">
      <w:bodyDiv w:val="1"/>
      <w:marLeft w:val="0"/>
      <w:marRight w:val="0"/>
      <w:marTop w:val="0"/>
      <w:marBottom w:val="0"/>
      <w:divBdr>
        <w:top w:val="none" w:sz="0" w:space="0" w:color="auto"/>
        <w:left w:val="none" w:sz="0" w:space="0" w:color="auto"/>
        <w:bottom w:val="none" w:sz="0" w:space="0" w:color="auto"/>
        <w:right w:val="none" w:sz="0" w:space="0" w:color="auto"/>
      </w:divBdr>
    </w:div>
    <w:div w:id="1437095478">
      <w:bodyDiv w:val="1"/>
      <w:marLeft w:val="0"/>
      <w:marRight w:val="0"/>
      <w:marTop w:val="0"/>
      <w:marBottom w:val="0"/>
      <w:divBdr>
        <w:top w:val="none" w:sz="0" w:space="0" w:color="auto"/>
        <w:left w:val="none" w:sz="0" w:space="0" w:color="auto"/>
        <w:bottom w:val="none" w:sz="0" w:space="0" w:color="auto"/>
        <w:right w:val="none" w:sz="0" w:space="0" w:color="auto"/>
      </w:divBdr>
    </w:div>
    <w:div w:id="1439519422">
      <w:bodyDiv w:val="1"/>
      <w:marLeft w:val="0"/>
      <w:marRight w:val="0"/>
      <w:marTop w:val="0"/>
      <w:marBottom w:val="0"/>
      <w:divBdr>
        <w:top w:val="none" w:sz="0" w:space="0" w:color="auto"/>
        <w:left w:val="none" w:sz="0" w:space="0" w:color="auto"/>
        <w:bottom w:val="none" w:sz="0" w:space="0" w:color="auto"/>
        <w:right w:val="none" w:sz="0" w:space="0" w:color="auto"/>
      </w:divBdr>
    </w:div>
    <w:div w:id="1439835877">
      <w:bodyDiv w:val="1"/>
      <w:marLeft w:val="0"/>
      <w:marRight w:val="0"/>
      <w:marTop w:val="0"/>
      <w:marBottom w:val="0"/>
      <w:divBdr>
        <w:top w:val="none" w:sz="0" w:space="0" w:color="auto"/>
        <w:left w:val="none" w:sz="0" w:space="0" w:color="auto"/>
        <w:bottom w:val="none" w:sz="0" w:space="0" w:color="auto"/>
        <w:right w:val="none" w:sz="0" w:space="0" w:color="auto"/>
      </w:divBdr>
    </w:div>
    <w:div w:id="1439986015">
      <w:bodyDiv w:val="1"/>
      <w:marLeft w:val="0"/>
      <w:marRight w:val="0"/>
      <w:marTop w:val="0"/>
      <w:marBottom w:val="0"/>
      <w:divBdr>
        <w:top w:val="none" w:sz="0" w:space="0" w:color="auto"/>
        <w:left w:val="none" w:sz="0" w:space="0" w:color="auto"/>
        <w:bottom w:val="none" w:sz="0" w:space="0" w:color="auto"/>
        <w:right w:val="none" w:sz="0" w:space="0" w:color="auto"/>
      </w:divBdr>
    </w:div>
    <w:div w:id="1440485848">
      <w:bodyDiv w:val="1"/>
      <w:marLeft w:val="0"/>
      <w:marRight w:val="0"/>
      <w:marTop w:val="0"/>
      <w:marBottom w:val="0"/>
      <w:divBdr>
        <w:top w:val="none" w:sz="0" w:space="0" w:color="auto"/>
        <w:left w:val="none" w:sz="0" w:space="0" w:color="auto"/>
        <w:bottom w:val="none" w:sz="0" w:space="0" w:color="auto"/>
        <w:right w:val="none" w:sz="0" w:space="0" w:color="auto"/>
      </w:divBdr>
    </w:div>
    <w:div w:id="1440948697">
      <w:bodyDiv w:val="1"/>
      <w:marLeft w:val="0"/>
      <w:marRight w:val="0"/>
      <w:marTop w:val="0"/>
      <w:marBottom w:val="0"/>
      <w:divBdr>
        <w:top w:val="none" w:sz="0" w:space="0" w:color="auto"/>
        <w:left w:val="none" w:sz="0" w:space="0" w:color="auto"/>
        <w:bottom w:val="none" w:sz="0" w:space="0" w:color="auto"/>
        <w:right w:val="none" w:sz="0" w:space="0" w:color="auto"/>
      </w:divBdr>
    </w:div>
    <w:div w:id="1442601473">
      <w:bodyDiv w:val="1"/>
      <w:marLeft w:val="0"/>
      <w:marRight w:val="0"/>
      <w:marTop w:val="0"/>
      <w:marBottom w:val="0"/>
      <w:divBdr>
        <w:top w:val="none" w:sz="0" w:space="0" w:color="auto"/>
        <w:left w:val="none" w:sz="0" w:space="0" w:color="auto"/>
        <w:bottom w:val="none" w:sz="0" w:space="0" w:color="auto"/>
        <w:right w:val="none" w:sz="0" w:space="0" w:color="auto"/>
      </w:divBdr>
    </w:div>
    <w:div w:id="1442799587">
      <w:bodyDiv w:val="1"/>
      <w:marLeft w:val="0"/>
      <w:marRight w:val="0"/>
      <w:marTop w:val="0"/>
      <w:marBottom w:val="0"/>
      <w:divBdr>
        <w:top w:val="none" w:sz="0" w:space="0" w:color="auto"/>
        <w:left w:val="none" w:sz="0" w:space="0" w:color="auto"/>
        <w:bottom w:val="none" w:sz="0" w:space="0" w:color="auto"/>
        <w:right w:val="none" w:sz="0" w:space="0" w:color="auto"/>
      </w:divBdr>
    </w:div>
    <w:div w:id="1443497593">
      <w:bodyDiv w:val="1"/>
      <w:marLeft w:val="0"/>
      <w:marRight w:val="0"/>
      <w:marTop w:val="0"/>
      <w:marBottom w:val="0"/>
      <w:divBdr>
        <w:top w:val="none" w:sz="0" w:space="0" w:color="auto"/>
        <w:left w:val="none" w:sz="0" w:space="0" w:color="auto"/>
        <w:bottom w:val="none" w:sz="0" w:space="0" w:color="auto"/>
        <w:right w:val="none" w:sz="0" w:space="0" w:color="auto"/>
      </w:divBdr>
    </w:div>
    <w:div w:id="1444416887">
      <w:bodyDiv w:val="1"/>
      <w:marLeft w:val="0"/>
      <w:marRight w:val="0"/>
      <w:marTop w:val="0"/>
      <w:marBottom w:val="0"/>
      <w:divBdr>
        <w:top w:val="none" w:sz="0" w:space="0" w:color="auto"/>
        <w:left w:val="none" w:sz="0" w:space="0" w:color="auto"/>
        <w:bottom w:val="none" w:sz="0" w:space="0" w:color="auto"/>
        <w:right w:val="none" w:sz="0" w:space="0" w:color="auto"/>
      </w:divBdr>
    </w:div>
    <w:div w:id="1444426050">
      <w:bodyDiv w:val="1"/>
      <w:marLeft w:val="0"/>
      <w:marRight w:val="0"/>
      <w:marTop w:val="0"/>
      <w:marBottom w:val="0"/>
      <w:divBdr>
        <w:top w:val="none" w:sz="0" w:space="0" w:color="auto"/>
        <w:left w:val="none" w:sz="0" w:space="0" w:color="auto"/>
        <w:bottom w:val="none" w:sz="0" w:space="0" w:color="auto"/>
        <w:right w:val="none" w:sz="0" w:space="0" w:color="auto"/>
      </w:divBdr>
    </w:div>
    <w:div w:id="1444762309">
      <w:bodyDiv w:val="1"/>
      <w:marLeft w:val="0"/>
      <w:marRight w:val="0"/>
      <w:marTop w:val="0"/>
      <w:marBottom w:val="0"/>
      <w:divBdr>
        <w:top w:val="none" w:sz="0" w:space="0" w:color="auto"/>
        <w:left w:val="none" w:sz="0" w:space="0" w:color="auto"/>
        <w:bottom w:val="none" w:sz="0" w:space="0" w:color="auto"/>
        <w:right w:val="none" w:sz="0" w:space="0" w:color="auto"/>
      </w:divBdr>
    </w:div>
    <w:div w:id="1444812710">
      <w:bodyDiv w:val="1"/>
      <w:marLeft w:val="0"/>
      <w:marRight w:val="0"/>
      <w:marTop w:val="0"/>
      <w:marBottom w:val="0"/>
      <w:divBdr>
        <w:top w:val="none" w:sz="0" w:space="0" w:color="auto"/>
        <w:left w:val="none" w:sz="0" w:space="0" w:color="auto"/>
        <w:bottom w:val="none" w:sz="0" w:space="0" w:color="auto"/>
        <w:right w:val="none" w:sz="0" w:space="0" w:color="auto"/>
      </w:divBdr>
    </w:div>
    <w:div w:id="1445732108">
      <w:bodyDiv w:val="1"/>
      <w:marLeft w:val="0"/>
      <w:marRight w:val="0"/>
      <w:marTop w:val="0"/>
      <w:marBottom w:val="0"/>
      <w:divBdr>
        <w:top w:val="none" w:sz="0" w:space="0" w:color="auto"/>
        <w:left w:val="none" w:sz="0" w:space="0" w:color="auto"/>
        <w:bottom w:val="none" w:sz="0" w:space="0" w:color="auto"/>
        <w:right w:val="none" w:sz="0" w:space="0" w:color="auto"/>
      </w:divBdr>
    </w:div>
    <w:div w:id="1445734885">
      <w:bodyDiv w:val="1"/>
      <w:marLeft w:val="0"/>
      <w:marRight w:val="0"/>
      <w:marTop w:val="0"/>
      <w:marBottom w:val="0"/>
      <w:divBdr>
        <w:top w:val="none" w:sz="0" w:space="0" w:color="auto"/>
        <w:left w:val="none" w:sz="0" w:space="0" w:color="auto"/>
        <w:bottom w:val="none" w:sz="0" w:space="0" w:color="auto"/>
        <w:right w:val="none" w:sz="0" w:space="0" w:color="auto"/>
      </w:divBdr>
    </w:div>
    <w:div w:id="1445925196">
      <w:bodyDiv w:val="1"/>
      <w:marLeft w:val="0"/>
      <w:marRight w:val="0"/>
      <w:marTop w:val="0"/>
      <w:marBottom w:val="0"/>
      <w:divBdr>
        <w:top w:val="none" w:sz="0" w:space="0" w:color="auto"/>
        <w:left w:val="none" w:sz="0" w:space="0" w:color="auto"/>
        <w:bottom w:val="none" w:sz="0" w:space="0" w:color="auto"/>
        <w:right w:val="none" w:sz="0" w:space="0" w:color="auto"/>
      </w:divBdr>
    </w:div>
    <w:div w:id="1445928605">
      <w:bodyDiv w:val="1"/>
      <w:marLeft w:val="0"/>
      <w:marRight w:val="0"/>
      <w:marTop w:val="0"/>
      <w:marBottom w:val="0"/>
      <w:divBdr>
        <w:top w:val="none" w:sz="0" w:space="0" w:color="auto"/>
        <w:left w:val="none" w:sz="0" w:space="0" w:color="auto"/>
        <w:bottom w:val="none" w:sz="0" w:space="0" w:color="auto"/>
        <w:right w:val="none" w:sz="0" w:space="0" w:color="auto"/>
      </w:divBdr>
    </w:div>
    <w:div w:id="1447189669">
      <w:bodyDiv w:val="1"/>
      <w:marLeft w:val="0"/>
      <w:marRight w:val="0"/>
      <w:marTop w:val="0"/>
      <w:marBottom w:val="0"/>
      <w:divBdr>
        <w:top w:val="none" w:sz="0" w:space="0" w:color="auto"/>
        <w:left w:val="none" w:sz="0" w:space="0" w:color="auto"/>
        <w:bottom w:val="none" w:sz="0" w:space="0" w:color="auto"/>
        <w:right w:val="none" w:sz="0" w:space="0" w:color="auto"/>
      </w:divBdr>
    </w:div>
    <w:div w:id="1447624778">
      <w:bodyDiv w:val="1"/>
      <w:marLeft w:val="0"/>
      <w:marRight w:val="0"/>
      <w:marTop w:val="0"/>
      <w:marBottom w:val="0"/>
      <w:divBdr>
        <w:top w:val="none" w:sz="0" w:space="0" w:color="auto"/>
        <w:left w:val="none" w:sz="0" w:space="0" w:color="auto"/>
        <w:bottom w:val="none" w:sz="0" w:space="0" w:color="auto"/>
        <w:right w:val="none" w:sz="0" w:space="0" w:color="auto"/>
      </w:divBdr>
    </w:div>
    <w:div w:id="1448156870">
      <w:bodyDiv w:val="1"/>
      <w:marLeft w:val="0"/>
      <w:marRight w:val="0"/>
      <w:marTop w:val="0"/>
      <w:marBottom w:val="0"/>
      <w:divBdr>
        <w:top w:val="none" w:sz="0" w:space="0" w:color="auto"/>
        <w:left w:val="none" w:sz="0" w:space="0" w:color="auto"/>
        <w:bottom w:val="none" w:sz="0" w:space="0" w:color="auto"/>
        <w:right w:val="none" w:sz="0" w:space="0" w:color="auto"/>
      </w:divBdr>
    </w:div>
    <w:div w:id="1448700720">
      <w:bodyDiv w:val="1"/>
      <w:marLeft w:val="0"/>
      <w:marRight w:val="0"/>
      <w:marTop w:val="0"/>
      <w:marBottom w:val="0"/>
      <w:divBdr>
        <w:top w:val="none" w:sz="0" w:space="0" w:color="auto"/>
        <w:left w:val="none" w:sz="0" w:space="0" w:color="auto"/>
        <w:bottom w:val="none" w:sz="0" w:space="0" w:color="auto"/>
        <w:right w:val="none" w:sz="0" w:space="0" w:color="auto"/>
      </w:divBdr>
    </w:div>
    <w:div w:id="1450317664">
      <w:bodyDiv w:val="1"/>
      <w:marLeft w:val="0"/>
      <w:marRight w:val="0"/>
      <w:marTop w:val="0"/>
      <w:marBottom w:val="0"/>
      <w:divBdr>
        <w:top w:val="none" w:sz="0" w:space="0" w:color="auto"/>
        <w:left w:val="none" w:sz="0" w:space="0" w:color="auto"/>
        <w:bottom w:val="none" w:sz="0" w:space="0" w:color="auto"/>
        <w:right w:val="none" w:sz="0" w:space="0" w:color="auto"/>
      </w:divBdr>
    </w:div>
    <w:div w:id="1451822518">
      <w:bodyDiv w:val="1"/>
      <w:marLeft w:val="0"/>
      <w:marRight w:val="0"/>
      <w:marTop w:val="0"/>
      <w:marBottom w:val="0"/>
      <w:divBdr>
        <w:top w:val="none" w:sz="0" w:space="0" w:color="auto"/>
        <w:left w:val="none" w:sz="0" w:space="0" w:color="auto"/>
        <w:bottom w:val="none" w:sz="0" w:space="0" w:color="auto"/>
        <w:right w:val="none" w:sz="0" w:space="0" w:color="auto"/>
      </w:divBdr>
    </w:div>
    <w:div w:id="1451975519">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0"/>
      <w:divBdr>
        <w:top w:val="none" w:sz="0" w:space="0" w:color="auto"/>
        <w:left w:val="none" w:sz="0" w:space="0" w:color="auto"/>
        <w:bottom w:val="none" w:sz="0" w:space="0" w:color="auto"/>
        <w:right w:val="none" w:sz="0" w:space="0" w:color="auto"/>
      </w:divBdr>
    </w:div>
    <w:div w:id="1453942479">
      <w:bodyDiv w:val="1"/>
      <w:marLeft w:val="0"/>
      <w:marRight w:val="0"/>
      <w:marTop w:val="0"/>
      <w:marBottom w:val="0"/>
      <w:divBdr>
        <w:top w:val="none" w:sz="0" w:space="0" w:color="auto"/>
        <w:left w:val="none" w:sz="0" w:space="0" w:color="auto"/>
        <w:bottom w:val="none" w:sz="0" w:space="0" w:color="auto"/>
        <w:right w:val="none" w:sz="0" w:space="0" w:color="auto"/>
      </w:divBdr>
    </w:div>
    <w:div w:id="1454246047">
      <w:bodyDiv w:val="1"/>
      <w:marLeft w:val="0"/>
      <w:marRight w:val="0"/>
      <w:marTop w:val="0"/>
      <w:marBottom w:val="0"/>
      <w:divBdr>
        <w:top w:val="none" w:sz="0" w:space="0" w:color="auto"/>
        <w:left w:val="none" w:sz="0" w:space="0" w:color="auto"/>
        <w:bottom w:val="none" w:sz="0" w:space="0" w:color="auto"/>
        <w:right w:val="none" w:sz="0" w:space="0" w:color="auto"/>
      </w:divBdr>
    </w:div>
    <w:div w:id="1455176213">
      <w:bodyDiv w:val="1"/>
      <w:marLeft w:val="0"/>
      <w:marRight w:val="0"/>
      <w:marTop w:val="0"/>
      <w:marBottom w:val="0"/>
      <w:divBdr>
        <w:top w:val="none" w:sz="0" w:space="0" w:color="auto"/>
        <w:left w:val="none" w:sz="0" w:space="0" w:color="auto"/>
        <w:bottom w:val="none" w:sz="0" w:space="0" w:color="auto"/>
        <w:right w:val="none" w:sz="0" w:space="0" w:color="auto"/>
      </w:divBdr>
    </w:div>
    <w:div w:id="1456098403">
      <w:bodyDiv w:val="1"/>
      <w:marLeft w:val="0"/>
      <w:marRight w:val="0"/>
      <w:marTop w:val="0"/>
      <w:marBottom w:val="0"/>
      <w:divBdr>
        <w:top w:val="none" w:sz="0" w:space="0" w:color="auto"/>
        <w:left w:val="none" w:sz="0" w:space="0" w:color="auto"/>
        <w:bottom w:val="none" w:sz="0" w:space="0" w:color="auto"/>
        <w:right w:val="none" w:sz="0" w:space="0" w:color="auto"/>
      </w:divBdr>
    </w:div>
    <w:div w:id="1456408006">
      <w:bodyDiv w:val="1"/>
      <w:marLeft w:val="0"/>
      <w:marRight w:val="0"/>
      <w:marTop w:val="0"/>
      <w:marBottom w:val="0"/>
      <w:divBdr>
        <w:top w:val="none" w:sz="0" w:space="0" w:color="auto"/>
        <w:left w:val="none" w:sz="0" w:space="0" w:color="auto"/>
        <w:bottom w:val="none" w:sz="0" w:space="0" w:color="auto"/>
        <w:right w:val="none" w:sz="0" w:space="0" w:color="auto"/>
      </w:divBdr>
    </w:div>
    <w:div w:id="1457412780">
      <w:bodyDiv w:val="1"/>
      <w:marLeft w:val="0"/>
      <w:marRight w:val="0"/>
      <w:marTop w:val="0"/>
      <w:marBottom w:val="0"/>
      <w:divBdr>
        <w:top w:val="none" w:sz="0" w:space="0" w:color="auto"/>
        <w:left w:val="none" w:sz="0" w:space="0" w:color="auto"/>
        <w:bottom w:val="none" w:sz="0" w:space="0" w:color="auto"/>
        <w:right w:val="none" w:sz="0" w:space="0" w:color="auto"/>
      </w:divBdr>
    </w:div>
    <w:div w:id="1458837396">
      <w:bodyDiv w:val="1"/>
      <w:marLeft w:val="0"/>
      <w:marRight w:val="0"/>
      <w:marTop w:val="0"/>
      <w:marBottom w:val="0"/>
      <w:divBdr>
        <w:top w:val="none" w:sz="0" w:space="0" w:color="auto"/>
        <w:left w:val="none" w:sz="0" w:space="0" w:color="auto"/>
        <w:bottom w:val="none" w:sz="0" w:space="0" w:color="auto"/>
        <w:right w:val="none" w:sz="0" w:space="0" w:color="auto"/>
      </w:divBdr>
    </w:div>
    <w:div w:id="1458985624">
      <w:bodyDiv w:val="1"/>
      <w:marLeft w:val="0"/>
      <w:marRight w:val="0"/>
      <w:marTop w:val="0"/>
      <w:marBottom w:val="0"/>
      <w:divBdr>
        <w:top w:val="none" w:sz="0" w:space="0" w:color="auto"/>
        <w:left w:val="none" w:sz="0" w:space="0" w:color="auto"/>
        <w:bottom w:val="none" w:sz="0" w:space="0" w:color="auto"/>
        <w:right w:val="none" w:sz="0" w:space="0" w:color="auto"/>
      </w:divBdr>
    </w:div>
    <w:div w:id="1459645616">
      <w:bodyDiv w:val="1"/>
      <w:marLeft w:val="0"/>
      <w:marRight w:val="0"/>
      <w:marTop w:val="0"/>
      <w:marBottom w:val="0"/>
      <w:divBdr>
        <w:top w:val="none" w:sz="0" w:space="0" w:color="auto"/>
        <w:left w:val="none" w:sz="0" w:space="0" w:color="auto"/>
        <w:bottom w:val="none" w:sz="0" w:space="0" w:color="auto"/>
        <w:right w:val="none" w:sz="0" w:space="0" w:color="auto"/>
      </w:divBdr>
    </w:div>
    <w:div w:id="1460563989">
      <w:bodyDiv w:val="1"/>
      <w:marLeft w:val="0"/>
      <w:marRight w:val="0"/>
      <w:marTop w:val="0"/>
      <w:marBottom w:val="0"/>
      <w:divBdr>
        <w:top w:val="none" w:sz="0" w:space="0" w:color="auto"/>
        <w:left w:val="none" w:sz="0" w:space="0" w:color="auto"/>
        <w:bottom w:val="none" w:sz="0" w:space="0" w:color="auto"/>
        <w:right w:val="none" w:sz="0" w:space="0" w:color="auto"/>
      </w:divBdr>
    </w:div>
    <w:div w:id="1460757903">
      <w:bodyDiv w:val="1"/>
      <w:marLeft w:val="0"/>
      <w:marRight w:val="0"/>
      <w:marTop w:val="0"/>
      <w:marBottom w:val="0"/>
      <w:divBdr>
        <w:top w:val="none" w:sz="0" w:space="0" w:color="auto"/>
        <w:left w:val="none" w:sz="0" w:space="0" w:color="auto"/>
        <w:bottom w:val="none" w:sz="0" w:space="0" w:color="auto"/>
        <w:right w:val="none" w:sz="0" w:space="0" w:color="auto"/>
      </w:divBdr>
    </w:div>
    <w:div w:id="1461915555">
      <w:bodyDiv w:val="1"/>
      <w:marLeft w:val="0"/>
      <w:marRight w:val="0"/>
      <w:marTop w:val="0"/>
      <w:marBottom w:val="0"/>
      <w:divBdr>
        <w:top w:val="none" w:sz="0" w:space="0" w:color="auto"/>
        <w:left w:val="none" w:sz="0" w:space="0" w:color="auto"/>
        <w:bottom w:val="none" w:sz="0" w:space="0" w:color="auto"/>
        <w:right w:val="none" w:sz="0" w:space="0" w:color="auto"/>
      </w:divBdr>
    </w:div>
    <w:div w:id="1462386951">
      <w:bodyDiv w:val="1"/>
      <w:marLeft w:val="0"/>
      <w:marRight w:val="0"/>
      <w:marTop w:val="0"/>
      <w:marBottom w:val="0"/>
      <w:divBdr>
        <w:top w:val="none" w:sz="0" w:space="0" w:color="auto"/>
        <w:left w:val="none" w:sz="0" w:space="0" w:color="auto"/>
        <w:bottom w:val="none" w:sz="0" w:space="0" w:color="auto"/>
        <w:right w:val="none" w:sz="0" w:space="0" w:color="auto"/>
      </w:divBdr>
    </w:div>
    <w:div w:id="1462576234">
      <w:bodyDiv w:val="1"/>
      <w:marLeft w:val="0"/>
      <w:marRight w:val="0"/>
      <w:marTop w:val="0"/>
      <w:marBottom w:val="0"/>
      <w:divBdr>
        <w:top w:val="none" w:sz="0" w:space="0" w:color="auto"/>
        <w:left w:val="none" w:sz="0" w:space="0" w:color="auto"/>
        <w:bottom w:val="none" w:sz="0" w:space="0" w:color="auto"/>
        <w:right w:val="none" w:sz="0" w:space="0" w:color="auto"/>
      </w:divBdr>
    </w:div>
    <w:div w:id="1462917293">
      <w:bodyDiv w:val="1"/>
      <w:marLeft w:val="0"/>
      <w:marRight w:val="0"/>
      <w:marTop w:val="0"/>
      <w:marBottom w:val="0"/>
      <w:divBdr>
        <w:top w:val="none" w:sz="0" w:space="0" w:color="auto"/>
        <w:left w:val="none" w:sz="0" w:space="0" w:color="auto"/>
        <w:bottom w:val="none" w:sz="0" w:space="0" w:color="auto"/>
        <w:right w:val="none" w:sz="0" w:space="0" w:color="auto"/>
      </w:divBdr>
    </w:div>
    <w:div w:id="1463575526">
      <w:bodyDiv w:val="1"/>
      <w:marLeft w:val="0"/>
      <w:marRight w:val="0"/>
      <w:marTop w:val="0"/>
      <w:marBottom w:val="0"/>
      <w:divBdr>
        <w:top w:val="none" w:sz="0" w:space="0" w:color="auto"/>
        <w:left w:val="none" w:sz="0" w:space="0" w:color="auto"/>
        <w:bottom w:val="none" w:sz="0" w:space="0" w:color="auto"/>
        <w:right w:val="none" w:sz="0" w:space="0" w:color="auto"/>
      </w:divBdr>
    </w:div>
    <w:div w:id="1463617387">
      <w:bodyDiv w:val="1"/>
      <w:marLeft w:val="0"/>
      <w:marRight w:val="0"/>
      <w:marTop w:val="0"/>
      <w:marBottom w:val="0"/>
      <w:divBdr>
        <w:top w:val="none" w:sz="0" w:space="0" w:color="auto"/>
        <w:left w:val="none" w:sz="0" w:space="0" w:color="auto"/>
        <w:bottom w:val="none" w:sz="0" w:space="0" w:color="auto"/>
        <w:right w:val="none" w:sz="0" w:space="0" w:color="auto"/>
      </w:divBdr>
    </w:div>
    <w:div w:id="1463688037">
      <w:bodyDiv w:val="1"/>
      <w:marLeft w:val="0"/>
      <w:marRight w:val="0"/>
      <w:marTop w:val="0"/>
      <w:marBottom w:val="0"/>
      <w:divBdr>
        <w:top w:val="none" w:sz="0" w:space="0" w:color="auto"/>
        <w:left w:val="none" w:sz="0" w:space="0" w:color="auto"/>
        <w:bottom w:val="none" w:sz="0" w:space="0" w:color="auto"/>
        <w:right w:val="none" w:sz="0" w:space="0" w:color="auto"/>
      </w:divBdr>
    </w:div>
    <w:div w:id="1464889926">
      <w:bodyDiv w:val="1"/>
      <w:marLeft w:val="0"/>
      <w:marRight w:val="0"/>
      <w:marTop w:val="0"/>
      <w:marBottom w:val="0"/>
      <w:divBdr>
        <w:top w:val="none" w:sz="0" w:space="0" w:color="auto"/>
        <w:left w:val="none" w:sz="0" w:space="0" w:color="auto"/>
        <w:bottom w:val="none" w:sz="0" w:space="0" w:color="auto"/>
        <w:right w:val="none" w:sz="0" w:space="0" w:color="auto"/>
      </w:divBdr>
    </w:div>
    <w:div w:id="1465539936">
      <w:bodyDiv w:val="1"/>
      <w:marLeft w:val="0"/>
      <w:marRight w:val="0"/>
      <w:marTop w:val="0"/>
      <w:marBottom w:val="0"/>
      <w:divBdr>
        <w:top w:val="none" w:sz="0" w:space="0" w:color="auto"/>
        <w:left w:val="none" w:sz="0" w:space="0" w:color="auto"/>
        <w:bottom w:val="none" w:sz="0" w:space="0" w:color="auto"/>
        <w:right w:val="none" w:sz="0" w:space="0" w:color="auto"/>
      </w:divBdr>
    </w:div>
    <w:div w:id="1466434492">
      <w:bodyDiv w:val="1"/>
      <w:marLeft w:val="0"/>
      <w:marRight w:val="0"/>
      <w:marTop w:val="0"/>
      <w:marBottom w:val="0"/>
      <w:divBdr>
        <w:top w:val="none" w:sz="0" w:space="0" w:color="auto"/>
        <w:left w:val="none" w:sz="0" w:space="0" w:color="auto"/>
        <w:bottom w:val="none" w:sz="0" w:space="0" w:color="auto"/>
        <w:right w:val="none" w:sz="0" w:space="0" w:color="auto"/>
      </w:divBdr>
    </w:div>
    <w:div w:id="1467356771">
      <w:bodyDiv w:val="1"/>
      <w:marLeft w:val="0"/>
      <w:marRight w:val="0"/>
      <w:marTop w:val="0"/>
      <w:marBottom w:val="0"/>
      <w:divBdr>
        <w:top w:val="none" w:sz="0" w:space="0" w:color="auto"/>
        <w:left w:val="none" w:sz="0" w:space="0" w:color="auto"/>
        <w:bottom w:val="none" w:sz="0" w:space="0" w:color="auto"/>
        <w:right w:val="none" w:sz="0" w:space="0" w:color="auto"/>
      </w:divBdr>
    </w:div>
    <w:div w:id="1467628671">
      <w:bodyDiv w:val="1"/>
      <w:marLeft w:val="0"/>
      <w:marRight w:val="0"/>
      <w:marTop w:val="0"/>
      <w:marBottom w:val="0"/>
      <w:divBdr>
        <w:top w:val="none" w:sz="0" w:space="0" w:color="auto"/>
        <w:left w:val="none" w:sz="0" w:space="0" w:color="auto"/>
        <w:bottom w:val="none" w:sz="0" w:space="0" w:color="auto"/>
        <w:right w:val="none" w:sz="0" w:space="0" w:color="auto"/>
      </w:divBdr>
    </w:div>
    <w:div w:id="1468006890">
      <w:bodyDiv w:val="1"/>
      <w:marLeft w:val="0"/>
      <w:marRight w:val="0"/>
      <w:marTop w:val="0"/>
      <w:marBottom w:val="0"/>
      <w:divBdr>
        <w:top w:val="none" w:sz="0" w:space="0" w:color="auto"/>
        <w:left w:val="none" w:sz="0" w:space="0" w:color="auto"/>
        <w:bottom w:val="none" w:sz="0" w:space="0" w:color="auto"/>
        <w:right w:val="none" w:sz="0" w:space="0" w:color="auto"/>
      </w:divBdr>
    </w:div>
    <w:div w:id="1468549578">
      <w:bodyDiv w:val="1"/>
      <w:marLeft w:val="0"/>
      <w:marRight w:val="0"/>
      <w:marTop w:val="0"/>
      <w:marBottom w:val="0"/>
      <w:divBdr>
        <w:top w:val="none" w:sz="0" w:space="0" w:color="auto"/>
        <w:left w:val="none" w:sz="0" w:space="0" w:color="auto"/>
        <w:bottom w:val="none" w:sz="0" w:space="0" w:color="auto"/>
        <w:right w:val="none" w:sz="0" w:space="0" w:color="auto"/>
      </w:divBdr>
    </w:div>
    <w:div w:id="1468737150">
      <w:bodyDiv w:val="1"/>
      <w:marLeft w:val="0"/>
      <w:marRight w:val="0"/>
      <w:marTop w:val="0"/>
      <w:marBottom w:val="0"/>
      <w:divBdr>
        <w:top w:val="none" w:sz="0" w:space="0" w:color="auto"/>
        <w:left w:val="none" w:sz="0" w:space="0" w:color="auto"/>
        <w:bottom w:val="none" w:sz="0" w:space="0" w:color="auto"/>
        <w:right w:val="none" w:sz="0" w:space="0" w:color="auto"/>
      </w:divBdr>
    </w:div>
    <w:div w:id="1468862046">
      <w:bodyDiv w:val="1"/>
      <w:marLeft w:val="0"/>
      <w:marRight w:val="0"/>
      <w:marTop w:val="0"/>
      <w:marBottom w:val="0"/>
      <w:divBdr>
        <w:top w:val="none" w:sz="0" w:space="0" w:color="auto"/>
        <w:left w:val="none" w:sz="0" w:space="0" w:color="auto"/>
        <w:bottom w:val="none" w:sz="0" w:space="0" w:color="auto"/>
        <w:right w:val="none" w:sz="0" w:space="0" w:color="auto"/>
      </w:divBdr>
    </w:div>
    <w:div w:id="1468934854">
      <w:bodyDiv w:val="1"/>
      <w:marLeft w:val="0"/>
      <w:marRight w:val="0"/>
      <w:marTop w:val="0"/>
      <w:marBottom w:val="0"/>
      <w:divBdr>
        <w:top w:val="none" w:sz="0" w:space="0" w:color="auto"/>
        <w:left w:val="none" w:sz="0" w:space="0" w:color="auto"/>
        <w:bottom w:val="none" w:sz="0" w:space="0" w:color="auto"/>
        <w:right w:val="none" w:sz="0" w:space="0" w:color="auto"/>
      </w:divBdr>
    </w:div>
    <w:div w:id="1469055680">
      <w:bodyDiv w:val="1"/>
      <w:marLeft w:val="0"/>
      <w:marRight w:val="0"/>
      <w:marTop w:val="0"/>
      <w:marBottom w:val="0"/>
      <w:divBdr>
        <w:top w:val="none" w:sz="0" w:space="0" w:color="auto"/>
        <w:left w:val="none" w:sz="0" w:space="0" w:color="auto"/>
        <w:bottom w:val="none" w:sz="0" w:space="0" w:color="auto"/>
        <w:right w:val="none" w:sz="0" w:space="0" w:color="auto"/>
      </w:divBdr>
    </w:div>
    <w:div w:id="1469083958">
      <w:bodyDiv w:val="1"/>
      <w:marLeft w:val="0"/>
      <w:marRight w:val="0"/>
      <w:marTop w:val="0"/>
      <w:marBottom w:val="0"/>
      <w:divBdr>
        <w:top w:val="none" w:sz="0" w:space="0" w:color="auto"/>
        <w:left w:val="none" w:sz="0" w:space="0" w:color="auto"/>
        <w:bottom w:val="none" w:sz="0" w:space="0" w:color="auto"/>
        <w:right w:val="none" w:sz="0" w:space="0" w:color="auto"/>
      </w:divBdr>
    </w:div>
    <w:div w:id="1470169308">
      <w:bodyDiv w:val="1"/>
      <w:marLeft w:val="0"/>
      <w:marRight w:val="0"/>
      <w:marTop w:val="0"/>
      <w:marBottom w:val="0"/>
      <w:divBdr>
        <w:top w:val="none" w:sz="0" w:space="0" w:color="auto"/>
        <w:left w:val="none" w:sz="0" w:space="0" w:color="auto"/>
        <w:bottom w:val="none" w:sz="0" w:space="0" w:color="auto"/>
        <w:right w:val="none" w:sz="0" w:space="0" w:color="auto"/>
      </w:divBdr>
    </w:div>
    <w:div w:id="1470509936">
      <w:bodyDiv w:val="1"/>
      <w:marLeft w:val="0"/>
      <w:marRight w:val="0"/>
      <w:marTop w:val="0"/>
      <w:marBottom w:val="0"/>
      <w:divBdr>
        <w:top w:val="none" w:sz="0" w:space="0" w:color="auto"/>
        <w:left w:val="none" w:sz="0" w:space="0" w:color="auto"/>
        <w:bottom w:val="none" w:sz="0" w:space="0" w:color="auto"/>
        <w:right w:val="none" w:sz="0" w:space="0" w:color="auto"/>
      </w:divBdr>
    </w:div>
    <w:div w:id="1471358386">
      <w:bodyDiv w:val="1"/>
      <w:marLeft w:val="0"/>
      <w:marRight w:val="0"/>
      <w:marTop w:val="0"/>
      <w:marBottom w:val="0"/>
      <w:divBdr>
        <w:top w:val="none" w:sz="0" w:space="0" w:color="auto"/>
        <w:left w:val="none" w:sz="0" w:space="0" w:color="auto"/>
        <w:bottom w:val="none" w:sz="0" w:space="0" w:color="auto"/>
        <w:right w:val="none" w:sz="0" w:space="0" w:color="auto"/>
      </w:divBdr>
    </w:div>
    <w:div w:id="1471939840">
      <w:bodyDiv w:val="1"/>
      <w:marLeft w:val="0"/>
      <w:marRight w:val="0"/>
      <w:marTop w:val="0"/>
      <w:marBottom w:val="0"/>
      <w:divBdr>
        <w:top w:val="none" w:sz="0" w:space="0" w:color="auto"/>
        <w:left w:val="none" w:sz="0" w:space="0" w:color="auto"/>
        <w:bottom w:val="none" w:sz="0" w:space="0" w:color="auto"/>
        <w:right w:val="none" w:sz="0" w:space="0" w:color="auto"/>
      </w:divBdr>
    </w:div>
    <w:div w:id="1472095956">
      <w:bodyDiv w:val="1"/>
      <w:marLeft w:val="0"/>
      <w:marRight w:val="0"/>
      <w:marTop w:val="0"/>
      <w:marBottom w:val="0"/>
      <w:divBdr>
        <w:top w:val="none" w:sz="0" w:space="0" w:color="auto"/>
        <w:left w:val="none" w:sz="0" w:space="0" w:color="auto"/>
        <w:bottom w:val="none" w:sz="0" w:space="0" w:color="auto"/>
        <w:right w:val="none" w:sz="0" w:space="0" w:color="auto"/>
      </w:divBdr>
    </w:div>
    <w:div w:id="1473670745">
      <w:bodyDiv w:val="1"/>
      <w:marLeft w:val="0"/>
      <w:marRight w:val="0"/>
      <w:marTop w:val="0"/>
      <w:marBottom w:val="0"/>
      <w:divBdr>
        <w:top w:val="none" w:sz="0" w:space="0" w:color="auto"/>
        <w:left w:val="none" w:sz="0" w:space="0" w:color="auto"/>
        <w:bottom w:val="none" w:sz="0" w:space="0" w:color="auto"/>
        <w:right w:val="none" w:sz="0" w:space="0" w:color="auto"/>
      </w:divBdr>
    </w:div>
    <w:div w:id="1475217939">
      <w:bodyDiv w:val="1"/>
      <w:marLeft w:val="0"/>
      <w:marRight w:val="0"/>
      <w:marTop w:val="0"/>
      <w:marBottom w:val="0"/>
      <w:divBdr>
        <w:top w:val="none" w:sz="0" w:space="0" w:color="auto"/>
        <w:left w:val="none" w:sz="0" w:space="0" w:color="auto"/>
        <w:bottom w:val="none" w:sz="0" w:space="0" w:color="auto"/>
        <w:right w:val="none" w:sz="0" w:space="0" w:color="auto"/>
      </w:divBdr>
    </w:div>
    <w:div w:id="1475681443">
      <w:bodyDiv w:val="1"/>
      <w:marLeft w:val="0"/>
      <w:marRight w:val="0"/>
      <w:marTop w:val="0"/>
      <w:marBottom w:val="0"/>
      <w:divBdr>
        <w:top w:val="none" w:sz="0" w:space="0" w:color="auto"/>
        <w:left w:val="none" w:sz="0" w:space="0" w:color="auto"/>
        <w:bottom w:val="none" w:sz="0" w:space="0" w:color="auto"/>
        <w:right w:val="none" w:sz="0" w:space="0" w:color="auto"/>
      </w:divBdr>
    </w:div>
    <w:div w:id="1475682059">
      <w:bodyDiv w:val="1"/>
      <w:marLeft w:val="0"/>
      <w:marRight w:val="0"/>
      <w:marTop w:val="0"/>
      <w:marBottom w:val="0"/>
      <w:divBdr>
        <w:top w:val="none" w:sz="0" w:space="0" w:color="auto"/>
        <w:left w:val="none" w:sz="0" w:space="0" w:color="auto"/>
        <w:bottom w:val="none" w:sz="0" w:space="0" w:color="auto"/>
        <w:right w:val="none" w:sz="0" w:space="0" w:color="auto"/>
      </w:divBdr>
    </w:div>
    <w:div w:id="1476491306">
      <w:bodyDiv w:val="1"/>
      <w:marLeft w:val="0"/>
      <w:marRight w:val="0"/>
      <w:marTop w:val="0"/>
      <w:marBottom w:val="0"/>
      <w:divBdr>
        <w:top w:val="none" w:sz="0" w:space="0" w:color="auto"/>
        <w:left w:val="none" w:sz="0" w:space="0" w:color="auto"/>
        <w:bottom w:val="none" w:sz="0" w:space="0" w:color="auto"/>
        <w:right w:val="none" w:sz="0" w:space="0" w:color="auto"/>
      </w:divBdr>
    </w:div>
    <w:div w:id="1476608524">
      <w:bodyDiv w:val="1"/>
      <w:marLeft w:val="0"/>
      <w:marRight w:val="0"/>
      <w:marTop w:val="0"/>
      <w:marBottom w:val="0"/>
      <w:divBdr>
        <w:top w:val="none" w:sz="0" w:space="0" w:color="auto"/>
        <w:left w:val="none" w:sz="0" w:space="0" w:color="auto"/>
        <w:bottom w:val="none" w:sz="0" w:space="0" w:color="auto"/>
        <w:right w:val="none" w:sz="0" w:space="0" w:color="auto"/>
      </w:divBdr>
    </w:div>
    <w:div w:id="1477454258">
      <w:bodyDiv w:val="1"/>
      <w:marLeft w:val="0"/>
      <w:marRight w:val="0"/>
      <w:marTop w:val="0"/>
      <w:marBottom w:val="0"/>
      <w:divBdr>
        <w:top w:val="none" w:sz="0" w:space="0" w:color="auto"/>
        <w:left w:val="none" w:sz="0" w:space="0" w:color="auto"/>
        <w:bottom w:val="none" w:sz="0" w:space="0" w:color="auto"/>
        <w:right w:val="none" w:sz="0" w:space="0" w:color="auto"/>
      </w:divBdr>
    </w:div>
    <w:div w:id="1477454901">
      <w:bodyDiv w:val="1"/>
      <w:marLeft w:val="0"/>
      <w:marRight w:val="0"/>
      <w:marTop w:val="0"/>
      <w:marBottom w:val="0"/>
      <w:divBdr>
        <w:top w:val="none" w:sz="0" w:space="0" w:color="auto"/>
        <w:left w:val="none" w:sz="0" w:space="0" w:color="auto"/>
        <w:bottom w:val="none" w:sz="0" w:space="0" w:color="auto"/>
        <w:right w:val="none" w:sz="0" w:space="0" w:color="auto"/>
      </w:divBdr>
    </w:div>
    <w:div w:id="1477645364">
      <w:bodyDiv w:val="1"/>
      <w:marLeft w:val="0"/>
      <w:marRight w:val="0"/>
      <w:marTop w:val="0"/>
      <w:marBottom w:val="0"/>
      <w:divBdr>
        <w:top w:val="none" w:sz="0" w:space="0" w:color="auto"/>
        <w:left w:val="none" w:sz="0" w:space="0" w:color="auto"/>
        <w:bottom w:val="none" w:sz="0" w:space="0" w:color="auto"/>
        <w:right w:val="none" w:sz="0" w:space="0" w:color="auto"/>
      </w:divBdr>
    </w:div>
    <w:div w:id="1478298887">
      <w:bodyDiv w:val="1"/>
      <w:marLeft w:val="0"/>
      <w:marRight w:val="0"/>
      <w:marTop w:val="0"/>
      <w:marBottom w:val="0"/>
      <w:divBdr>
        <w:top w:val="none" w:sz="0" w:space="0" w:color="auto"/>
        <w:left w:val="none" w:sz="0" w:space="0" w:color="auto"/>
        <w:bottom w:val="none" w:sz="0" w:space="0" w:color="auto"/>
        <w:right w:val="none" w:sz="0" w:space="0" w:color="auto"/>
      </w:divBdr>
    </w:div>
    <w:div w:id="1478381189">
      <w:bodyDiv w:val="1"/>
      <w:marLeft w:val="0"/>
      <w:marRight w:val="0"/>
      <w:marTop w:val="0"/>
      <w:marBottom w:val="0"/>
      <w:divBdr>
        <w:top w:val="none" w:sz="0" w:space="0" w:color="auto"/>
        <w:left w:val="none" w:sz="0" w:space="0" w:color="auto"/>
        <w:bottom w:val="none" w:sz="0" w:space="0" w:color="auto"/>
        <w:right w:val="none" w:sz="0" w:space="0" w:color="auto"/>
      </w:divBdr>
    </w:div>
    <w:div w:id="1483110986">
      <w:bodyDiv w:val="1"/>
      <w:marLeft w:val="0"/>
      <w:marRight w:val="0"/>
      <w:marTop w:val="0"/>
      <w:marBottom w:val="0"/>
      <w:divBdr>
        <w:top w:val="none" w:sz="0" w:space="0" w:color="auto"/>
        <w:left w:val="none" w:sz="0" w:space="0" w:color="auto"/>
        <w:bottom w:val="none" w:sz="0" w:space="0" w:color="auto"/>
        <w:right w:val="none" w:sz="0" w:space="0" w:color="auto"/>
      </w:divBdr>
    </w:div>
    <w:div w:id="1484200485">
      <w:bodyDiv w:val="1"/>
      <w:marLeft w:val="0"/>
      <w:marRight w:val="0"/>
      <w:marTop w:val="0"/>
      <w:marBottom w:val="0"/>
      <w:divBdr>
        <w:top w:val="none" w:sz="0" w:space="0" w:color="auto"/>
        <w:left w:val="none" w:sz="0" w:space="0" w:color="auto"/>
        <w:bottom w:val="none" w:sz="0" w:space="0" w:color="auto"/>
        <w:right w:val="none" w:sz="0" w:space="0" w:color="auto"/>
      </w:divBdr>
    </w:div>
    <w:div w:id="1484347660">
      <w:bodyDiv w:val="1"/>
      <w:marLeft w:val="0"/>
      <w:marRight w:val="0"/>
      <w:marTop w:val="0"/>
      <w:marBottom w:val="0"/>
      <w:divBdr>
        <w:top w:val="none" w:sz="0" w:space="0" w:color="auto"/>
        <w:left w:val="none" w:sz="0" w:space="0" w:color="auto"/>
        <w:bottom w:val="none" w:sz="0" w:space="0" w:color="auto"/>
        <w:right w:val="none" w:sz="0" w:space="0" w:color="auto"/>
      </w:divBdr>
    </w:div>
    <w:div w:id="1485662282">
      <w:bodyDiv w:val="1"/>
      <w:marLeft w:val="0"/>
      <w:marRight w:val="0"/>
      <w:marTop w:val="0"/>
      <w:marBottom w:val="0"/>
      <w:divBdr>
        <w:top w:val="none" w:sz="0" w:space="0" w:color="auto"/>
        <w:left w:val="none" w:sz="0" w:space="0" w:color="auto"/>
        <w:bottom w:val="none" w:sz="0" w:space="0" w:color="auto"/>
        <w:right w:val="none" w:sz="0" w:space="0" w:color="auto"/>
      </w:divBdr>
    </w:div>
    <w:div w:id="1485731285">
      <w:bodyDiv w:val="1"/>
      <w:marLeft w:val="0"/>
      <w:marRight w:val="0"/>
      <w:marTop w:val="0"/>
      <w:marBottom w:val="0"/>
      <w:divBdr>
        <w:top w:val="none" w:sz="0" w:space="0" w:color="auto"/>
        <w:left w:val="none" w:sz="0" w:space="0" w:color="auto"/>
        <w:bottom w:val="none" w:sz="0" w:space="0" w:color="auto"/>
        <w:right w:val="none" w:sz="0" w:space="0" w:color="auto"/>
      </w:divBdr>
    </w:div>
    <w:div w:id="1485783111">
      <w:bodyDiv w:val="1"/>
      <w:marLeft w:val="0"/>
      <w:marRight w:val="0"/>
      <w:marTop w:val="0"/>
      <w:marBottom w:val="0"/>
      <w:divBdr>
        <w:top w:val="none" w:sz="0" w:space="0" w:color="auto"/>
        <w:left w:val="none" w:sz="0" w:space="0" w:color="auto"/>
        <w:bottom w:val="none" w:sz="0" w:space="0" w:color="auto"/>
        <w:right w:val="none" w:sz="0" w:space="0" w:color="auto"/>
      </w:divBdr>
    </w:div>
    <w:div w:id="1486161165">
      <w:bodyDiv w:val="1"/>
      <w:marLeft w:val="0"/>
      <w:marRight w:val="0"/>
      <w:marTop w:val="0"/>
      <w:marBottom w:val="0"/>
      <w:divBdr>
        <w:top w:val="none" w:sz="0" w:space="0" w:color="auto"/>
        <w:left w:val="none" w:sz="0" w:space="0" w:color="auto"/>
        <w:bottom w:val="none" w:sz="0" w:space="0" w:color="auto"/>
        <w:right w:val="none" w:sz="0" w:space="0" w:color="auto"/>
      </w:divBdr>
    </w:div>
    <w:div w:id="1486320735">
      <w:bodyDiv w:val="1"/>
      <w:marLeft w:val="0"/>
      <w:marRight w:val="0"/>
      <w:marTop w:val="0"/>
      <w:marBottom w:val="0"/>
      <w:divBdr>
        <w:top w:val="none" w:sz="0" w:space="0" w:color="auto"/>
        <w:left w:val="none" w:sz="0" w:space="0" w:color="auto"/>
        <w:bottom w:val="none" w:sz="0" w:space="0" w:color="auto"/>
        <w:right w:val="none" w:sz="0" w:space="0" w:color="auto"/>
      </w:divBdr>
    </w:div>
    <w:div w:id="1486553380">
      <w:bodyDiv w:val="1"/>
      <w:marLeft w:val="0"/>
      <w:marRight w:val="0"/>
      <w:marTop w:val="0"/>
      <w:marBottom w:val="0"/>
      <w:divBdr>
        <w:top w:val="none" w:sz="0" w:space="0" w:color="auto"/>
        <w:left w:val="none" w:sz="0" w:space="0" w:color="auto"/>
        <w:bottom w:val="none" w:sz="0" w:space="0" w:color="auto"/>
        <w:right w:val="none" w:sz="0" w:space="0" w:color="auto"/>
      </w:divBdr>
    </w:div>
    <w:div w:id="1489247056">
      <w:bodyDiv w:val="1"/>
      <w:marLeft w:val="0"/>
      <w:marRight w:val="0"/>
      <w:marTop w:val="0"/>
      <w:marBottom w:val="0"/>
      <w:divBdr>
        <w:top w:val="none" w:sz="0" w:space="0" w:color="auto"/>
        <w:left w:val="none" w:sz="0" w:space="0" w:color="auto"/>
        <w:bottom w:val="none" w:sz="0" w:space="0" w:color="auto"/>
        <w:right w:val="none" w:sz="0" w:space="0" w:color="auto"/>
      </w:divBdr>
    </w:div>
    <w:div w:id="1489663809">
      <w:bodyDiv w:val="1"/>
      <w:marLeft w:val="0"/>
      <w:marRight w:val="0"/>
      <w:marTop w:val="0"/>
      <w:marBottom w:val="0"/>
      <w:divBdr>
        <w:top w:val="none" w:sz="0" w:space="0" w:color="auto"/>
        <w:left w:val="none" w:sz="0" w:space="0" w:color="auto"/>
        <w:bottom w:val="none" w:sz="0" w:space="0" w:color="auto"/>
        <w:right w:val="none" w:sz="0" w:space="0" w:color="auto"/>
      </w:divBdr>
    </w:div>
    <w:div w:id="1490171781">
      <w:bodyDiv w:val="1"/>
      <w:marLeft w:val="0"/>
      <w:marRight w:val="0"/>
      <w:marTop w:val="0"/>
      <w:marBottom w:val="0"/>
      <w:divBdr>
        <w:top w:val="none" w:sz="0" w:space="0" w:color="auto"/>
        <w:left w:val="none" w:sz="0" w:space="0" w:color="auto"/>
        <w:bottom w:val="none" w:sz="0" w:space="0" w:color="auto"/>
        <w:right w:val="none" w:sz="0" w:space="0" w:color="auto"/>
      </w:divBdr>
    </w:div>
    <w:div w:id="1490176731">
      <w:bodyDiv w:val="1"/>
      <w:marLeft w:val="0"/>
      <w:marRight w:val="0"/>
      <w:marTop w:val="0"/>
      <w:marBottom w:val="0"/>
      <w:divBdr>
        <w:top w:val="none" w:sz="0" w:space="0" w:color="auto"/>
        <w:left w:val="none" w:sz="0" w:space="0" w:color="auto"/>
        <w:bottom w:val="none" w:sz="0" w:space="0" w:color="auto"/>
        <w:right w:val="none" w:sz="0" w:space="0" w:color="auto"/>
      </w:divBdr>
    </w:div>
    <w:div w:id="1490945162">
      <w:bodyDiv w:val="1"/>
      <w:marLeft w:val="0"/>
      <w:marRight w:val="0"/>
      <w:marTop w:val="0"/>
      <w:marBottom w:val="0"/>
      <w:divBdr>
        <w:top w:val="none" w:sz="0" w:space="0" w:color="auto"/>
        <w:left w:val="none" w:sz="0" w:space="0" w:color="auto"/>
        <w:bottom w:val="none" w:sz="0" w:space="0" w:color="auto"/>
        <w:right w:val="none" w:sz="0" w:space="0" w:color="auto"/>
      </w:divBdr>
    </w:div>
    <w:div w:id="1492526592">
      <w:bodyDiv w:val="1"/>
      <w:marLeft w:val="0"/>
      <w:marRight w:val="0"/>
      <w:marTop w:val="0"/>
      <w:marBottom w:val="0"/>
      <w:divBdr>
        <w:top w:val="none" w:sz="0" w:space="0" w:color="auto"/>
        <w:left w:val="none" w:sz="0" w:space="0" w:color="auto"/>
        <w:bottom w:val="none" w:sz="0" w:space="0" w:color="auto"/>
        <w:right w:val="none" w:sz="0" w:space="0" w:color="auto"/>
      </w:divBdr>
    </w:div>
    <w:div w:id="1492675490">
      <w:bodyDiv w:val="1"/>
      <w:marLeft w:val="0"/>
      <w:marRight w:val="0"/>
      <w:marTop w:val="0"/>
      <w:marBottom w:val="0"/>
      <w:divBdr>
        <w:top w:val="none" w:sz="0" w:space="0" w:color="auto"/>
        <w:left w:val="none" w:sz="0" w:space="0" w:color="auto"/>
        <w:bottom w:val="none" w:sz="0" w:space="0" w:color="auto"/>
        <w:right w:val="none" w:sz="0" w:space="0" w:color="auto"/>
      </w:divBdr>
    </w:div>
    <w:div w:id="1492716189">
      <w:bodyDiv w:val="1"/>
      <w:marLeft w:val="0"/>
      <w:marRight w:val="0"/>
      <w:marTop w:val="0"/>
      <w:marBottom w:val="0"/>
      <w:divBdr>
        <w:top w:val="none" w:sz="0" w:space="0" w:color="auto"/>
        <w:left w:val="none" w:sz="0" w:space="0" w:color="auto"/>
        <w:bottom w:val="none" w:sz="0" w:space="0" w:color="auto"/>
        <w:right w:val="none" w:sz="0" w:space="0" w:color="auto"/>
      </w:divBdr>
    </w:div>
    <w:div w:id="1493375983">
      <w:bodyDiv w:val="1"/>
      <w:marLeft w:val="0"/>
      <w:marRight w:val="0"/>
      <w:marTop w:val="0"/>
      <w:marBottom w:val="0"/>
      <w:divBdr>
        <w:top w:val="none" w:sz="0" w:space="0" w:color="auto"/>
        <w:left w:val="none" w:sz="0" w:space="0" w:color="auto"/>
        <w:bottom w:val="none" w:sz="0" w:space="0" w:color="auto"/>
        <w:right w:val="none" w:sz="0" w:space="0" w:color="auto"/>
      </w:divBdr>
    </w:div>
    <w:div w:id="1494031539">
      <w:bodyDiv w:val="1"/>
      <w:marLeft w:val="0"/>
      <w:marRight w:val="0"/>
      <w:marTop w:val="0"/>
      <w:marBottom w:val="0"/>
      <w:divBdr>
        <w:top w:val="none" w:sz="0" w:space="0" w:color="auto"/>
        <w:left w:val="none" w:sz="0" w:space="0" w:color="auto"/>
        <w:bottom w:val="none" w:sz="0" w:space="0" w:color="auto"/>
        <w:right w:val="none" w:sz="0" w:space="0" w:color="auto"/>
      </w:divBdr>
    </w:div>
    <w:div w:id="1494758874">
      <w:bodyDiv w:val="1"/>
      <w:marLeft w:val="0"/>
      <w:marRight w:val="0"/>
      <w:marTop w:val="0"/>
      <w:marBottom w:val="0"/>
      <w:divBdr>
        <w:top w:val="none" w:sz="0" w:space="0" w:color="auto"/>
        <w:left w:val="none" w:sz="0" w:space="0" w:color="auto"/>
        <w:bottom w:val="none" w:sz="0" w:space="0" w:color="auto"/>
        <w:right w:val="none" w:sz="0" w:space="0" w:color="auto"/>
      </w:divBdr>
    </w:div>
    <w:div w:id="1495150477">
      <w:bodyDiv w:val="1"/>
      <w:marLeft w:val="0"/>
      <w:marRight w:val="0"/>
      <w:marTop w:val="0"/>
      <w:marBottom w:val="0"/>
      <w:divBdr>
        <w:top w:val="none" w:sz="0" w:space="0" w:color="auto"/>
        <w:left w:val="none" w:sz="0" w:space="0" w:color="auto"/>
        <w:bottom w:val="none" w:sz="0" w:space="0" w:color="auto"/>
        <w:right w:val="none" w:sz="0" w:space="0" w:color="auto"/>
      </w:divBdr>
    </w:div>
    <w:div w:id="1495758019">
      <w:bodyDiv w:val="1"/>
      <w:marLeft w:val="0"/>
      <w:marRight w:val="0"/>
      <w:marTop w:val="0"/>
      <w:marBottom w:val="0"/>
      <w:divBdr>
        <w:top w:val="none" w:sz="0" w:space="0" w:color="auto"/>
        <w:left w:val="none" w:sz="0" w:space="0" w:color="auto"/>
        <w:bottom w:val="none" w:sz="0" w:space="0" w:color="auto"/>
        <w:right w:val="none" w:sz="0" w:space="0" w:color="auto"/>
      </w:divBdr>
    </w:div>
    <w:div w:id="1497263273">
      <w:bodyDiv w:val="1"/>
      <w:marLeft w:val="0"/>
      <w:marRight w:val="0"/>
      <w:marTop w:val="0"/>
      <w:marBottom w:val="0"/>
      <w:divBdr>
        <w:top w:val="none" w:sz="0" w:space="0" w:color="auto"/>
        <w:left w:val="none" w:sz="0" w:space="0" w:color="auto"/>
        <w:bottom w:val="none" w:sz="0" w:space="0" w:color="auto"/>
        <w:right w:val="none" w:sz="0" w:space="0" w:color="auto"/>
      </w:divBdr>
    </w:div>
    <w:div w:id="1497648483">
      <w:bodyDiv w:val="1"/>
      <w:marLeft w:val="0"/>
      <w:marRight w:val="0"/>
      <w:marTop w:val="0"/>
      <w:marBottom w:val="0"/>
      <w:divBdr>
        <w:top w:val="none" w:sz="0" w:space="0" w:color="auto"/>
        <w:left w:val="none" w:sz="0" w:space="0" w:color="auto"/>
        <w:bottom w:val="none" w:sz="0" w:space="0" w:color="auto"/>
        <w:right w:val="none" w:sz="0" w:space="0" w:color="auto"/>
      </w:divBdr>
    </w:div>
    <w:div w:id="1497914147">
      <w:bodyDiv w:val="1"/>
      <w:marLeft w:val="0"/>
      <w:marRight w:val="0"/>
      <w:marTop w:val="0"/>
      <w:marBottom w:val="0"/>
      <w:divBdr>
        <w:top w:val="none" w:sz="0" w:space="0" w:color="auto"/>
        <w:left w:val="none" w:sz="0" w:space="0" w:color="auto"/>
        <w:bottom w:val="none" w:sz="0" w:space="0" w:color="auto"/>
        <w:right w:val="none" w:sz="0" w:space="0" w:color="auto"/>
      </w:divBdr>
    </w:div>
    <w:div w:id="1498886065">
      <w:bodyDiv w:val="1"/>
      <w:marLeft w:val="0"/>
      <w:marRight w:val="0"/>
      <w:marTop w:val="0"/>
      <w:marBottom w:val="0"/>
      <w:divBdr>
        <w:top w:val="none" w:sz="0" w:space="0" w:color="auto"/>
        <w:left w:val="none" w:sz="0" w:space="0" w:color="auto"/>
        <w:bottom w:val="none" w:sz="0" w:space="0" w:color="auto"/>
        <w:right w:val="none" w:sz="0" w:space="0" w:color="auto"/>
      </w:divBdr>
    </w:div>
    <w:div w:id="1500537500">
      <w:bodyDiv w:val="1"/>
      <w:marLeft w:val="0"/>
      <w:marRight w:val="0"/>
      <w:marTop w:val="0"/>
      <w:marBottom w:val="0"/>
      <w:divBdr>
        <w:top w:val="none" w:sz="0" w:space="0" w:color="auto"/>
        <w:left w:val="none" w:sz="0" w:space="0" w:color="auto"/>
        <w:bottom w:val="none" w:sz="0" w:space="0" w:color="auto"/>
        <w:right w:val="none" w:sz="0" w:space="0" w:color="auto"/>
      </w:divBdr>
    </w:div>
    <w:div w:id="1501386893">
      <w:bodyDiv w:val="1"/>
      <w:marLeft w:val="0"/>
      <w:marRight w:val="0"/>
      <w:marTop w:val="0"/>
      <w:marBottom w:val="0"/>
      <w:divBdr>
        <w:top w:val="none" w:sz="0" w:space="0" w:color="auto"/>
        <w:left w:val="none" w:sz="0" w:space="0" w:color="auto"/>
        <w:bottom w:val="none" w:sz="0" w:space="0" w:color="auto"/>
        <w:right w:val="none" w:sz="0" w:space="0" w:color="auto"/>
      </w:divBdr>
    </w:div>
    <w:div w:id="1502618380">
      <w:bodyDiv w:val="1"/>
      <w:marLeft w:val="0"/>
      <w:marRight w:val="0"/>
      <w:marTop w:val="0"/>
      <w:marBottom w:val="0"/>
      <w:divBdr>
        <w:top w:val="none" w:sz="0" w:space="0" w:color="auto"/>
        <w:left w:val="none" w:sz="0" w:space="0" w:color="auto"/>
        <w:bottom w:val="none" w:sz="0" w:space="0" w:color="auto"/>
        <w:right w:val="none" w:sz="0" w:space="0" w:color="auto"/>
      </w:divBdr>
    </w:div>
    <w:div w:id="1503428072">
      <w:bodyDiv w:val="1"/>
      <w:marLeft w:val="0"/>
      <w:marRight w:val="0"/>
      <w:marTop w:val="0"/>
      <w:marBottom w:val="0"/>
      <w:divBdr>
        <w:top w:val="none" w:sz="0" w:space="0" w:color="auto"/>
        <w:left w:val="none" w:sz="0" w:space="0" w:color="auto"/>
        <w:bottom w:val="none" w:sz="0" w:space="0" w:color="auto"/>
        <w:right w:val="none" w:sz="0" w:space="0" w:color="auto"/>
      </w:divBdr>
    </w:div>
    <w:div w:id="1503550462">
      <w:bodyDiv w:val="1"/>
      <w:marLeft w:val="0"/>
      <w:marRight w:val="0"/>
      <w:marTop w:val="0"/>
      <w:marBottom w:val="0"/>
      <w:divBdr>
        <w:top w:val="none" w:sz="0" w:space="0" w:color="auto"/>
        <w:left w:val="none" w:sz="0" w:space="0" w:color="auto"/>
        <w:bottom w:val="none" w:sz="0" w:space="0" w:color="auto"/>
        <w:right w:val="none" w:sz="0" w:space="0" w:color="auto"/>
      </w:divBdr>
    </w:div>
    <w:div w:id="1505432710">
      <w:bodyDiv w:val="1"/>
      <w:marLeft w:val="0"/>
      <w:marRight w:val="0"/>
      <w:marTop w:val="0"/>
      <w:marBottom w:val="0"/>
      <w:divBdr>
        <w:top w:val="none" w:sz="0" w:space="0" w:color="auto"/>
        <w:left w:val="none" w:sz="0" w:space="0" w:color="auto"/>
        <w:bottom w:val="none" w:sz="0" w:space="0" w:color="auto"/>
        <w:right w:val="none" w:sz="0" w:space="0" w:color="auto"/>
      </w:divBdr>
    </w:div>
    <w:div w:id="1505779107">
      <w:bodyDiv w:val="1"/>
      <w:marLeft w:val="0"/>
      <w:marRight w:val="0"/>
      <w:marTop w:val="0"/>
      <w:marBottom w:val="0"/>
      <w:divBdr>
        <w:top w:val="none" w:sz="0" w:space="0" w:color="auto"/>
        <w:left w:val="none" w:sz="0" w:space="0" w:color="auto"/>
        <w:bottom w:val="none" w:sz="0" w:space="0" w:color="auto"/>
        <w:right w:val="none" w:sz="0" w:space="0" w:color="auto"/>
      </w:divBdr>
    </w:div>
    <w:div w:id="1506751295">
      <w:bodyDiv w:val="1"/>
      <w:marLeft w:val="0"/>
      <w:marRight w:val="0"/>
      <w:marTop w:val="0"/>
      <w:marBottom w:val="0"/>
      <w:divBdr>
        <w:top w:val="none" w:sz="0" w:space="0" w:color="auto"/>
        <w:left w:val="none" w:sz="0" w:space="0" w:color="auto"/>
        <w:bottom w:val="none" w:sz="0" w:space="0" w:color="auto"/>
        <w:right w:val="none" w:sz="0" w:space="0" w:color="auto"/>
      </w:divBdr>
    </w:div>
    <w:div w:id="1508055411">
      <w:bodyDiv w:val="1"/>
      <w:marLeft w:val="0"/>
      <w:marRight w:val="0"/>
      <w:marTop w:val="0"/>
      <w:marBottom w:val="0"/>
      <w:divBdr>
        <w:top w:val="none" w:sz="0" w:space="0" w:color="auto"/>
        <w:left w:val="none" w:sz="0" w:space="0" w:color="auto"/>
        <w:bottom w:val="none" w:sz="0" w:space="0" w:color="auto"/>
        <w:right w:val="none" w:sz="0" w:space="0" w:color="auto"/>
      </w:divBdr>
    </w:div>
    <w:div w:id="1508250687">
      <w:bodyDiv w:val="1"/>
      <w:marLeft w:val="0"/>
      <w:marRight w:val="0"/>
      <w:marTop w:val="0"/>
      <w:marBottom w:val="0"/>
      <w:divBdr>
        <w:top w:val="none" w:sz="0" w:space="0" w:color="auto"/>
        <w:left w:val="none" w:sz="0" w:space="0" w:color="auto"/>
        <w:bottom w:val="none" w:sz="0" w:space="0" w:color="auto"/>
        <w:right w:val="none" w:sz="0" w:space="0" w:color="auto"/>
      </w:divBdr>
    </w:div>
    <w:div w:id="1510097005">
      <w:bodyDiv w:val="1"/>
      <w:marLeft w:val="0"/>
      <w:marRight w:val="0"/>
      <w:marTop w:val="0"/>
      <w:marBottom w:val="0"/>
      <w:divBdr>
        <w:top w:val="none" w:sz="0" w:space="0" w:color="auto"/>
        <w:left w:val="none" w:sz="0" w:space="0" w:color="auto"/>
        <w:bottom w:val="none" w:sz="0" w:space="0" w:color="auto"/>
        <w:right w:val="none" w:sz="0" w:space="0" w:color="auto"/>
      </w:divBdr>
    </w:div>
    <w:div w:id="1510484323">
      <w:bodyDiv w:val="1"/>
      <w:marLeft w:val="0"/>
      <w:marRight w:val="0"/>
      <w:marTop w:val="0"/>
      <w:marBottom w:val="0"/>
      <w:divBdr>
        <w:top w:val="none" w:sz="0" w:space="0" w:color="auto"/>
        <w:left w:val="none" w:sz="0" w:space="0" w:color="auto"/>
        <w:bottom w:val="none" w:sz="0" w:space="0" w:color="auto"/>
        <w:right w:val="none" w:sz="0" w:space="0" w:color="auto"/>
      </w:divBdr>
    </w:div>
    <w:div w:id="1511529186">
      <w:bodyDiv w:val="1"/>
      <w:marLeft w:val="0"/>
      <w:marRight w:val="0"/>
      <w:marTop w:val="0"/>
      <w:marBottom w:val="0"/>
      <w:divBdr>
        <w:top w:val="none" w:sz="0" w:space="0" w:color="auto"/>
        <w:left w:val="none" w:sz="0" w:space="0" w:color="auto"/>
        <w:bottom w:val="none" w:sz="0" w:space="0" w:color="auto"/>
        <w:right w:val="none" w:sz="0" w:space="0" w:color="auto"/>
      </w:divBdr>
    </w:div>
    <w:div w:id="1512376288">
      <w:bodyDiv w:val="1"/>
      <w:marLeft w:val="0"/>
      <w:marRight w:val="0"/>
      <w:marTop w:val="0"/>
      <w:marBottom w:val="0"/>
      <w:divBdr>
        <w:top w:val="none" w:sz="0" w:space="0" w:color="auto"/>
        <w:left w:val="none" w:sz="0" w:space="0" w:color="auto"/>
        <w:bottom w:val="none" w:sz="0" w:space="0" w:color="auto"/>
        <w:right w:val="none" w:sz="0" w:space="0" w:color="auto"/>
      </w:divBdr>
    </w:div>
    <w:div w:id="1512404806">
      <w:bodyDiv w:val="1"/>
      <w:marLeft w:val="0"/>
      <w:marRight w:val="0"/>
      <w:marTop w:val="0"/>
      <w:marBottom w:val="0"/>
      <w:divBdr>
        <w:top w:val="none" w:sz="0" w:space="0" w:color="auto"/>
        <w:left w:val="none" w:sz="0" w:space="0" w:color="auto"/>
        <w:bottom w:val="none" w:sz="0" w:space="0" w:color="auto"/>
        <w:right w:val="none" w:sz="0" w:space="0" w:color="auto"/>
      </w:divBdr>
    </w:div>
    <w:div w:id="1512527581">
      <w:bodyDiv w:val="1"/>
      <w:marLeft w:val="0"/>
      <w:marRight w:val="0"/>
      <w:marTop w:val="0"/>
      <w:marBottom w:val="0"/>
      <w:divBdr>
        <w:top w:val="none" w:sz="0" w:space="0" w:color="auto"/>
        <w:left w:val="none" w:sz="0" w:space="0" w:color="auto"/>
        <w:bottom w:val="none" w:sz="0" w:space="0" w:color="auto"/>
        <w:right w:val="none" w:sz="0" w:space="0" w:color="auto"/>
      </w:divBdr>
    </w:div>
    <w:div w:id="1512528932">
      <w:bodyDiv w:val="1"/>
      <w:marLeft w:val="0"/>
      <w:marRight w:val="0"/>
      <w:marTop w:val="0"/>
      <w:marBottom w:val="0"/>
      <w:divBdr>
        <w:top w:val="none" w:sz="0" w:space="0" w:color="auto"/>
        <w:left w:val="none" w:sz="0" w:space="0" w:color="auto"/>
        <w:bottom w:val="none" w:sz="0" w:space="0" w:color="auto"/>
        <w:right w:val="none" w:sz="0" w:space="0" w:color="auto"/>
      </w:divBdr>
    </w:div>
    <w:div w:id="1513032323">
      <w:bodyDiv w:val="1"/>
      <w:marLeft w:val="0"/>
      <w:marRight w:val="0"/>
      <w:marTop w:val="0"/>
      <w:marBottom w:val="0"/>
      <w:divBdr>
        <w:top w:val="none" w:sz="0" w:space="0" w:color="auto"/>
        <w:left w:val="none" w:sz="0" w:space="0" w:color="auto"/>
        <w:bottom w:val="none" w:sz="0" w:space="0" w:color="auto"/>
        <w:right w:val="none" w:sz="0" w:space="0" w:color="auto"/>
      </w:divBdr>
    </w:div>
    <w:div w:id="1513255896">
      <w:bodyDiv w:val="1"/>
      <w:marLeft w:val="0"/>
      <w:marRight w:val="0"/>
      <w:marTop w:val="0"/>
      <w:marBottom w:val="0"/>
      <w:divBdr>
        <w:top w:val="none" w:sz="0" w:space="0" w:color="auto"/>
        <w:left w:val="none" w:sz="0" w:space="0" w:color="auto"/>
        <w:bottom w:val="none" w:sz="0" w:space="0" w:color="auto"/>
        <w:right w:val="none" w:sz="0" w:space="0" w:color="auto"/>
      </w:divBdr>
    </w:div>
    <w:div w:id="1513302652">
      <w:bodyDiv w:val="1"/>
      <w:marLeft w:val="0"/>
      <w:marRight w:val="0"/>
      <w:marTop w:val="0"/>
      <w:marBottom w:val="0"/>
      <w:divBdr>
        <w:top w:val="none" w:sz="0" w:space="0" w:color="auto"/>
        <w:left w:val="none" w:sz="0" w:space="0" w:color="auto"/>
        <w:bottom w:val="none" w:sz="0" w:space="0" w:color="auto"/>
        <w:right w:val="none" w:sz="0" w:space="0" w:color="auto"/>
      </w:divBdr>
    </w:div>
    <w:div w:id="1513687673">
      <w:bodyDiv w:val="1"/>
      <w:marLeft w:val="0"/>
      <w:marRight w:val="0"/>
      <w:marTop w:val="0"/>
      <w:marBottom w:val="0"/>
      <w:divBdr>
        <w:top w:val="none" w:sz="0" w:space="0" w:color="auto"/>
        <w:left w:val="none" w:sz="0" w:space="0" w:color="auto"/>
        <w:bottom w:val="none" w:sz="0" w:space="0" w:color="auto"/>
        <w:right w:val="none" w:sz="0" w:space="0" w:color="auto"/>
      </w:divBdr>
    </w:div>
    <w:div w:id="1514804088">
      <w:bodyDiv w:val="1"/>
      <w:marLeft w:val="0"/>
      <w:marRight w:val="0"/>
      <w:marTop w:val="0"/>
      <w:marBottom w:val="0"/>
      <w:divBdr>
        <w:top w:val="none" w:sz="0" w:space="0" w:color="auto"/>
        <w:left w:val="none" w:sz="0" w:space="0" w:color="auto"/>
        <w:bottom w:val="none" w:sz="0" w:space="0" w:color="auto"/>
        <w:right w:val="none" w:sz="0" w:space="0" w:color="auto"/>
      </w:divBdr>
    </w:div>
    <w:div w:id="1515072962">
      <w:bodyDiv w:val="1"/>
      <w:marLeft w:val="0"/>
      <w:marRight w:val="0"/>
      <w:marTop w:val="0"/>
      <w:marBottom w:val="0"/>
      <w:divBdr>
        <w:top w:val="none" w:sz="0" w:space="0" w:color="auto"/>
        <w:left w:val="none" w:sz="0" w:space="0" w:color="auto"/>
        <w:bottom w:val="none" w:sz="0" w:space="0" w:color="auto"/>
        <w:right w:val="none" w:sz="0" w:space="0" w:color="auto"/>
      </w:divBdr>
    </w:div>
    <w:div w:id="1515219607">
      <w:bodyDiv w:val="1"/>
      <w:marLeft w:val="0"/>
      <w:marRight w:val="0"/>
      <w:marTop w:val="0"/>
      <w:marBottom w:val="0"/>
      <w:divBdr>
        <w:top w:val="none" w:sz="0" w:space="0" w:color="auto"/>
        <w:left w:val="none" w:sz="0" w:space="0" w:color="auto"/>
        <w:bottom w:val="none" w:sz="0" w:space="0" w:color="auto"/>
        <w:right w:val="none" w:sz="0" w:space="0" w:color="auto"/>
      </w:divBdr>
    </w:div>
    <w:div w:id="1516072201">
      <w:bodyDiv w:val="1"/>
      <w:marLeft w:val="0"/>
      <w:marRight w:val="0"/>
      <w:marTop w:val="0"/>
      <w:marBottom w:val="0"/>
      <w:divBdr>
        <w:top w:val="none" w:sz="0" w:space="0" w:color="auto"/>
        <w:left w:val="none" w:sz="0" w:space="0" w:color="auto"/>
        <w:bottom w:val="none" w:sz="0" w:space="0" w:color="auto"/>
        <w:right w:val="none" w:sz="0" w:space="0" w:color="auto"/>
      </w:divBdr>
    </w:div>
    <w:div w:id="1516571828">
      <w:bodyDiv w:val="1"/>
      <w:marLeft w:val="0"/>
      <w:marRight w:val="0"/>
      <w:marTop w:val="0"/>
      <w:marBottom w:val="0"/>
      <w:divBdr>
        <w:top w:val="none" w:sz="0" w:space="0" w:color="auto"/>
        <w:left w:val="none" w:sz="0" w:space="0" w:color="auto"/>
        <w:bottom w:val="none" w:sz="0" w:space="0" w:color="auto"/>
        <w:right w:val="none" w:sz="0" w:space="0" w:color="auto"/>
      </w:divBdr>
    </w:div>
    <w:div w:id="1516652819">
      <w:bodyDiv w:val="1"/>
      <w:marLeft w:val="0"/>
      <w:marRight w:val="0"/>
      <w:marTop w:val="0"/>
      <w:marBottom w:val="0"/>
      <w:divBdr>
        <w:top w:val="none" w:sz="0" w:space="0" w:color="auto"/>
        <w:left w:val="none" w:sz="0" w:space="0" w:color="auto"/>
        <w:bottom w:val="none" w:sz="0" w:space="0" w:color="auto"/>
        <w:right w:val="none" w:sz="0" w:space="0" w:color="auto"/>
      </w:divBdr>
    </w:div>
    <w:div w:id="1517111538">
      <w:bodyDiv w:val="1"/>
      <w:marLeft w:val="0"/>
      <w:marRight w:val="0"/>
      <w:marTop w:val="0"/>
      <w:marBottom w:val="0"/>
      <w:divBdr>
        <w:top w:val="none" w:sz="0" w:space="0" w:color="auto"/>
        <w:left w:val="none" w:sz="0" w:space="0" w:color="auto"/>
        <w:bottom w:val="none" w:sz="0" w:space="0" w:color="auto"/>
        <w:right w:val="none" w:sz="0" w:space="0" w:color="auto"/>
      </w:divBdr>
    </w:div>
    <w:div w:id="1517309890">
      <w:bodyDiv w:val="1"/>
      <w:marLeft w:val="0"/>
      <w:marRight w:val="0"/>
      <w:marTop w:val="0"/>
      <w:marBottom w:val="0"/>
      <w:divBdr>
        <w:top w:val="none" w:sz="0" w:space="0" w:color="auto"/>
        <w:left w:val="none" w:sz="0" w:space="0" w:color="auto"/>
        <w:bottom w:val="none" w:sz="0" w:space="0" w:color="auto"/>
        <w:right w:val="none" w:sz="0" w:space="0" w:color="auto"/>
      </w:divBdr>
    </w:div>
    <w:div w:id="1518928211">
      <w:bodyDiv w:val="1"/>
      <w:marLeft w:val="0"/>
      <w:marRight w:val="0"/>
      <w:marTop w:val="0"/>
      <w:marBottom w:val="0"/>
      <w:divBdr>
        <w:top w:val="none" w:sz="0" w:space="0" w:color="auto"/>
        <w:left w:val="none" w:sz="0" w:space="0" w:color="auto"/>
        <w:bottom w:val="none" w:sz="0" w:space="0" w:color="auto"/>
        <w:right w:val="none" w:sz="0" w:space="0" w:color="auto"/>
      </w:divBdr>
    </w:div>
    <w:div w:id="1520269463">
      <w:bodyDiv w:val="1"/>
      <w:marLeft w:val="0"/>
      <w:marRight w:val="0"/>
      <w:marTop w:val="0"/>
      <w:marBottom w:val="0"/>
      <w:divBdr>
        <w:top w:val="none" w:sz="0" w:space="0" w:color="auto"/>
        <w:left w:val="none" w:sz="0" w:space="0" w:color="auto"/>
        <w:bottom w:val="none" w:sz="0" w:space="0" w:color="auto"/>
        <w:right w:val="none" w:sz="0" w:space="0" w:color="auto"/>
      </w:divBdr>
    </w:div>
    <w:div w:id="1520578829">
      <w:bodyDiv w:val="1"/>
      <w:marLeft w:val="0"/>
      <w:marRight w:val="0"/>
      <w:marTop w:val="0"/>
      <w:marBottom w:val="0"/>
      <w:divBdr>
        <w:top w:val="none" w:sz="0" w:space="0" w:color="auto"/>
        <w:left w:val="none" w:sz="0" w:space="0" w:color="auto"/>
        <w:bottom w:val="none" w:sz="0" w:space="0" w:color="auto"/>
        <w:right w:val="none" w:sz="0" w:space="0" w:color="auto"/>
      </w:divBdr>
    </w:div>
    <w:div w:id="1521092022">
      <w:bodyDiv w:val="1"/>
      <w:marLeft w:val="0"/>
      <w:marRight w:val="0"/>
      <w:marTop w:val="0"/>
      <w:marBottom w:val="0"/>
      <w:divBdr>
        <w:top w:val="none" w:sz="0" w:space="0" w:color="auto"/>
        <w:left w:val="none" w:sz="0" w:space="0" w:color="auto"/>
        <w:bottom w:val="none" w:sz="0" w:space="0" w:color="auto"/>
        <w:right w:val="none" w:sz="0" w:space="0" w:color="auto"/>
      </w:divBdr>
    </w:div>
    <w:div w:id="1521117923">
      <w:bodyDiv w:val="1"/>
      <w:marLeft w:val="0"/>
      <w:marRight w:val="0"/>
      <w:marTop w:val="0"/>
      <w:marBottom w:val="0"/>
      <w:divBdr>
        <w:top w:val="none" w:sz="0" w:space="0" w:color="auto"/>
        <w:left w:val="none" w:sz="0" w:space="0" w:color="auto"/>
        <w:bottom w:val="none" w:sz="0" w:space="0" w:color="auto"/>
        <w:right w:val="none" w:sz="0" w:space="0" w:color="auto"/>
      </w:divBdr>
    </w:div>
    <w:div w:id="1521315566">
      <w:bodyDiv w:val="1"/>
      <w:marLeft w:val="0"/>
      <w:marRight w:val="0"/>
      <w:marTop w:val="0"/>
      <w:marBottom w:val="0"/>
      <w:divBdr>
        <w:top w:val="none" w:sz="0" w:space="0" w:color="auto"/>
        <w:left w:val="none" w:sz="0" w:space="0" w:color="auto"/>
        <w:bottom w:val="none" w:sz="0" w:space="0" w:color="auto"/>
        <w:right w:val="none" w:sz="0" w:space="0" w:color="auto"/>
      </w:divBdr>
    </w:div>
    <w:div w:id="1521505263">
      <w:bodyDiv w:val="1"/>
      <w:marLeft w:val="0"/>
      <w:marRight w:val="0"/>
      <w:marTop w:val="0"/>
      <w:marBottom w:val="0"/>
      <w:divBdr>
        <w:top w:val="none" w:sz="0" w:space="0" w:color="auto"/>
        <w:left w:val="none" w:sz="0" w:space="0" w:color="auto"/>
        <w:bottom w:val="none" w:sz="0" w:space="0" w:color="auto"/>
        <w:right w:val="none" w:sz="0" w:space="0" w:color="auto"/>
      </w:divBdr>
    </w:div>
    <w:div w:id="1521696826">
      <w:bodyDiv w:val="1"/>
      <w:marLeft w:val="0"/>
      <w:marRight w:val="0"/>
      <w:marTop w:val="0"/>
      <w:marBottom w:val="0"/>
      <w:divBdr>
        <w:top w:val="none" w:sz="0" w:space="0" w:color="auto"/>
        <w:left w:val="none" w:sz="0" w:space="0" w:color="auto"/>
        <w:bottom w:val="none" w:sz="0" w:space="0" w:color="auto"/>
        <w:right w:val="none" w:sz="0" w:space="0" w:color="auto"/>
      </w:divBdr>
    </w:div>
    <w:div w:id="1522039995">
      <w:bodyDiv w:val="1"/>
      <w:marLeft w:val="0"/>
      <w:marRight w:val="0"/>
      <w:marTop w:val="0"/>
      <w:marBottom w:val="0"/>
      <w:divBdr>
        <w:top w:val="none" w:sz="0" w:space="0" w:color="auto"/>
        <w:left w:val="none" w:sz="0" w:space="0" w:color="auto"/>
        <w:bottom w:val="none" w:sz="0" w:space="0" w:color="auto"/>
        <w:right w:val="none" w:sz="0" w:space="0" w:color="auto"/>
      </w:divBdr>
    </w:div>
    <w:div w:id="1522471241">
      <w:bodyDiv w:val="1"/>
      <w:marLeft w:val="0"/>
      <w:marRight w:val="0"/>
      <w:marTop w:val="0"/>
      <w:marBottom w:val="0"/>
      <w:divBdr>
        <w:top w:val="none" w:sz="0" w:space="0" w:color="auto"/>
        <w:left w:val="none" w:sz="0" w:space="0" w:color="auto"/>
        <w:bottom w:val="none" w:sz="0" w:space="0" w:color="auto"/>
        <w:right w:val="none" w:sz="0" w:space="0" w:color="auto"/>
      </w:divBdr>
    </w:div>
    <w:div w:id="1522932603">
      <w:bodyDiv w:val="1"/>
      <w:marLeft w:val="0"/>
      <w:marRight w:val="0"/>
      <w:marTop w:val="0"/>
      <w:marBottom w:val="0"/>
      <w:divBdr>
        <w:top w:val="none" w:sz="0" w:space="0" w:color="auto"/>
        <w:left w:val="none" w:sz="0" w:space="0" w:color="auto"/>
        <w:bottom w:val="none" w:sz="0" w:space="0" w:color="auto"/>
        <w:right w:val="none" w:sz="0" w:space="0" w:color="auto"/>
      </w:divBdr>
    </w:div>
    <w:div w:id="1524244160">
      <w:bodyDiv w:val="1"/>
      <w:marLeft w:val="0"/>
      <w:marRight w:val="0"/>
      <w:marTop w:val="0"/>
      <w:marBottom w:val="0"/>
      <w:divBdr>
        <w:top w:val="none" w:sz="0" w:space="0" w:color="auto"/>
        <w:left w:val="none" w:sz="0" w:space="0" w:color="auto"/>
        <w:bottom w:val="none" w:sz="0" w:space="0" w:color="auto"/>
        <w:right w:val="none" w:sz="0" w:space="0" w:color="auto"/>
      </w:divBdr>
    </w:div>
    <w:div w:id="1524858007">
      <w:bodyDiv w:val="1"/>
      <w:marLeft w:val="0"/>
      <w:marRight w:val="0"/>
      <w:marTop w:val="0"/>
      <w:marBottom w:val="0"/>
      <w:divBdr>
        <w:top w:val="none" w:sz="0" w:space="0" w:color="auto"/>
        <w:left w:val="none" w:sz="0" w:space="0" w:color="auto"/>
        <w:bottom w:val="none" w:sz="0" w:space="0" w:color="auto"/>
        <w:right w:val="none" w:sz="0" w:space="0" w:color="auto"/>
      </w:divBdr>
    </w:div>
    <w:div w:id="1525053905">
      <w:bodyDiv w:val="1"/>
      <w:marLeft w:val="0"/>
      <w:marRight w:val="0"/>
      <w:marTop w:val="0"/>
      <w:marBottom w:val="0"/>
      <w:divBdr>
        <w:top w:val="none" w:sz="0" w:space="0" w:color="auto"/>
        <w:left w:val="none" w:sz="0" w:space="0" w:color="auto"/>
        <w:bottom w:val="none" w:sz="0" w:space="0" w:color="auto"/>
        <w:right w:val="none" w:sz="0" w:space="0" w:color="auto"/>
      </w:divBdr>
    </w:div>
    <w:div w:id="1527401674">
      <w:bodyDiv w:val="1"/>
      <w:marLeft w:val="0"/>
      <w:marRight w:val="0"/>
      <w:marTop w:val="0"/>
      <w:marBottom w:val="0"/>
      <w:divBdr>
        <w:top w:val="none" w:sz="0" w:space="0" w:color="auto"/>
        <w:left w:val="none" w:sz="0" w:space="0" w:color="auto"/>
        <w:bottom w:val="none" w:sz="0" w:space="0" w:color="auto"/>
        <w:right w:val="none" w:sz="0" w:space="0" w:color="auto"/>
      </w:divBdr>
    </w:div>
    <w:div w:id="1527672195">
      <w:bodyDiv w:val="1"/>
      <w:marLeft w:val="0"/>
      <w:marRight w:val="0"/>
      <w:marTop w:val="0"/>
      <w:marBottom w:val="0"/>
      <w:divBdr>
        <w:top w:val="none" w:sz="0" w:space="0" w:color="auto"/>
        <w:left w:val="none" w:sz="0" w:space="0" w:color="auto"/>
        <w:bottom w:val="none" w:sz="0" w:space="0" w:color="auto"/>
        <w:right w:val="none" w:sz="0" w:space="0" w:color="auto"/>
      </w:divBdr>
    </w:div>
    <w:div w:id="1529490005">
      <w:bodyDiv w:val="1"/>
      <w:marLeft w:val="0"/>
      <w:marRight w:val="0"/>
      <w:marTop w:val="0"/>
      <w:marBottom w:val="0"/>
      <w:divBdr>
        <w:top w:val="none" w:sz="0" w:space="0" w:color="auto"/>
        <w:left w:val="none" w:sz="0" w:space="0" w:color="auto"/>
        <w:bottom w:val="none" w:sz="0" w:space="0" w:color="auto"/>
        <w:right w:val="none" w:sz="0" w:space="0" w:color="auto"/>
      </w:divBdr>
    </w:div>
    <w:div w:id="1530946563">
      <w:bodyDiv w:val="1"/>
      <w:marLeft w:val="0"/>
      <w:marRight w:val="0"/>
      <w:marTop w:val="0"/>
      <w:marBottom w:val="0"/>
      <w:divBdr>
        <w:top w:val="none" w:sz="0" w:space="0" w:color="auto"/>
        <w:left w:val="none" w:sz="0" w:space="0" w:color="auto"/>
        <w:bottom w:val="none" w:sz="0" w:space="0" w:color="auto"/>
        <w:right w:val="none" w:sz="0" w:space="0" w:color="auto"/>
      </w:divBdr>
    </w:div>
    <w:div w:id="1531069624">
      <w:bodyDiv w:val="1"/>
      <w:marLeft w:val="0"/>
      <w:marRight w:val="0"/>
      <w:marTop w:val="0"/>
      <w:marBottom w:val="0"/>
      <w:divBdr>
        <w:top w:val="none" w:sz="0" w:space="0" w:color="auto"/>
        <w:left w:val="none" w:sz="0" w:space="0" w:color="auto"/>
        <w:bottom w:val="none" w:sz="0" w:space="0" w:color="auto"/>
        <w:right w:val="none" w:sz="0" w:space="0" w:color="auto"/>
      </w:divBdr>
    </w:div>
    <w:div w:id="1531407585">
      <w:bodyDiv w:val="1"/>
      <w:marLeft w:val="0"/>
      <w:marRight w:val="0"/>
      <w:marTop w:val="0"/>
      <w:marBottom w:val="0"/>
      <w:divBdr>
        <w:top w:val="none" w:sz="0" w:space="0" w:color="auto"/>
        <w:left w:val="none" w:sz="0" w:space="0" w:color="auto"/>
        <w:bottom w:val="none" w:sz="0" w:space="0" w:color="auto"/>
        <w:right w:val="none" w:sz="0" w:space="0" w:color="auto"/>
      </w:divBdr>
    </w:div>
    <w:div w:id="1532451799">
      <w:bodyDiv w:val="1"/>
      <w:marLeft w:val="0"/>
      <w:marRight w:val="0"/>
      <w:marTop w:val="0"/>
      <w:marBottom w:val="0"/>
      <w:divBdr>
        <w:top w:val="none" w:sz="0" w:space="0" w:color="auto"/>
        <w:left w:val="none" w:sz="0" w:space="0" w:color="auto"/>
        <w:bottom w:val="none" w:sz="0" w:space="0" w:color="auto"/>
        <w:right w:val="none" w:sz="0" w:space="0" w:color="auto"/>
      </w:divBdr>
    </w:div>
    <w:div w:id="1533761350">
      <w:bodyDiv w:val="1"/>
      <w:marLeft w:val="0"/>
      <w:marRight w:val="0"/>
      <w:marTop w:val="0"/>
      <w:marBottom w:val="0"/>
      <w:divBdr>
        <w:top w:val="none" w:sz="0" w:space="0" w:color="auto"/>
        <w:left w:val="none" w:sz="0" w:space="0" w:color="auto"/>
        <w:bottom w:val="none" w:sz="0" w:space="0" w:color="auto"/>
        <w:right w:val="none" w:sz="0" w:space="0" w:color="auto"/>
      </w:divBdr>
    </w:div>
    <w:div w:id="1534348376">
      <w:bodyDiv w:val="1"/>
      <w:marLeft w:val="0"/>
      <w:marRight w:val="0"/>
      <w:marTop w:val="0"/>
      <w:marBottom w:val="0"/>
      <w:divBdr>
        <w:top w:val="none" w:sz="0" w:space="0" w:color="auto"/>
        <w:left w:val="none" w:sz="0" w:space="0" w:color="auto"/>
        <w:bottom w:val="none" w:sz="0" w:space="0" w:color="auto"/>
        <w:right w:val="none" w:sz="0" w:space="0" w:color="auto"/>
      </w:divBdr>
    </w:div>
    <w:div w:id="1534998776">
      <w:bodyDiv w:val="1"/>
      <w:marLeft w:val="0"/>
      <w:marRight w:val="0"/>
      <w:marTop w:val="0"/>
      <w:marBottom w:val="0"/>
      <w:divBdr>
        <w:top w:val="none" w:sz="0" w:space="0" w:color="auto"/>
        <w:left w:val="none" w:sz="0" w:space="0" w:color="auto"/>
        <w:bottom w:val="none" w:sz="0" w:space="0" w:color="auto"/>
        <w:right w:val="none" w:sz="0" w:space="0" w:color="auto"/>
      </w:divBdr>
    </w:div>
    <w:div w:id="1536313465">
      <w:bodyDiv w:val="1"/>
      <w:marLeft w:val="0"/>
      <w:marRight w:val="0"/>
      <w:marTop w:val="0"/>
      <w:marBottom w:val="0"/>
      <w:divBdr>
        <w:top w:val="none" w:sz="0" w:space="0" w:color="auto"/>
        <w:left w:val="none" w:sz="0" w:space="0" w:color="auto"/>
        <w:bottom w:val="none" w:sz="0" w:space="0" w:color="auto"/>
        <w:right w:val="none" w:sz="0" w:space="0" w:color="auto"/>
      </w:divBdr>
    </w:div>
    <w:div w:id="1536500661">
      <w:bodyDiv w:val="1"/>
      <w:marLeft w:val="0"/>
      <w:marRight w:val="0"/>
      <w:marTop w:val="0"/>
      <w:marBottom w:val="0"/>
      <w:divBdr>
        <w:top w:val="none" w:sz="0" w:space="0" w:color="auto"/>
        <w:left w:val="none" w:sz="0" w:space="0" w:color="auto"/>
        <w:bottom w:val="none" w:sz="0" w:space="0" w:color="auto"/>
        <w:right w:val="none" w:sz="0" w:space="0" w:color="auto"/>
      </w:divBdr>
    </w:div>
    <w:div w:id="1537502610">
      <w:bodyDiv w:val="1"/>
      <w:marLeft w:val="0"/>
      <w:marRight w:val="0"/>
      <w:marTop w:val="0"/>
      <w:marBottom w:val="0"/>
      <w:divBdr>
        <w:top w:val="none" w:sz="0" w:space="0" w:color="auto"/>
        <w:left w:val="none" w:sz="0" w:space="0" w:color="auto"/>
        <w:bottom w:val="none" w:sz="0" w:space="0" w:color="auto"/>
        <w:right w:val="none" w:sz="0" w:space="0" w:color="auto"/>
      </w:divBdr>
    </w:div>
    <w:div w:id="1537742886">
      <w:bodyDiv w:val="1"/>
      <w:marLeft w:val="0"/>
      <w:marRight w:val="0"/>
      <w:marTop w:val="0"/>
      <w:marBottom w:val="0"/>
      <w:divBdr>
        <w:top w:val="none" w:sz="0" w:space="0" w:color="auto"/>
        <w:left w:val="none" w:sz="0" w:space="0" w:color="auto"/>
        <w:bottom w:val="none" w:sz="0" w:space="0" w:color="auto"/>
        <w:right w:val="none" w:sz="0" w:space="0" w:color="auto"/>
      </w:divBdr>
    </w:div>
    <w:div w:id="1537961704">
      <w:bodyDiv w:val="1"/>
      <w:marLeft w:val="0"/>
      <w:marRight w:val="0"/>
      <w:marTop w:val="0"/>
      <w:marBottom w:val="0"/>
      <w:divBdr>
        <w:top w:val="none" w:sz="0" w:space="0" w:color="auto"/>
        <w:left w:val="none" w:sz="0" w:space="0" w:color="auto"/>
        <w:bottom w:val="none" w:sz="0" w:space="0" w:color="auto"/>
        <w:right w:val="none" w:sz="0" w:space="0" w:color="auto"/>
      </w:divBdr>
    </w:div>
    <w:div w:id="1538348833">
      <w:bodyDiv w:val="1"/>
      <w:marLeft w:val="0"/>
      <w:marRight w:val="0"/>
      <w:marTop w:val="0"/>
      <w:marBottom w:val="0"/>
      <w:divBdr>
        <w:top w:val="none" w:sz="0" w:space="0" w:color="auto"/>
        <w:left w:val="none" w:sz="0" w:space="0" w:color="auto"/>
        <w:bottom w:val="none" w:sz="0" w:space="0" w:color="auto"/>
        <w:right w:val="none" w:sz="0" w:space="0" w:color="auto"/>
      </w:divBdr>
    </w:div>
    <w:div w:id="1542356673">
      <w:bodyDiv w:val="1"/>
      <w:marLeft w:val="0"/>
      <w:marRight w:val="0"/>
      <w:marTop w:val="0"/>
      <w:marBottom w:val="0"/>
      <w:divBdr>
        <w:top w:val="none" w:sz="0" w:space="0" w:color="auto"/>
        <w:left w:val="none" w:sz="0" w:space="0" w:color="auto"/>
        <w:bottom w:val="none" w:sz="0" w:space="0" w:color="auto"/>
        <w:right w:val="none" w:sz="0" w:space="0" w:color="auto"/>
      </w:divBdr>
    </w:div>
    <w:div w:id="1542471032">
      <w:bodyDiv w:val="1"/>
      <w:marLeft w:val="0"/>
      <w:marRight w:val="0"/>
      <w:marTop w:val="0"/>
      <w:marBottom w:val="0"/>
      <w:divBdr>
        <w:top w:val="none" w:sz="0" w:space="0" w:color="auto"/>
        <w:left w:val="none" w:sz="0" w:space="0" w:color="auto"/>
        <w:bottom w:val="none" w:sz="0" w:space="0" w:color="auto"/>
        <w:right w:val="none" w:sz="0" w:space="0" w:color="auto"/>
      </w:divBdr>
    </w:div>
    <w:div w:id="1543789613">
      <w:bodyDiv w:val="1"/>
      <w:marLeft w:val="0"/>
      <w:marRight w:val="0"/>
      <w:marTop w:val="0"/>
      <w:marBottom w:val="0"/>
      <w:divBdr>
        <w:top w:val="none" w:sz="0" w:space="0" w:color="auto"/>
        <w:left w:val="none" w:sz="0" w:space="0" w:color="auto"/>
        <w:bottom w:val="none" w:sz="0" w:space="0" w:color="auto"/>
        <w:right w:val="none" w:sz="0" w:space="0" w:color="auto"/>
      </w:divBdr>
    </w:div>
    <w:div w:id="1543976544">
      <w:bodyDiv w:val="1"/>
      <w:marLeft w:val="0"/>
      <w:marRight w:val="0"/>
      <w:marTop w:val="0"/>
      <w:marBottom w:val="0"/>
      <w:divBdr>
        <w:top w:val="none" w:sz="0" w:space="0" w:color="auto"/>
        <w:left w:val="none" w:sz="0" w:space="0" w:color="auto"/>
        <w:bottom w:val="none" w:sz="0" w:space="0" w:color="auto"/>
        <w:right w:val="none" w:sz="0" w:space="0" w:color="auto"/>
      </w:divBdr>
    </w:div>
    <w:div w:id="1544752543">
      <w:bodyDiv w:val="1"/>
      <w:marLeft w:val="0"/>
      <w:marRight w:val="0"/>
      <w:marTop w:val="0"/>
      <w:marBottom w:val="0"/>
      <w:divBdr>
        <w:top w:val="none" w:sz="0" w:space="0" w:color="auto"/>
        <w:left w:val="none" w:sz="0" w:space="0" w:color="auto"/>
        <w:bottom w:val="none" w:sz="0" w:space="0" w:color="auto"/>
        <w:right w:val="none" w:sz="0" w:space="0" w:color="auto"/>
      </w:divBdr>
    </w:div>
    <w:div w:id="1545167590">
      <w:bodyDiv w:val="1"/>
      <w:marLeft w:val="0"/>
      <w:marRight w:val="0"/>
      <w:marTop w:val="0"/>
      <w:marBottom w:val="0"/>
      <w:divBdr>
        <w:top w:val="none" w:sz="0" w:space="0" w:color="auto"/>
        <w:left w:val="none" w:sz="0" w:space="0" w:color="auto"/>
        <w:bottom w:val="none" w:sz="0" w:space="0" w:color="auto"/>
        <w:right w:val="none" w:sz="0" w:space="0" w:color="auto"/>
      </w:divBdr>
    </w:div>
    <w:div w:id="1545411913">
      <w:bodyDiv w:val="1"/>
      <w:marLeft w:val="0"/>
      <w:marRight w:val="0"/>
      <w:marTop w:val="0"/>
      <w:marBottom w:val="0"/>
      <w:divBdr>
        <w:top w:val="none" w:sz="0" w:space="0" w:color="auto"/>
        <w:left w:val="none" w:sz="0" w:space="0" w:color="auto"/>
        <w:bottom w:val="none" w:sz="0" w:space="0" w:color="auto"/>
        <w:right w:val="none" w:sz="0" w:space="0" w:color="auto"/>
      </w:divBdr>
    </w:div>
    <w:div w:id="1545752632">
      <w:bodyDiv w:val="1"/>
      <w:marLeft w:val="0"/>
      <w:marRight w:val="0"/>
      <w:marTop w:val="0"/>
      <w:marBottom w:val="0"/>
      <w:divBdr>
        <w:top w:val="none" w:sz="0" w:space="0" w:color="auto"/>
        <w:left w:val="none" w:sz="0" w:space="0" w:color="auto"/>
        <w:bottom w:val="none" w:sz="0" w:space="0" w:color="auto"/>
        <w:right w:val="none" w:sz="0" w:space="0" w:color="auto"/>
      </w:divBdr>
    </w:div>
    <w:div w:id="1546258782">
      <w:bodyDiv w:val="1"/>
      <w:marLeft w:val="0"/>
      <w:marRight w:val="0"/>
      <w:marTop w:val="0"/>
      <w:marBottom w:val="0"/>
      <w:divBdr>
        <w:top w:val="none" w:sz="0" w:space="0" w:color="auto"/>
        <w:left w:val="none" w:sz="0" w:space="0" w:color="auto"/>
        <w:bottom w:val="none" w:sz="0" w:space="0" w:color="auto"/>
        <w:right w:val="none" w:sz="0" w:space="0" w:color="auto"/>
      </w:divBdr>
    </w:div>
    <w:div w:id="1546715401">
      <w:bodyDiv w:val="1"/>
      <w:marLeft w:val="0"/>
      <w:marRight w:val="0"/>
      <w:marTop w:val="0"/>
      <w:marBottom w:val="0"/>
      <w:divBdr>
        <w:top w:val="none" w:sz="0" w:space="0" w:color="auto"/>
        <w:left w:val="none" w:sz="0" w:space="0" w:color="auto"/>
        <w:bottom w:val="none" w:sz="0" w:space="0" w:color="auto"/>
        <w:right w:val="none" w:sz="0" w:space="0" w:color="auto"/>
      </w:divBdr>
    </w:div>
    <w:div w:id="1546793595">
      <w:bodyDiv w:val="1"/>
      <w:marLeft w:val="0"/>
      <w:marRight w:val="0"/>
      <w:marTop w:val="0"/>
      <w:marBottom w:val="0"/>
      <w:divBdr>
        <w:top w:val="none" w:sz="0" w:space="0" w:color="auto"/>
        <w:left w:val="none" w:sz="0" w:space="0" w:color="auto"/>
        <w:bottom w:val="none" w:sz="0" w:space="0" w:color="auto"/>
        <w:right w:val="none" w:sz="0" w:space="0" w:color="auto"/>
      </w:divBdr>
    </w:div>
    <w:div w:id="1546988739">
      <w:bodyDiv w:val="1"/>
      <w:marLeft w:val="0"/>
      <w:marRight w:val="0"/>
      <w:marTop w:val="0"/>
      <w:marBottom w:val="0"/>
      <w:divBdr>
        <w:top w:val="none" w:sz="0" w:space="0" w:color="auto"/>
        <w:left w:val="none" w:sz="0" w:space="0" w:color="auto"/>
        <w:bottom w:val="none" w:sz="0" w:space="0" w:color="auto"/>
        <w:right w:val="none" w:sz="0" w:space="0" w:color="auto"/>
      </w:divBdr>
    </w:div>
    <w:div w:id="1546991449">
      <w:bodyDiv w:val="1"/>
      <w:marLeft w:val="0"/>
      <w:marRight w:val="0"/>
      <w:marTop w:val="0"/>
      <w:marBottom w:val="0"/>
      <w:divBdr>
        <w:top w:val="none" w:sz="0" w:space="0" w:color="auto"/>
        <w:left w:val="none" w:sz="0" w:space="0" w:color="auto"/>
        <w:bottom w:val="none" w:sz="0" w:space="0" w:color="auto"/>
        <w:right w:val="none" w:sz="0" w:space="0" w:color="auto"/>
      </w:divBdr>
    </w:div>
    <w:div w:id="1547764093">
      <w:bodyDiv w:val="1"/>
      <w:marLeft w:val="0"/>
      <w:marRight w:val="0"/>
      <w:marTop w:val="0"/>
      <w:marBottom w:val="0"/>
      <w:divBdr>
        <w:top w:val="none" w:sz="0" w:space="0" w:color="auto"/>
        <w:left w:val="none" w:sz="0" w:space="0" w:color="auto"/>
        <w:bottom w:val="none" w:sz="0" w:space="0" w:color="auto"/>
        <w:right w:val="none" w:sz="0" w:space="0" w:color="auto"/>
      </w:divBdr>
    </w:div>
    <w:div w:id="1548253922">
      <w:bodyDiv w:val="1"/>
      <w:marLeft w:val="0"/>
      <w:marRight w:val="0"/>
      <w:marTop w:val="0"/>
      <w:marBottom w:val="0"/>
      <w:divBdr>
        <w:top w:val="none" w:sz="0" w:space="0" w:color="auto"/>
        <w:left w:val="none" w:sz="0" w:space="0" w:color="auto"/>
        <w:bottom w:val="none" w:sz="0" w:space="0" w:color="auto"/>
        <w:right w:val="none" w:sz="0" w:space="0" w:color="auto"/>
      </w:divBdr>
    </w:div>
    <w:div w:id="1548295937">
      <w:bodyDiv w:val="1"/>
      <w:marLeft w:val="0"/>
      <w:marRight w:val="0"/>
      <w:marTop w:val="0"/>
      <w:marBottom w:val="0"/>
      <w:divBdr>
        <w:top w:val="none" w:sz="0" w:space="0" w:color="auto"/>
        <w:left w:val="none" w:sz="0" w:space="0" w:color="auto"/>
        <w:bottom w:val="none" w:sz="0" w:space="0" w:color="auto"/>
        <w:right w:val="none" w:sz="0" w:space="0" w:color="auto"/>
      </w:divBdr>
    </w:div>
    <w:div w:id="1548908395">
      <w:bodyDiv w:val="1"/>
      <w:marLeft w:val="0"/>
      <w:marRight w:val="0"/>
      <w:marTop w:val="0"/>
      <w:marBottom w:val="0"/>
      <w:divBdr>
        <w:top w:val="none" w:sz="0" w:space="0" w:color="auto"/>
        <w:left w:val="none" w:sz="0" w:space="0" w:color="auto"/>
        <w:bottom w:val="none" w:sz="0" w:space="0" w:color="auto"/>
        <w:right w:val="none" w:sz="0" w:space="0" w:color="auto"/>
      </w:divBdr>
    </w:div>
    <w:div w:id="1549757636">
      <w:bodyDiv w:val="1"/>
      <w:marLeft w:val="0"/>
      <w:marRight w:val="0"/>
      <w:marTop w:val="0"/>
      <w:marBottom w:val="0"/>
      <w:divBdr>
        <w:top w:val="none" w:sz="0" w:space="0" w:color="auto"/>
        <w:left w:val="none" w:sz="0" w:space="0" w:color="auto"/>
        <w:bottom w:val="none" w:sz="0" w:space="0" w:color="auto"/>
        <w:right w:val="none" w:sz="0" w:space="0" w:color="auto"/>
      </w:divBdr>
    </w:div>
    <w:div w:id="1549803304">
      <w:bodyDiv w:val="1"/>
      <w:marLeft w:val="0"/>
      <w:marRight w:val="0"/>
      <w:marTop w:val="0"/>
      <w:marBottom w:val="0"/>
      <w:divBdr>
        <w:top w:val="none" w:sz="0" w:space="0" w:color="auto"/>
        <w:left w:val="none" w:sz="0" w:space="0" w:color="auto"/>
        <w:bottom w:val="none" w:sz="0" w:space="0" w:color="auto"/>
        <w:right w:val="none" w:sz="0" w:space="0" w:color="auto"/>
      </w:divBdr>
    </w:div>
    <w:div w:id="1549949619">
      <w:bodyDiv w:val="1"/>
      <w:marLeft w:val="0"/>
      <w:marRight w:val="0"/>
      <w:marTop w:val="0"/>
      <w:marBottom w:val="0"/>
      <w:divBdr>
        <w:top w:val="none" w:sz="0" w:space="0" w:color="auto"/>
        <w:left w:val="none" w:sz="0" w:space="0" w:color="auto"/>
        <w:bottom w:val="none" w:sz="0" w:space="0" w:color="auto"/>
        <w:right w:val="none" w:sz="0" w:space="0" w:color="auto"/>
      </w:divBdr>
    </w:div>
    <w:div w:id="1551838420">
      <w:bodyDiv w:val="1"/>
      <w:marLeft w:val="0"/>
      <w:marRight w:val="0"/>
      <w:marTop w:val="0"/>
      <w:marBottom w:val="0"/>
      <w:divBdr>
        <w:top w:val="none" w:sz="0" w:space="0" w:color="auto"/>
        <w:left w:val="none" w:sz="0" w:space="0" w:color="auto"/>
        <w:bottom w:val="none" w:sz="0" w:space="0" w:color="auto"/>
        <w:right w:val="none" w:sz="0" w:space="0" w:color="auto"/>
      </w:divBdr>
    </w:div>
    <w:div w:id="1552229710">
      <w:bodyDiv w:val="1"/>
      <w:marLeft w:val="0"/>
      <w:marRight w:val="0"/>
      <w:marTop w:val="0"/>
      <w:marBottom w:val="0"/>
      <w:divBdr>
        <w:top w:val="none" w:sz="0" w:space="0" w:color="auto"/>
        <w:left w:val="none" w:sz="0" w:space="0" w:color="auto"/>
        <w:bottom w:val="none" w:sz="0" w:space="0" w:color="auto"/>
        <w:right w:val="none" w:sz="0" w:space="0" w:color="auto"/>
      </w:divBdr>
    </w:div>
    <w:div w:id="1552308133">
      <w:bodyDiv w:val="1"/>
      <w:marLeft w:val="0"/>
      <w:marRight w:val="0"/>
      <w:marTop w:val="0"/>
      <w:marBottom w:val="0"/>
      <w:divBdr>
        <w:top w:val="none" w:sz="0" w:space="0" w:color="auto"/>
        <w:left w:val="none" w:sz="0" w:space="0" w:color="auto"/>
        <w:bottom w:val="none" w:sz="0" w:space="0" w:color="auto"/>
        <w:right w:val="none" w:sz="0" w:space="0" w:color="auto"/>
      </w:divBdr>
    </w:div>
    <w:div w:id="1552421964">
      <w:bodyDiv w:val="1"/>
      <w:marLeft w:val="0"/>
      <w:marRight w:val="0"/>
      <w:marTop w:val="0"/>
      <w:marBottom w:val="0"/>
      <w:divBdr>
        <w:top w:val="none" w:sz="0" w:space="0" w:color="auto"/>
        <w:left w:val="none" w:sz="0" w:space="0" w:color="auto"/>
        <w:bottom w:val="none" w:sz="0" w:space="0" w:color="auto"/>
        <w:right w:val="none" w:sz="0" w:space="0" w:color="auto"/>
      </w:divBdr>
    </w:div>
    <w:div w:id="1552571553">
      <w:bodyDiv w:val="1"/>
      <w:marLeft w:val="0"/>
      <w:marRight w:val="0"/>
      <w:marTop w:val="0"/>
      <w:marBottom w:val="0"/>
      <w:divBdr>
        <w:top w:val="none" w:sz="0" w:space="0" w:color="auto"/>
        <w:left w:val="none" w:sz="0" w:space="0" w:color="auto"/>
        <w:bottom w:val="none" w:sz="0" w:space="0" w:color="auto"/>
        <w:right w:val="none" w:sz="0" w:space="0" w:color="auto"/>
      </w:divBdr>
    </w:div>
    <w:div w:id="1553226570">
      <w:bodyDiv w:val="1"/>
      <w:marLeft w:val="0"/>
      <w:marRight w:val="0"/>
      <w:marTop w:val="0"/>
      <w:marBottom w:val="0"/>
      <w:divBdr>
        <w:top w:val="none" w:sz="0" w:space="0" w:color="auto"/>
        <w:left w:val="none" w:sz="0" w:space="0" w:color="auto"/>
        <w:bottom w:val="none" w:sz="0" w:space="0" w:color="auto"/>
        <w:right w:val="none" w:sz="0" w:space="0" w:color="auto"/>
      </w:divBdr>
    </w:div>
    <w:div w:id="1554465923">
      <w:bodyDiv w:val="1"/>
      <w:marLeft w:val="0"/>
      <w:marRight w:val="0"/>
      <w:marTop w:val="0"/>
      <w:marBottom w:val="0"/>
      <w:divBdr>
        <w:top w:val="none" w:sz="0" w:space="0" w:color="auto"/>
        <w:left w:val="none" w:sz="0" w:space="0" w:color="auto"/>
        <w:bottom w:val="none" w:sz="0" w:space="0" w:color="auto"/>
        <w:right w:val="none" w:sz="0" w:space="0" w:color="auto"/>
      </w:divBdr>
    </w:div>
    <w:div w:id="1555432148">
      <w:bodyDiv w:val="1"/>
      <w:marLeft w:val="0"/>
      <w:marRight w:val="0"/>
      <w:marTop w:val="0"/>
      <w:marBottom w:val="0"/>
      <w:divBdr>
        <w:top w:val="none" w:sz="0" w:space="0" w:color="auto"/>
        <w:left w:val="none" w:sz="0" w:space="0" w:color="auto"/>
        <w:bottom w:val="none" w:sz="0" w:space="0" w:color="auto"/>
        <w:right w:val="none" w:sz="0" w:space="0" w:color="auto"/>
      </w:divBdr>
    </w:div>
    <w:div w:id="1555847524">
      <w:bodyDiv w:val="1"/>
      <w:marLeft w:val="0"/>
      <w:marRight w:val="0"/>
      <w:marTop w:val="0"/>
      <w:marBottom w:val="0"/>
      <w:divBdr>
        <w:top w:val="none" w:sz="0" w:space="0" w:color="auto"/>
        <w:left w:val="none" w:sz="0" w:space="0" w:color="auto"/>
        <w:bottom w:val="none" w:sz="0" w:space="0" w:color="auto"/>
        <w:right w:val="none" w:sz="0" w:space="0" w:color="auto"/>
      </w:divBdr>
    </w:div>
    <w:div w:id="1556042683">
      <w:bodyDiv w:val="1"/>
      <w:marLeft w:val="0"/>
      <w:marRight w:val="0"/>
      <w:marTop w:val="0"/>
      <w:marBottom w:val="0"/>
      <w:divBdr>
        <w:top w:val="none" w:sz="0" w:space="0" w:color="auto"/>
        <w:left w:val="none" w:sz="0" w:space="0" w:color="auto"/>
        <w:bottom w:val="none" w:sz="0" w:space="0" w:color="auto"/>
        <w:right w:val="none" w:sz="0" w:space="0" w:color="auto"/>
      </w:divBdr>
    </w:div>
    <w:div w:id="1556161997">
      <w:bodyDiv w:val="1"/>
      <w:marLeft w:val="0"/>
      <w:marRight w:val="0"/>
      <w:marTop w:val="0"/>
      <w:marBottom w:val="0"/>
      <w:divBdr>
        <w:top w:val="none" w:sz="0" w:space="0" w:color="auto"/>
        <w:left w:val="none" w:sz="0" w:space="0" w:color="auto"/>
        <w:bottom w:val="none" w:sz="0" w:space="0" w:color="auto"/>
        <w:right w:val="none" w:sz="0" w:space="0" w:color="auto"/>
      </w:divBdr>
    </w:div>
    <w:div w:id="1556890785">
      <w:bodyDiv w:val="1"/>
      <w:marLeft w:val="0"/>
      <w:marRight w:val="0"/>
      <w:marTop w:val="0"/>
      <w:marBottom w:val="0"/>
      <w:divBdr>
        <w:top w:val="none" w:sz="0" w:space="0" w:color="auto"/>
        <w:left w:val="none" w:sz="0" w:space="0" w:color="auto"/>
        <w:bottom w:val="none" w:sz="0" w:space="0" w:color="auto"/>
        <w:right w:val="none" w:sz="0" w:space="0" w:color="auto"/>
      </w:divBdr>
    </w:div>
    <w:div w:id="1557008970">
      <w:bodyDiv w:val="1"/>
      <w:marLeft w:val="0"/>
      <w:marRight w:val="0"/>
      <w:marTop w:val="0"/>
      <w:marBottom w:val="0"/>
      <w:divBdr>
        <w:top w:val="none" w:sz="0" w:space="0" w:color="auto"/>
        <w:left w:val="none" w:sz="0" w:space="0" w:color="auto"/>
        <w:bottom w:val="none" w:sz="0" w:space="0" w:color="auto"/>
        <w:right w:val="none" w:sz="0" w:space="0" w:color="auto"/>
      </w:divBdr>
    </w:div>
    <w:div w:id="1557862649">
      <w:bodyDiv w:val="1"/>
      <w:marLeft w:val="0"/>
      <w:marRight w:val="0"/>
      <w:marTop w:val="0"/>
      <w:marBottom w:val="0"/>
      <w:divBdr>
        <w:top w:val="none" w:sz="0" w:space="0" w:color="auto"/>
        <w:left w:val="none" w:sz="0" w:space="0" w:color="auto"/>
        <w:bottom w:val="none" w:sz="0" w:space="0" w:color="auto"/>
        <w:right w:val="none" w:sz="0" w:space="0" w:color="auto"/>
      </w:divBdr>
    </w:div>
    <w:div w:id="1558662979">
      <w:bodyDiv w:val="1"/>
      <w:marLeft w:val="0"/>
      <w:marRight w:val="0"/>
      <w:marTop w:val="0"/>
      <w:marBottom w:val="0"/>
      <w:divBdr>
        <w:top w:val="none" w:sz="0" w:space="0" w:color="auto"/>
        <w:left w:val="none" w:sz="0" w:space="0" w:color="auto"/>
        <w:bottom w:val="none" w:sz="0" w:space="0" w:color="auto"/>
        <w:right w:val="none" w:sz="0" w:space="0" w:color="auto"/>
      </w:divBdr>
    </w:div>
    <w:div w:id="1558668672">
      <w:bodyDiv w:val="1"/>
      <w:marLeft w:val="0"/>
      <w:marRight w:val="0"/>
      <w:marTop w:val="0"/>
      <w:marBottom w:val="0"/>
      <w:divBdr>
        <w:top w:val="none" w:sz="0" w:space="0" w:color="auto"/>
        <w:left w:val="none" w:sz="0" w:space="0" w:color="auto"/>
        <w:bottom w:val="none" w:sz="0" w:space="0" w:color="auto"/>
        <w:right w:val="none" w:sz="0" w:space="0" w:color="auto"/>
      </w:divBdr>
    </w:div>
    <w:div w:id="1559240535">
      <w:bodyDiv w:val="1"/>
      <w:marLeft w:val="0"/>
      <w:marRight w:val="0"/>
      <w:marTop w:val="0"/>
      <w:marBottom w:val="0"/>
      <w:divBdr>
        <w:top w:val="none" w:sz="0" w:space="0" w:color="auto"/>
        <w:left w:val="none" w:sz="0" w:space="0" w:color="auto"/>
        <w:bottom w:val="none" w:sz="0" w:space="0" w:color="auto"/>
        <w:right w:val="none" w:sz="0" w:space="0" w:color="auto"/>
      </w:divBdr>
    </w:div>
    <w:div w:id="1560557678">
      <w:bodyDiv w:val="1"/>
      <w:marLeft w:val="0"/>
      <w:marRight w:val="0"/>
      <w:marTop w:val="0"/>
      <w:marBottom w:val="0"/>
      <w:divBdr>
        <w:top w:val="none" w:sz="0" w:space="0" w:color="auto"/>
        <w:left w:val="none" w:sz="0" w:space="0" w:color="auto"/>
        <w:bottom w:val="none" w:sz="0" w:space="0" w:color="auto"/>
        <w:right w:val="none" w:sz="0" w:space="0" w:color="auto"/>
      </w:divBdr>
    </w:div>
    <w:div w:id="1561213515">
      <w:bodyDiv w:val="1"/>
      <w:marLeft w:val="0"/>
      <w:marRight w:val="0"/>
      <w:marTop w:val="0"/>
      <w:marBottom w:val="0"/>
      <w:divBdr>
        <w:top w:val="none" w:sz="0" w:space="0" w:color="auto"/>
        <w:left w:val="none" w:sz="0" w:space="0" w:color="auto"/>
        <w:bottom w:val="none" w:sz="0" w:space="0" w:color="auto"/>
        <w:right w:val="none" w:sz="0" w:space="0" w:color="auto"/>
      </w:divBdr>
    </w:div>
    <w:div w:id="1561789166">
      <w:bodyDiv w:val="1"/>
      <w:marLeft w:val="0"/>
      <w:marRight w:val="0"/>
      <w:marTop w:val="0"/>
      <w:marBottom w:val="0"/>
      <w:divBdr>
        <w:top w:val="none" w:sz="0" w:space="0" w:color="auto"/>
        <w:left w:val="none" w:sz="0" w:space="0" w:color="auto"/>
        <w:bottom w:val="none" w:sz="0" w:space="0" w:color="auto"/>
        <w:right w:val="none" w:sz="0" w:space="0" w:color="auto"/>
      </w:divBdr>
    </w:div>
    <w:div w:id="1561792917">
      <w:bodyDiv w:val="1"/>
      <w:marLeft w:val="0"/>
      <w:marRight w:val="0"/>
      <w:marTop w:val="0"/>
      <w:marBottom w:val="0"/>
      <w:divBdr>
        <w:top w:val="none" w:sz="0" w:space="0" w:color="auto"/>
        <w:left w:val="none" w:sz="0" w:space="0" w:color="auto"/>
        <w:bottom w:val="none" w:sz="0" w:space="0" w:color="auto"/>
        <w:right w:val="none" w:sz="0" w:space="0" w:color="auto"/>
      </w:divBdr>
    </w:div>
    <w:div w:id="1562132278">
      <w:bodyDiv w:val="1"/>
      <w:marLeft w:val="0"/>
      <w:marRight w:val="0"/>
      <w:marTop w:val="0"/>
      <w:marBottom w:val="0"/>
      <w:divBdr>
        <w:top w:val="none" w:sz="0" w:space="0" w:color="auto"/>
        <w:left w:val="none" w:sz="0" w:space="0" w:color="auto"/>
        <w:bottom w:val="none" w:sz="0" w:space="0" w:color="auto"/>
        <w:right w:val="none" w:sz="0" w:space="0" w:color="auto"/>
      </w:divBdr>
    </w:div>
    <w:div w:id="1562398402">
      <w:bodyDiv w:val="1"/>
      <w:marLeft w:val="0"/>
      <w:marRight w:val="0"/>
      <w:marTop w:val="0"/>
      <w:marBottom w:val="0"/>
      <w:divBdr>
        <w:top w:val="none" w:sz="0" w:space="0" w:color="auto"/>
        <w:left w:val="none" w:sz="0" w:space="0" w:color="auto"/>
        <w:bottom w:val="none" w:sz="0" w:space="0" w:color="auto"/>
        <w:right w:val="none" w:sz="0" w:space="0" w:color="auto"/>
      </w:divBdr>
    </w:div>
    <w:div w:id="1562594662">
      <w:bodyDiv w:val="1"/>
      <w:marLeft w:val="0"/>
      <w:marRight w:val="0"/>
      <w:marTop w:val="0"/>
      <w:marBottom w:val="0"/>
      <w:divBdr>
        <w:top w:val="none" w:sz="0" w:space="0" w:color="auto"/>
        <w:left w:val="none" w:sz="0" w:space="0" w:color="auto"/>
        <w:bottom w:val="none" w:sz="0" w:space="0" w:color="auto"/>
        <w:right w:val="none" w:sz="0" w:space="0" w:color="auto"/>
      </w:divBdr>
    </w:div>
    <w:div w:id="1562906471">
      <w:bodyDiv w:val="1"/>
      <w:marLeft w:val="0"/>
      <w:marRight w:val="0"/>
      <w:marTop w:val="0"/>
      <w:marBottom w:val="0"/>
      <w:divBdr>
        <w:top w:val="none" w:sz="0" w:space="0" w:color="auto"/>
        <w:left w:val="none" w:sz="0" w:space="0" w:color="auto"/>
        <w:bottom w:val="none" w:sz="0" w:space="0" w:color="auto"/>
        <w:right w:val="none" w:sz="0" w:space="0" w:color="auto"/>
      </w:divBdr>
    </w:div>
    <w:div w:id="1563057571">
      <w:bodyDiv w:val="1"/>
      <w:marLeft w:val="0"/>
      <w:marRight w:val="0"/>
      <w:marTop w:val="0"/>
      <w:marBottom w:val="0"/>
      <w:divBdr>
        <w:top w:val="none" w:sz="0" w:space="0" w:color="auto"/>
        <w:left w:val="none" w:sz="0" w:space="0" w:color="auto"/>
        <w:bottom w:val="none" w:sz="0" w:space="0" w:color="auto"/>
        <w:right w:val="none" w:sz="0" w:space="0" w:color="auto"/>
      </w:divBdr>
    </w:div>
    <w:div w:id="1563442499">
      <w:bodyDiv w:val="1"/>
      <w:marLeft w:val="0"/>
      <w:marRight w:val="0"/>
      <w:marTop w:val="0"/>
      <w:marBottom w:val="0"/>
      <w:divBdr>
        <w:top w:val="none" w:sz="0" w:space="0" w:color="auto"/>
        <w:left w:val="none" w:sz="0" w:space="0" w:color="auto"/>
        <w:bottom w:val="none" w:sz="0" w:space="0" w:color="auto"/>
        <w:right w:val="none" w:sz="0" w:space="0" w:color="auto"/>
      </w:divBdr>
    </w:div>
    <w:div w:id="1563635156">
      <w:bodyDiv w:val="1"/>
      <w:marLeft w:val="0"/>
      <w:marRight w:val="0"/>
      <w:marTop w:val="0"/>
      <w:marBottom w:val="0"/>
      <w:divBdr>
        <w:top w:val="none" w:sz="0" w:space="0" w:color="auto"/>
        <w:left w:val="none" w:sz="0" w:space="0" w:color="auto"/>
        <w:bottom w:val="none" w:sz="0" w:space="0" w:color="auto"/>
        <w:right w:val="none" w:sz="0" w:space="0" w:color="auto"/>
      </w:divBdr>
    </w:div>
    <w:div w:id="1565212462">
      <w:bodyDiv w:val="1"/>
      <w:marLeft w:val="0"/>
      <w:marRight w:val="0"/>
      <w:marTop w:val="0"/>
      <w:marBottom w:val="0"/>
      <w:divBdr>
        <w:top w:val="none" w:sz="0" w:space="0" w:color="auto"/>
        <w:left w:val="none" w:sz="0" w:space="0" w:color="auto"/>
        <w:bottom w:val="none" w:sz="0" w:space="0" w:color="auto"/>
        <w:right w:val="none" w:sz="0" w:space="0" w:color="auto"/>
      </w:divBdr>
    </w:div>
    <w:div w:id="1565525785">
      <w:bodyDiv w:val="1"/>
      <w:marLeft w:val="0"/>
      <w:marRight w:val="0"/>
      <w:marTop w:val="0"/>
      <w:marBottom w:val="0"/>
      <w:divBdr>
        <w:top w:val="none" w:sz="0" w:space="0" w:color="auto"/>
        <w:left w:val="none" w:sz="0" w:space="0" w:color="auto"/>
        <w:bottom w:val="none" w:sz="0" w:space="0" w:color="auto"/>
        <w:right w:val="none" w:sz="0" w:space="0" w:color="auto"/>
      </w:divBdr>
    </w:div>
    <w:div w:id="1565873402">
      <w:bodyDiv w:val="1"/>
      <w:marLeft w:val="0"/>
      <w:marRight w:val="0"/>
      <w:marTop w:val="0"/>
      <w:marBottom w:val="0"/>
      <w:divBdr>
        <w:top w:val="none" w:sz="0" w:space="0" w:color="auto"/>
        <w:left w:val="none" w:sz="0" w:space="0" w:color="auto"/>
        <w:bottom w:val="none" w:sz="0" w:space="0" w:color="auto"/>
        <w:right w:val="none" w:sz="0" w:space="0" w:color="auto"/>
      </w:divBdr>
    </w:div>
    <w:div w:id="1568303782">
      <w:bodyDiv w:val="1"/>
      <w:marLeft w:val="0"/>
      <w:marRight w:val="0"/>
      <w:marTop w:val="0"/>
      <w:marBottom w:val="0"/>
      <w:divBdr>
        <w:top w:val="none" w:sz="0" w:space="0" w:color="auto"/>
        <w:left w:val="none" w:sz="0" w:space="0" w:color="auto"/>
        <w:bottom w:val="none" w:sz="0" w:space="0" w:color="auto"/>
        <w:right w:val="none" w:sz="0" w:space="0" w:color="auto"/>
      </w:divBdr>
    </w:div>
    <w:div w:id="1568489499">
      <w:bodyDiv w:val="1"/>
      <w:marLeft w:val="0"/>
      <w:marRight w:val="0"/>
      <w:marTop w:val="0"/>
      <w:marBottom w:val="0"/>
      <w:divBdr>
        <w:top w:val="none" w:sz="0" w:space="0" w:color="auto"/>
        <w:left w:val="none" w:sz="0" w:space="0" w:color="auto"/>
        <w:bottom w:val="none" w:sz="0" w:space="0" w:color="auto"/>
        <w:right w:val="none" w:sz="0" w:space="0" w:color="auto"/>
      </w:divBdr>
    </w:div>
    <w:div w:id="1568685084">
      <w:bodyDiv w:val="1"/>
      <w:marLeft w:val="0"/>
      <w:marRight w:val="0"/>
      <w:marTop w:val="0"/>
      <w:marBottom w:val="0"/>
      <w:divBdr>
        <w:top w:val="none" w:sz="0" w:space="0" w:color="auto"/>
        <w:left w:val="none" w:sz="0" w:space="0" w:color="auto"/>
        <w:bottom w:val="none" w:sz="0" w:space="0" w:color="auto"/>
        <w:right w:val="none" w:sz="0" w:space="0" w:color="auto"/>
      </w:divBdr>
    </w:div>
    <w:div w:id="1569069639">
      <w:bodyDiv w:val="1"/>
      <w:marLeft w:val="0"/>
      <w:marRight w:val="0"/>
      <w:marTop w:val="0"/>
      <w:marBottom w:val="0"/>
      <w:divBdr>
        <w:top w:val="none" w:sz="0" w:space="0" w:color="auto"/>
        <w:left w:val="none" w:sz="0" w:space="0" w:color="auto"/>
        <w:bottom w:val="none" w:sz="0" w:space="0" w:color="auto"/>
        <w:right w:val="none" w:sz="0" w:space="0" w:color="auto"/>
      </w:divBdr>
    </w:div>
    <w:div w:id="1569148378">
      <w:bodyDiv w:val="1"/>
      <w:marLeft w:val="0"/>
      <w:marRight w:val="0"/>
      <w:marTop w:val="0"/>
      <w:marBottom w:val="0"/>
      <w:divBdr>
        <w:top w:val="none" w:sz="0" w:space="0" w:color="auto"/>
        <w:left w:val="none" w:sz="0" w:space="0" w:color="auto"/>
        <w:bottom w:val="none" w:sz="0" w:space="0" w:color="auto"/>
        <w:right w:val="none" w:sz="0" w:space="0" w:color="auto"/>
      </w:divBdr>
    </w:div>
    <w:div w:id="1569530434">
      <w:bodyDiv w:val="1"/>
      <w:marLeft w:val="0"/>
      <w:marRight w:val="0"/>
      <w:marTop w:val="0"/>
      <w:marBottom w:val="0"/>
      <w:divBdr>
        <w:top w:val="none" w:sz="0" w:space="0" w:color="auto"/>
        <w:left w:val="none" w:sz="0" w:space="0" w:color="auto"/>
        <w:bottom w:val="none" w:sz="0" w:space="0" w:color="auto"/>
        <w:right w:val="none" w:sz="0" w:space="0" w:color="auto"/>
      </w:divBdr>
    </w:div>
    <w:div w:id="1570655255">
      <w:bodyDiv w:val="1"/>
      <w:marLeft w:val="0"/>
      <w:marRight w:val="0"/>
      <w:marTop w:val="0"/>
      <w:marBottom w:val="0"/>
      <w:divBdr>
        <w:top w:val="none" w:sz="0" w:space="0" w:color="auto"/>
        <w:left w:val="none" w:sz="0" w:space="0" w:color="auto"/>
        <w:bottom w:val="none" w:sz="0" w:space="0" w:color="auto"/>
        <w:right w:val="none" w:sz="0" w:space="0" w:color="auto"/>
      </w:divBdr>
    </w:div>
    <w:div w:id="1570841163">
      <w:bodyDiv w:val="1"/>
      <w:marLeft w:val="0"/>
      <w:marRight w:val="0"/>
      <w:marTop w:val="0"/>
      <w:marBottom w:val="0"/>
      <w:divBdr>
        <w:top w:val="none" w:sz="0" w:space="0" w:color="auto"/>
        <w:left w:val="none" w:sz="0" w:space="0" w:color="auto"/>
        <w:bottom w:val="none" w:sz="0" w:space="0" w:color="auto"/>
        <w:right w:val="none" w:sz="0" w:space="0" w:color="auto"/>
      </w:divBdr>
    </w:div>
    <w:div w:id="1572345460">
      <w:bodyDiv w:val="1"/>
      <w:marLeft w:val="0"/>
      <w:marRight w:val="0"/>
      <w:marTop w:val="0"/>
      <w:marBottom w:val="0"/>
      <w:divBdr>
        <w:top w:val="none" w:sz="0" w:space="0" w:color="auto"/>
        <w:left w:val="none" w:sz="0" w:space="0" w:color="auto"/>
        <w:bottom w:val="none" w:sz="0" w:space="0" w:color="auto"/>
        <w:right w:val="none" w:sz="0" w:space="0" w:color="auto"/>
      </w:divBdr>
    </w:div>
    <w:div w:id="1572496457">
      <w:bodyDiv w:val="1"/>
      <w:marLeft w:val="0"/>
      <w:marRight w:val="0"/>
      <w:marTop w:val="0"/>
      <w:marBottom w:val="0"/>
      <w:divBdr>
        <w:top w:val="none" w:sz="0" w:space="0" w:color="auto"/>
        <w:left w:val="none" w:sz="0" w:space="0" w:color="auto"/>
        <w:bottom w:val="none" w:sz="0" w:space="0" w:color="auto"/>
        <w:right w:val="none" w:sz="0" w:space="0" w:color="auto"/>
      </w:divBdr>
    </w:div>
    <w:div w:id="1573155141">
      <w:bodyDiv w:val="1"/>
      <w:marLeft w:val="0"/>
      <w:marRight w:val="0"/>
      <w:marTop w:val="0"/>
      <w:marBottom w:val="0"/>
      <w:divBdr>
        <w:top w:val="none" w:sz="0" w:space="0" w:color="auto"/>
        <w:left w:val="none" w:sz="0" w:space="0" w:color="auto"/>
        <w:bottom w:val="none" w:sz="0" w:space="0" w:color="auto"/>
        <w:right w:val="none" w:sz="0" w:space="0" w:color="auto"/>
      </w:divBdr>
    </w:div>
    <w:div w:id="1573470929">
      <w:bodyDiv w:val="1"/>
      <w:marLeft w:val="0"/>
      <w:marRight w:val="0"/>
      <w:marTop w:val="0"/>
      <w:marBottom w:val="0"/>
      <w:divBdr>
        <w:top w:val="none" w:sz="0" w:space="0" w:color="auto"/>
        <w:left w:val="none" w:sz="0" w:space="0" w:color="auto"/>
        <w:bottom w:val="none" w:sz="0" w:space="0" w:color="auto"/>
        <w:right w:val="none" w:sz="0" w:space="0" w:color="auto"/>
      </w:divBdr>
    </w:div>
    <w:div w:id="1573541756">
      <w:bodyDiv w:val="1"/>
      <w:marLeft w:val="0"/>
      <w:marRight w:val="0"/>
      <w:marTop w:val="0"/>
      <w:marBottom w:val="0"/>
      <w:divBdr>
        <w:top w:val="none" w:sz="0" w:space="0" w:color="auto"/>
        <w:left w:val="none" w:sz="0" w:space="0" w:color="auto"/>
        <w:bottom w:val="none" w:sz="0" w:space="0" w:color="auto"/>
        <w:right w:val="none" w:sz="0" w:space="0" w:color="auto"/>
      </w:divBdr>
    </w:div>
    <w:div w:id="1573812353">
      <w:bodyDiv w:val="1"/>
      <w:marLeft w:val="0"/>
      <w:marRight w:val="0"/>
      <w:marTop w:val="0"/>
      <w:marBottom w:val="0"/>
      <w:divBdr>
        <w:top w:val="none" w:sz="0" w:space="0" w:color="auto"/>
        <w:left w:val="none" w:sz="0" w:space="0" w:color="auto"/>
        <w:bottom w:val="none" w:sz="0" w:space="0" w:color="auto"/>
        <w:right w:val="none" w:sz="0" w:space="0" w:color="auto"/>
      </w:divBdr>
    </w:div>
    <w:div w:id="1574700758">
      <w:bodyDiv w:val="1"/>
      <w:marLeft w:val="0"/>
      <w:marRight w:val="0"/>
      <w:marTop w:val="0"/>
      <w:marBottom w:val="0"/>
      <w:divBdr>
        <w:top w:val="none" w:sz="0" w:space="0" w:color="auto"/>
        <w:left w:val="none" w:sz="0" w:space="0" w:color="auto"/>
        <w:bottom w:val="none" w:sz="0" w:space="0" w:color="auto"/>
        <w:right w:val="none" w:sz="0" w:space="0" w:color="auto"/>
      </w:divBdr>
    </w:div>
    <w:div w:id="1574773370">
      <w:bodyDiv w:val="1"/>
      <w:marLeft w:val="0"/>
      <w:marRight w:val="0"/>
      <w:marTop w:val="0"/>
      <w:marBottom w:val="0"/>
      <w:divBdr>
        <w:top w:val="none" w:sz="0" w:space="0" w:color="auto"/>
        <w:left w:val="none" w:sz="0" w:space="0" w:color="auto"/>
        <w:bottom w:val="none" w:sz="0" w:space="0" w:color="auto"/>
        <w:right w:val="none" w:sz="0" w:space="0" w:color="auto"/>
      </w:divBdr>
    </w:div>
    <w:div w:id="1574779321">
      <w:bodyDiv w:val="1"/>
      <w:marLeft w:val="0"/>
      <w:marRight w:val="0"/>
      <w:marTop w:val="0"/>
      <w:marBottom w:val="0"/>
      <w:divBdr>
        <w:top w:val="none" w:sz="0" w:space="0" w:color="auto"/>
        <w:left w:val="none" w:sz="0" w:space="0" w:color="auto"/>
        <w:bottom w:val="none" w:sz="0" w:space="0" w:color="auto"/>
        <w:right w:val="none" w:sz="0" w:space="0" w:color="auto"/>
      </w:divBdr>
    </w:div>
    <w:div w:id="1575357597">
      <w:bodyDiv w:val="1"/>
      <w:marLeft w:val="0"/>
      <w:marRight w:val="0"/>
      <w:marTop w:val="0"/>
      <w:marBottom w:val="0"/>
      <w:divBdr>
        <w:top w:val="none" w:sz="0" w:space="0" w:color="auto"/>
        <w:left w:val="none" w:sz="0" w:space="0" w:color="auto"/>
        <w:bottom w:val="none" w:sz="0" w:space="0" w:color="auto"/>
        <w:right w:val="none" w:sz="0" w:space="0" w:color="auto"/>
      </w:divBdr>
    </w:div>
    <w:div w:id="1575974230">
      <w:bodyDiv w:val="1"/>
      <w:marLeft w:val="0"/>
      <w:marRight w:val="0"/>
      <w:marTop w:val="0"/>
      <w:marBottom w:val="0"/>
      <w:divBdr>
        <w:top w:val="none" w:sz="0" w:space="0" w:color="auto"/>
        <w:left w:val="none" w:sz="0" w:space="0" w:color="auto"/>
        <w:bottom w:val="none" w:sz="0" w:space="0" w:color="auto"/>
        <w:right w:val="none" w:sz="0" w:space="0" w:color="auto"/>
      </w:divBdr>
    </w:div>
    <w:div w:id="1577469113">
      <w:bodyDiv w:val="1"/>
      <w:marLeft w:val="0"/>
      <w:marRight w:val="0"/>
      <w:marTop w:val="0"/>
      <w:marBottom w:val="0"/>
      <w:divBdr>
        <w:top w:val="none" w:sz="0" w:space="0" w:color="auto"/>
        <w:left w:val="none" w:sz="0" w:space="0" w:color="auto"/>
        <w:bottom w:val="none" w:sz="0" w:space="0" w:color="auto"/>
        <w:right w:val="none" w:sz="0" w:space="0" w:color="auto"/>
      </w:divBdr>
    </w:div>
    <w:div w:id="1578006274">
      <w:bodyDiv w:val="1"/>
      <w:marLeft w:val="0"/>
      <w:marRight w:val="0"/>
      <w:marTop w:val="0"/>
      <w:marBottom w:val="0"/>
      <w:divBdr>
        <w:top w:val="none" w:sz="0" w:space="0" w:color="auto"/>
        <w:left w:val="none" w:sz="0" w:space="0" w:color="auto"/>
        <w:bottom w:val="none" w:sz="0" w:space="0" w:color="auto"/>
        <w:right w:val="none" w:sz="0" w:space="0" w:color="auto"/>
      </w:divBdr>
    </w:div>
    <w:div w:id="1578132706">
      <w:bodyDiv w:val="1"/>
      <w:marLeft w:val="0"/>
      <w:marRight w:val="0"/>
      <w:marTop w:val="0"/>
      <w:marBottom w:val="0"/>
      <w:divBdr>
        <w:top w:val="none" w:sz="0" w:space="0" w:color="auto"/>
        <w:left w:val="none" w:sz="0" w:space="0" w:color="auto"/>
        <w:bottom w:val="none" w:sz="0" w:space="0" w:color="auto"/>
        <w:right w:val="none" w:sz="0" w:space="0" w:color="auto"/>
      </w:divBdr>
    </w:div>
    <w:div w:id="1578200174">
      <w:bodyDiv w:val="1"/>
      <w:marLeft w:val="0"/>
      <w:marRight w:val="0"/>
      <w:marTop w:val="0"/>
      <w:marBottom w:val="0"/>
      <w:divBdr>
        <w:top w:val="none" w:sz="0" w:space="0" w:color="auto"/>
        <w:left w:val="none" w:sz="0" w:space="0" w:color="auto"/>
        <w:bottom w:val="none" w:sz="0" w:space="0" w:color="auto"/>
        <w:right w:val="none" w:sz="0" w:space="0" w:color="auto"/>
      </w:divBdr>
    </w:div>
    <w:div w:id="1578317384">
      <w:bodyDiv w:val="1"/>
      <w:marLeft w:val="0"/>
      <w:marRight w:val="0"/>
      <w:marTop w:val="0"/>
      <w:marBottom w:val="0"/>
      <w:divBdr>
        <w:top w:val="none" w:sz="0" w:space="0" w:color="auto"/>
        <w:left w:val="none" w:sz="0" w:space="0" w:color="auto"/>
        <w:bottom w:val="none" w:sz="0" w:space="0" w:color="auto"/>
        <w:right w:val="none" w:sz="0" w:space="0" w:color="auto"/>
      </w:divBdr>
    </w:div>
    <w:div w:id="1578437159">
      <w:bodyDiv w:val="1"/>
      <w:marLeft w:val="0"/>
      <w:marRight w:val="0"/>
      <w:marTop w:val="0"/>
      <w:marBottom w:val="0"/>
      <w:divBdr>
        <w:top w:val="none" w:sz="0" w:space="0" w:color="auto"/>
        <w:left w:val="none" w:sz="0" w:space="0" w:color="auto"/>
        <w:bottom w:val="none" w:sz="0" w:space="0" w:color="auto"/>
        <w:right w:val="none" w:sz="0" w:space="0" w:color="auto"/>
      </w:divBdr>
    </w:div>
    <w:div w:id="1578905110">
      <w:bodyDiv w:val="1"/>
      <w:marLeft w:val="0"/>
      <w:marRight w:val="0"/>
      <w:marTop w:val="0"/>
      <w:marBottom w:val="0"/>
      <w:divBdr>
        <w:top w:val="none" w:sz="0" w:space="0" w:color="auto"/>
        <w:left w:val="none" w:sz="0" w:space="0" w:color="auto"/>
        <w:bottom w:val="none" w:sz="0" w:space="0" w:color="auto"/>
        <w:right w:val="none" w:sz="0" w:space="0" w:color="auto"/>
      </w:divBdr>
    </w:div>
    <w:div w:id="1578979454">
      <w:bodyDiv w:val="1"/>
      <w:marLeft w:val="0"/>
      <w:marRight w:val="0"/>
      <w:marTop w:val="0"/>
      <w:marBottom w:val="0"/>
      <w:divBdr>
        <w:top w:val="none" w:sz="0" w:space="0" w:color="auto"/>
        <w:left w:val="none" w:sz="0" w:space="0" w:color="auto"/>
        <w:bottom w:val="none" w:sz="0" w:space="0" w:color="auto"/>
        <w:right w:val="none" w:sz="0" w:space="0" w:color="auto"/>
      </w:divBdr>
    </w:div>
    <w:div w:id="1579168816">
      <w:bodyDiv w:val="1"/>
      <w:marLeft w:val="0"/>
      <w:marRight w:val="0"/>
      <w:marTop w:val="0"/>
      <w:marBottom w:val="0"/>
      <w:divBdr>
        <w:top w:val="none" w:sz="0" w:space="0" w:color="auto"/>
        <w:left w:val="none" w:sz="0" w:space="0" w:color="auto"/>
        <w:bottom w:val="none" w:sz="0" w:space="0" w:color="auto"/>
        <w:right w:val="none" w:sz="0" w:space="0" w:color="auto"/>
      </w:divBdr>
    </w:div>
    <w:div w:id="1580670754">
      <w:bodyDiv w:val="1"/>
      <w:marLeft w:val="0"/>
      <w:marRight w:val="0"/>
      <w:marTop w:val="0"/>
      <w:marBottom w:val="0"/>
      <w:divBdr>
        <w:top w:val="none" w:sz="0" w:space="0" w:color="auto"/>
        <w:left w:val="none" w:sz="0" w:space="0" w:color="auto"/>
        <w:bottom w:val="none" w:sz="0" w:space="0" w:color="auto"/>
        <w:right w:val="none" w:sz="0" w:space="0" w:color="auto"/>
      </w:divBdr>
    </w:div>
    <w:div w:id="1580867772">
      <w:bodyDiv w:val="1"/>
      <w:marLeft w:val="0"/>
      <w:marRight w:val="0"/>
      <w:marTop w:val="0"/>
      <w:marBottom w:val="0"/>
      <w:divBdr>
        <w:top w:val="none" w:sz="0" w:space="0" w:color="auto"/>
        <w:left w:val="none" w:sz="0" w:space="0" w:color="auto"/>
        <w:bottom w:val="none" w:sz="0" w:space="0" w:color="auto"/>
        <w:right w:val="none" w:sz="0" w:space="0" w:color="auto"/>
      </w:divBdr>
    </w:div>
    <w:div w:id="1580872599">
      <w:bodyDiv w:val="1"/>
      <w:marLeft w:val="0"/>
      <w:marRight w:val="0"/>
      <w:marTop w:val="0"/>
      <w:marBottom w:val="0"/>
      <w:divBdr>
        <w:top w:val="none" w:sz="0" w:space="0" w:color="auto"/>
        <w:left w:val="none" w:sz="0" w:space="0" w:color="auto"/>
        <w:bottom w:val="none" w:sz="0" w:space="0" w:color="auto"/>
        <w:right w:val="none" w:sz="0" w:space="0" w:color="auto"/>
      </w:divBdr>
    </w:div>
    <w:div w:id="1581016869">
      <w:bodyDiv w:val="1"/>
      <w:marLeft w:val="0"/>
      <w:marRight w:val="0"/>
      <w:marTop w:val="0"/>
      <w:marBottom w:val="0"/>
      <w:divBdr>
        <w:top w:val="none" w:sz="0" w:space="0" w:color="auto"/>
        <w:left w:val="none" w:sz="0" w:space="0" w:color="auto"/>
        <w:bottom w:val="none" w:sz="0" w:space="0" w:color="auto"/>
        <w:right w:val="none" w:sz="0" w:space="0" w:color="auto"/>
      </w:divBdr>
    </w:div>
    <w:div w:id="1581213690">
      <w:bodyDiv w:val="1"/>
      <w:marLeft w:val="0"/>
      <w:marRight w:val="0"/>
      <w:marTop w:val="0"/>
      <w:marBottom w:val="0"/>
      <w:divBdr>
        <w:top w:val="none" w:sz="0" w:space="0" w:color="auto"/>
        <w:left w:val="none" w:sz="0" w:space="0" w:color="auto"/>
        <w:bottom w:val="none" w:sz="0" w:space="0" w:color="auto"/>
        <w:right w:val="none" w:sz="0" w:space="0" w:color="auto"/>
      </w:divBdr>
    </w:div>
    <w:div w:id="1581870526">
      <w:bodyDiv w:val="1"/>
      <w:marLeft w:val="0"/>
      <w:marRight w:val="0"/>
      <w:marTop w:val="0"/>
      <w:marBottom w:val="0"/>
      <w:divBdr>
        <w:top w:val="none" w:sz="0" w:space="0" w:color="auto"/>
        <w:left w:val="none" w:sz="0" w:space="0" w:color="auto"/>
        <w:bottom w:val="none" w:sz="0" w:space="0" w:color="auto"/>
        <w:right w:val="none" w:sz="0" w:space="0" w:color="auto"/>
      </w:divBdr>
    </w:div>
    <w:div w:id="1583443747">
      <w:bodyDiv w:val="1"/>
      <w:marLeft w:val="0"/>
      <w:marRight w:val="0"/>
      <w:marTop w:val="0"/>
      <w:marBottom w:val="0"/>
      <w:divBdr>
        <w:top w:val="none" w:sz="0" w:space="0" w:color="auto"/>
        <w:left w:val="none" w:sz="0" w:space="0" w:color="auto"/>
        <w:bottom w:val="none" w:sz="0" w:space="0" w:color="auto"/>
        <w:right w:val="none" w:sz="0" w:space="0" w:color="auto"/>
      </w:divBdr>
    </w:div>
    <w:div w:id="1583681919">
      <w:bodyDiv w:val="1"/>
      <w:marLeft w:val="0"/>
      <w:marRight w:val="0"/>
      <w:marTop w:val="0"/>
      <w:marBottom w:val="0"/>
      <w:divBdr>
        <w:top w:val="none" w:sz="0" w:space="0" w:color="auto"/>
        <w:left w:val="none" w:sz="0" w:space="0" w:color="auto"/>
        <w:bottom w:val="none" w:sz="0" w:space="0" w:color="auto"/>
        <w:right w:val="none" w:sz="0" w:space="0" w:color="auto"/>
      </w:divBdr>
    </w:div>
    <w:div w:id="1587884622">
      <w:bodyDiv w:val="1"/>
      <w:marLeft w:val="0"/>
      <w:marRight w:val="0"/>
      <w:marTop w:val="0"/>
      <w:marBottom w:val="0"/>
      <w:divBdr>
        <w:top w:val="none" w:sz="0" w:space="0" w:color="auto"/>
        <w:left w:val="none" w:sz="0" w:space="0" w:color="auto"/>
        <w:bottom w:val="none" w:sz="0" w:space="0" w:color="auto"/>
        <w:right w:val="none" w:sz="0" w:space="0" w:color="auto"/>
      </w:divBdr>
    </w:div>
    <w:div w:id="1588072830">
      <w:bodyDiv w:val="1"/>
      <w:marLeft w:val="0"/>
      <w:marRight w:val="0"/>
      <w:marTop w:val="0"/>
      <w:marBottom w:val="0"/>
      <w:divBdr>
        <w:top w:val="none" w:sz="0" w:space="0" w:color="auto"/>
        <w:left w:val="none" w:sz="0" w:space="0" w:color="auto"/>
        <w:bottom w:val="none" w:sz="0" w:space="0" w:color="auto"/>
        <w:right w:val="none" w:sz="0" w:space="0" w:color="auto"/>
      </w:divBdr>
    </w:div>
    <w:div w:id="1588339795">
      <w:bodyDiv w:val="1"/>
      <w:marLeft w:val="0"/>
      <w:marRight w:val="0"/>
      <w:marTop w:val="0"/>
      <w:marBottom w:val="0"/>
      <w:divBdr>
        <w:top w:val="none" w:sz="0" w:space="0" w:color="auto"/>
        <w:left w:val="none" w:sz="0" w:space="0" w:color="auto"/>
        <w:bottom w:val="none" w:sz="0" w:space="0" w:color="auto"/>
        <w:right w:val="none" w:sz="0" w:space="0" w:color="auto"/>
      </w:divBdr>
    </w:div>
    <w:div w:id="1588423732">
      <w:bodyDiv w:val="1"/>
      <w:marLeft w:val="0"/>
      <w:marRight w:val="0"/>
      <w:marTop w:val="0"/>
      <w:marBottom w:val="0"/>
      <w:divBdr>
        <w:top w:val="none" w:sz="0" w:space="0" w:color="auto"/>
        <w:left w:val="none" w:sz="0" w:space="0" w:color="auto"/>
        <w:bottom w:val="none" w:sz="0" w:space="0" w:color="auto"/>
        <w:right w:val="none" w:sz="0" w:space="0" w:color="auto"/>
      </w:divBdr>
    </w:div>
    <w:div w:id="1589268985">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
    <w:div w:id="1590575946">
      <w:bodyDiv w:val="1"/>
      <w:marLeft w:val="0"/>
      <w:marRight w:val="0"/>
      <w:marTop w:val="0"/>
      <w:marBottom w:val="0"/>
      <w:divBdr>
        <w:top w:val="none" w:sz="0" w:space="0" w:color="auto"/>
        <w:left w:val="none" w:sz="0" w:space="0" w:color="auto"/>
        <w:bottom w:val="none" w:sz="0" w:space="0" w:color="auto"/>
        <w:right w:val="none" w:sz="0" w:space="0" w:color="auto"/>
      </w:divBdr>
    </w:div>
    <w:div w:id="1591739956">
      <w:bodyDiv w:val="1"/>
      <w:marLeft w:val="0"/>
      <w:marRight w:val="0"/>
      <w:marTop w:val="0"/>
      <w:marBottom w:val="0"/>
      <w:divBdr>
        <w:top w:val="none" w:sz="0" w:space="0" w:color="auto"/>
        <w:left w:val="none" w:sz="0" w:space="0" w:color="auto"/>
        <w:bottom w:val="none" w:sz="0" w:space="0" w:color="auto"/>
        <w:right w:val="none" w:sz="0" w:space="0" w:color="auto"/>
      </w:divBdr>
    </w:div>
    <w:div w:id="1592159556">
      <w:bodyDiv w:val="1"/>
      <w:marLeft w:val="0"/>
      <w:marRight w:val="0"/>
      <w:marTop w:val="0"/>
      <w:marBottom w:val="0"/>
      <w:divBdr>
        <w:top w:val="none" w:sz="0" w:space="0" w:color="auto"/>
        <w:left w:val="none" w:sz="0" w:space="0" w:color="auto"/>
        <w:bottom w:val="none" w:sz="0" w:space="0" w:color="auto"/>
        <w:right w:val="none" w:sz="0" w:space="0" w:color="auto"/>
      </w:divBdr>
    </w:div>
    <w:div w:id="1592203615">
      <w:bodyDiv w:val="1"/>
      <w:marLeft w:val="0"/>
      <w:marRight w:val="0"/>
      <w:marTop w:val="0"/>
      <w:marBottom w:val="0"/>
      <w:divBdr>
        <w:top w:val="none" w:sz="0" w:space="0" w:color="auto"/>
        <w:left w:val="none" w:sz="0" w:space="0" w:color="auto"/>
        <w:bottom w:val="none" w:sz="0" w:space="0" w:color="auto"/>
        <w:right w:val="none" w:sz="0" w:space="0" w:color="auto"/>
      </w:divBdr>
    </w:div>
    <w:div w:id="1593662618">
      <w:bodyDiv w:val="1"/>
      <w:marLeft w:val="0"/>
      <w:marRight w:val="0"/>
      <w:marTop w:val="0"/>
      <w:marBottom w:val="0"/>
      <w:divBdr>
        <w:top w:val="none" w:sz="0" w:space="0" w:color="auto"/>
        <w:left w:val="none" w:sz="0" w:space="0" w:color="auto"/>
        <w:bottom w:val="none" w:sz="0" w:space="0" w:color="auto"/>
        <w:right w:val="none" w:sz="0" w:space="0" w:color="auto"/>
      </w:divBdr>
    </w:div>
    <w:div w:id="1594313383">
      <w:bodyDiv w:val="1"/>
      <w:marLeft w:val="0"/>
      <w:marRight w:val="0"/>
      <w:marTop w:val="0"/>
      <w:marBottom w:val="0"/>
      <w:divBdr>
        <w:top w:val="none" w:sz="0" w:space="0" w:color="auto"/>
        <w:left w:val="none" w:sz="0" w:space="0" w:color="auto"/>
        <w:bottom w:val="none" w:sz="0" w:space="0" w:color="auto"/>
        <w:right w:val="none" w:sz="0" w:space="0" w:color="auto"/>
      </w:divBdr>
    </w:div>
    <w:div w:id="1595356482">
      <w:bodyDiv w:val="1"/>
      <w:marLeft w:val="0"/>
      <w:marRight w:val="0"/>
      <w:marTop w:val="0"/>
      <w:marBottom w:val="0"/>
      <w:divBdr>
        <w:top w:val="none" w:sz="0" w:space="0" w:color="auto"/>
        <w:left w:val="none" w:sz="0" w:space="0" w:color="auto"/>
        <w:bottom w:val="none" w:sz="0" w:space="0" w:color="auto"/>
        <w:right w:val="none" w:sz="0" w:space="0" w:color="auto"/>
      </w:divBdr>
    </w:div>
    <w:div w:id="1597640557">
      <w:bodyDiv w:val="1"/>
      <w:marLeft w:val="0"/>
      <w:marRight w:val="0"/>
      <w:marTop w:val="0"/>
      <w:marBottom w:val="0"/>
      <w:divBdr>
        <w:top w:val="none" w:sz="0" w:space="0" w:color="auto"/>
        <w:left w:val="none" w:sz="0" w:space="0" w:color="auto"/>
        <w:bottom w:val="none" w:sz="0" w:space="0" w:color="auto"/>
        <w:right w:val="none" w:sz="0" w:space="0" w:color="auto"/>
      </w:divBdr>
    </w:div>
    <w:div w:id="1597714053">
      <w:bodyDiv w:val="1"/>
      <w:marLeft w:val="0"/>
      <w:marRight w:val="0"/>
      <w:marTop w:val="0"/>
      <w:marBottom w:val="0"/>
      <w:divBdr>
        <w:top w:val="none" w:sz="0" w:space="0" w:color="auto"/>
        <w:left w:val="none" w:sz="0" w:space="0" w:color="auto"/>
        <w:bottom w:val="none" w:sz="0" w:space="0" w:color="auto"/>
        <w:right w:val="none" w:sz="0" w:space="0" w:color="auto"/>
      </w:divBdr>
    </w:div>
    <w:div w:id="1599173332">
      <w:bodyDiv w:val="1"/>
      <w:marLeft w:val="0"/>
      <w:marRight w:val="0"/>
      <w:marTop w:val="0"/>
      <w:marBottom w:val="0"/>
      <w:divBdr>
        <w:top w:val="none" w:sz="0" w:space="0" w:color="auto"/>
        <w:left w:val="none" w:sz="0" w:space="0" w:color="auto"/>
        <w:bottom w:val="none" w:sz="0" w:space="0" w:color="auto"/>
        <w:right w:val="none" w:sz="0" w:space="0" w:color="auto"/>
      </w:divBdr>
    </w:div>
    <w:div w:id="1599875612">
      <w:bodyDiv w:val="1"/>
      <w:marLeft w:val="0"/>
      <w:marRight w:val="0"/>
      <w:marTop w:val="0"/>
      <w:marBottom w:val="0"/>
      <w:divBdr>
        <w:top w:val="none" w:sz="0" w:space="0" w:color="auto"/>
        <w:left w:val="none" w:sz="0" w:space="0" w:color="auto"/>
        <w:bottom w:val="none" w:sz="0" w:space="0" w:color="auto"/>
        <w:right w:val="none" w:sz="0" w:space="0" w:color="auto"/>
      </w:divBdr>
    </w:div>
    <w:div w:id="1600796945">
      <w:bodyDiv w:val="1"/>
      <w:marLeft w:val="0"/>
      <w:marRight w:val="0"/>
      <w:marTop w:val="0"/>
      <w:marBottom w:val="0"/>
      <w:divBdr>
        <w:top w:val="none" w:sz="0" w:space="0" w:color="auto"/>
        <w:left w:val="none" w:sz="0" w:space="0" w:color="auto"/>
        <w:bottom w:val="none" w:sz="0" w:space="0" w:color="auto"/>
        <w:right w:val="none" w:sz="0" w:space="0" w:color="auto"/>
      </w:divBdr>
    </w:div>
    <w:div w:id="1602108601">
      <w:bodyDiv w:val="1"/>
      <w:marLeft w:val="0"/>
      <w:marRight w:val="0"/>
      <w:marTop w:val="0"/>
      <w:marBottom w:val="0"/>
      <w:divBdr>
        <w:top w:val="none" w:sz="0" w:space="0" w:color="auto"/>
        <w:left w:val="none" w:sz="0" w:space="0" w:color="auto"/>
        <w:bottom w:val="none" w:sz="0" w:space="0" w:color="auto"/>
        <w:right w:val="none" w:sz="0" w:space="0" w:color="auto"/>
      </w:divBdr>
    </w:div>
    <w:div w:id="1602252570">
      <w:bodyDiv w:val="1"/>
      <w:marLeft w:val="0"/>
      <w:marRight w:val="0"/>
      <w:marTop w:val="0"/>
      <w:marBottom w:val="0"/>
      <w:divBdr>
        <w:top w:val="none" w:sz="0" w:space="0" w:color="auto"/>
        <w:left w:val="none" w:sz="0" w:space="0" w:color="auto"/>
        <w:bottom w:val="none" w:sz="0" w:space="0" w:color="auto"/>
        <w:right w:val="none" w:sz="0" w:space="0" w:color="auto"/>
      </w:divBdr>
    </w:div>
    <w:div w:id="1602882472">
      <w:bodyDiv w:val="1"/>
      <w:marLeft w:val="0"/>
      <w:marRight w:val="0"/>
      <w:marTop w:val="0"/>
      <w:marBottom w:val="0"/>
      <w:divBdr>
        <w:top w:val="none" w:sz="0" w:space="0" w:color="auto"/>
        <w:left w:val="none" w:sz="0" w:space="0" w:color="auto"/>
        <w:bottom w:val="none" w:sz="0" w:space="0" w:color="auto"/>
        <w:right w:val="none" w:sz="0" w:space="0" w:color="auto"/>
      </w:divBdr>
    </w:div>
    <w:div w:id="1603609077">
      <w:bodyDiv w:val="1"/>
      <w:marLeft w:val="0"/>
      <w:marRight w:val="0"/>
      <w:marTop w:val="0"/>
      <w:marBottom w:val="0"/>
      <w:divBdr>
        <w:top w:val="none" w:sz="0" w:space="0" w:color="auto"/>
        <w:left w:val="none" w:sz="0" w:space="0" w:color="auto"/>
        <w:bottom w:val="none" w:sz="0" w:space="0" w:color="auto"/>
        <w:right w:val="none" w:sz="0" w:space="0" w:color="auto"/>
      </w:divBdr>
    </w:div>
    <w:div w:id="1604072820">
      <w:bodyDiv w:val="1"/>
      <w:marLeft w:val="0"/>
      <w:marRight w:val="0"/>
      <w:marTop w:val="0"/>
      <w:marBottom w:val="0"/>
      <w:divBdr>
        <w:top w:val="none" w:sz="0" w:space="0" w:color="auto"/>
        <w:left w:val="none" w:sz="0" w:space="0" w:color="auto"/>
        <w:bottom w:val="none" w:sz="0" w:space="0" w:color="auto"/>
        <w:right w:val="none" w:sz="0" w:space="0" w:color="auto"/>
      </w:divBdr>
    </w:div>
    <w:div w:id="1604146621">
      <w:bodyDiv w:val="1"/>
      <w:marLeft w:val="0"/>
      <w:marRight w:val="0"/>
      <w:marTop w:val="0"/>
      <w:marBottom w:val="0"/>
      <w:divBdr>
        <w:top w:val="none" w:sz="0" w:space="0" w:color="auto"/>
        <w:left w:val="none" w:sz="0" w:space="0" w:color="auto"/>
        <w:bottom w:val="none" w:sz="0" w:space="0" w:color="auto"/>
        <w:right w:val="none" w:sz="0" w:space="0" w:color="auto"/>
      </w:divBdr>
    </w:div>
    <w:div w:id="1608000863">
      <w:bodyDiv w:val="1"/>
      <w:marLeft w:val="0"/>
      <w:marRight w:val="0"/>
      <w:marTop w:val="0"/>
      <w:marBottom w:val="0"/>
      <w:divBdr>
        <w:top w:val="none" w:sz="0" w:space="0" w:color="auto"/>
        <w:left w:val="none" w:sz="0" w:space="0" w:color="auto"/>
        <w:bottom w:val="none" w:sz="0" w:space="0" w:color="auto"/>
        <w:right w:val="none" w:sz="0" w:space="0" w:color="auto"/>
      </w:divBdr>
    </w:div>
    <w:div w:id="1608586327">
      <w:bodyDiv w:val="1"/>
      <w:marLeft w:val="0"/>
      <w:marRight w:val="0"/>
      <w:marTop w:val="0"/>
      <w:marBottom w:val="0"/>
      <w:divBdr>
        <w:top w:val="none" w:sz="0" w:space="0" w:color="auto"/>
        <w:left w:val="none" w:sz="0" w:space="0" w:color="auto"/>
        <w:bottom w:val="none" w:sz="0" w:space="0" w:color="auto"/>
        <w:right w:val="none" w:sz="0" w:space="0" w:color="auto"/>
      </w:divBdr>
    </w:div>
    <w:div w:id="1609701625">
      <w:bodyDiv w:val="1"/>
      <w:marLeft w:val="0"/>
      <w:marRight w:val="0"/>
      <w:marTop w:val="0"/>
      <w:marBottom w:val="0"/>
      <w:divBdr>
        <w:top w:val="none" w:sz="0" w:space="0" w:color="auto"/>
        <w:left w:val="none" w:sz="0" w:space="0" w:color="auto"/>
        <w:bottom w:val="none" w:sz="0" w:space="0" w:color="auto"/>
        <w:right w:val="none" w:sz="0" w:space="0" w:color="auto"/>
      </w:divBdr>
    </w:div>
    <w:div w:id="1609846057">
      <w:bodyDiv w:val="1"/>
      <w:marLeft w:val="0"/>
      <w:marRight w:val="0"/>
      <w:marTop w:val="0"/>
      <w:marBottom w:val="0"/>
      <w:divBdr>
        <w:top w:val="none" w:sz="0" w:space="0" w:color="auto"/>
        <w:left w:val="none" w:sz="0" w:space="0" w:color="auto"/>
        <w:bottom w:val="none" w:sz="0" w:space="0" w:color="auto"/>
        <w:right w:val="none" w:sz="0" w:space="0" w:color="auto"/>
      </w:divBdr>
    </w:div>
    <w:div w:id="1610429602">
      <w:bodyDiv w:val="1"/>
      <w:marLeft w:val="0"/>
      <w:marRight w:val="0"/>
      <w:marTop w:val="0"/>
      <w:marBottom w:val="0"/>
      <w:divBdr>
        <w:top w:val="none" w:sz="0" w:space="0" w:color="auto"/>
        <w:left w:val="none" w:sz="0" w:space="0" w:color="auto"/>
        <w:bottom w:val="none" w:sz="0" w:space="0" w:color="auto"/>
        <w:right w:val="none" w:sz="0" w:space="0" w:color="auto"/>
      </w:divBdr>
    </w:div>
    <w:div w:id="1610504787">
      <w:bodyDiv w:val="1"/>
      <w:marLeft w:val="0"/>
      <w:marRight w:val="0"/>
      <w:marTop w:val="0"/>
      <w:marBottom w:val="0"/>
      <w:divBdr>
        <w:top w:val="none" w:sz="0" w:space="0" w:color="auto"/>
        <w:left w:val="none" w:sz="0" w:space="0" w:color="auto"/>
        <w:bottom w:val="none" w:sz="0" w:space="0" w:color="auto"/>
        <w:right w:val="none" w:sz="0" w:space="0" w:color="auto"/>
      </w:divBdr>
    </w:div>
    <w:div w:id="1611009834">
      <w:bodyDiv w:val="1"/>
      <w:marLeft w:val="0"/>
      <w:marRight w:val="0"/>
      <w:marTop w:val="0"/>
      <w:marBottom w:val="0"/>
      <w:divBdr>
        <w:top w:val="none" w:sz="0" w:space="0" w:color="auto"/>
        <w:left w:val="none" w:sz="0" w:space="0" w:color="auto"/>
        <w:bottom w:val="none" w:sz="0" w:space="0" w:color="auto"/>
        <w:right w:val="none" w:sz="0" w:space="0" w:color="auto"/>
      </w:divBdr>
    </w:div>
    <w:div w:id="1612128136">
      <w:bodyDiv w:val="1"/>
      <w:marLeft w:val="0"/>
      <w:marRight w:val="0"/>
      <w:marTop w:val="0"/>
      <w:marBottom w:val="0"/>
      <w:divBdr>
        <w:top w:val="none" w:sz="0" w:space="0" w:color="auto"/>
        <w:left w:val="none" w:sz="0" w:space="0" w:color="auto"/>
        <w:bottom w:val="none" w:sz="0" w:space="0" w:color="auto"/>
        <w:right w:val="none" w:sz="0" w:space="0" w:color="auto"/>
      </w:divBdr>
    </w:div>
    <w:div w:id="1612545536">
      <w:bodyDiv w:val="1"/>
      <w:marLeft w:val="0"/>
      <w:marRight w:val="0"/>
      <w:marTop w:val="0"/>
      <w:marBottom w:val="0"/>
      <w:divBdr>
        <w:top w:val="none" w:sz="0" w:space="0" w:color="auto"/>
        <w:left w:val="none" w:sz="0" w:space="0" w:color="auto"/>
        <w:bottom w:val="none" w:sz="0" w:space="0" w:color="auto"/>
        <w:right w:val="none" w:sz="0" w:space="0" w:color="auto"/>
      </w:divBdr>
    </w:div>
    <w:div w:id="1613895556">
      <w:bodyDiv w:val="1"/>
      <w:marLeft w:val="0"/>
      <w:marRight w:val="0"/>
      <w:marTop w:val="0"/>
      <w:marBottom w:val="0"/>
      <w:divBdr>
        <w:top w:val="none" w:sz="0" w:space="0" w:color="auto"/>
        <w:left w:val="none" w:sz="0" w:space="0" w:color="auto"/>
        <w:bottom w:val="none" w:sz="0" w:space="0" w:color="auto"/>
        <w:right w:val="none" w:sz="0" w:space="0" w:color="auto"/>
      </w:divBdr>
    </w:div>
    <w:div w:id="1613900382">
      <w:bodyDiv w:val="1"/>
      <w:marLeft w:val="0"/>
      <w:marRight w:val="0"/>
      <w:marTop w:val="0"/>
      <w:marBottom w:val="0"/>
      <w:divBdr>
        <w:top w:val="none" w:sz="0" w:space="0" w:color="auto"/>
        <w:left w:val="none" w:sz="0" w:space="0" w:color="auto"/>
        <w:bottom w:val="none" w:sz="0" w:space="0" w:color="auto"/>
        <w:right w:val="none" w:sz="0" w:space="0" w:color="auto"/>
      </w:divBdr>
    </w:div>
    <w:div w:id="1614366495">
      <w:bodyDiv w:val="1"/>
      <w:marLeft w:val="0"/>
      <w:marRight w:val="0"/>
      <w:marTop w:val="0"/>
      <w:marBottom w:val="0"/>
      <w:divBdr>
        <w:top w:val="none" w:sz="0" w:space="0" w:color="auto"/>
        <w:left w:val="none" w:sz="0" w:space="0" w:color="auto"/>
        <w:bottom w:val="none" w:sz="0" w:space="0" w:color="auto"/>
        <w:right w:val="none" w:sz="0" w:space="0" w:color="auto"/>
      </w:divBdr>
    </w:div>
    <w:div w:id="1614632960">
      <w:bodyDiv w:val="1"/>
      <w:marLeft w:val="0"/>
      <w:marRight w:val="0"/>
      <w:marTop w:val="0"/>
      <w:marBottom w:val="0"/>
      <w:divBdr>
        <w:top w:val="none" w:sz="0" w:space="0" w:color="auto"/>
        <w:left w:val="none" w:sz="0" w:space="0" w:color="auto"/>
        <w:bottom w:val="none" w:sz="0" w:space="0" w:color="auto"/>
        <w:right w:val="none" w:sz="0" w:space="0" w:color="auto"/>
      </w:divBdr>
    </w:div>
    <w:div w:id="1614898409">
      <w:bodyDiv w:val="1"/>
      <w:marLeft w:val="0"/>
      <w:marRight w:val="0"/>
      <w:marTop w:val="0"/>
      <w:marBottom w:val="0"/>
      <w:divBdr>
        <w:top w:val="none" w:sz="0" w:space="0" w:color="auto"/>
        <w:left w:val="none" w:sz="0" w:space="0" w:color="auto"/>
        <w:bottom w:val="none" w:sz="0" w:space="0" w:color="auto"/>
        <w:right w:val="none" w:sz="0" w:space="0" w:color="auto"/>
      </w:divBdr>
    </w:div>
    <w:div w:id="1616013660">
      <w:bodyDiv w:val="1"/>
      <w:marLeft w:val="0"/>
      <w:marRight w:val="0"/>
      <w:marTop w:val="0"/>
      <w:marBottom w:val="0"/>
      <w:divBdr>
        <w:top w:val="none" w:sz="0" w:space="0" w:color="auto"/>
        <w:left w:val="none" w:sz="0" w:space="0" w:color="auto"/>
        <w:bottom w:val="none" w:sz="0" w:space="0" w:color="auto"/>
        <w:right w:val="none" w:sz="0" w:space="0" w:color="auto"/>
      </w:divBdr>
    </w:div>
    <w:div w:id="1616522076">
      <w:bodyDiv w:val="1"/>
      <w:marLeft w:val="0"/>
      <w:marRight w:val="0"/>
      <w:marTop w:val="0"/>
      <w:marBottom w:val="0"/>
      <w:divBdr>
        <w:top w:val="none" w:sz="0" w:space="0" w:color="auto"/>
        <w:left w:val="none" w:sz="0" w:space="0" w:color="auto"/>
        <w:bottom w:val="none" w:sz="0" w:space="0" w:color="auto"/>
        <w:right w:val="none" w:sz="0" w:space="0" w:color="auto"/>
      </w:divBdr>
    </w:div>
    <w:div w:id="1617827468">
      <w:bodyDiv w:val="1"/>
      <w:marLeft w:val="0"/>
      <w:marRight w:val="0"/>
      <w:marTop w:val="0"/>
      <w:marBottom w:val="0"/>
      <w:divBdr>
        <w:top w:val="none" w:sz="0" w:space="0" w:color="auto"/>
        <w:left w:val="none" w:sz="0" w:space="0" w:color="auto"/>
        <w:bottom w:val="none" w:sz="0" w:space="0" w:color="auto"/>
        <w:right w:val="none" w:sz="0" w:space="0" w:color="auto"/>
      </w:divBdr>
    </w:div>
    <w:div w:id="1618021353">
      <w:bodyDiv w:val="1"/>
      <w:marLeft w:val="0"/>
      <w:marRight w:val="0"/>
      <w:marTop w:val="0"/>
      <w:marBottom w:val="0"/>
      <w:divBdr>
        <w:top w:val="none" w:sz="0" w:space="0" w:color="auto"/>
        <w:left w:val="none" w:sz="0" w:space="0" w:color="auto"/>
        <w:bottom w:val="none" w:sz="0" w:space="0" w:color="auto"/>
        <w:right w:val="none" w:sz="0" w:space="0" w:color="auto"/>
      </w:divBdr>
    </w:div>
    <w:div w:id="1618826837">
      <w:bodyDiv w:val="1"/>
      <w:marLeft w:val="0"/>
      <w:marRight w:val="0"/>
      <w:marTop w:val="0"/>
      <w:marBottom w:val="0"/>
      <w:divBdr>
        <w:top w:val="none" w:sz="0" w:space="0" w:color="auto"/>
        <w:left w:val="none" w:sz="0" w:space="0" w:color="auto"/>
        <w:bottom w:val="none" w:sz="0" w:space="0" w:color="auto"/>
        <w:right w:val="none" w:sz="0" w:space="0" w:color="auto"/>
      </w:divBdr>
    </w:div>
    <w:div w:id="1619137560">
      <w:bodyDiv w:val="1"/>
      <w:marLeft w:val="0"/>
      <w:marRight w:val="0"/>
      <w:marTop w:val="0"/>
      <w:marBottom w:val="0"/>
      <w:divBdr>
        <w:top w:val="none" w:sz="0" w:space="0" w:color="auto"/>
        <w:left w:val="none" w:sz="0" w:space="0" w:color="auto"/>
        <w:bottom w:val="none" w:sz="0" w:space="0" w:color="auto"/>
        <w:right w:val="none" w:sz="0" w:space="0" w:color="auto"/>
      </w:divBdr>
    </w:div>
    <w:div w:id="1619216229">
      <w:bodyDiv w:val="1"/>
      <w:marLeft w:val="0"/>
      <w:marRight w:val="0"/>
      <w:marTop w:val="0"/>
      <w:marBottom w:val="0"/>
      <w:divBdr>
        <w:top w:val="none" w:sz="0" w:space="0" w:color="auto"/>
        <w:left w:val="none" w:sz="0" w:space="0" w:color="auto"/>
        <w:bottom w:val="none" w:sz="0" w:space="0" w:color="auto"/>
        <w:right w:val="none" w:sz="0" w:space="0" w:color="auto"/>
      </w:divBdr>
    </w:div>
    <w:div w:id="1619529011">
      <w:bodyDiv w:val="1"/>
      <w:marLeft w:val="0"/>
      <w:marRight w:val="0"/>
      <w:marTop w:val="0"/>
      <w:marBottom w:val="0"/>
      <w:divBdr>
        <w:top w:val="none" w:sz="0" w:space="0" w:color="auto"/>
        <w:left w:val="none" w:sz="0" w:space="0" w:color="auto"/>
        <w:bottom w:val="none" w:sz="0" w:space="0" w:color="auto"/>
        <w:right w:val="none" w:sz="0" w:space="0" w:color="auto"/>
      </w:divBdr>
    </w:div>
    <w:div w:id="1619558288">
      <w:bodyDiv w:val="1"/>
      <w:marLeft w:val="0"/>
      <w:marRight w:val="0"/>
      <w:marTop w:val="0"/>
      <w:marBottom w:val="0"/>
      <w:divBdr>
        <w:top w:val="none" w:sz="0" w:space="0" w:color="auto"/>
        <w:left w:val="none" w:sz="0" w:space="0" w:color="auto"/>
        <w:bottom w:val="none" w:sz="0" w:space="0" w:color="auto"/>
        <w:right w:val="none" w:sz="0" w:space="0" w:color="auto"/>
      </w:divBdr>
    </w:div>
    <w:div w:id="1620454932">
      <w:bodyDiv w:val="1"/>
      <w:marLeft w:val="0"/>
      <w:marRight w:val="0"/>
      <w:marTop w:val="0"/>
      <w:marBottom w:val="0"/>
      <w:divBdr>
        <w:top w:val="none" w:sz="0" w:space="0" w:color="auto"/>
        <w:left w:val="none" w:sz="0" w:space="0" w:color="auto"/>
        <w:bottom w:val="none" w:sz="0" w:space="0" w:color="auto"/>
        <w:right w:val="none" w:sz="0" w:space="0" w:color="auto"/>
      </w:divBdr>
    </w:div>
    <w:div w:id="1620725449">
      <w:bodyDiv w:val="1"/>
      <w:marLeft w:val="0"/>
      <w:marRight w:val="0"/>
      <w:marTop w:val="0"/>
      <w:marBottom w:val="0"/>
      <w:divBdr>
        <w:top w:val="none" w:sz="0" w:space="0" w:color="auto"/>
        <w:left w:val="none" w:sz="0" w:space="0" w:color="auto"/>
        <w:bottom w:val="none" w:sz="0" w:space="0" w:color="auto"/>
        <w:right w:val="none" w:sz="0" w:space="0" w:color="auto"/>
      </w:divBdr>
    </w:div>
    <w:div w:id="1621499527">
      <w:bodyDiv w:val="1"/>
      <w:marLeft w:val="0"/>
      <w:marRight w:val="0"/>
      <w:marTop w:val="0"/>
      <w:marBottom w:val="0"/>
      <w:divBdr>
        <w:top w:val="none" w:sz="0" w:space="0" w:color="auto"/>
        <w:left w:val="none" w:sz="0" w:space="0" w:color="auto"/>
        <w:bottom w:val="none" w:sz="0" w:space="0" w:color="auto"/>
        <w:right w:val="none" w:sz="0" w:space="0" w:color="auto"/>
      </w:divBdr>
    </w:div>
    <w:div w:id="1622421616">
      <w:bodyDiv w:val="1"/>
      <w:marLeft w:val="0"/>
      <w:marRight w:val="0"/>
      <w:marTop w:val="0"/>
      <w:marBottom w:val="0"/>
      <w:divBdr>
        <w:top w:val="none" w:sz="0" w:space="0" w:color="auto"/>
        <w:left w:val="none" w:sz="0" w:space="0" w:color="auto"/>
        <w:bottom w:val="none" w:sz="0" w:space="0" w:color="auto"/>
        <w:right w:val="none" w:sz="0" w:space="0" w:color="auto"/>
      </w:divBdr>
    </w:div>
    <w:div w:id="1623271174">
      <w:bodyDiv w:val="1"/>
      <w:marLeft w:val="0"/>
      <w:marRight w:val="0"/>
      <w:marTop w:val="0"/>
      <w:marBottom w:val="0"/>
      <w:divBdr>
        <w:top w:val="none" w:sz="0" w:space="0" w:color="auto"/>
        <w:left w:val="none" w:sz="0" w:space="0" w:color="auto"/>
        <w:bottom w:val="none" w:sz="0" w:space="0" w:color="auto"/>
        <w:right w:val="none" w:sz="0" w:space="0" w:color="auto"/>
      </w:divBdr>
    </w:div>
    <w:div w:id="1623338343">
      <w:bodyDiv w:val="1"/>
      <w:marLeft w:val="0"/>
      <w:marRight w:val="0"/>
      <w:marTop w:val="0"/>
      <w:marBottom w:val="0"/>
      <w:divBdr>
        <w:top w:val="none" w:sz="0" w:space="0" w:color="auto"/>
        <w:left w:val="none" w:sz="0" w:space="0" w:color="auto"/>
        <w:bottom w:val="none" w:sz="0" w:space="0" w:color="auto"/>
        <w:right w:val="none" w:sz="0" w:space="0" w:color="auto"/>
      </w:divBdr>
    </w:div>
    <w:div w:id="1623996553">
      <w:bodyDiv w:val="1"/>
      <w:marLeft w:val="0"/>
      <w:marRight w:val="0"/>
      <w:marTop w:val="0"/>
      <w:marBottom w:val="0"/>
      <w:divBdr>
        <w:top w:val="none" w:sz="0" w:space="0" w:color="auto"/>
        <w:left w:val="none" w:sz="0" w:space="0" w:color="auto"/>
        <w:bottom w:val="none" w:sz="0" w:space="0" w:color="auto"/>
        <w:right w:val="none" w:sz="0" w:space="0" w:color="auto"/>
      </w:divBdr>
    </w:div>
    <w:div w:id="1624773225">
      <w:bodyDiv w:val="1"/>
      <w:marLeft w:val="0"/>
      <w:marRight w:val="0"/>
      <w:marTop w:val="0"/>
      <w:marBottom w:val="0"/>
      <w:divBdr>
        <w:top w:val="none" w:sz="0" w:space="0" w:color="auto"/>
        <w:left w:val="none" w:sz="0" w:space="0" w:color="auto"/>
        <w:bottom w:val="none" w:sz="0" w:space="0" w:color="auto"/>
        <w:right w:val="none" w:sz="0" w:space="0" w:color="auto"/>
      </w:divBdr>
    </w:div>
    <w:div w:id="1624926178">
      <w:bodyDiv w:val="1"/>
      <w:marLeft w:val="0"/>
      <w:marRight w:val="0"/>
      <w:marTop w:val="0"/>
      <w:marBottom w:val="0"/>
      <w:divBdr>
        <w:top w:val="none" w:sz="0" w:space="0" w:color="auto"/>
        <w:left w:val="none" w:sz="0" w:space="0" w:color="auto"/>
        <w:bottom w:val="none" w:sz="0" w:space="0" w:color="auto"/>
        <w:right w:val="none" w:sz="0" w:space="0" w:color="auto"/>
      </w:divBdr>
    </w:div>
    <w:div w:id="1625162487">
      <w:bodyDiv w:val="1"/>
      <w:marLeft w:val="0"/>
      <w:marRight w:val="0"/>
      <w:marTop w:val="0"/>
      <w:marBottom w:val="0"/>
      <w:divBdr>
        <w:top w:val="none" w:sz="0" w:space="0" w:color="auto"/>
        <w:left w:val="none" w:sz="0" w:space="0" w:color="auto"/>
        <w:bottom w:val="none" w:sz="0" w:space="0" w:color="auto"/>
        <w:right w:val="none" w:sz="0" w:space="0" w:color="auto"/>
      </w:divBdr>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
    <w:div w:id="1626739527">
      <w:bodyDiv w:val="1"/>
      <w:marLeft w:val="0"/>
      <w:marRight w:val="0"/>
      <w:marTop w:val="0"/>
      <w:marBottom w:val="0"/>
      <w:divBdr>
        <w:top w:val="none" w:sz="0" w:space="0" w:color="auto"/>
        <w:left w:val="none" w:sz="0" w:space="0" w:color="auto"/>
        <w:bottom w:val="none" w:sz="0" w:space="0" w:color="auto"/>
        <w:right w:val="none" w:sz="0" w:space="0" w:color="auto"/>
      </w:divBdr>
    </w:div>
    <w:div w:id="1627004395">
      <w:bodyDiv w:val="1"/>
      <w:marLeft w:val="0"/>
      <w:marRight w:val="0"/>
      <w:marTop w:val="0"/>
      <w:marBottom w:val="0"/>
      <w:divBdr>
        <w:top w:val="none" w:sz="0" w:space="0" w:color="auto"/>
        <w:left w:val="none" w:sz="0" w:space="0" w:color="auto"/>
        <w:bottom w:val="none" w:sz="0" w:space="0" w:color="auto"/>
        <w:right w:val="none" w:sz="0" w:space="0" w:color="auto"/>
      </w:divBdr>
    </w:div>
    <w:div w:id="1627081017">
      <w:bodyDiv w:val="1"/>
      <w:marLeft w:val="0"/>
      <w:marRight w:val="0"/>
      <w:marTop w:val="0"/>
      <w:marBottom w:val="0"/>
      <w:divBdr>
        <w:top w:val="none" w:sz="0" w:space="0" w:color="auto"/>
        <w:left w:val="none" w:sz="0" w:space="0" w:color="auto"/>
        <w:bottom w:val="none" w:sz="0" w:space="0" w:color="auto"/>
        <w:right w:val="none" w:sz="0" w:space="0" w:color="auto"/>
      </w:divBdr>
    </w:div>
    <w:div w:id="1627740236">
      <w:bodyDiv w:val="1"/>
      <w:marLeft w:val="0"/>
      <w:marRight w:val="0"/>
      <w:marTop w:val="0"/>
      <w:marBottom w:val="0"/>
      <w:divBdr>
        <w:top w:val="none" w:sz="0" w:space="0" w:color="auto"/>
        <w:left w:val="none" w:sz="0" w:space="0" w:color="auto"/>
        <w:bottom w:val="none" w:sz="0" w:space="0" w:color="auto"/>
        <w:right w:val="none" w:sz="0" w:space="0" w:color="auto"/>
      </w:divBdr>
    </w:div>
    <w:div w:id="1628195141">
      <w:bodyDiv w:val="1"/>
      <w:marLeft w:val="0"/>
      <w:marRight w:val="0"/>
      <w:marTop w:val="0"/>
      <w:marBottom w:val="0"/>
      <w:divBdr>
        <w:top w:val="none" w:sz="0" w:space="0" w:color="auto"/>
        <w:left w:val="none" w:sz="0" w:space="0" w:color="auto"/>
        <w:bottom w:val="none" w:sz="0" w:space="0" w:color="auto"/>
        <w:right w:val="none" w:sz="0" w:space="0" w:color="auto"/>
      </w:divBdr>
    </w:div>
    <w:div w:id="1628199319">
      <w:bodyDiv w:val="1"/>
      <w:marLeft w:val="0"/>
      <w:marRight w:val="0"/>
      <w:marTop w:val="0"/>
      <w:marBottom w:val="0"/>
      <w:divBdr>
        <w:top w:val="none" w:sz="0" w:space="0" w:color="auto"/>
        <w:left w:val="none" w:sz="0" w:space="0" w:color="auto"/>
        <w:bottom w:val="none" w:sz="0" w:space="0" w:color="auto"/>
        <w:right w:val="none" w:sz="0" w:space="0" w:color="auto"/>
      </w:divBdr>
    </w:div>
    <w:div w:id="1628975561">
      <w:bodyDiv w:val="1"/>
      <w:marLeft w:val="0"/>
      <w:marRight w:val="0"/>
      <w:marTop w:val="0"/>
      <w:marBottom w:val="0"/>
      <w:divBdr>
        <w:top w:val="none" w:sz="0" w:space="0" w:color="auto"/>
        <w:left w:val="none" w:sz="0" w:space="0" w:color="auto"/>
        <w:bottom w:val="none" w:sz="0" w:space="0" w:color="auto"/>
        <w:right w:val="none" w:sz="0" w:space="0" w:color="auto"/>
      </w:divBdr>
    </w:div>
    <w:div w:id="1629118595">
      <w:bodyDiv w:val="1"/>
      <w:marLeft w:val="0"/>
      <w:marRight w:val="0"/>
      <w:marTop w:val="0"/>
      <w:marBottom w:val="0"/>
      <w:divBdr>
        <w:top w:val="none" w:sz="0" w:space="0" w:color="auto"/>
        <w:left w:val="none" w:sz="0" w:space="0" w:color="auto"/>
        <w:bottom w:val="none" w:sz="0" w:space="0" w:color="auto"/>
        <w:right w:val="none" w:sz="0" w:space="0" w:color="auto"/>
      </w:divBdr>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
    <w:div w:id="1629581594">
      <w:bodyDiv w:val="1"/>
      <w:marLeft w:val="0"/>
      <w:marRight w:val="0"/>
      <w:marTop w:val="0"/>
      <w:marBottom w:val="0"/>
      <w:divBdr>
        <w:top w:val="none" w:sz="0" w:space="0" w:color="auto"/>
        <w:left w:val="none" w:sz="0" w:space="0" w:color="auto"/>
        <w:bottom w:val="none" w:sz="0" w:space="0" w:color="auto"/>
        <w:right w:val="none" w:sz="0" w:space="0" w:color="auto"/>
      </w:divBdr>
    </w:div>
    <w:div w:id="1631471432">
      <w:bodyDiv w:val="1"/>
      <w:marLeft w:val="0"/>
      <w:marRight w:val="0"/>
      <w:marTop w:val="0"/>
      <w:marBottom w:val="0"/>
      <w:divBdr>
        <w:top w:val="none" w:sz="0" w:space="0" w:color="auto"/>
        <w:left w:val="none" w:sz="0" w:space="0" w:color="auto"/>
        <w:bottom w:val="none" w:sz="0" w:space="0" w:color="auto"/>
        <w:right w:val="none" w:sz="0" w:space="0" w:color="auto"/>
      </w:divBdr>
    </w:div>
    <w:div w:id="1632133628">
      <w:bodyDiv w:val="1"/>
      <w:marLeft w:val="0"/>
      <w:marRight w:val="0"/>
      <w:marTop w:val="0"/>
      <w:marBottom w:val="0"/>
      <w:divBdr>
        <w:top w:val="none" w:sz="0" w:space="0" w:color="auto"/>
        <w:left w:val="none" w:sz="0" w:space="0" w:color="auto"/>
        <w:bottom w:val="none" w:sz="0" w:space="0" w:color="auto"/>
        <w:right w:val="none" w:sz="0" w:space="0" w:color="auto"/>
      </w:divBdr>
    </w:div>
    <w:div w:id="1632206396">
      <w:bodyDiv w:val="1"/>
      <w:marLeft w:val="0"/>
      <w:marRight w:val="0"/>
      <w:marTop w:val="0"/>
      <w:marBottom w:val="0"/>
      <w:divBdr>
        <w:top w:val="none" w:sz="0" w:space="0" w:color="auto"/>
        <w:left w:val="none" w:sz="0" w:space="0" w:color="auto"/>
        <w:bottom w:val="none" w:sz="0" w:space="0" w:color="auto"/>
        <w:right w:val="none" w:sz="0" w:space="0" w:color="auto"/>
      </w:divBdr>
    </w:div>
    <w:div w:id="1632396044">
      <w:bodyDiv w:val="1"/>
      <w:marLeft w:val="0"/>
      <w:marRight w:val="0"/>
      <w:marTop w:val="0"/>
      <w:marBottom w:val="0"/>
      <w:divBdr>
        <w:top w:val="none" w:sz="0" w:space="0" w:color="auto"/>
        <w:left w:val="none" w:sz="0" w:space="0" w:color="auto"/>
        <w:bottom w:val="none" w:sz="0" w:space="0" w:color="auto"/>
        <w:right w:val="none" w:sz="0" w:space="0" w:color="auto"/>
      </w:divBdr>
    </w:div>
    <w:div w:id="1633050507">
      <w:bodyDiv w:val="1"/>
      <w:marLeft w:val="0"/>
      <w:marRight w:val="0"/>
      <w:marTop w:val="0"/>
      <w:marBottom w:val="0"/>
      <w:divBdr>
        <w:top w:val="none" w:sz="0" w:space="0" w:color="auto"/>
        <w:left w:val="none" w:sz="0" w:space="0" w:color="auto"/>
        <w:bottom w:val="none" w:sz="0" w:space="0" w:color="auto"/>
        <w:right w:val="none" w:sz="0" w:space="0" w:color="auto"/>
      </w:divBdr>
    </w:div>
    <w:div w:id="1633167951">
      <w:bodyDiv w:val="1"/>
      <w:marLeft w:val="0"/>
      <w:marRight w:val="0"/>
      <w:marTop w:val="0"/>
      <w:marBottom w:val="0"/>
      <w:divBdr>
        <w:top w:val="none" w:sz="0" w:space="0" w:color="auto"/>
        <w:left w:val="none" w:sz="0" w:space="0" w:color="auto"/>
        <w:bottom w:val="none" w:sz="0" w:space="0" w:color="auto"/>
        <w:right w:val="none" w:sz="0" w:space="0" w:color="auto"/>
      </w:divBdr>
    </w:div>
    <w:div w:id="1633439333">
      <w:bodyDiv w:val="1"/>
      <w:marLeft w:val="0"/>
      <w:marRight w:val="0"/>
      <w:marTop w:val="0"/>
      <w:marBottom w:val="0"/>
      <w:divBdr>
        <w:top w:val="none" w:sz="0" w:space="0" w:color="auto"/>
        <w:left w:val="none" w:sz="0" w:space="0" w:color="auto"/>
        <w:bottom w:val="none" w:sz="0" w:space="0" w:color="auto"/>
        <w:right w:val="none" w:sz="0" w:space="0" w:color="auto"/>
      </w:divBdr>
    </w:div>
    <w:div w:id="1634141302">
      <w:bodyDiv w:val="1"/>
      <w:marLeft w:val="0"/>
      <w:marRight w:val="0"/>
      <w:marTop w:val="0"/>
      <w:marBottom w:val="0"/>
      <w:divBdr>
        <w:top w:val="none" w:sz="0" w:space="0" w:color="auto"/>
        <w:left w:val="none" w:sz="0" w:space="0" w:color="auto"/>
        <w:bottom w:val="none" w:sz="0" w:space="0" w:color="auto"/>
        <w:right w:val="none" w:sz="0" w:space="0" w:color="auto"/>
      </w:divBdr>
    </w:div>
    <w:div w:id="1634478643">
      <w:bodyDiv w:val="1"/>
      <w:marLeft w:val="0"/>
      <w:marRight w:val="0"/>
      <w:marTop w:val="0"/>
      <w:marBottom w:val="0"/>
      <w:divBdr>
        <w:top w:val="none" w:sz="0" w:space="0" w:color="auto"/>
        <w:left w:val="none" w:sz="0" w:space="0" w:color="auto"/>
        <w:bottom w:val="none" w:sz="0" w:space="0" w:color="auto"/>
        <w:right w:val="none" w:sz="0" w:space="0" w:color="auto"/>
      </w:divBdr>
    </w:div>
    <w:div w:id="1636984046">
      <w:bodyDiv w:val="1"/>
      <w:marLeft w:val="0"/>
      <w:marRight w:val="0"/>
      <w:marTop w:val="0"/>
      <w:marBottom w:val="0"/>
      <w:divBdr>
        <w:top w:val="none" w:sz="0" w:space="0" w:color="auto"/>
        <w:left w:val="none" w:sz="0" w:space="0" w:color="auto"/>
        <w:bottom w:val="none" w:sz="0" w:space="0" w:color="auto"/>
        <w:right w:val="none" w:sz="0" w:space="0" w:color="auto"/>
      </w:divBdr>
    </w:div>
    <w:div w:id="1639413519">
      <w:bodyDiv w:val="1"/>
      <w:marLeft w:val="0"/>
      <w:marRight w:val="0"/>
      <w:marTop w:val="0"/>
      <w:marBottom w:val="0"/>
      <w:divBdr>
        <w:top w:val="none" w:sz="0" w:space="0" w:color="auto"/>
        <w:left w:val="none" w:sz="0" w:space="0" w:color="auto"/>
        <w:bottom w:val="none" w:sz="0" w:space="0" w:color="auto"/>
        <w:right w:val="none" w:sz="0" w:space="0" w:color="auto"/>
      </w:divBdr>
    </w:div>
    <w:div w:id="1639722862">
      <w:bodyDiv w:val="1"/>
      <w:marLeft w:val="0"/>
      <w:marRight w:val="0"/>
      <w:marTop w:val="0"/>
      <w:marBottom w:val="0"/>
      <w:divBdr>
        <w:top w:val="none" w:sz="0" w:space="0" w:color="auto"/>
        <w:left w:val="none" w:sz="0" w:space="0" w:color="auto"/>
        <w:bottom w:val="none" w:sz="0" w:space="0" w:color="auto"/>
        <w:right w:val="none" w:sz="0" w:space="0" w:color="auto"/>
      </w:divBdr>
    </w:div>
    <w:div w:id="1640107878">
      <w:bodyDiv w:val="1"/>
      <w:marLeft w:val="0"/>
      <w:marRight w:val="0"/>
      <w:marTop w:val="0"/>
      <w:marBottom w:val="0"/>
      <w:divBdr>
        <w:top w:val="none" w:sz="0" w:space="0" w:color="auto"/>
        <w:left w:val="none" w:sz="0" w:space="0" w:color="auto"/>
        <w:bottom w:val="none" w:sz="0" w:space="0" w:color="auto"/>
        <w:right w:val="none" w:sz="0" w:space="0" w:color="auto"/>
      </w:divBdr>
    </w:div>
    <w:div w:id="1640377066">
      <w:bodyDiv w:val="1"/>
      <w:marLeft w:val="0"/>
      <w:marRight w:val="0"/>
      <w:marTop w:val="0"/>
      <w:marBottom w:val="0"/>
      <w:divBdr>
        <w:top w:val="none" w:sz="0" w:space="0" w:color="auto"/>
        <w:left w:val="none" w:sz="0" w:space="0" w:color="auto"/>
        <w:bottom w:val="none" w:sz="0" w:space="0" w:color="auto"/>
        <w:right w:val="none" w:sz="0" w:space="0" w:color="auto"/>
      </w:divBdr>
    </w:div>
    <w:div w:id="1640500470">
      <w:bodyDiv w:val="1"/>
      <w:marLeft w:val="0"/>
      <w:marRight w:val="0"/>
      <w:marTop w:val="0"/>
      <w:marBottom w:val="0"/>
      <w:divBdr>
        <w:top w:val="none" w:sz="0" w:space="0" w:color="auto"/>
        <w:left w:val="none" w:sz="0" w:space="0" w:color="auto"/>
        <w:bottom w:val="none" w:sz="0" w:space="0" w:color="auto"/>
        <w:right w:val="none" w:sz="0" w:space="0" w:color="auto"/>
      </w:divBdr>
    </w:div>
    <w:div w:id="1640646729">
      <w:bodyDiv w:val="1"/>
      <w:marLeft w:val="0"/>
      <w:marRight w:val="0"/>
      <w:marTop w:val="0"/>
      <w:marBottom w:val="0"/>
      <w:divBdr>
        <w:top w:val="none" w:sz="0" w:space="0" w:color="auto"/>
        <w:left w:val="none" w:sz="0" w:space="0" w:color="auto"/>
        <w:bottom w:val="none" w:sz="0" w:space="0" w:color="auto"/>
        <w:right w:val="none" w:sz="0" w:space="0" w:color="auto"/>
      </w:divBdr>
    </w:div>
    <w:div w:id="1641839743">
      <w:bodyDiv w:val="1"/>
      <w:marLeft w:val="0"/>
      <w:marRight w:val="0"/>
      <w:marTop w:val="0"/>
      <w:marBottom w:val="0"/>
      <w:divBdr>
        <w:top w:val="none" w:sz="0" w:space="0" w:color="auto"/>
        <w:left w:val="none" w:sz="0" w:space="0" w:color="auto"/>
        <w:bottom w:val="none" w:sz="0" w:space="0" w:color="auto"/>
        <w:right w:val="none" w:sz="0" w:space="0" w:color="auto"/>
      </w:divBdr>
    </w:div>
    <w:div w:id="1641885957">
      <w:bodyDiv w:val="1"/>
      <w:marLeft w:val="0"/>
      <w:marRight w:val="0"/>
      <w:marTop w:val="0"/>
      <w:marBottom w:val="0"/>
      <w:divBdr>
        <w:top w:val="none" w:sz="0" w:space="0" w:color="auto"/>
        <w:left w:val="none" w:sz="0" w:space="0" w:color="auto"/>
        <w:bottom w:val="none" w:sz="0" w:space="0" w:color="auto"/>
        <w:right w:val="none" w:sz="0" w:space="0" w:color="auto"/>
      </w:divBdr>
    </w:div>
    <w:div w:id="1642730388">
      <w:bodyDiv w:val="1"/>
      <w:marLeft w:val="0"/>
      <w:marRight w:val="0"/>
      <w:marTop w:val="0"/>
      <w:marBottom w:val="0"/>
      <w:divBdr>
        <w:top w:val="none" w:sz="0" w:space="0" w:color="auto"/>
        <w:left w:val="none" w:sz="0" w:space="0" w:color="auto"/>
        <w:bottom w:val="none" w:sz="0" w:space="0" w:color="auto"/>
        <w:right w:val="none" w:sz="0" w:space="0" w:color="auto"/>
      </w:divBdr>
    </w:div>
    <w:div w:id="1643147675">
      <w:bodyDiv w:val="1"/>
      <w:marLeft w:val="0"/>
      <w:marRight w:val="0"/>
      <w:marTop w:val="0"/>
      <w:marBottom w:val="0"/>
      <w:divBdr>
        <w:top w:val="none" w:sz="0" w:space="0" w:color="auto"/>
        <w:left w:val="none" w:sz="0" w:space="0" w:color="auto"/>
        <w:bottom w:val="none" w:sz="0" w:space="0" w:color="auto"/>
        <w:right w:val="none" w:sz="0" w:space="0" w:color="auto"/>
      </w:divBdr>
    </w:div>
    <w:div w:id="1644192035">
      <w:bodyDiv w:val="1"/>
      <w:marLeft w:val="0"/>
      <w:marRight w:val="0"/>
      <w:marTop w:val="0"/>
      <w:marBottom w:val="0"/>
      <w:divBdr>
        <w:top w:val="none" w:sz="0" w:space="0" w:color="auto"/>
        <w:left w:val="none" w:sz="0" w:space="0" w:color="auto"/>
        <w:bottom w:val="none" w:sz="0" w:space="0" w:color="auto"/>
        <w:right w:val="none" w:sz="0" w:space="0" w:color="auto"/>
      </w:divBdr>
    </w:div>
    <w:div w:id="1644656418">
      <w:bodyDiv w:val="1"/>
      <w:marLeft w:val="0"/>
      <w:marRight w:val="0"/>
      <w:marTop w:val="0"/>
      <w:marBottom w:val="0"/>
      <w:divBdr>
        <w:top w:val="none" w:sz="0" w:space="0" w:color="auto"/>
        <w:left w:val="none" w:sz="0" w:space="0" w:color="auto"/>
        <w:bottom w:val="none" w:sz="0" w:space="0" w:color="auto"/>
        <w:right w:val="none" w:sz="0" w:space="0" w:color="auto"/>
      </w:divBdr>
    </w:div>
    <w:div w:id="1644888323">
      <w:bodyDiv w:val="1"/>
      <w:marLeft w:val="0"/>
      <w:marRight w:val="0"/>
      <w:marTop w:val="0"/>
      <w:marBottom w:val="0"/>
      <w:divBdr>
        <w:top w:val="none" w:sz="0" w:space="0" w:color="auto"/>
        <w:left w:val="none" w:sz="0" w:space="0" w:color="auto"/>
        <w:bottom w:val="none" w:sz="0" w:space="0" w:color="auto"/>
        <w:right w:val="none" w:sz="0" w:space="0" w:color="auto"/>
      </w:divBdr>
    </w:div>
    <w:div w:id="1644894312">
      <w:bodyDiv w:val="1"/>
      <w:marLeft w:val="0"/>
      <w:marRight w:val="0"/>
      <w:marTop w:val="0"/>
      <w:marBottom w:val="0"/>
      <w:divBdr>
        <w:top w:val="none" w:sz="0" w:space="0" w:color="auto"/>
        <w:left w:val="none" w:sz="0" w:space="0" w:color="auto"/>
        <w:bottom w:val="none" w:sz="0" w:space="0" w:color="auto"/>
        <w:right w:val="none" w:sz="0" w:space="0" w:color="auto"/>
      </w:divBdr>
    </w:div>
    <w:div w:id="1645431081">
      <w:bodyDiv w:val="1"/>
      <w:marLeft w:val="0"/>
      <w:marRight w:val="0"/>
      <w:marTop w:val="0"/>
      <w:marBottom w:val="0"/>
      <w:divBdr>
        <w:top w:val="none" w:sz="0" w:space="0" w:color="auto"/>
        <w:left w:val="none" w:sz="0" w:space="0" w:color="auto"/>
        <w:bottom w:val="none" w:sz="0" w:space="0" w:color="auto"/>
        <w:right w:val="none" w:sz="0" w:space="0" w:color="auto"/>
      </w:divBdr>
    </w:div>
    <w:div w:id="1646005471">
      <w:bodyDiv w:val="1"/>
      <w:marLeft w:val="0"/>
      <w:marRight w:val="0"/>
      <w:marTop w:val="0"/>
      <w:marBottom w:val="0"/>
      <w:divBdr>
        <w:top w:val="none" w:sz="0" w:space="0" w:color="auto"/>
        <w:left w:val="none" w:sz="0" w:space="0" w:color="auto"/>
        <w:bottom w:val="none" w:sz="0" w:space="0" w:color="auto"/>
        <w:right w:val="none" w:sz="0" w:space="0" w:color="auto"/>
      </w:divBdr>
    </w:div>
    <w:div w:id="1646355891">
      <w:bodyDiv w:val="1"/>
      <w:marLeft w:val="0"/>
      <w:marRight w:val="0"/>
      <w:marTop w:val="0"/>
      <w:marBottom w:val="0"/>
      <w:divBdr>
        <w:top w:val="none" w:sz="0" w:space="0" w:color="auto"/>
        <w:left w:val="none" w:sz="0" w:space="0" w:color="auto"/>
        <w:bottom w:val="none" w:sz="0" w:space="0" w:color="auto"/>
        <w:right w:val="none" w:sz="0" w:space="0" w:color="auto"/>
      </w:divBdr>
    </w:div>
    <w:div w:id="1647664510">
      <w:bodyDiv w:val="1"/>
      <w:marLeft w:val="0"/>
      <w:marRight w:val="0"/>
      <w:marTop w:val="0"/>
      <w:marBottom w:val="0"/>
      <w:divBdr>
        <w:top w:val="none" w:sz="0" w:space="0" w:color="auto"/>
        <w:left w:val="none" w:sz="0" w:space="0" w:color="auto"/>
        <w:bottom w:val="none" w:sz="0" w:space="0" w:color="auto"/>
        <w:right w:val="none" w:sz="0" w:space="0" w:color="auto"/>
      </w:divBdr>
    </w:div>
    <w:div w:id="1647783462">
      <w:bodyDiv w:val="1"/>
      <w:marLeft w:val="0"/>
      <w:marRight w:val="0"/>
      <w:marTop w:val="0"/>
      <w:marBottom w:val="0"/>
      <w:divBdr>
        <w:top w:val="none" w:sz="0" w:space="0" w:color="auto"/>
        <w:left w:val="none" w:sz="0" w:space="0" w:color="auto"/>
        <w:bottom w:val="none" w:sz="0" w:space="0" w:color="auto"/>
        <w:right w:val="none" w:sz="0" w:space="0" w:color="auto"/>
      </w:divBdr>
    </w:div>
    <w:div w:id="1648124552">
      <w:bodyDiv w:val="1"/>
      <w:marLeft w:val="0"/>
      <w:marRight w:val="0"/>
      <w:marTop w:val="0"/>
      <w:marBottom w:val="0"/>
      <w:divBdr>
        <w:top w:val="none" w:sz="0" w:space="0" w:color="auto"/>
        <w:left w:val="none" w:sz="0" w:space="0" w:color="auto"/>
        <w:bottom w:val="none" w:sz="0" w:space="0" w:color="auto"/>
        <w:right w:val="none" w:sz="0" w:space="0" w:color="auto"/>
      </w:divBdr>
    </w:div>
    <w:div w:id="1648700256">
      <w:bodyDiv w:val="1"/>
      <w:marLeft w:val="0"/>
      <w:marRight w:val="0"/>
      <w:marTop w:val="0"/>
      <w:marBottom w:val="0"/>
      <w:divBdr>
        <w:top w:val="none" w:sz="0" w:space="0" w:color="auto"/>
        <w:left w:val="none" w:sz="0" w:space="0" w:color="auto"/>
        <w:bottom w:val="none" w:sz="0" w:space="0" w:color="auto"/>
        <w:right w:val="none" w:sz="0" w:space="0" w:color="auto"/>
      </w:divBdr>
    </w:div>
    <w:div w:id="1649087986">
      <w:bodyDiv w:val="1"/>
      <w:marLeft w:val="0"/>
      <w:marRight w:val="0"/>
      <w:marTop w:val="0"/>
      <w:marBottom w:val="0"/>
      <w:divBdr>
        <w:top w:val="none" w:sz="0" w:space="0" w:color="auto"/>
        <w:left w:val="none" w:sz="0" w:space="0" w:color="auto"/>
        <w:bottom w:val="none" w:sz="0" w:space="0" w:color="auto"/>
        <w:right w:val="none" w:sz="0" w:space="0" w:color="auto"/>
      </w:divBdr>
    </w:div>
    <w:div w:id="1649359411">
      <w:bodyDiv w:val="1"/>
      <w:marLeft w:val="0"/>
      <w:marRight w:val="0"/>
      <w:marTop w:val="0"/>
      <w:marBottom w:val="0"/>
      <w:divBdr>
        <w:top w:val="none" w:sz="0" w:space="0" w:color="auto"/>
        <w:left w:val="none" w:sz="0" w:space="0" w:color="auto"/>
        <w:bottom w:val="none" w:sz="0" w:space="0" w:color="auto"/>
        <w:right w:val="none" w:sz="0" w:space="0" w:color="auto"/>
      </w:divBdr>
    </w:div>
    <w:div w:id="1650666635">
      <w:bodyDiv w:val="1"/>
      <w:marLeft w:val="0"/>
      <w:marRight w:val="0"/>
      <w:marTop w:val="0"/>
      <w:marBottom w:val="0"/>
      <w:divBdr>
        <w:top w:val="none" w:sz="0" w:space="0" w:color="auto"/>
        <w:left w:val="none" w:sz="0" w:space="0" w:color="auto"/>
        <w:bottom w:val="none" w:sz="0" w:space="0" w:color="auto"/>
        <w:right w:val="none" w:sz="0" w:space="0" w:color="auto"/>
      </w:divBdr>
    </w:div>
    <w:div w:id="1651593859">
      <w:bodyDiv w:val="1"/>
      <w:marLeft w:val="0"/>
      <w:marRight w:val="0"/>
      <w:marTop w:val="0"/>
      <w:marBottom w:val="0"/>
      <w:divBdr>
        <w:top w:val="none" w:sz="0" w:space="0" w:color="auto"/>
        <w:left w:val="none" w:sz="0" w:space="0" w:color="auto"/>
        <w:bottom w:val="none" w:sz="0" w:space="0" w:color="auto"/>
        <w:right w:val="none" w:sz="0" w:space="0" w:color="auto"/>
      </w:divBdr>
    </w:div>
    <w:div w:id="1654094134">
      <w:bodyDiv w:val="1"/>
      <w:marLeft w:val="0"/>
      <w:marRight w:val="0"/>
      <w:marTop w:val="0"/>
      <w:marBottom w:val="0"/>
      <w:divBdr>
        <w:top w:val="none" w:sz="0" w:space="0" w:color="auto"/>
        <w:left w:val="none" w:sz="0" w:space="0" w:color="auto"/>
        <w:bottom w:val="none" w:sz="0" w:space="0" w:color="auto"/>
        <w:right w:val="none" w:sz="0" w:space="0" w:color="auto"/>
      </w:divBdr>
    </w:div>
    <w:div w:id="1656639869">
      <w:bodyDiv w:val="1"/>
      <w:marLeft w:val="0"/>
      <w:marRight w:val="0"/>
      <w:marTop w:val="0"/>
      <w:marBottom w:val="0"/>
      <w:divBdr>
        <w:top w:val="none" w:sz="0" w:space="0" w:color="auto"/>
        <w:left w:val="none" w:sz="0" w:space="0" w:color="auto"/>
        <w:bottom w:val="none" w:sz="0" w:space="0" w:color="auto"/>
        <w:right w:val="none" w:sz="0" w:space="0" w:color="auto"/>
      </w:divBdr>
    </w:div>
    <w:div w:id="1657755983">
      <w:bodyDiv w:val="1"/>
      <w:marLeft w:val="0"/>
      <w:marRight w:val="0"/>
      <w:marTop w:val="0"/>
      <w:marBottom w:val="0"/>
      <w:divBdr>
        <w:top w:val="none" w:sz="0" w:space="0" w:color="auto"/>
        <w:left w:val="none" w:sz="0" w:space="0" w:color="auto"/>
        <w:bottom w:val="none" w:sz="0" w:space="0" w:color="auto"/>
        <w:right w:val="none" w:sz="0" w:space="0" w:color="auto"/>
      </w:divBdr>
    </w:div>
    <w:div w:id="1657874495">
      <w:bodyDiv w:val="1"/>
      <w:marLeft w:val="0"/>
      <w:marRight w:val="0"/>
      <w:marTop w:val="0"/>
      <w:marBottom w:val="0"/>
      <w:divBdr>
        <w:top w:val="none" w:sz="0" w:space="0" w:color="auto"/>
        <w:left w:val="none" w:sz="0" w:space="0" w:color="auto"/>
        <w:bottom w:val="none" w:sz="0" w:space="0" w:color="auto"/>
        <w:right w:val="none" w:sz="0" w:space="0" w:color="auto"/>
      </w:divBdr>
    </w:div>
    <w:div w:id="1658727261">
      <w:bodyDiv w:val="1"/>
      <w:marLeft w:val="0"/>
      <w:marRight w:val="0"/>
      <w:marTop w:val="0"/>
      <w:marBottom w:val="0"/>
      <w:divBdr>
        <w:top w:val="none" w:sz="0" w:space="0" w:color="auto"/>
        <w:left w:val="none" w:sz="0" w:space="0" w:color="auto"/>
        <w:bottom w:val="none" w:sz="0" w:space="0" w:color="auto"/>
        <w:right w:val="none" w:sz="0" w:space="0" w:color="auto"/>
      </w:divBdr>
    </w:div>
    <w:div w:id="1659188968">
      <w:bodyDiv w:val="1"/>
      <w:marLeft w:val="0"/>
      <w:marRight w:val="0"/>
      <w:marTop w:val="0"/>
      <w:marBottom w:val="0"/>
      <w:divBdr>
        <w:top w:val="none" w:sz="0" w:space="0" w:color="auto"/>
        <w:left w:val="none" w:sz="0" w:space="0" w:color="auto"/>
        <w:bottom w:val="none" w:sz="0" w:space="0" w:color="auto"/>
        <w:right w:val="none" w:sz="0" w:space="0" w:color="auto"/>
      </w:divBdr>
    </w:div>
    <w:div w:id="1659190510">
      <w:bodyDiv w:val="1"/>
      <w:marLeft w:val="0"/>
      <w:marRight w:val="0"/>
      <w:marTop w:val="0"/>
      <w:marBottom w:val="0"/>
      <w:divBdr>
        <w:top w:val="none" w:sz="0" w:space="0" w:color="auto"/>
        <w:left w:val="none" w:sz="0" w:space="0" w:color="auto"/>
        <w:bottom w:val="none" w:sz="0" w:space="0" w:color="auto"/>
        <w:right w:val="none" w:sz="0" w:space="0" w:color="auto"/>
      </w:divBdr>
    </w:div>
    <w:div w:id="1660183690">
      <w:bodyDiv w:val="1"/>
      <w:marLeft w:val="0"/>
      <w:marRight w:val="0"/>
      <w:marTop w:val="0"/>
      <w:marBottom w:val="0"/>
      <w:divBdr>
        <w:top w:val="none" w:sz="0" w:space="0" w:color="auto"/>
        <w:left w:val="none" w:sz="0" w:space="0" w:color="auto"/>
        <w:bottom w:val="none" w:sz="0" w:space="0" w:color="auto"/>
        <w:right w:val="none" w:sz="0" w:space="0" w:color="auto"/>
      </w:divBdr>
    </w:div>
    <w:div w:id="1661229825">
      <w:bodyDiv w:val="1"/>
      <w:marLeft w:val="0"/>
      <w:marRight w:val="0"/>
      <w:marTop w:val="0"/>
      <w:marBottom w:val="0"/>
      <w:divBdr>
        <w:top w:val="none" w:sz="0" w:space="0" w:color="auto"/>
        <w:left w:val="none" w:sz="0" w:space="0" w:color="auto"/>
        <w:bottom w:val="none" w:sz="0" w:space="0" w:color="auto"/>
        <w:right w:val="none" w:sz="0" w:space="0" w:color="auto"/>
      </w:divBdr>
    </w:div>
    <w:div w:id="1661737418">
      <w:bodyDiv w:val="1"/>
      <w:marLeft w:val="0"/>
      <w:marRight w:val="0"/>
      <w:marTop w:val="0"/>
      <w:marBottom w:val="0"/>
      <w:divBdr>
        <w:top w:val="none" w:sz="0" w:space="0" w:color="auto"/>
        <w:left w:val="none" w:sz="0" w:space="0" w:color="auto"/>
        <w:bottom w:val="none" w:sz="0" w:space="0" w:color="auto"/>
        <w:right w:val="none" w:sz="0" w:space="0" w:color="auto"/>
      </w:divBdr>
    </w:div>
    <w:div w:id="1662465833">
      <w:bodyDiv w:val="1"/>
      <w:marLeft w:val="0"/>
      <w:marRight w:val="0"/>
      <w:marTop w:val="0"/>
      <w:marBottom w:val="0"/>
      <w:divBdr>
        <w:top w:val="none" w:sz="0" w:space="0" w:color="auto"/>
        <w:left w:val="none" w:sz="0" w:space="0" w:color="auto"/>
        <w:bottom w:val="none" w:sz="0" w:space="0" w:color="auto"/>
        <w:right w:val="none" w:sz="0" w:space="0" w:color="auto"/>
      </w:divBdr>
    </w:div>
    <w:div w:id="1662658607">
      <w:bodyDiv w:val="1"/>
      <w:marLeft w:val="0"/>
      <w:marRight w:val="0"/>
      <w:marTop w:val="0"/>
      <w:marBottom w:val="0"/>
      <w:divBdr>
        <w:top w:val="none" w:sz="0" w:space="0" w:color="auto"/>
        <w:left w:val="none" w:sz="0" w:space="0" w:color="auto"/>
        <w:bottom w:val="none" w:sz="0" w:space="0" w:color="auto"/>
        <w:right w:val="none" w:sz="0" w:space="0" w:color="auto"/>
      </w:divBdr>
    </w:div>
    <w:div w:id="1662811397">
      <w:bodyDiv w:val="1"/>
      <w:marLeft w:val="0"/>
      <w:marRight w:val="0"/>
      <w:marTop w:val="0"/>
      <w:marBottom w:val="0"/>
      <w:divBdr>
        <w:top w:val="none" w:sz="0" w:space="0" w:color="auto"/>
        <w:left w:val="none" w:sz="0" w:space="0" w:color="auto"/>
        <w:bottom w:val="none" w:sz="0" w:space="0" w:color="auto"/>
        <w:right w:val="none" w:sz="0" w:space="0" w:color="auto"/>
      </w:divBdr>
    </w:div>
    <w:div w:id="1663776470">
      <w:bodyDiv w:val="1"/>
      <w:marLeft w:val="0"/>
      <w:marRight w:val="0"/>
      <w:marTop w:val="0"/>
      <w:marBottom w:val="0"/>
      <w:divBdr>
        <w:top w:val="none" w:sz="0" w:space="0" w:color="auto"/>
        <w:left w:val="none" w:sz="0" w:space="0" w:color="auto"/>
        <w:bottom w:val="none" w:sz="0" w:space="0" w:color="auto"/>
        <w:right w:val="none" w:sz="0" w:space="0" w:color="auto"/>
      </w:divBdr>
    </w:div>
    <w:div w:id="1664161451">
      <w:bodyDiv w:val="1"/>
      <w:marLeft w:val="0"/>
      <w:marRight w:val="0"/>
      <w:marTop w:val="0"/>
      <w:marBottom w:val="0"/>
      <w:divBdr>
        <w:top w:val="none" w:sz="0" w:space="0" w:color="auto"/>
        <w:left w:val="none" w:sz="0" w:space="0" w:color="auto"/>
        <w:bottom w:val="none" w:sz="0" w:space="0" w:color="auto"/>
        <w:right w:val="none" w:sz="0" w:space="0" w:color="auto"/>
      </w:divBdr>
    </w:div>
    <w:div w:id="1664432856">
      <w:bodyDiv w:val="1"/>
      <w:marLeft w:val="0"/>
      <w:marRight w:val="0"/>
      <w:marTop w:val="0"/>
      <w:marBottom w:val="0"/>
      <w:divBdr>
        <w:top w:val="none" w:sz="0" w:space="0" w:color="auto"/>
        <w:left w:val="none" w:sz="0" w:space="0" w:color="auto"/>
        <w:bottom w:val="none" w:sz="0" w:space="0" w:color="auto"/>
        <w:right w:val="none" w:sz="0" w:space="0" w:color="auto"/>
      </w:divBdr>
    </w:div>
    <w:div w:id="1665473354">
      <w:bodyDiv w:val="1"/>
      <w:marLeft w:val="0"/>
      <w:marRight w:val="0"/>
      <w:marTop w:val="0"/>
      <w:marBottom w:val="0"/>
      <w:divBdr>
        <w:top w:val="none" w:sz="0" w:space="0" w:color="auto"/>
        <w:left w:val="none" w:sz="0" w:space="0" w:color="auto"/>
        <w:bottom w:val="none" w:sz="0" w:space="0" w:color="auto"/>
        <w:right w:val="none" w:sz="0" w:space="0" w:color="auto"/>
      </w:divBdr>
    </w:div>
    <w:div w:id="1665863500">
      <w:bodyDiv w:val="1"/>
      <w:marLeft w:val="0"/>
      <w:marRight w:val="0"/>
      <w:marTop w:val="0"/>
      <w:marBottom w:val="0"/>
      <w:divBdr>
        <w:top w:val="none" w:sz="0" w:space="0" w:color="auto"/>
        <w:left w:val="none" w:sz="0" w:space="0" w:color="auto"/>
        <w:bottom w:val="none" w:sz="0" w:space="0" w:color="auto"/>
        <w:right w:val="none" w:sz="0" w:space="0" w:color="auto"/>
      </w:divBdr>
    </w:div>
    <w:div w:id="1666474970">
      <w:bodyDiv w:val="1"/>
      <w:marLeft w:val="0"/>
      <w:marRight w:val="0"/>
      <w:marTop w:val="0"/>
      <w:marBottom w:val="0"/>
      <w:divBdr>
        <w:top w:val="none" w:sz="0" w:space="0" w:color="auto"/>
        <w:left w:val="none" w:sz="0" w:space="0" w:color="auto"/>
        <w:bottom w:val="none" w:sz="0" w:space="0" w:color="auto"/>
        <w:right w:val="none" w:sz="0" w:space="0" w:color="auto"/>
      </w:divBdr>
    </w:div>
    <w:div w:id="1668746272">
      <w:bodyDiv w:val="1"/>
      <w:marLeft w:val="0"/>
      <w:marRight w:val="0"/>
      <w:marTop w:val="0"/>
      <w:marBottom w:val="0"/>
      <w:divBdr>
        <w:top w:val="none" w:sz="0" w:space="0" w:color="auto"/>
        <w:left w:val="none" w:sz="0" w:space="0" w:color="auto"/>
        <w:bottom w:val="none" w:sz="0" w:space="0" w:color="auto"/>
        <w:right w:val="none" w:sz="0" w:space="0" w:color="auto"/>
      </w:divBdr>
    </w:div>
    <w:div w:id="1668896661">
      <w:bodyDiv w:val="1"/>
      <w:marLeft w:val="0"/>
      <w:marRight w:val="0"/>
      <w:marTop w:val="0"/>
      <w:marBottom w:val="0"/>
      <w:divBdr>
        <w:top w:val="none" w:sz="0" w:space="0" w:color="auto"/>
        <w:left w:val="none" w:sz="0" w:space="0" w:color="auto"/>
        <w:bottom w:val="none" w:sz="0" w:space="0" w:color="auto"/>
        <w:right w:val="none" w:sz="0" w:space="0" w:color="auto"/>
      </w:divBdr>
    </w:div>
    <w:div w:id="1668971724">
      <w:bodyDiv w:val="1"/>
      <w:marLeft w:val="0"/>
      <w:marRight w:val="0"/>
      <w:marTop w:val="0"/>
      <w:marBottom w:val="0"/>
      <w:divBdr>
        <w:top w:val="none" w:sz="0" w:space="0" w:color="auto"/>
        <w:left w:val="none" w:sz="0" w:space="0" w:color="auto"/>
        <w:bottom w:val="none" w:sz="0" w:space="0" w:color="auto"/>
        <w:right w:val="none" w:sz="0" w:space="0" w:color="auto"/>
      </w:divBdr>
    </w:div>
    <w:div w:id="1669358600">
      <w:bodyDiv w:val="1"/>
      <w:marLeft w:val="0"/>
      <w:marRight w:val="0"/>
      <w:marTop w:val="0"/>
      <w:marBottom w:val="0"/>
      <w:divBdr>
        <w:top w:val="none" w:sz="0" w:space="0" w:color="auto"/>
        <w:left w:val="none" w:sz="0" w:space="0" w:color="auto"/>
        <w:bottom w:val="none" w:sz="0" w:space="0" w:color="auto"/>
        <w:right w:val="none" w:sz="0" w:space="0" w:color="auto"/>
      </w:divBdr>
    </w:div>
    <w:div w:id="1669404334">
      <w:bodyDiv w:val="1"/>
      <w:marLeft w:val="0"/>
      <w:marRight w:val="0"/>
      <w:marTop w:val="0"/>
      <w:marBottom w:val="0"/>
      <w:divBdr>
        <w:top w:val="none" w:sz="0" w:space="0" w:color="auto"/>
        <w:left w:val="none" w:sz="0" w:space="0" w:color="auto"/>
        <w:bottom w:val="none" w:sz="0" w:space="0" w:color="auto"/>
        <w:right w:val="none" w:sz="0" w:space="0" w:color="auto"/>
      </w:divBdr>
    </w:div>
    <w:div w:id="1671593508">
      <w:bodyDiv w:val="1"/>
      <w:marLeft w:val="0"/>
      <w:marRight w:val="0"/>
      <w:marTop w:val="0"/>
      <w:marBottom w:val="0"/>
      <w:divBdr>
        <w:top w:val="none" w:sz="0" w:space="0" w:color="auto"/>
        <w:left w:val="none" w:sz="0" w:space="0" w:color="auto"/>
        <w:bottom w:val="none" w:sz="0" w:space="0" w:color="auto"/>
        <w:right w:val="none" w:sz="0" w:space="0" w:color="auto"/>
      </w:divBdr>
    </w:div>
    <w:div w:id="1671714389">
      <w:bodyDiv w:val="1"/>
      <w:marLeft w:val="0"/>
      <w:marRight w:val="0"/>
      <w:marTop w:val="0"/>
      <w:marBottom w:val="0"/>
      <w:divBdr>
        <w:top w:val="none" w:sz="0" w:space="0" w:color="auto"/>
        <w:left w:val="none" w:sz="0" w:space="0" w:color="auto"/>
        <w:bottom w:val="none" w:sz="0" w:space="0" w:color="auto"/>
        <w:right w:val="none" w:sz="0" w:space="0" w:color="auto"/>
      </w:divBdr>
    </w:div>
    <w:div w:id="1672566234">
      <w:bodyDiv w:val="1"/>
      <w:marLeft w:val="0"/>
      <w:marRight w:val="0"/>
      <w:marTop w:val="0"/>
      <w:marBottom w:val="0"/>
      <w:divBdr>
        <w:top w:val="none" w:sz="0" w:space="0" w:color="auto"/>
        <w:left w:val="none" w:sz="0" w:space="0" w:color="auto"/>
        <w:bottom w:val="none" w:sz="0" w:space="0" w:color="auto"/>
        <w:right w:val="none" w:sz="0" w:space="0" w:color="auto"/>
      </w:divBdr>
    </w:div>
    <w:div w:id="1672759045">
      <w:bodyDiv w:val="1"/>
      <w:marLeft w:val="0"/>
      <w:marRight w:val="0"/>
      <w:marTop w:val="0"/>
      <w:marBottom w:val="0"/>
      <w:divBdr>
        <w:top w:val="none" w:sz="0" w:space="0" w:color="auto"/>
        <w:left w:val="none" w:sz="0" w:space="0" w:color="auto"/>
        <w:bottom w:val="none" w:sz="0" w:space="0" w:color="auto"/>
        <w:right w:val="none" w:sz="0" w:space="0" w:color="auto"/>
      </w:divBdr>
    </w:div>
    <w:div w:id="1673215334">
      <w:bodyDiv w:val="1"/>
      <w:marLeft w:val="0"/>
      <w:marRight w:val="0"/>
      <w:marTop w:val="0"/>
      <w:marBottom w:val="0"/>
      <w:divBdr>
        <w:top w:val="none" w:sz="0" w:space="0" w:color="auto"/>
        <w:left w:val="none" w:sz="0" w:space="0" w:color="auto"/>
        <w:bottom w:val="none" w:sz="0" w:space="0" w:color="auto"/>
        <w:right w:val="none" w:sz="0" w:space="0" w:color="auto"/>
      </w:divBdr>
    </w:div>
    <w:div w:id="1673876362">
      <w:bodyDiv w:val="1"/>
      <w:marLeft w:val="0"/>
      <w:marRight w:val="0"/>
      <w:marTop w:val="0"/>
      <w:marBottom w:val="0"/>
      <w:divBdr>
        <w:top w:val="none" w:sz="0" w:space="0" w:color="auto"/>
        <w:left w:val="none" w:sz="0" w:space="0" w:color="auto"/>
        <w:bottom w:val="none" w:sz="0" w:space="0" w:color="auto"/>
        <w:right w:val="none" w:sz="0" w:space="0" w:color="auto"/>
      </w:divBdr>
    </w:div>
    <w:div w:id="1674263863">
      <w:bodyDiv w:val="1"/>
      <w:marLeft w:val="0"/>
      <w:marRight w:val="0"/>
      <w:marTop w:val="0"/>
      <w:marBottom w:val="0"/>
      <w:divBdr>
        <w:top w:val="none" w:sz="0" w:space="0" w:color="auto"/>
        <w:left w:val="none" w:sz="0" w:space="0" w:color="auto"/>
        <w:bottom w:val="none" w:sz="0" w:space="0" w:color="auto"/>
        <w:right w:val="none" w:sz="0" w:space="0" w:color="auto"/>
      </w:divBdr>
    </w:div>
    <w:div w:id="1674912489">
      <w:bodyDiv w:val="1"/>
      <w:marLeft w:val="0"/>
      <w:marRight w:val="0"/>
      <w:marTop w:val="0"/>
      <w:marBottom w:val="0"/>
      <w:divBdr>
        <w:top w:val="none" w:sz="0" w:space="0" w:color="auto"/>
        <w:left w:val="none" w:sz="0" w:space="0" w:color="auto"/>
        <w:bottom w:val="none" w:sz="0" w:space="0" w:color="auto"/>
        <w:right w:val="none" w:sz="0" w:space="0" w:color="auto"/>
      </w:divBdr>
    </w:div>
    <w:div w:id="1674991798">
      <w:bodyDiv w:val="1"/>
      <w:marLeft w:val="0"/>
      <w:marRight w:val="0"/>
      <w:marTop w:val="0"/>
      <w:marBottom w:val="0"/>
      <w:divBdr>
        <w:top w:val="none" w:sz="0" w:space="0" w:color="auto"/>
        <w:left w:val="none" w:sz="0" w:space="0" w:color="auto"/>
        <w:bottom w:val="none" w:sz="0" w:space="0" w:color="auto"/>
        <w:right w:val="none" w:sz="0" w:space="0" w:color="auto"/>
      </w:divBdr>
    </w:div>
    <w:div w:id="1675643736">
      <w:bodyDiv w:val="1"/>
      <w:marLeft w:val="0"/>
      <w:marRight w:val="0"/>
      <w:marTop w:val="0"/>
      <w:marBottom w:val="0"/>
      <w:divBdr>
        <w:top w:val="none" w:sz="0" w:space="0" w:color="auto"/>
        <w:left w:val="none" w:sz="0" w:space="0" w:color="auto"/>
        <w:bottom w:val="none" w:sz="0" w:space="0" w:color="auto"/>
        <w:right w:val="none" w:sz="0" w:space="0" w:color="auto"/>
      </w:divBdr>
    </w:div>
    <w:div w:id="1676225169">
      <w:bodyDiv w:val="1"/>
      <w:marLeft w:val="0"/>
      <w:marRight w:val="0"/>
      <w:marTop w:val="0"/>
      <w:marBottom w:val="0"/>
      <w:divBdr>
        <w:top w:val="none" w:sz="0" w:space="0" w:color="auto"/>
        <w:left w:val="none" w:sz="0" w:space="0" w:color="auto"/>
        <w:bottom w:val="none" w:sz="0" w:space="0" w:color="auto"/>
        <w:right w:val="none" w:sz="0" w:space="0" w:color="auto"/>
      </w:divBdr>
    </w:div>
    <w:div w:id="1676375752">
      <w:bodyDiv w:val="1"/>
      <w:marLeft w:val="0"/>
      <w:marRight w:val="0"/>
      <w:marTop w:val="0"/>
      <w:marBottom w:val="0"/>
      <w:divBdr>
        <w:top w:val="none" w:sz="0" w:space="0" w:color="auto"/>
        <w:left w:val="none" w:sz="0" w:space="0" w:color="auto"/>
        <w:bottom w:val="none" w:sz="0" w:space="0" w:color="auto"/>
        <w:right w:val="none" w:sz="0" w:space="0" w:color="auto"/>
      </w:divBdr>
    </w:div>
    <w:div w:id="1678383863">
      <w:bodyDiv w:val="1"/>
      <w:marLeft w:val="0"/>
      <w:marRight w:val="0"/>
      <w:marTop w:val="0"/>
      <w:marBottom w:val="0"/>
      <w:divBdr>
        <w:top w:val="none" w:sz="0" w:space="0" w:color="auto"/>
        <w:left w:val="none" w:sz="0" w:space="0" w:color="auto"/>
        <w:bottom w:val="none" w:sz="0" w:space="0" w:color="auto"/>
        <w:right w:val="none" w:sz="0" w:space="0" w:color="auto"/>
      </w:divBdr>
    </w:div>
    <w:div w:id="1678539916">
      <w:bodyDiv w:val="1"/>
      <w:marLeft w:val="0"/>
      <w:marRight w:val="0"/>
      <w:marTop w:val="0"/>
      <w:marBottom w:val="0"/>
      <w:divBdr>
        <w:top w:val="none" w:sz="0" w:space="0" w:color="auto"/>
        <w:left w:val="none" w:sz="0" w:space="0" w:color="auto"/>
        <w:bottom w:val="none" w:sz="0" w:space="0" w:color="auto"/>
        <w:right w:val="none" w:sz="0" w:space="0" w:color="auto"/>
      </w:divBdr>
    </w:div>
    <w:div w:id="1678649575">
      <w:bodyDiv w:val="1"/>
      <w:marLeft w:val="0"/>
      <w:marRight w:val="0"/>
      <w:marTop w:val="0"/>
      <w:marBottom w:val="0"/>
      <w:divBdr>
        <w:top w:val="none" w:sz="0" w:space="0" w:color="auto"/>
        <w:left w:val="none" w:sz="0" w:space="0" w:color="auto"/>
        <w:bottom w:val="none" w:sz="0" w:space="0" w:color="auto"/>
        <w:right w:val="none" w:sz="0" w:space="0" w:color="auto"/>
      </w:divBdr>
    </w:div>
    <w:div w:id="1680228417">
      <w:bodyDiv w:val="1"/>
      <w:marLeft w:val="0"/>
      <w:marRight w:val="0"/>
      <w:marTop w:val="0"/>
      <w:marBottom w:val="0"/>
      <w:divBdr>
        <w:top w:val="none" w:sz="0" w:space="0" w:color="auto"/>
        <w:left w:val="none" w:sz="0" w:space="0" w:color="auto"/>
        <w:bottom w:val="none" w:sz="0" w:space="0" w:color="auto"/>
        <w:right w:val="none" w:sz="0" w:space="0" w:color="auto"/>
      </w:divBdr>
    </w:div>
    <w:div w:id="1680961303">
      <w:bodyDiv w:val="1"/>
      <w:marLeft w:val="0"/>
      <w:marRight w:val="0"/>
      <w:marTop w:val="0"/>
      <w:marBottom w:val="0"/>
      <w:divBdr>
        <w:top w:val="none" w:sz="0" w:space="0" w:color="auto"/>
        <w:left w:val="none" w:sz="0" w:space="0" w:color="auto"/>
        <w:bottom w:val="none" w:sz="0" w:space="0" w:color="auto"/>
        <w:right w:val="none" w:sz="0" w:space="0" w:color="auto"/>
      </w:divBdr>
    </w:div>
    <w:div w:id="1681154115">
      <w:bodyDiv w:val="1"/>
      <w:marLeft w:val="0"/>
      <w:marRight w:val="0"/>
      <w:marTop w:val="0"/>
      <w:marBottom w:val="0"/>
      <w:divBdr>
        <w:top w:val="none" w:sz="0" w:space="0" w:color="auto"/>
        <w:left w:val="none" w:sz="0" w:space="0" w:color="auto"/>
        <w:bottom w:val="none" w:sz="0" w:space="0" w:color="auto"/>
        <w:right w:val="none" w:sz="0" w:space="0" w:color="auto"/>
      </w:divBdr>
    </w:div>
    <w:div w:id="1681227632">
      <w:bodyDiv w:val="1"/>
      <w:marLeft w:val="0"/>
      <w:marRight w:val="0"/>
      <w:marTop w:val="0"/>
      <w:marBottom w:val="0"/>
      <w:divBdr>
        <w:top w:val="none" w:sz="0" w:space="0" w:color="auto"/>
        <w:left w:val="none" w:sz="0" w:space="0" w:color="auto"/>
        <w:bottom w:val="none" w:sz="0" w:space="0" w:color="auto"/>
        <w:right w:val="none" w:sz="0" w:space="0" w:color="auto"/>
      </w:divBdr>
    </w:div>
    <w:div w:id="1681616854">
      <w:bodyDiv w:val="1"/>
      <w:marLeft w:val="0"/>
      <w:marRight w:val="0"/>
      <w:marTop w:val="0"/>
      <w:marBottom w:val="0"/>
      <w:divBdr>
        <w:top w:val="none" w:sz="0" w:space="0" w:color="auto"/>
        <w:left w:val="none" w:sz="0" w:space="0" w:color="auto"/>
        <w:bottom w:val="none" w:sz="0" w:space="0" w:color="auto"/>
        <w:right w:val="none" w:sz="0" w:space="0" w:color="auto"/>
      </w:divBdr>
    </w:div>
    <w:div w:id="1681934389">
      <w:bodyDiv w:val="1"/>
      <w:marLeft w:val="0"/>
      <w:marRight w:val="0"/>
      <w:marTop w:val="0"/>
      <w:marBottom w:val="0"/>
      <w:divBdr>
        <w:top w:val="none" w:sz="0" w:space="0" w:color="auto"/>
        <w:left w:val="none" w:sz="0" w:space="0" w:color="auto"/>
        <w:bottom w:val="none" w:sz="0" w:space="0" w:color="auto"/>
        <w:right w:val="none" w:sz="0" w:space="0" w:color="auto"/>
      </w:divBdr>
    </w:div>
    <w:div w:id="1682395159">
      <w:bodyDiv w:val="1"/>
      <w:marLeft w:val="0"/>
      <w:marRight w:val="0"/>
      <w:marTop w:val="0"/>
      <w:marBottom w:val="0"/>
      <w:divBdr>
        <w:top w:val="none" w:sz="0" w:space="0" w:color="auto"/>
        <w:left w:val="none" w:sz="0" w:space="0" w:color="auto"/>
        <w:bottom w:val="none" w:sz="0" w:space="0" w:color="auto"/>
        <w:right w:val="none" w:sz="0" w:space="0" w:color="auto"/>
      </w:divBdr>
    </w:div>
    <w:div w:id="1682976131">
      <w:bodyDiv w:val="1"/>
      <w:marLeft w:val="0"/>
      <w:marRight w:val="0"/>
      <w:marTop w:val="0"/>
      <w:marBottom w:val="0"/>
      <w:divBdr>
        <w:top w:val="none" w:sz="0" w:space="0" w:color="auto"/>
        <w:left w:val="none" w:sz="0" w:space="0" w:color="auto"/>
        <w:bottom w:val="none" w:sz="0" w:space="0" w:color="auto"/>
        <w:right w:val="none" w:sz="0" w:space="0" w:color="auto"/>
      </w:divBdr>
    </w:div>
    <w:div w:id="1683127233">
      <w:bodyDiv w:val="1"/>
      <w:marLeft w:val="0"/>
      <w:marRight w:val="0"/>
      <w:marTop w:val="0"/>
      <w:marBottom w:val="0"/>
      <w:divBdr>
        <w:top w:val="none" w:sz="0" w:space="0" w:color="auto"/>
        <w:left w:val="none" w:sz="0" w:space="0" w:color="auto"/>
        <w:bottom w:val="none" w:sz="0" w:space="0" w:color="auto"/>
        <w:right w:val="none" w:sz="0" w:space="0" w:color="auto"/>
      </w:divBdr>
    </w:div>
    <w:div w:id="1684163797">
      <w:bodyDiv w:val="1"/>
      <w:marLeft w:val="0"/>
      <w:marRight w:val="0"/>
      <w:marTop w:val="0"/>
      <w:marBottom w:val="0"/>
      <w:divBdr>
        <w:top w:val="none" w:sz="0" w:space="0" w:color="auto"/>
        <w:left w:val="none" w:sz="0" w:space="0" w:color="auto"/>
        <w:bottom w:val="none" w:sz="0" w:space="0" w:color="auto"/>
        <w:right w:val="none" w:sz="0" w:space="0" w:color="auto"/>
      </w:divBdr>
    </w:div>
    <w:div w:id="1684865163">
      <w:bodyDiv w:val="1"/>
      <w:marLeft w:val="0"/>
      <w:marRight w:val="0"/>
      <w:marTop w:val="0"/>
      <w:marBottom w:val="0"/>
      <w:divBdr>
        <w:top w:val="none" w:sz="0" w:space="0" w:color="auto"/>
        <w:left w:val="none" w:sz="0" w:space="0" w:color="auto"/>
        <w:bottom w:val="none" w:sz="0" w:space="0" w:color="auto"/>
        <w:right w:val="none" w:sz="0" w:space="0" w:color="auto"/>
      </w:divBdr>
    </w:div>
    <w:div w:id="1684934442">
      <w:bodyDiv w:val="1"/>
      <w:marLeft w:val="0"/>
      <w:marRight w:val="0"/>
      <w:marTop w:val="0"/>
      <w:marBottom w:val="0"/>
      <w:divBdr>
        <w:top w:val="none" w:sz="0" w:space="0" w:color="auto"/>
        <w:left w:val="none" w:sz="0" w:space="0" w:color="auto"/>
        <w:bottom w:val="none" w:sz="0" w:space="0" w:color="auto"/>
        <w:right w:val="none" w:sz="0" w:space="0" w:color="auto"/>
      </w:divBdr>
    </w:div>
    <w:div w:id="1686662961">
      <w:bodyDiv w:val="1"/>
      <w:marLeft w:val="0"/>
      <w:marRight w:val="0"/>
      <w:marTop w:val="0"/>
      <w:marBottom w:val="0"/>
      <w:divBdr>
        <w:top w:val="none" w:sz="0" w:space="0" w:color="auto"/>
        <w:left w:val="none" w:sz="0" w:space="0" w:color="auto"/>
        <w:bottom w:val="none" w:sz="0" w:space="0" w:color="auto"/>
        <w:right w:val="none" w:sz="0" w:space="0" w:color="auto"/>
      </w:divBdr>
    </w:div>
    <w:div w:id="1686781321">
      <w:bodyDiv w:val="1"/>
      <w:marLeft w:val="0"/>
      <w:marRight w:val="0"/>
      <w:marTop w:val="0"/>
      <w:marBottom w:val="0"/>
      <w:divBdr>
        <w:top w:val="none" w:sz="0" w:space="0" w:color="auto"/>
        <w:left w:val="none" w:sz="0" w:space="0" w:color="auto"/>
        <w:bottom w:val="none" w:sz="0" w:space="0" w:color="auto"/>
        <w:right w:val="none" w:sz="0" w:space="0" w:color="auto"/>
      </w:divBdr>
    </w:div>
    <w:div w:id="1687053361">
      <w:bodyDiv w:val="1"/>
      <w:marLeft w:val="0"/>
      <w:marRight w:val="0"/>
      <w:marTop w:val="0"/>
      <w:marBottom w:val="0"/>
      <w:divBdr>
        <w:top w:val="none" w:sz="0" w:space="0" w:color="auto"/>
        <w:left w:val="none" w:sz="0" w:space="0" w:color="auto"/>
        <w:bottom w:val="none" w:sz="0" w:space="0" w:color="auto"/>
        <w:right w:val="none" w:sz="0" w:space="0" w:color="auto"/>
      </w:divBdr>
    </w:div>
    <w:div w:id="1688753772">
      <w:bodyDiv w:val="1"/>
      <w:marLeft w:val="0"/>
      <w:marRight w:val="0"/>
      <w:marTop w:val="0"/>
      <w:marBottom w:val="0"/>
      <w:divBdr>
        <w:top w:val="none" w:sz="0" w:space="0" w:color="auto"/>
        <w:left w:val="none" w:sz="0" w:space="0" w:color="auto"/>
        <w:bottom w:val="none" w:sz="0" w:space="0" w:color="auto"/>
        <w:right w:val="none" w:sz="0" w:space="0" w:color="auto"/>
      </w:divBdr>
    </w:div>
    <w:div w:id="1690335078">
      <w:bodyDiv w:val="1"/>
      <w:marLeft w:val="0"/>
      <w:marRight w:val="0"/>
      <w:marTop w:val="0"/>
      <w:marBottom w:val="0"/>
      <w:divBdr>
        <w:top w:val="none" w:sz="0" w:space="0" w:color="auto"/>
        <w:left w:val="none" w:sz="0" w:space="0" w:color="auto"/>
        <w:bottom w:val="none" w:sz="0" w:space="0" w:color="auto"/>
        <w:right w:val="none" w:sz="0" w:space="0" w:color="auto"/>
      </w:divBdr>
    </w:div>
    <w:div w:id="1690712970">
      <w:bodyDiv w:val="1"/>
      <w:marLeft w:val="0"/>
      <w:marRight w:val="0"/>
      <w:marTop w:val="0"/>
      <w:marBottom w:val="0"/>
      <w:divBdr>
        <w:top w:val="none" w:sz="0" w:space="0" w:color="auto"/>
        <w:left w:val="none" w:sz="0" w:space="0" w:color="auto"/>
        <w:bottom w:val="none" w:sz="0" w:space="0" w:color="auto"/>
        <w:right w:val="none" w:sz="0" w:space="0" w:color="auto"/>
      </w:divBdr>
    </w:div>
    <w:div w:id="1691294105">
      <w:bodyDiv w:val="1"/>
      <w:marLeft w:val="0"/>
      <w:marRight w:val="0"/>
      <w:marTop w:val="0"/>
      <w:marBottom w:val="0"/>
      <w:divBdr>
        <w:top w:val="none" w:sz="0" w:space="0" w:color="auto"/>
        <w:left w:val="none" w:sz="0" w:space="0" w:color="auto"/>
        <w:bottom w:val="none" w:sz="0" w:space="0" w:color="auto"/>
        <w:right w:val="none" w:sz="0" w:space="0" w:color="auto"/>
      </w:divBdr>
    </w:div>
    <w:div w:id="1691566355">
      <w:bodyDiv w:val="1"/>
      <w:marLeft w:val="0"/>
      <w:marRight w:val="0"/>
      <w:marTop w:val="0"/>
      <w:marBottom w:val="0"/>
      <w:divBdr>
        <w:top w:val="none" w:sz="0" w:space="0" w:color="auto"/>
        <w:left w:val="none" w:sz="0" w:space="0" w:color="auto"/>
        <w:bottom w:val="none" w:sz="0" w:space="0" w:color="auto"/>
        <w:right w:val="none" w:sz="0" w:space="0" w:color="auto"/>
      </w:divBdr>
    </w:div>
    <w:div w:id="1692730539">
      <w:bodyDiv w:val="1"/>
      <w:marLeft w:val="0"/>
      <w:marRight w:val="0"/>
      <w:marTop w:val="0"/>
      <w:marBottom w:val="0"/>
      <w:divBdr>
        <w:top w:val="none" w:sz="0" w:space="0" w:color="auto"/>
        <w:left w:val="none" w:sz="0" w:space="0" w:color="auto"/>
        <w:bottom w:val="none" w:sz="0" w:space="0" w:color="auto"/>
        <w:right w:val="none" w:sz="0" w:space="0" w:color="auto"/>
      </w:divBdr>
    </w:div>
    <w:div w:id="1693847513">
      <w:bodyDiv w:val="1"/>
      <w:marLeft w:val="0"/>
      <w:marRight w:val="0"/>
      <w:marTop w:val="0"/>
      <w:marBottom w:val="0"/>
      <w:divBdr>
        <w:top w:val="none" w:sz="0" w:space="0" w:color="auto"/>
        <w:left w:val="none" w:sz="0" w:space="0" w:color="auto"/>
        <w:bottom w:val="none" w:sz="0" w:space="0" w:color="auto"/>
        <w:right w:val="none" w:sz="0" w:space="0" w:color="auto"/>
      </w:divBdr>
    </w:div>
    <w:div w:id="1694189804">
      <w:bodyDiv w:val="1"/>
      <w:marLeft w:val="0"/>
      <w:marRight w:val="0"/>
      <w:marTop w:val="0"/>
      <w:marBottom w:val="0"/>
      <w:divBdr>
        <w:top w:val="none" w:sz="0" w:space="0" w:color="auto"/>
        <w:left w:val="none" w:sz="0" w:space="0" w:color="auto"/>
        <w:bottom w:val="none" w:sz="0" w:space="0" w:color="auto"/>
        <w:right w:val="none" w:sz="0" w:space="0" w:color="auto"/>
      </w:divBdr>
    </w:div>
    <w:div w:id="1694575534">
      <w:bodyDiv w:val="1"/>
      <w:marLeft w:val="0"/>
      <w:marRight w:val="0"/>
      <w:marTop w:val="0"/>
      <w:marBottom w:val="0"/>
      <w:divBdr>
        <w:top w:val="none" w:sz="0" w:space="0" w:color="auto"/>
        <w:left w:val="none" w:sz="0" w:space="0" w:color="auto"/>
        <w:bottom w:val="none" w:sz="0" w:space="0" w:color="auto"/>
        <w:right w:val="none" w:sz="0" w:space="0" w:color="auto"/>
      </w:divBdr>
    </w:div>
    <w:div w:id="1695494712">
      <w:bodyDiv w:val="1"/>
      <w:marLeft w:val="0"/>
      <w:marRight w:val="0"/>
      <w:marTop w:val="0"/>
      <w:marBottom w:val="0"/>
      <w:divBdr>
        <w:top w:val="none" w:sz="0" w:space="0" w:color="auto"/>
        <w:left w:val="none" w:sz="0" w:space="0" w:color="auto"/>
        <w:bottom w:val="none" w:sz="0" w:space="0" w:color="auto"/>
        <w:right w:val="none" w:sz="0" w:space="0" w:color="auto"/>
      </w:divBdr>
    </w:div>
    <w:div w:id="1696274872">
      <w:bodyDiv w:val="1"/>
      <w:marLeft w:val="0"/>
      <w:marRight w:val="0"/>
      <w:marTop w:val="0"/>
      <w:marBottom w:val="0"/>
      <w:divBdr>
        <w:top w:val="none" w:sz="0" w:space="0" w:color="auto"/>
        <w:left w:val="none" w:sz="0" w:space="0" w:color="auto"/>
        <w:bottom w:val="none" w:sz="0" w:space="0" w:color="auto"/>
        <w:right w:val="none" w:sz="0" w:space="0" w:color="auto"/>
      </w:divBdr>
    </w:div>
    <w:div w:id="1696420153">
      <w:bodyDiv w:val="1"/>
      <w:marLeft w:val="0"/>
      <w:marRight w:val="0"/>
      <w:marTop w:val="0"/>
      <w:marBottom w:val="0"/>
      <w:divBdr>
        <w:top w:val="none" w:sz="0" w:space="0" w:color="auto"/>
        <w:left w:val="none" w:sz="0" w:space="0" w:color="auto"/>
        <w:bottom w:val="none" w:sz="0" w:space="0" w:color="auto"/>
        <w:right w:val="none" w:sz="0" w:space="0" w:color="auto"/>
      </w:divBdr>
    </w:div>
    <w:div w:id="1697274813">
      <w:bodyDiv w:val="1"/>
      <w:marLeft w:val="0"/>
      <w:marRight w:val="0"/>
      <w:marTop w:val="0"/>
      <w:marBottom w:val="0"/>
      <w:divBdr>
        <w:top w:val="none" w:sz="0" w:space="0" w:color="auto"/>
        <w:left w:val="none" w:sz="0" w:space="0" w:color="auto"/>
        <w:bottom w:val="none" w:sz="0" w:space="0" w:color="auto"/>
        <w:right w:val="none" w:sz="0" w:space="0" w:color="auto"/>
      </w:divBdr>
    </w:div>
    <w:div w:id="1698580826">
      <w:bodyDiv w:val="1"/>
      <w:marLeft w:val="0"/>
      <w:marRight w:val="0"/>
      <w:marTop w:val="0"/>
      <w:marBottom w:val="0"/>
      <w:divBdr>
        <w:top w:val="none" w:sz="0" w:space="0" w:color="auto"/>
        <w:left w:val="none" w:sz="0" w:space="0" w:color="auto"/>
        <w:bottom w:val="none" w:sz="0" w:space="0" w:color="auto"/>
        <w:right w:val="none" w:sz="0" w:space="0" w:color="auto"/>
      </w:divBdr>
    </w:div>
    <w:div w:id="1699431311">
      <w:bodyDiv w:val="1"/>
      <w:marLeft w:val="0"/>
      <w:marRight w:val="0"/>
      <w:marTop w:val="0"/>
      <w:marBottom w:val="0"/>
      <w:divBdr>
        <w:top w:val="none" w:sz="0" w:space="0" w:color="auto"/>
        <w:left w:val="none" w:sz="0" w:space="0" w:color="auto"/>
        <w:bottom w:val="none" w:sz="0" w:space="0" w:color="auto"/>
        <w:right w:val="none" w:sz="0" w:space="0" w:color="auto"/>
      </w:divBdr>
    </w:div>
    <w:div w:id="1699965668">
      <w:bodyDiv w:val="1"/>
      <w:marLeft w:val="0"/>
      <w:marRight w:val="0"/>
      <w:marTop w:val="0"/>
      <w:marBottom w:val="0"/>
      <w:divBdr>
        <w:top w:val="none" w:sz="0" w:space="0" w:color="auto"/>
        <w:left w:val="none" w:sz="0" w:space="0" w:color="auto"/>
        <w:bottom w:val="none" w:sz="0" w:space="0" w:color="auto"/>
        <w:right w:val="none" w:sz="0" w:space="0" w:color="auto"/>
      </w:divBdr>
    </w:div>
    <w:div w:id="1700005511">
      <w:bodyDiv w:val="1"/>
      <w:marLeft w:val="0"/>
      <w:marRight w:val="0"/>
      <w:marTop w:val="0"/>
      <w:marBottom w:val="0"/>
      <w:divBdr>
        <w:top w:val="none" w:sz="0" w:space="0" w:color="auto"/>
        <w:left w:val="none" w:sz="0" w:space="0" w:color="auto"/>
        <w:bottom w:val="none" w:sz="0" w:space="0" w:color="auto"/>
        <w:right w:val="none" w:sz="0" w:space="0" w:color="auto"/>
      </w:divBdr>
    </w:div>
    <w:div w:id="1700163031">
      <w:bodyDiv w:val="1"/>
      <w:marLeft w:val="0"/>
      <w:marRight w:val="0"/>
      <w:marTop w:val="0"/>
      <w:marBottom w:val="0"/>
      <w:divBdr>
        <w:top w:val="none" w:sz="0" w:space="0" w:color="auto"/>
        <w:left w:val="none" w:sz="0" w:space="0" w:color="auto"/>
        <w:bottom w:val="none" w:sz="0" w:space="0" w:color="auto"/>
        <w:right w:val="none" w:sz="0" w:space="0" w:color="auto"/>
      </w:divBdr>
    </w:div>
    <w:div w:id="1700812114">
      <w:bodyDiv w:val="1"/>
      <w:marLeft w:val="0"/>
      <w:marRight w:val="0"/>
      <w:marTop w:val="0"/>
      <w:marBottom w:val="0"/>
      <w:divBdr>
        <w:top w:val="none" w:sz="0" w:space="0" w:color="auto"/>
        <w:left w:val="none" w:sz="0" w:space="0" w:color="auto"/>
        <w:bottom w:val="none" w:sz="0" w:space="0" w:color="auto"/>
        <w:right w:val="none" w:sz="0" w:space="0" w:color="auto"/>
      </w:divBdr>
    </w:div>
    <w:div w:id="1701202686">
      <w:bodyDiv w:val="1"/>
      <w:marLeft w:val="0"/>
      <w:marRight w:val="0"/>
      <w:marTop w:val="0"/>
      <w:marBottom w:val="0"/>
      <w:divBdr>
        <w:top w:val="none" w:sz="0" w:space="0" w:color="auto"/>
        <w:left w:val="none" w:sz="0" w:space="0" w:color="auto"/>
        <w:bottom w:val="none" w:sz="0" w:space="0" w:color="auto"/>
        <w:right w:val="none" w:sz="0" w:space="0" w:color="auto"/>
      </w:divBdr>
    </w:div>
    <w:div w:id="1703745546">
      <w:bodyDiv w:val="1"/>
      <w:marLeft w:val="0"/>
      <w:marRight w:val="0"/>
      <w:marTop w:val="0"/>
      <w:marBottom w:val="0"/>
      <w:divBdr>
        <w:top w:val="none" w:sz="0" w:space="0" w:color="auto"/>
        <w:left w:val="none" w:sz="0" w:space="0" w:color="auto"/>
        <w:bottom w:val="none" w:sz="0" w:space="0" w:color="auto"/>
        <w:right w:val="none" w:sz="0" w:space="0" w:color="auto"/>
      </w:divBdr>
    </w:div>
    <w:div w:id="1703900308">
      <w:bodyDiv w:val="1"/>
      <w:marLeft w:val="0"/>
      <w:marRight w:val="0"/>
      <w:marTop w:val="0"/>
      <w:marBottom w:val="0"/>
      <w:divBdr>
        <w:top w:val="none" w:sz="0" w:space="0" w:color="auto"/>
        <w:left w:val="none" w:sz="0" w:space="0" w:color="auto"/>
        <w:bottom w:val="none" w:sz="0" w:space="0" w:color="auto"/>
        <w:right w:val="none" w:sz="0" w:space="0" w:color="auto"/>
      </w:divBdr>
    </w:div>
    <w:div w:id="1704020375">
      <w:bodyDiv w:val="1"/>
      <w:marLeft w:val="0"/>
      <w:marRight w:val="0"/>
      <w:marTop w:val="0"/>
      <w:marBottom w:val="0"/>
      <w:divBdr>
        <w:top w:val="none" w:sz="0" w:space="0" w:color="auto"/>
        <w:left w:val="none" w:sz="0" w:space="0" w:color="auto"/>
        <w:bottom w:val="none" w:sz="0" w:space="0" w:color="auto"/>
        <w:right w:val="none" w:sz="0" w:space="0" w:color="auto"/>
      </w:divBdr>
    </w:div>
    <w:div w:id="1704675288">
      <w:bodyDiv w:val="1"/>
      <w:marLeft w:val="0"/>
      <w:marRight w:val="0"/>
      <w:marTop w:val="0"/>
      <w:marBottom w:val="0"/>
      <w:divBdr>
        <w:top w:val="none" w:sz="0" w:space="0" w:color="auto"/>
        <w:left w:val="none" w:sz="0" w:space="0" w:color="auto"/>
        <w:bottom w:val="none" w:sz="0" w:space="0" w:color="auto"/>
        <w:right w:val="none" w:sz="0" w:space="0" w:color="auto"/>
      </w:divBdr>
    </w:div>
    <w:div w:id="1704943839">
      <w:bodyDiv w:val="1"/>
      <w:marLeft w:val="0"/>
      <w:marRight w:val="0"/>
      <w:marTop w:val="0"/>
      <w:marBottom w:val="0"/>
      <w:divBdr>
        <w:top w:val="none" w:sz="0" w:space="0" w:color="auto"/>
        <w:left w:val="none" w:sz="0" w:space="0" w:color="auto"/>
        <w:bottom w:val="none" w:sz="0" w:space="0" w:color="auto"/>
        <w:right w:val="none" w:sz="0" w:space="0" w:color="auto"/>
      </w:divBdr>
    </w:div>
    <w:div w:id="1705717200">
      <w:bodyDiv w:val="1"/>
      <w:marLeft w:val="0"/>
      <w:marRight w:val="0"/>
      <w:marTop w:val="0"/>
      <w:marBottom w:val="0"/>
      <w:divBdr>
        <w:top w:val="none" w:sz="0" w:space="0" w:color="auto"/>
        <w:left w:val="none" w:sz="0" w:space="0" w:color="auto"/>
        <w:bottom w:val="none" w:sz="0" w:space="0" w:color="auto"/>
        <w:right w:val="none" w:sz="0" w:space="0" w:color="auto"/>
      </w:divBdr>
    </w:div>
    <w:div w:id="1705786061">
      <w:bodyDiv w:val="1"/>
      <w:marLeft w:val="0"/>
      <w:marRight w:val="0"/>
      <w:marTop w:val="0"/>
      <w:marBottom w:val="0"/>
      <w:divBdr>
        <w:top w:val="none" w:sz="0" w:space="0" w:color="auto"/>
        <w:left w:val="none" w:sz="0" w:space="0" w:color="auto"/>
        <w:bottom w:val="none" w:sz="0" w:space="0" w:color="auto"/>
        <w:right w:val="none" w:sz="0" w:space="0" w:color="auto"/>
      </w:divBdr>
    </w:div>
    <w:div w:id="1706057353">
      <w:bodyDiv w:val="1"/>
      <w:marLeft w:val="0"/>
      <w:marRight w:val="0"/>
      <w:marTop w:val="0"/>
      <w:marBottom w:val="0"/>
      <w:divBdr>
        <w:top w:val="none" w:sz="0" w:space="0" w:color="auto"/>
        <w:left w:val="none" w:sz="0" w:space="0" w:color="auto"/>
        <w:bottom w:val="none" w:sz="0" w:space="0" w:color="auto"/>
        <w:right w:val="none" w:sz="0" w:space="0" w:color="auto"/>
      </w:divBdr>
    </w:div>
    <w:div w:id="1706101957">
      <w:bodyDiv w:val="1"/>
      <w:marLeft w:val="0"/>
      <w:marRight w:val="0"/>
      <w:marTop w:val="0"/>
      <w:marBottom w:val="0"/>
      <w:divBdr>
        <w:top w:val="none" w:sz="0" w:space="0" w:color="auto"/>
        <w:left w:val="none" w:sz="0" w:space="0" w:color="auto"/>
        <w:bottom w:val="none" w:sz="0" w:space="0" w:color="auto"/>
        <w:right w:val="none" w:sz="0" w:space="0" w:color="auto"/>
      </w:divBdr>
    </w:div>
    <w:div w:id="1706297226">
      <w:bodyDiv w:val="1"/>
      <w:marLeft w:val="0"/>
      <w:marRight w:val="0"/>
      <w:marTop w:val="0"/>
      <w:marBottom w:val="0"/>
      <w:divBdr>
        <w:top w:val="none" w:sz="0" w:space="0" w:color="auto"/>
        <w:left w:val="none" w:sz="0" w:space="0" w:color="auto"/>
        <w:bottom w:val="none" w:sz="0" w:space="0" w:color="auto"/>
        <w:right w:val="none" w:sz="0" w:space="0" w:color="auto"/>
      </w:divBdr>
    </w:div>
    <w:div w:id="1707632753">
      <w:bodyDiv w:val="1"/>
      <w:marLeft w:val="0"/>
      <w:marRight w:val="0"/>
      <w:marTop w:val="0"/>
      <w:marBottom w:val="0"/>
      <w:divBdr>
        <w:top w:val="none" w:sz="0" w:space="0" w:color="auto"/>
        <w:left w:val="none" w:sz="0" w:space="0" w:color="auto"/>
        <w:bottom w:val="none" w:sz="0" w:space="0" w:color="auto"/>
        <w:right w:val="none" w:sz="0" w:space="0" w:color="auto"/>
      </w:divBdr>
    </w:div>
    <w:div w:id="1709141423">
      <w:bodyDiv w:val="1"/>
      <w:marLeft w:val="0"/>
      <w:marRight w:val="0"/>
      <w:marTop w:val="0"/>
      <w:marBottom w:val="0"/>
      <w:divBdr>
        <w:top w:val="none" w:sz="0" w:space="0" w:color="auto"/>
        <w:left w:val="none" w:sz="0" w:space="0" w:color="auto"/>
        <w:bottom w:val="none" w:sz="0" w:space="0" w:color="auto"/>
        <w:right w:val="none" w:sz="0" w:space="0" w:color="auto"/>
      </w:divBdr>
    </w:div>
    <w:div w:id="1709180311">
      <w:bodyDiv w:val="1"/>
      <w:marLeft w:val="0"/>
      <w:marRight w:val="0"/>
      <w:marTop w:val="0"/>
      <w:marBottom w:val="0"/>
      <w:divBdr>
        <w:top w:val="none" w:sz="0" w:space="0" w:color="auto"/>
        <w:left w:val="none" w:sz="0" w:space="0" w:color="auto"/>
        <w:bottom w:val="none" w:sz="0" w:space="0" w:color="auto"/>
        <w:right w:val="none" w:sz="0" w:space="0" w:color="auto"/>
      </w:divBdr>
    </w:div>
    <w:div w:id="1709257217">
      <w:bodyDiv w:val="1"/>
      <w:marLeft w:val="0"/>
      <w:marRight w:val="0"/>
      <w:marTop w:val="0"/>
      <w:marBottom w:val="0"/>
      <w:divBdr>
        <w:top w:val="none" w:sz="0" w:space="0" w:color="auto"/>
        <w:left w:val="none" w:sz="0" w:space="0" w:color="auto"/>
        <w:bottom w:val="none" w:sz="0" w:space="0" w:color="auto"/>
        <w:right w:val="none" w:sz="0" w:space="0" w:color="auto"/>
      </w:divBdr>
    </w:div>
    <w:div w:id="1709447732">
      <w:bodyDiv w:val="1"/>
      <w:marLeft w:val="0"/>
      <w:marRight w:val="0"/>
      <w:marTop w:val="0"/>
      <w:marBottom w:val="0"/>
      <w:divBdr>
        <w:top w:val="none" w:sz="0" w:space="0" w:color="auto"/>
        <w:left w:val="none" w:sz="0" w:space="0" w:color="auto"/>
        <w:bottom w:val="none" w:sz="0" w:space="0" w:color="auto"/>
        <w:right w:val="none" w:sz="0" w:space="0" w:color="auto"/>
      </w:divBdr>
    </w:div>
    <w:div w:id="1709986669">
      <w:bodyDiv w:val="1"/>
      <w:marLeft w:val="0"/>
      <w:marRight w:val="0"/>
      <w:marTop w:val="0"/>
      <w:marBottom w:val="0"/>
      <w:divBdr>
        <w:top w:val="none" w:sz="0" w:space="0" w:color="auto"/>
        <w:left w:val="none" w:sz="0" w:space="0" w:color="auto"/>
        <w:bottom w:val="none" w:sz="0" w:space="0" w:color="auto"/>
        <w:right w:val="none" w:sz="0" w:space="0" w:color="auto"/>
      </w:divBdr>
    </w:div>
    <w:div w:id="1710035783">
      <w:bodyDiv w:val="1"/>
      <w:marLeft w:val="0"/>
      <w:marRight w:val="0"/>
      <w:marTop w:val="0"/>
      <w:marBottom w:val="0"/>
      <w:divBdr>
        <w:top w:val="none" w:sz="0" w:space="0" w:color="auto"/>
        <w:left w:val="none" w:sz="0" w:space="0" w:color="auto"/>
        <w:bottom w:val="none" w:sz="0" w:space="0" w:color="auto"/>
        <w:right w:val="none" w:sz="0" w:space="0" w:color="auto"/>
      </w:divBdr>
    </w:div>
    <w:div w:id="1710102198">
      <w:bodyDiv w:val="1"/>
      <w:marLeft w:val="0"/>
      <w:marRight w:val="0"/>
      <w:marTop w:val="0"/>
      <w:marBottom w:val="0"/>
      <w:divBdr>
        <w:top w:val="none" w:sz="0" w:space="0" w:color="auto"/>
        <w:left w:val="none" w:sz="0" w:space="0" w:color="auto"/>
        <w:bottom w:val="none" w:sz="0" w:space="0" w:color="auto"/>
        <w:right w:val="none" w:sz="0" w:space="0" w:color="auto"/>
      </w:divBdr>
    </w:div>
    <w:div w:id="1710380213">
      <w:bodyDiv w:val="1"/>
      <w:marLeft w:val="0"/>
      <w:marRight w:val="0"/>
      <w:marTop w:val="0"/>
      <w:marBottom w:val="0"/>
      <w:divBdr>
        <w:top w:val="none" w:sz="0" w:space="0" w:color="auto"/>
        <w:left w:val="none" w:sz="0" w:space="0" w:color="auto"/>
        <w:bottom w:val="none" w:sz="0" w:space="0" w:color="auto"/>
        <w:right w:val="none" w:sz="0" w:space="0" w:color="auto"/>
      </w:divBdr>
    </w:div>
    <w:div w:id="1711109724">
      <w:bodyDiv w:val="1"/>
      <w:marLeft w:val="0"/>
      <w:marRight w:val="0"/>
      <w:marTop w:val="0"/>
      <w:marBottom w:val="0"/>
      <w:divBdr>
        <w:top w:val="none" w:sz="0" w:space="0" w:color="auto"/>
        <w:left w:val="none" w:sz="0" w:space="0" w:color="auto"/>
        <w:bottom w:val="none" w:sz="0" w:space="0" w:color="auto"/>
        <w:right w:val="none" w:sz="0" w:space="0" w:color="auto"/>
      </w:divBdr>
    </w:div>
    <w:div w:id="1712076430">
      <w:bodyDiv w:val="1"/>
      <w:marLeft w:val="0"/>
      <w:marRight w:val="0"/>
      <w:marTop w:val="0"/>
      <w:marBottom w:val="0"/>
      <w:divBdr>
        <w:top w:val="none" w:sz="0" w:space="0" w:color="auto"/>
        <w:left w:val="none" w:sz="0" w:space="0" w:color="auto"/>
        <w:bottom w:val="none" w:sz="0" w:space="0" w:color="auto"/>
        <w:right w:val="none" w:sz="0" w:space="0" w:color="auto"/>
      </w:divBdr>
    </w:div>
    <w:div w:id="1712419754">
      <w:bodyDiv w:val="1"/>
      <w:marLeft w:val="0"/>
      <w:marRight w:val="0"/>
      <w:marTop w:val="0"/>
      <w:marBottom w:val="0"/>
      <w:divBdr>
        <w:top w:val="none" w:sz="0" w:space="0" w:color="auto"/>
        <w:left w:val="none" w:sz="0" w:space="0" w:color="auto"/>
        <w:bottom w:val="none" w:sz="0" w:space="0" w:color="auto"/>
        <w:right w:val="none" w:sz="0" w:space="0" w:color="auto"/>
      </w:divBdr>
    </w:div>
    <w:div w:id="1712849838">
      <w:bodyDiv w:val="1"/>
      <w:marLeft w:val="0"/>
      <w:marRight w:val="0"/>
      <w:marTop w:val="0"/>
      <w:marBottom w:val="0"/>
      <w:divBdr>
        <w:top w:val="none" w:sz="0" w:space="0" w:color="auto"/>
        <w:left w:val="none" w:sz="0" w:space="0" w:color="auto"/>
        <w:bottom w:val="none" w:sz="0" w:space="0" w:color="auto"/>
        <w:right w:val="none" w:sz="0" w:space="0" w:color="auto"/>
      </w:divBdr>
    </w:div>
    <w:div w:id="1713916201">
      <w:bodyDiv w:val="1"/>
      <w:marLeft w:val="0"/>
      <w:marRight w:val="0"/>
      <w:marTop w:val="0"/>
      <w:marBottom w:val="0"/>
      <w:divBdr>
        <w:top w:val="none" w:sz="0" w:space="0" w:color="auto"/>
        <w:left w:val="none" w:sz="0" w:space="0" w:color="auto"/>
        <w:bottom w:val="none" w:sz="0" w:space="0" w:color="auto"/>
        <w:right w:val="none" w:sz="0" w:space="0" w:color="auto"/>
      </w:divBdr>
    </w:div>
    <w:div w:id="1714772282">
      <w:bodyDiv w:val="1"/>
      <w:marLeft w:val="0"/>
      <w:marRight w:val="0"/>
      <w:marTop w:val="0"/>
      <w:marBottom w:val="0"/>
      <w:divBdr>
        <w:top w:val="none" w:sz="0" w:space="0" w:color="auto"/>
        <w:left w:val="none" w:sz="0" w:space="0" w:color="auto"/>
        <w:bottom w:val="none" w:sz="0" w:space="0" w:color="auto"/>
        <w:right w:val="none" w:sz="0" w:space="0" w:color="auto"/>
      </w:divBdr>
    </w:div>
    <w:div w:id="1714884781">
      <w:bodyDiv w:val="1"/>
      <w:marLeft w:val="0"/>
      <w:marRight w:val="0"/>
      <w:marTop w:val="0"/>
      <w:marBottom w:val="0"/>
      <w:divBdr>
        <w:top w:val="none" w:sz="0" w:space="0" w:color="auto"/>
        <w:left w:val="none" w:sz="0" w:space="0" w:color="auto"/>
        <w:bottom w:val="none" w:sz="0" w:space="0" w:color="auto"/>
        <w:right w:val="none" w:sz="0" w:space="0" w:color="auto"/>
      </w:divBdr>
    </w:div>
    <w:div w:id="1715495440">
      <w:bodyDiv w:val="1"/>
      <w:marLeft w:val="0"/>
      <w:marRight w:val="0"/>
      <w:marTop w:val="0"/>
      <w:marBottom w:val="0"/>
      <w:divBdr>
        <w:top w:val="none" w:sz="0" w:space="0" w:color="auto"/>
        <w:left w:val="none" w:sz="0" w:space="0" w:color="auto"/>
        <w:bottom w:val="none" w:sz="0" w:space="0" w:color="auto"/>
        <w:right w:val="none" w:sz="0" w:space="0" w:color="auto"/>
      </w:divBdr>
    </w:div>
    <w:div w:id="1716154716">
      <w:bodyDiv w:val="1"/>
      <w:marLeft w:val="0"/>
      <w:marRight w:val="0"/>
      <w:marTop w:val="0"/>
      <w:marBottom w:val="0"/>
      <w:divBdr>
        <w:top w:val="none" w:sz="0" w:space="0" w:color="auto"/>
        <w:left w:val="none" w:sz="0" w:space="0" w:color="auto"/>
        <w:bottom w:val="none" w:sz="0" w:space="0" w:color="auto"/>
        <w:right w:val="none" w:sz="0" w:space="0" w:color="auto"/>
      </w:divBdr>
    </w:div>
    <w:div w:id="1717508339">
      <w:bodyDiv w:val="1"/>
      <w:marLeft w:val="0"/>
      <w:marRight w:val="0"/>
      <w:marTop w:val="0"/>
      <w:marBottom w:val="0"/>
      <w:divBdr>
        <w:top w:val="none" w:sz="0" w:space="0" w:color="auto"/>
        <w:left w:val="none" w:sz="0" w:space="0" w:color="auto"/>
        <w:bottom w:val="none" w:sz="0" w:space="0" w:color="auto"/>
        <w:right w:val="none" w:sz="0" w:space="0" w:color="auto"/>
      </w:divBdr>
    </w:div>
    <w:div w:id="1719088580">
      <w:bodyDiv w:val="1"/>
      <w:marLeft w:val="0"/>
      <w:marRight w:val="0"/>
      <w:marTop w:val="0"/>
      <w:marBottom w:val="0"/>
      <w:divBdr>
        <w:top w:val="none" w:sz="0" w:space="0" w:color="auto"/>
        <w:left w:val="none" w:sz="0" w:space="0" w:color="auto"/>
        <w:bottom w:val="none" w:sz="0" w:space="0" w:color="auto"/>
        <w:right w:val="none" w:sz="0" w:space="0" w:color="auto"/>
      </w:divBdr>
    </w:div>
    <w:div w:id="1720087960">
      <w:bodyDiv w:val="1"/>
      <w:marLeft w:val="0"/>
      <w:marRight w:val="0"/>
      <w:marTop w:val="0"/>
      <w:marBottom w:val="0"/>
      <w:divBdr>
        <w:top w:val="none" w:sz="0" w:space="0" w:color="auto"/>
        <w:left w:val="none" w:sz="0" w:space="0" w:color="auto"/>
        <w:bottom w:val="none" w:sz="0" w:space="0" w:color="auto"/>
        <w:right w:val="none" w:sz="0" w:space="0" w:color="auto"/>
      </w:divBdr>
    </w:div>
    <w:div w:id="1720320953">
      <w:bodyDiv w:val="1"/>
      <w:marLeft w:val="0"/>
      <w:marRight w:val="0"/>
      <w:marTop w:val="0"/>
      <w:marBottom w:val="0"/>
      <w:divBdr>
        <w:top w:val="none" w:sz="0" w:space="0" w:color="auto"/>
        <w:left w:val="none" w:sz="0" w:space="0" w:color="auto"/>
        <w:bottom w:val="none" w:sz="0" w:space="0" w:color="auto"/>
        <w:right w:val="none" w:sz="0" w:space="0" w:color="auto"/>
      </w:divBdr>
    </w:div>
    <w:div w:id="1720741259">
      <w:bodyDiv w:val="1"/>
      <w:marLeft w:val="0"/>
      <w:marRight w:val="0"/>
      <w:marTop w:val="0"/>
      <w:marBottom w:val="0"/>
      <w:divBdr>
        <w:top w:val="none" w:sz="0" w:space="0" w:color="auto"/>
        <w:left w:val="none" w:sz="0" w:space="0" w:color="auto"/>
        <w:bottom w:val="none" w:sz="0" w:space="0" w:color="auto"/>
        <w:right w:val="none" w:sz="0" w:space="0" w:color="auto"/>
      </w:divBdr>
    </w:div>
    <w:div w:id="1722090024">
      <w:bodyDiv w:val="1"/>
      <w:marLeft w:val="0"/>
      <w:marRight w:val="0"/>
      <w:marTop w:val="0"/>
      <w:marBottom w:val="0"/>
      <w:divBdr>
        <w:top w:val="none" w:sz="0" w:space="0" w:color="auto"/>
        <w:left w:val="none" w:sz="0" w:space="0" w:color="auto"/>
        <w:bottom w:val="none" w:sz="0" w:space="0" w:color="auto"/>
        <w:right w:val="none" w:sz="0" w:space="0" w:color="auto"/>
      </w:divBdr>
    </w:div>
    <w:div w:id="1722745696">
      <w:bodyDiv w:val="1"/>
      <w:marLeft w:val="0"/>
      <w:marRight w:val="0"/>
      <w:marTop w:val="0"/>
      <w:marBottom w:val="0"/>
      <w:divBdr>
        <w:top w:val="none" w:sz="0" w:space="0" w:color="auto"/>
        <w:left w:val="none" w:sz="0" w:space="0" w:color="auto"/>
        <w:bottom w:val="none" w:sz="0" w:space="0" w:color="auto"/>
        <w:right w:val="none" w:sz="0" w:space="0" w:color="auto"/>
      </w:divBdr>
    </w:div>
    <w:div w:id="1723597002">
      <w:bodyDiv w:val="1"/>
      <w:marLeft w:val="0"/>
      <w:marRight w:val="0"/>
      <w:marTop w:val="0"/>
      <w:marBottom w:val="0"/>
      <w:divBdr>
        <w:top w:val="none" w:sz="0" w:space="0" w:color="auto"/>
        <w:left w:val="none" w:sz="0" w:space="0" w:color="auto"/>
        <w:bottom w:val="none" w:sz="0" w:space="0" w:color="auto"/>
        <w:right w:val="none" w:sz="0" w:space="0" w:color="auto"/>
      </w:divBdr>
    </w:div>
    <w:div w:id="1724870838">
      <w:bodyDiv w:val="1"/>
      <w:marLeft w:val="0"/>
      <w:marRight w:val="0"/>
      <w:marTop w:val="0"/>
      <w:marBottom w:val="0"/>
      <w:divBdr>
        <w:top w:val="none" w:sz="0" w:space="0" w:color="auto"/>
        <w:left w:val="none" w:sz="0" w:space="0" w:color="auto"/>
        <w:bottom w:val="none" w:sz="0" w:space="0" w:color="auto"/>
        <w:right w:val="none" w:sz="0" w:space="0" w:color="auto"/>
      </w:divBdr>
    </w:div>
    <w:div w:id="1725180185">
      <w:bodyDiv w:val="1"/>
      <w:marLeft w:val="0"/>
      <w:marRight w:val="0"/>
      <w:marTop w:val="0"/>
      <w:marBottom w:val="0"/>
      <w:divBdr>
        <w:top w:val="none" w:sz="0" w:space="0" w:color="auto"/>
        <w:left w:val="none" w:sz="0" w:space="0" w:color="auto"/>
        <w:bottom w:val="none" w:sz="0" w:space="0" w:color="auto"/>
        <w:right w:val="none" w:sz="0" w:space="0" w:color="auto"/>
      </w:divBdr>
    </w:div>
    <w:div w:id="1725635979">
      <w:bodyDiv w:val="1"/>
      <w:marLeft w:val="0"/>
      <w:marRight w:val="0"/>
      <w:marTop w:val="0"/>
      <w:marBottom w:val="0"/>
      <w:divBdr>
        <w:top w:val="none" w:sz="0" w:space="0" w:color="auto"/>
        <w:left w:val="none" w:sz="0" w:space="0" w:color="auto"/>
        <w:bottom w:val="none" w:sz="0" w:space="0" w:color="auto"/>
        <w:right w:val="none" w:sz="0" w:space="0" w:color="auto"/>
      </w:divBdr>
    </w:div>
    <w:div w:id="1725907080">
      <w:bodyDiv w:val="1"/>
      <w:marLeft w:val="0"/>
      <w:marRight w:val="0"/>
      <w:marTop w:val="0"/>
      <w:marBottom w:val="0"/>
      <w:divBdr>
        <w:top w:val="none" w:sz="0" w:space="0" w:color="auto"/>
        <w:left w:val="none" w:sz="0" w:space="0" w:color="auto"/>
        <w:bottom w:val="none" w:sz="0" w:space="0" w:color="auto"/>
        <w:right w:val="none" w:sz="0" w:space="0" w:color="auto"/>
      </w:divBdr>
    </w:div>
    <w:div w:id="1726104913">
      <w:bodyDiv w:val="1"/>
      <w:marLeft w:val="0"/>
      <w:marRight w:val="0"/>
      <w:marTop w:val="0"/>
      <w:marBottom w:val="0"/>
      <w:divBdr>
        <w:top w:val="none" w:sz="0" w:space="0" w:color="auto"/>
        <w:left w:val="none" w:sz="0" w:space="0" w:color="auto"/>
        <w:bottom w:val="none" w:sz="0" w:space="0" w:color="auto"/>
        <w:right w:val="none" w:sz="0" w:space="0" w:color="auto"/>
      </w:divBdr>
    </w:div>
    <w:div w:id="1726564507">
      <w:bodyDiv w:val="1"/>
      <w:marLeft w:val="0"/>
      <w:marRight w:val="0"/>
      <w:marTop w:val="0"/>
      <w:marBottom w:val="0"/>
      <w:divBdr>
        <w:top w:val="none" w:sz="0" w:space="0" w:color="auto"/>
        <w:left w:val="none" w:sz="0" w:space="0" w:color="auto"/>
        <w:bottom w:val="none" w:sz="0" w:space="0" w:color="auto"/>
        <w:right w:val="none" w:sz="0" w:space="0" w:color="auto"/>
      </w:divBdr>
    </w:div>
    <w:div w:id="1726637886">
      <w:bodyDiv w:val="1"/>
      <w:marLeft w:val="0"/>
      <w:marRight w:val="0"/>
      <w:marTop w:val="0"/>
      <w:marBottom w:val="0"/>
      <w:divBdr>
        <w:top w:val="none" w:sz="0" w:space="0" w:color="auto"/>
        <w:left w:val="none" w:sz="0" w:space="0" w:color="auto"/>
        <w:bottom w:val="none" w:sz="0" w:space="0" w:color="auto"/>
        <w:right w:val="none" w:sz="0" w:space="0" w:color="auto"/>
      </w:divBdr>
    </w:div>
    <w:div w:id="1727290027">
      <w:bodyDiv w:val="1"/>
      <w:marLeft w:val="0"/>
      <w:marRight w:val="0"/>
      <w:marTop w:val="0"/>
      <w:marBottom w:val="0"/>
      <w:divBdr>
        <w:top w:val="none" w:sz="0" w:space="0" w:color="auto"/>
        <w:left w:val="none" w:sz="0" w:space="0" w:color="auto"/>
        <w:bottom w:val="none" w:sz="0" w:space="0" w:color="auto"/>
        <w:right w:val="none" w:sz="0" w:space="0" w:color="auto"/>
      </w:divBdr>
    </w:div>
    <w:div w:id="1728261856">
      <w:bodyDiv w:val="1"/>
      <w:marLeft w:val="0"/>
      <w:marRight w:val="0"/>
      <w:marTop w:val="0"/>
      <w:marBottom w:val="0"/>
      <w:divBdr>
        <w:top w:val="none" w:sz="0" w:space="0" w:color="auto"/>
        <w:left w:val="none" w:sz="0" w:space="0" w:color="auto"/>
        <w:bottom w:val="none" w:sz="0" w:space="0" w:color="auto"/>
        <w:right w:val="none" w:sz="0" w:space="0" w:color="auto"/>
      </w:divBdr>
    </w:div>
    <w:div w:id="1729068189">
      <w:bodyDiv w:val="1"/>
      <w:marLeft w:val="0"/>
      <w:marRight w:val="0"/>
      <w:marTop w:val="0"/>
      <w:marBottom w:val="0"/>
      <w:divBdr>
        <w:top w:val="none" w:sz="0" w:space="0" w:color="auto"/>
        <w:left w:val="none" w:sz="0" w:space="0" w:color="auto"/>
        <w:bottom w:val="none" w:sz="0" w:space="0" w:color="auto"/>
        <w:right w:val="none" w:sz="0" w:space="0" w:color="auto"/>
      </w:divBdr>
    </w:div>
    <w:div w:id="1729256397">
      <w:bodyDiv w:val="1"/>
      <w:marLeft w:val="0"/>
      <w:marRight w:val="0"/>
      <w:marTop w:val="0"/>
      <w:marBottom w:val="0"/>
      <w:divBdr>
        <w:top w:val="none" w:sz="0" w:space="0" w:color="auto"/>
        <w:left w:val="none" w:sz="0" w:space="0" w:color="auto"/>
        <w:bottom w:val="none" w:sz="0" w:space="0" w:color="auto"/>
        <w:right w:val="none" w:sz="0" w:space="0" w:color="auto"/>
      </w:divBdr>
    </w:div>
    <w:div w:id="1729306175">
      <w:bodyDiv w:val="1"/>
      <w:marLeft w:val="0"/>
      <w:marRight w:val="0"/>
      <w:marTop w:val="0"/>
      <w:marBottom w:val="0"/>
      <w:divBdr>
        <w:top w:val="none" w:sz="0" w:space="0" w:color="auto"/>
        <w:left w:val="none" w:sz="0" w:space="0" w:color="auto"/>
        <w:bottom w:val="none" w:sz="0" w:space="0" w:color="auto"/>
        <w:right w:val="none" w:sz="0" w:space="0" w:color="auto"/>
      </w:divBdr>
    </w:div>
    <w:div w:id="1731684443">
      <w:bodyDiv w:val="1"/>
      <w:marLeft w:val="0"/>
      <w:marRight w:val="0"/>
      <w:marTop w:val="0"/>
      <w:marBottom w:val="0"/>
      <w:divBdr>
        <w:top w:val="none" w:sz="0" w:space="0" w:color="auto"/>
        <w:left w:val="none" w:sz="0" w:space="0" w:color="auto"/>
        <w:bottom w:val="none" w:sz="0" w:space="0" w:color="auto"/>
        <w:right w:val="none" w:sz="0" w:space="0" w:color="auto"/>
      </w:divBdr>
    </w:div>
    <w:div w:id="1731805723">
      <w:bodyDiv w:val="1"/>
      <w:marLeft w:val="0"/>
      <w:marRight w:val="0"/>
      <w:marTop w:val="0"/>
      <w:marBottom w:val="0"/>
      <w:divBdr>
        <w:top w:val="none" w:sz="0" w:space="0" w:color="auto"/>
        <w:left w:val="none" w:sz="0" w:space="0" w:color="auto"/>
        <w:bottom w:val="none" w:sz="0" w:space="0" w:color="auto"/>
        <w:right w:val="none" w:sz="0" w:space="0" w:color="auto"/>
      </w:divBdr>
    </w:div>
    <w:div w:id="1734573702">
      <w:bodyDiv w:val="1"/>
      <w:marLeft w:val="0"/>
      <w:marRight w:val="0"/>
      <w:marTop w:val="0"/>
      <w:marBottom w:val="0"/>
      <w:divBdr>
        <w:top w:val="none" w:sz="0" w:space="0" w:color="auto"/>
        <w:left w:val="none" w:sz="0" w:space="0" w:color="auto"/>
        <w:bottom w:val="none" w:sz="0" w:space="0" w:color="auto"/>
        <w:right w:val="none" w:sz="0" w:space="0" w:color="auto"/>
      </w:divBdr>
    </w:div>
    <w:div w:id="1735156060">
      <w:bodyDiv w:val="1"/>
      <w:marLeft w:val="0"/>
      <w:marRight w:val="0"/>
      <w:marTop w:val="0"/>
      <w:marBottom w:val="0"/>
      <w:divBdr>
        <w:top w:val="none" w:sz="0" w:space="0" w:color="auto"/>
        <w:left w:val="none" w:sz="0" w:space="0" w:color="auto"/>
        <w:bottom w:val="none" w:sz="0" w:space="0" w:color="auto"/>
        <w:right w:val="none" w:sz="0" w:space="0" w:color="auto"/>
      </w:divBdr>
    </w:div>
    <w:div w:id="1735229421">
      <w:bodyDiv w:val="1"/>
      <w:marLeft w:val="0"/>
      <w:marRight w:val="0"/>
      <w:marTop w:val="0"/>
      <w:marBottom w:val="0"/>
      <w:divBdr>
        <w:top w:val="none" w:sz="0" w:space="0" w:color="auto"/>
        <w:left w:val="none" w:sz="0" w:space="0" w:color="auto"/>
        <w:bottom w:val="none" w:sz="0" w:space="0" w:color="auto"/>
        <w:right w:val="none" w:sz="0" w:space="0" w:color="auto"/>
      </w:divBdr>
    </w:div>
    <w:div w:id="1735273004">
      <w:bodyDiv w:val="1"/>
      <w:marLeft w:val="0"/>
      <w:marRight w:val="0"/>
      <w:marTop w:val="0"/>
      <w:marBottom w:val="0"/>
      <w:divBdr>
        <w:top w:val="none" w:sz="0" w:space="0" w:color="auto"/>
        <w:left w:val="none" w:sz="0" w:space="0" w:color="auto"/>
        <w:bottom w:val="none" w:sz="0" w:space="0" w:color="auto"/>
        <w:right w:val="none" w:sz="0" w:space="0" w:color="auto"/>
      </w:divBdr>
    </w:div>
    <w:div w:id="1735542359">
      <w:bodyDiv w:val="1"/>
      <w:marLeft w:val="0"/>
      <w:marRight w:val="0"/>
      <w:marTop w:val="0"/>
      <w:marBottom w:val="0"/>
      <w:divBdr>
        <w:top w:val="none" w:sz="0" w:space="0" w:color="auto"/>
        <w:left w:val="none" w:sz="0" w:space="0" w:color="auto"/>
        <w:bottom w:val="none" w:sz="0" w:space="0" w:color="auto"/>
        <w:right w:val="none" w:sz="0" w:space="0" w:color="auto"/>
      </w:divBdr>
    </w:div>
    <w:div w:id="1735931820">
      <w:bodyDiv w:val="1"/>
      <w:marLeft w:val="0"/>
      <w:marRight w:val="0"/>
      <w:marTop w:val="0"/>
      <w:marBottom w:val="0"/>
      <w:divBdr>
        <w:top w:val="none" w:sz="0" w:space="0" w:color="auto"/>
        <w:left w:val="none" w:sz="0" w:space="0" w:color="auto"/>
        <w:bottom w:val="none" w:sz="0" w:space="0" w:color="auto"/>
        <w:right w:val="none" w:sz="0" w:space="0" w:color="auto"/>
      </w:divBdr>
    </w:div>
    <w:div w:id="1736313112">
      <w:bodyDiv w:val="1"/>
      <w:marLeft w:val="0"/>
      <w:marRight w:val="0"/>
      <w:marTop w:val="0"/>
      <w:marBottom w:val="0"/>
      <w:divBdr>
        <w:top w:val="none" w:sz="0" w:space="0" w:color="auto"/>
        <w:left w:val="none" w:sz="0" w:space="0" w:color="auto"/>
        <w:bottom w:val="none" w:sz="0" w:space="0" w:color="auto"/>
        <w:right w:val="none" w:sz="0" w:space="0" w:color="auto"/>
      </w:divBdr>
    </w:div>
    <w:div w:id="1737434926">
      <w:bodyDiv w:val="1"/>
      <w:marLeft w:val="0"/>
      <w:marRight w:val="0"/>
      <w:marTop w:val="0"/>
      <w:marBottom w:val="0"/>
      <w:divBdr>
        <w:top w:val="none" w:sz="0" w:space="0" w:color="auto"/>
        <w:left w:val="none" w:sz="0" w:space="0" w:color="auto"/>
        <w:bottom w:val="none" w:sz="0" w:space="0" w:color="auto"/>
        <w:right w:val="none" w:sz="0" w:space="0" w:color="auto"/>
      </w:divBdr>
    </w:div>
    <w:div w:id="1737505298">
      <w:bodyDiv w:val="1"/>
      <w:marLeft w:val="0"/>
      <w:marRight w:val="0"/>
      <w:marTop w:val="0"/>
      <w:marBottom w:val="0"/>
      <w:divBdr>
        <w:top w:val="none" w:sz="0" w:space="0" w:color="auto"/>
        <w:left w:val="none" w:sz="0" w:space="0" w:color="auto"/>
        <w:bottom w:val="none" w:sz="0" w:space="0" w:color="auto"/>
        <w:right w:val="none" w:sz="0" w:space="0" w:color="auto"/>
      </w:divBdr>
    </w:div>
    <w:div w:id="1737849920">
      <w:bodyDiv w:val="1"/>
      <w:marLeft w:val="0"/>
      <w:marRight w:val="0"/>
      <w:marTop w:val="0"/>
      <w:marBottom w:val="0"/>
      <w:divBdr>
        <w:top w:val="none" w:sz="0" w:space="0" w:color="auto"/>
        <w:left w:val="none" w:sz="0" w:space="0" w:color="auto"/>
        <w:bottom w:val="none" w:sz="0" w:space="0" w:color="auto"/>
        <w:right w:val="none" w:sz="0" w:space="0" w:color="auto"/>
      </w:divBdr>
    </w:div>
    <w:div w:id="1738672736">
      <w:bodyDiv w:val="1"/>
      <w:marLeft w:val="0"/>
      <w:marRight w:val="0"/>
      <w:marTop w:val="0"/>
      <w:marBottom w:val="0"/>
      <w:divBdr>
        <w:top w:val="none" w:sz="0" w:space="0" w:color="auto"/>
        <w:left w:val="none" w:sz="0" w:space="0" w:color="auto"/>
        <w:bottom w:val="none" w:sz="0" w:space="0" w:color="auto"/>
        <w:right w:val="none" w:sz="0" w:space="0" w:color="auto"/>
      </w:divBdr>
    </w:div>
    <w:div w:id="1738825420">
      <w:bodyDiv w:val="1"/>
      <w:marLeft w:val="0"/>
      <w:marRight w:val="0"/>
      <w:marTop w:val="0"/>
      <w:marBottom w:val="0"/>
      <w:divBdr>
        <w:top w:val="none" w:sz="0" w:space="0" w:color="auto"/>
        <w:left w:val="none" w:sz="0" w:space="0" w:color="auto"/>
        <w:bottom w:val="none" w:sz="0" w:space="0" w:color="auto"/>
        <w:right w:val="none" w:sz="0" w:space="0" w:color="auto"/>
      </w:divBdr>
    </w:div>
    <w:div w:id="1739745502">
      <w:bodyDiv w:val="1"/>
      <w:marLeft w:val="0"/>
      <w:marRight w:val="0"/>
      <w:marTop w:val="0"/>
      <w:marBottom w:val="0"/>
      <w:divBdr>
        <w:top w:val="none" w:sz="0" w:space="0" w:color="auto"/>
        <w:left w:val="none" w:sz="0" w:space="0" w:color="auto"/>
        <w:bottom w:val="none" w:sz="0" w:space="0" w:color="auto"/>
        <w:right w:val="none" w:sz="0" w:space="0" w:color="auto"/>
      </w:divBdr>
    </w:div>
    <w:div w:id="1740013124">
      <w:bodyDiv w:val="1"/>
      <w:marLeft w:val="0"/>
      <w:marRight w:val="0"/>
      <w:marTop w:val="0"/>
      <w:marBottom w:val="0"/>
      <w:divBdr>
        <w:top w:val="none" w:sz="0" w:space="0" w:color="auto"/>
        <w:left w:val="none" w:sz="0" w:space="0" w:color="auto"/>
        <w:bottom w:val="none" w:sz="0" w:space="0" w:color="auto"/>
        <w:right w:val="none" w:sz="0" w:space="0" w:color="auto"/>
      </w:divBdr>
    </w:div>
    <w:div w:id="1740134776">
      <w:bodyDiv w:val="1"/>
      <w:marLeft w:val="0"/>
      <w:marRight w:val="0"/>
      <w:marTop w:val="0"/>
      <w:marBottom w:val="0"/>
      <w:divBdr>
        <w:top w:val="none" w:sz="0" w:space="0" w:color="auto"/>
        <w:left w:val="none" w:sz="0" w:space="0" w:color="auto"/>
        <w:bottom w:val="none" w:sz="0" w:space="0" w:color="auto"/>
        <w:right w:val="none" w:sz="0" w:space="0" w:color="auto"/>
      </w:divBdr>
    </w:div>
    <w:div w:id="1742362114">
      <w:bodyDiv w:val="1"/>
      <w:marLeft w:val="0"/>
      <w:marRight w:val="0"/>
      <w:marTop w:val="0"/>
      <w:marBottom w:val="0"/>
      <w:divBdr>
        <w:top w:val="none" w:sz="0" w:space="0" w:color="auto"/>
        <w:left w:val="none" w:sz="0" w:space="0" w:color="auto"/>
        <w:bottom w:val="none" w:sz="0" w:space="0" w:color="auto"/>
        <w:right w:val="none" w:sz="0" w:space="0" w:color="auto"/>
      </w:divBdr>
    </w:div>
    <w:div w:id="1742674586">
      <w:bodyDiv w:val="1"/>
      <w:marLeft w:val="0"/>
      <w:marRight w:val="0"/>
      <w:marTop w:val="0"/>
      <w:marBottom w:val="0"/>
      <w:divBdr>
        <w:top w:val="none" w:sz="0" w:space="0" w:color="auto"/>
        <w:left w:val="none" w:sz="0" w:space="0" w:color="auto"/>
        <w:bottom w:val="none" w:sz="0" w:space="0" w:color="auto"/>
        <w:right w:val="none" w:sz="0" w:space="0" w:color="auto"/>
      </w:divBdr>
    </w:div>
    <w:div w:id="1743212294">
      <w:bodyDiv w:val="1"/>
      <w:marLeft w:val="0"/>
      <w:marRight w:val="0"/>
      <w:marTop w:val="0"/>
      <w:marBottom w:val="0"/>
      <w:divBdr>
        <w:top w:val="none" w:sz="0" w:space="0" w:color="auto"/>
        <w:left w:val="none" w:sz="0" w:space="0" w:color="auto"/>
        <w:bottom w:val="none" w:sz="0" w:space="0" w:color="auto"/>
        <w:right w:val="none" w:sz="0" w:space="0" w:color="auto"/>
      </w:divBdr>
    </w:div>
    <w:div w:id="1744184149">
      <w:bodyDiv w:val="1"/>
      <w:marLeft w:val="0"/>
      <w:marRight w:val="0"/>
      <w:marTop w:val="0"/>
      <w:marBottom w:val="0"/>
      <w:divBdr>
        <w:top w:val="none" w:sz="0" w:space="0" w:color="auto"/>
        <w:left w:val="none" w:sz="0" w:space="0" w:color="auto"/>
        <w:bottom w:val="none" w:sz="0" w:space="0" w:color="auto"/>
        <w:right w:val="none" w:sz="0" w:space="0" w:color="auto"/>
      </w:divBdr>
    </w:div>
    <w:div w:id="1744255559">
      <w:bodyDiv w:val="1"/>
      <w:marLeft w:val="0"/>
      <w:marRight w:val="0"/>
      <w:marTop w:val="0"/>
      <w:marBottom w:val="0"/>
      <w:divBdr>
        <w:top w:val="none" w:sz="0" w:space="0" w:color="auto"/>
        <w:left w:val="none" w:sz="0" w:space="0" w:color="auto"/>
        <w:bottom w:val="none" w:sz="0" w:space="0" w:color="auto"/>
        <w:right w:val="none" w:sz="0" w:space="0" w:color="auto"/>
      </w:divBdr>
    </w:div>
    <w:div w:id="1746142083">
      <w:bodyDiv w:val="1"/>
      <w:marLeft w:val="0"/>
      <w:marRight w:val="0"/>
      <w:marTop w:val="0"/>
      <w:marBottom w:val="0"/>
      <w:divBdr>
        <w:top w:val="none" w:sz="0" w:space="0" w:color="auto"/>
        <w:left w:val="none" w:sz="0" w:space="0" w:color="auto"/>
        <w:bottom w:val="none" w:sz="0" w:space="0" w:color="auto"/>
        <w:right w:val="none" w:sz="0" w:space="0" w:color="auto"/>
      </w:divBdr>
    </w:div>
    <w:div w:id="1746606311">
      <w:bodyDiv w:val="1"/>
      <w:marLeft w:val="0"/>
      <w:marRight w:val="0"/>
      <w:marTop w:val="0"/>
      <w:marBottom w:val="0"/>
      <w:divBdr>
        <w:top w:val="none" w:sz="0" w:space="0" w:color="auto"/>
        <w:left w:val="none" w:sz="0" w:space="0" w:color="auto"/>
        <w:bottom w:val="none" w:sz="0" w:space="0" w:color="auto"/>
        <w:right w:val="none" w:sz="0" w:space="0" w:color="auto"/>
      </w:divBdr>
    </w:div>
    <w:div w:id="1747725720">
      <w:bodyDiv w:val="1"/>
      <w:marLeft w:val="0"/>
      <w:marRight w:val="0"/>
      <w:marTop w:val="0"/>
      <w:marBottom w:val="0"/>
      <w:divBdr>
        <w:top w:val="none" w:sz="0" w:space="0" w:color="auto"/>
        <w:left w:val="none" w:sz="0" w:space="0" w:color="auto"/>
        <w:bottom w:val="none" w:sz="0" w:space="0" w:color="auto"/>
        <w:right w:val="none" w:sz="0" w:space="0" w:color="auto"/>
      </w:divBdr>
    </w:div>
    <w:div w:id="1748070775">
      <w:bodyDiv w:val="1"/>
      <w:marLeft w:val="0"/>
      <w:marRight w:val="0"/>
      <w:marTop w:val="0"/>
      <w:marBottom w:val="0"/>
      <w:divBdr>
        <w:top w:val="none" w:sz="0" w:space="0" w:color="auto"/>
        <w:left w:val="none" w:sz="0" w:space="0" w:color="auto"/>
        <w:bottom w:val="none" w:sz="0" w:space="0" w:color="auto"/>
        <w:right w:val="none" w:sz="0" w:space="0" w:color="auto"/>
      </w:divBdr>
    </w:div>
    <w:div w:id="1748190842">
      <w:bodyDiv w:val="1"/>
      <w:marLeft w:val="0"/>
      <w:marRight w:val="0"/>
      <w:marTop w:val="0"/>
      <w:marBottom w:val="0"/>
      <w:divBdr>
        <w:top w:val="none" w:sz="0" w:space="0" w:color="auto"/>
        <w:left w:val="none" w:sz="0" w:space="0" w:color="auto"/>
        <w:bottom w:val="none" w:sz="0" w:space="0" w:color="auto"/>
        <w:right w:val="none" w:sz="0" w:space="0" w:color="auto"/>
      </w:divBdr>
    </w:div>
    <w:div w:id="1748304178">
      <w:bodyDiv w:val="1"/>
      <w:marLeft w:val="0"/>
      <w:marRight w:val="0"/>
      <w:marTop w:val="0"/>
      <w:marBottom w:val="0"/>
      <w:divBdr>
        <w:top w:val="none" w:sz="0" w:space="0" w:color="auto"/>
        <w:left w:val="none" w:sz="0" w:space="0" w:color="auto"/>
        <w:bottom w:val="none" w:sz="0" w:space="0" w:color="auto"/>
        <w:right w:val="none" w:sz="0" w:space="0" w:color="auto"/>
      </w:divBdr>
    </w:div>
    <w:div w:id="1750150164">
      <w:bodyDiv w:val="1"/>
      <w:marLeft w:val="0"/>
      <w:marRight w:val="0"/>
      <w:marTop w:val="0"/>
      <w:marBottom w:val="0"/>
      <w:divBdr>
        <w:top w:val="none" w:sz="0" w:space="0" w:color="auto"/>
        <w:left w:val="none" w:sz="0" w:space="0" w:color="auto"/>
        <w:bottom w:val="none" w:sz="0" w:space="0" w:color="auto"/>
        <w:right w:val="none" w:sz="0" w:space="0" w:color="auto"/>
      </w:divBdr>
    </w:div>
    <w:div w:id="1751080871">
      <w:bodyDiv w:val="1"/>
      <w:marLeft w:val="0"/>
      <w:marRight w:val="0"/>
      <w:marTop w:val="0"/>
      <w:marBottom w:val="0"/>
      <w:divBdr>
        <w:top w:val="none" w:sz="0" w:space="0" w:color="auto"/>
        <w:left w:val="none" w:sz="0" w:space="0" w:color="auto"/>
        <w:bottom w:val="none" w:sz="0" w:space="0" w:color="auto"/>
        <w:right w:val="none" w:sz="0" w:space="0" w:color="auto"/>
      </w:divBdr>
    </w:div>
    <w:div w:id="1751583000">
      <w:bodyDiv w:val="1"/>
      <w:marLeft w:val="0"/>
      <w:marRight w:val="0"/>
      <w:marTop w:val="0"/>
      <w:marBottom w:val="0"/>
      <w:divBdr>
        <w:top w:val="none" w:sz="0" w:space="0" w:color="auto"/>
        <w:left w:val="none" w:sz="0" w:space="0" w:color="auto"/>
        <w:bottom w:val="none" w:sz="0" w:space="0" w:color="auto"/>
        <w:right w:val="none" w:sz="0" w:space="0" w:color="auto"/>
      </w:divBdr>
    </w:div>
    <w:div w:id="1751612707">
      <w:bodyDiv w:val="1"/>
      <w:marLeft w:val="0"/>
      <w:marRight w:val="0"/>
      <w:marTop w:val="0"/>
      <w:marBottom w:val="0"/>
      <w:divBdr>
        <w:top w:val="none" w:sz="0" w:space="0" w:color="auto"/>
        <w:left w:val="none" w:sz="0" w:space="0" w:color="auto"/>
        <w:bottom w:val="none" w:sz="0" w:space="0" w:color="auto"/>
        <w:right w:val="none" w:sz="0" w:space="0" w:color="auto"/>
      </w:divBdr>
    </w:div>
    <w:div w:id="1752005083">
      <w:bodyDiv w:val="1"/>
      <w:marLeft w:val="0"/>
      <w:marRight w:val="0"/>
      <w:marTop w:val="0"/>
      <w:marBottom w:val="0"/>
      <w:divBdr>
        <w:top w:val="none" w:sz="0" w:space="0" w:color="auto"/>
        <w:left w:val="none" w:sz="0" w:space="0" w:color="auto"/>
        <w:bottom w:val="none" w:sz="0" w:space="0" w:color="auto"/>
        <w:right w:val="none" w:sz="0" w:space="0" w:color="auto"/>
      </w:divBdr>
    </w:div>
    <w:div w:id="1752308860">
      <w:bodyDiv w:val="1"/>
      <w:marLeft w:val="0"/>
      <w:marRight w:val="0"/>
      <w:marTop w:val="0"/>
      <w:marBottom w:val="0"/>
      <w:divBdr>
        <w:top w:val="none" w:sz="0" w:space="0" w:color="auto"/>
        <w:left w:val="none" w:sz="0" w:space="0" w:color="auto"/>
        <w:bottom w:val="none" w:sz="0" w:space="0" w:color="auto"/>
        <w:right w:val="none" w:sz="0" w:space="0" w:color="auto"/>
      </w:divBdr>
    </w:div>
    <w:div w:id="1752660862">
      <w:bodyDiv w:val="1"/>
      <w:marLeft w:val="0"/>
      <w:marRight w:val="0"/>
      <w:marTop w:val="0"/>
      <w:marBottom w:val="0"/>
      <w:divBdr>
        <w:top w:val="none" w:sz="0" w:space="0" w:color="auto"/>
        <w:left w:val="none" w:sz="0" w:space="0" w:color="auto"/>
        <w:bottom w:val="none" w:sz="0" w:space="0" w:color="auto"/>
        <w:right w:val="none" w:sz="0" w:space="0" w:color="auto"/>
      </w:divBdr>
    </w:div>
    <w:div w:id="1753771368">
      <w:bodyDiv w:val="1"/>
      <w:marLeft w:val="0"/>
      <w:marRight w:val="0"/>
      <w:marTop w:val="0"/>
      <w:marBottom w:val="0"/>
      <w:divBdr>
        <w:top w:val="none" w:sz="0" w:space="0" w:color="auto"/>
        <w:left w:val="none" w:sz="0" w:space="0" w:color="auto"/>
        <w:bottom w:val="none" w:sz="0" w:space="0" w:color="auto"/>
        <w:right w:val="none" w:sz="0" w:space="0" w:color="auto"/>
      </w:divBdr>
    </w:div>
    <w:div w:id="1757170751">
      <w:bodyDiv w:val="1"/>
      <w:marLeft w:val="0"/>
      <w:marRight w:val="0"/>
      <w:marTop w:val="0"/>
      <w:marBottom w:val="0"/>
      <w:divBdr>
        <w:top w:val="none" w:sz="0" w:space="0" w:color="auto"/>
        <w:left w:val="none" w:sz="0" w:space="0" w:color="auto"/>
        <w:bottom w:val="none" w:sz="0" w:space="0" w:color="auto"/>
        <w:right w:val="none" w:sz="0" w:space="0" w:color="auto"/>
      </w:divBdr>
    </w:div>
    <w:div w:id="1757898886">
      <w:bodyDiv w:val="1"/>
      <w:marLeft w:val="0"/>
      <w:marRight w:val="0"/>
      <w:marTop w:val="0"/>
      <w:marBottom w:val="0"/>
      <w:divBdr>
        <w:top w:val="none" w:sz="0" w:space="0" w:color="auto"/>
        <w:left w:val="none" w:sz="0" w:space="0" w:color="auto"/>
        <w:bottom w:val="none" w:sz="0" w:space="0" w:color="auto"/>
        <w:right w:val="none" w:sz="0" w:space="0" w:color="auto"/>
      </w:divBdr>
    </w:div>
    <w:div w:id="1758206537">
      <w:bodyDiv w:val="1"/>
      <w:marLeft w:val="0"/>
      <w:marRight w:val="0"/>
      <w:marTop w:val="0"/>
      <w:marBottom w:val="0"/>
      <w:divBdr>
        <w:top w:val="none" w:sz="0" w:space="0" w:color="auto"/>
        <w:left w:val="none" w:sz="0" w:space="0" w:color="auto"/>
        <w:bottom w:val="none" w:sz="0" w:space="0" w:color="auto"/>
        <w:right w:val="none" w:sz="0" w:space="0" w:color="auto"/>
      </w:divBdr>
    </w:div>
    <w:div w:id="1758550299">
      <w:bodyDiv w:val="1"/>
      <w:marLeft w:val="0"/>
      <w:marRight w:val="0"/>
      <w:marTop w:val="0"/>
      <w:marBottom w:val="0"/>
      <w:divBdr>
        <w:top w:val="none" w:sz="0" w:space="0" w:color="auto"/>
        <w:left w:val="none" w:sz="0" w:space="0" w:color="auto"/>
        <w:bottom w:val="none" w:sz="0" w:space="0" w:color="auto"/>
        <w:right w:val="none" w:sz="0" w:space="0" w:color="auto"/>
      </w:divBdr>
    </w:div>
    <w:div w:id="1759867107">
      <w:bodyDiv w:val="1"/>
      <w:marLeft w:val="0"/>
      <w:marRight w:val="0"/>
      <w:marTop w:val="0"/>
      <w:marBottom w:val="0"/>
      <w:divBdr>
        <w:top w:val="none" w:sz="0" w:space="0" w:color="auto"/>
        <w:left w:val="none" w:sz="0" w:space="0" w:color="auto"/>
        <w:bottom w:val="none" w:sz="0" w:space="0" w:color="auto"/>
        <w:right w:val="none" w:sz="0" w:space="0" w:color="auto"/>
      </w:divBdr>
    </w:div>
    <w:div w:id="1760179206">
      <w:bodyDiv w:val="1"/>
      <w:marLeft w:val="0"/>
      <w:marRight w:val="0"/>
      <w:marTop w:val="0"/>
      <w:marBottom w:val="0"/>
      <w:divBdr>
        <w:top w:val="none" w:sz="0" w:space="0" w:color="auto"/>
        <w:left w:val="none" w:sz="0" w:space="0" w:color="auto"/>
        <w:bottom w:val="none" w:sz="0" w:space="0" w:color="auto"/>
        <w:right w:val="none" w:sz="0" w:space="0" w:color="auto"/>
      </w:divBdr>
    </w:div>
    <w:div w:id="1760784737">
      <w:bodyDiv w:val="1"/>
      <w:marLeft w:val="0"/>
      <w:marRight w:val="0"/>
      <w:marTop w:val="0"/>
      <w:marBottom w:val="0"/>
      <w:divBdr>
        <w:top w:val="none" w:sz="0" w:space="0" w:color="auto"/>
        <w:left w:val="none" w:sz="0" w:space="0" w:color="auto"/>
        <w:bottom w:val="none" w:sz="0" w:space="0" w:color="auto"/>
        <w:right w:val="none" w:sz="0" w:space="0" w:color="auto"/>
      </w:divBdr>
    </w:div>
    <w:div w:id="1761022582">
      <w:bodyDiv w:val="1"/>
      <w:marLeft w:val="0"/>
      <w:marRight w:val="0"/>
      <w:marTop w:val="0"/>
      <w:marBottom w:val="0"/>
      <w:divBdr>
        <w:top w:val="none" w:sz="0" w:space="0" w:color="auto"/>
        <w:left w:val="none" w:sz="0" w:space="0" w:color="auto"/>
        <w:bottom w:val="none" w:sz="0" w:space="0" w:color="auto"/>
        <w:right w:val="none" w:sz="0" w:space="0" w:color="auto"/>
      </w:divBdr>
    </w:div>
    <w:div w:id="1762212831">
      <w:bodyDiv w:val="1"/>
      <w:marLeft w:val="0"/>
      <w:marRight w:val="0"/>
      <w:marTop w:val="0"/>
      <w:marBottom w:val="0"/>
      <w:divBdr>
        <w:top w:val="none" w:sz="0" w:space="0" w:color="auto"/>
        <w:left w:val="none" w:sz="0" w:space="0" w:color="auto"/>
        <w:bottom w:val="none" w:sz="0" w:space="0" w:color="auto"/>
        <w:right w:val="none" w:sz="0" w:space="0" w:color="auto"/>
      </w:divBdr>
    </w:div>
    <w:div w:id="1762792442">
      <w:bodyDiv w:val="1"/>
      <w:marLeft w:val="0"/>
      <w:marRight w:val="0"/>
      <w:marTop w:val="0"/>
      <w:marBottom w:val="0"/>
      <w:divBdr>
        <w:top w:val="none" w:sz="0" w:space="0" w:color="auto"/>
        <w:left w:val="none" w:sz="0" w:space="0" w:color="auto"/>
        <w:bottom w:val="none" w:sz="0" w:space="0" w:color="auto"/>
        <w:right w:val="none" w:sz="0" w:space="0" w:color="auto"/>
      </w:divBdr>
    </w:div>
    <w:div w:id="1764064522">
      <w:bodyDiv w:val="1"/>
      <w:marLeft w:val="0"/>
      <w:marRight w:val="0"/>
      <w:marTop w:val="0"/>
      <w:marBottom w:val="0"/>
      <w:divBdr>
        <w:top w:val="none" w:sz="0" w:space="0" w:color="auto"/>
        <w:left w:val="none" w:sz="0" w:space="0" w:color="auto"/>
        <w:bottom w:val="none" w:sz="0" w:space="0" w:color="auto"/>
        <w:right w:val="none" w:sz="0" w:space="0" w:color="auto"/>
      </w:divBdr>
    </w:div>
    <w:div w:id="1764259610">
      <w:bodyDiv w:val="1"/>
      <w:marLeft w:val="0"/>
      <w:marRight w:val="0"/>
      <w:marTop w:val="0"/>
      <w:marBottom w:val="0"/>
      <w:divBdr>
        <w:top w:val="none" w:sz="0" w:space="0" w:color="auto"/>
        <w:left w:val="none" w:sz="0" w:space="0" w:color="auto"/>
        <w:bottom w:val="none" w:sz="0" w:space="0" w:color="auto"/>
        <w:right w:val="none" w:sz="0" w:space="0" w:color="auto"/>
      </w:divBdr>
    </w:div>
    <w:div w:id="1764302708">
      <w:bodyDiv w:val="1"/>
      <w:marLeft w:val="0"/>
      <w:marRight w:val="0"/>
      <w:marTop w:val="0"/>
      <w:marBottom w:val="0"/>
      <w:divBdr>
        <w:top w:val="none" w:sz="0" w:space="0" w:color="auto"/>
        <w:left w:val="none" w:sz="0" w:space="0" w:color="auto"/>
        <w:bottom w:val="none" w:sz="0" w:space="0" w:color="auto"/>
        <w:right w:val="none" w:sz="0" w:space="0" w:color="auto"/>
      </w:divBdr>
    </w:div>
    <w:div w:id="1764766602">
      <w:bodyDiv w:val="1"/>
      <w:marLeft w:val="0"/>
      <w:marRight w:val="0"/>
      <w:marTop w:val="0"/>
      <w:marBottom w:val="0"/>
      <w:divBdr>
        <w:top w:val="none" w:sz="0" w:space="0" w:color="auto"/>
        <w:left w:val="none" w:sz="0" w:space="0" w:color="auto"/>
        <w:bottom w:val="none" w:sz="0" w:space="0" w:color="auto"/>
        <w:right w:val="none" w:sz="0" w:space="0" w:color="auto"/>
      </w:divBdr>
    </w:div>
    <w:div w:id="1764885126">
      <w:bodyDiv w:val="1"/>
      <w:marLeft w:val="0"/>
      <w:marRight w:val="0"/>
      <w:marTop w:val="0"/>
      <w:marBottom w:val="0"/>
      <w:divBdr>
        <w:top w:val="none" w:sz="0" w:space="0" w:color="auto"/>
        <w:left w:val="none" w:sz="0" w:space="0" w:color="auto"/>
        <w:bottom w:val="none" w:sz="0" w:space="0" w:color="auto"/>
        <w:right w:val="none" w:sz="0" w:space="0" w:color="auto"/>
      </w:divBdr>
    </w:div>
    <w:div w:id="1764952014">
      <w:bodyDiv w:val="1"/>
      <w:marLeft w:val="0"/>
      <w:marRight w:val="0"/>
      <w:marTop w:val="0"/>
      <w:marBottom w:val="0"/>
      <w:divBdr>
        <w:top w:val="none" w:sz="0" w:space="0" w:color="auto"/>
        <w:left w:val="none" w:sz="0" w:space="0" w:color="auto"/>
        <w:bottom w:val="none" w:sz="0" w:space="0" w:color="auto"/>
        <w:right w:val="none" w:sz="0" w:space="0" w:color="auto"/>
      </w:divBdr>
    </w:div>
    <w:div w:id="1765371674">
      <w:bodyDiv w:val="1"/>
      <w:marLeft w:val="0"/>
      <w:marRight w:val="0"/>
      <w:marTop w:val="0"/>
      <w:marBottom w:val="0"/>
      <w:divBdr>
        <w:top w:val="none" w:sz="0" w:space="0" w:color="auto"/>
        <w:left w:val="none" w:sz="0" w:space="0" w:color="auto"/>
        <w:bottom w:val="none" w:sz="0" w:space="0" w:color="auto"/>
        <w:right w:val="none" w:sz="0" w:space="0" w:color="auto"/>
      </w:divBdr>
    </w:div>
    <w:div w:id="1765804313">
      <w:bodyDiv w:val="1"/>
      <w:marLeft w:val="0"/>
      <w:marRight w:val="0"/>
      <w:marTop w:val="0"/>
      <w:marBottom w:val="0"/>
      <w:divBdr>
        <w:top w:val="none" w:sz="0" w:space="0" w:color="auto"/>
        <w:left w:val="none" w:sz="0" w:space="0" w:color="auto"/>
        <w:bottom w:val="none" w:sz="0" w:space="0" w:color="auto"/>
        <w:right w:val="none" w:sz="0" w:space="0" w:color="auto"/>
      </w:divBdr>
    </w:div>
    <w:div w:id="1765806452">
      <w:bodyDiv w:val="1"/>
      <w:marLeft w:val="0"/>
      <w:marRight w:val="0"/>
      <w:marTop w:val="0"/>
      <w:marBottom w:val="0"/>
      <w:divBdr>
        <w:top w:val="none" w:sz="0" w:space="0" w:color="auto"/>
        <w:left w:val="none" w:sz="0" w:space="0" w:color="auto"/>
        <w:bottom w:val="none" w:sz="0" w:space="0" w:color="auto"/>
        <w:right w:val="none" w:sz="0" w:space="0" w:color="auto"/>
      </w:divBdr>
    </w:div>
    <w:div w:id="1766152056">
      <w:bodyDiv w:val="1"/>
      <w:marLeft w:val="0"/>
      <w:marRight w:val="0"/>
      <w:marTop w:val="0"/>
      <w:marBottom w:val="0"/>
      <w:divBdr>
        <w:top w:val="none" w:sz="0" w:space="0" w:color="auto"/>
        <w:left w:val="none" w:sz="0" w:space="0" w:color="auto"/>
        <w:bottom w:val="none" w:sz="0" w:space="0" w:color="auto"/>
        <w:right w:val="none" w:sz="0" w:space="0" w:color="auto"/>
      </w:divBdr>
    </w:div>
    <w:div w:id="1766265524">
      <w:bodyDiv w:val="1"/>
      <w:marLeft w:val="0"/>
      <w:marRight w:val="0"/>
      <w:marTop w:val="0"/>
      <w:marBottom w:val="0"/>
      <w:divBdr>
        <w:top w:val="none" w:sz="0" w:space="0" w:color="auto"/>
        <w:left w:val="none" w:sz="0" w:space="0" w:color="auto"/>
        <w:bottom w:val="none" w:sz="0" w:space="0" w:color="auto"/>
        <w:right w:val="none" w:sz="0" w:space="0" w:color="auto"/>
      </w:divBdr>
    </w:div>
    <w:div w:id="1766686296">
      <w:bodyDiv w:val="1"/>
      <w:marLeft w:val="0"/>
      <w:marRight w:val="0"/>
      <w:marTop w:val="0"/>
      <w:marBottom w:val="0"/>
      <w:divBdr>
        <w:top w:val="none" w:sz="0" w:space="0" w:color="auto"/>
        <w:left w:val="none" w:sz="0" w:space="0" w:color="auto"/>
        <w:bottom w:val="none" w:sz="0" w:space="0" w:color="auto"/>
        <w:right w:val="none" w:sz="0" w:space="0" w:color="auto"/>
      </w:divBdr>
    </w:div>
    <w:div w:id="1766726730">
      <w:bodyDiv w:val="1"/>
      <w:marLeft w:val="0"/>
      <w:marRight w:val="0"/>
      <w:marTop w:val="0"/>
      <w:marBottom w:val="0"/>
      <w:divBdr>
        <w:top w:val="none" w:sz="0" w:space="0" w:color="auto"/>
        <w:left w:val="none" w:sz="0" w:space="0" w:color="auto"/>
        <w:bottom w:val="none" w:sz="0" w:space="0" w:color="auto"/>
        <w:right w:val="none" w:sz="0" w:space="0" w:color="auto"/>
      </w:divBdr>
    </w:div>
    <w:div w:id="1766729108">
      <w:bodyDiv w:val="1"/>
      <w:marLeft w:val="0"/>
      <w:marRight w:val="0"/>
      <w:marTop w:val="0"/>
      <w:marBottom w:val="0"/>
      <w:divBdr>
        <w:top w:val="none" w:sz="0" w:space="0" w:color="auto"/>
        <w:left w:val="none" w:sz="0" w:space="0" w:color="auto"/>
        <w:bottom w:val="none" w:sz="0" w:space="0" w:color="auto"/>
        <w:right w:val="none" w:sz="0" w:space="0" w:color="auto"/>
      </w:divBdr>
    </w:div>
    <w:div w:id="1768580413">
      <w:bodyDiv w:val="1"/>
      <w:marLeft w:val="0"/>
      <w:marRight w:val="0"/>
      <w:marTop w:val="0"/>
      <w:marBottom w:val="0"/>
      <w:divBdr>
        <w:top w:val="none" w:sz="0" w:space="0" w:color="auto"/>
        <w:left w:val="none" w:sz="0" w:space="0" w:color="auto"/>
        <w:bottom w:val="none" w:sz="0" w:space="0" w:color="auto"/>
        <w:right w:val="none" w:sz="0" w:space="0" w:color="auto"/>
      </w:divBdr>
    </w:div>
    <w:div w:id="1768891244">
      <w:bodyDiv w:val="1"/>
      <w:marLeft w:val="0"/>
      <w:marRight w:val="0"/>
      <w:marTop w:val="0"/>
      <w:marBottom w:val="0"/>
      <w:divBdr>
        <w:top w:val="none" w:sz="0" w:space="0" w:color="auto"/>
        <w:left w:val="none" w:sz="0" w:space="0" w:color="auto"/>
        <w:bottom w:val="none" w:sz="0" w:space="0" w:color="auto"/>
        <w:right w:val="none" w:sz="0" w:space="0" w:color="auto"/>
      </w:divBdr>
    </w:div>
    <w:div w:id="1769154328">
      <w:bodyDiv w:val="1"/>
      <w:marLeft w:val="0"/>
      <w:marRight w:val="0"/>
      <w:marTop w:val="0"/>
      <w:marBottom w:val="0"/>
      <w:divBdr>
        <w:top w:val="none" w:sz="0" w:space="0" w:color="auto"/>
        <w:left w:val="none" w:sz="0" w:space="0" w:color="auto"/>
        <w:bottom w:val="none" w:sz="0" w:space="0" w:color="auto"/>
        <w:right w:val="none" w:sz="0" w:space="0" w:color="auto"/>
      </w:divBdr>
    </w:div>
    <w:div w:id="1769302722">
      <w:bodyDiv w:val="1"/>
      <w:marLeft w:val="0"/>
      <w:marRight w:val="0"/>
      <w:marTop w:val="0"/>
      <w:marBottom w:val="0"/>
      <w:divBdr>
        <w:top w:val="none" w:sz="0" w:space="0" w:color="auto"/>
        <w:left w:val="none" w:sz="0" w:space="0" w:color="auto"/>
        <w:bottom w:val="none" w:sz="0" w:space="0" w:color="auto"/>
        <w:right w:val="none" w:sz="0" w:space="0" w:color="auto"/>
      </w:divBdr>
    </w:div>
    <w:div w:id="1769500141">
      <w:bodyDiv w:val="1"/>
      <w:marLeft w:val="0"/>
      <w:marRight w:val="0"/>
      <w:marTop w:val="0"/>
      <w:marBottom w:val="0"/>
      <w:divBdr>
        <w:top w:val="none" w:sz="0" w:space="0" w:color="auto"/>
        <w:left w:val="none" w:sz="0" w:space="0" w:color="auto"/>
        <w:bottom w:val="none" w:sz="0" w:space="0" w:color="auto"/>
        <w:right w:val="none" w:sz="0" w:space="0" w:color="auto"/>
      </w:divBdr>
    </w:div>
    <w:div w:id="1771005826">
      <w:bodyDiv w:val="1"/>
      <w:marLeft w:val="0"/>
      <w:marRight w:val="0"/>
      <w:marTop w:val="0"/>
      <w:marBottom w:val="0"/>
      <w:divBdr>
        <w:top w:val="none" w:sz="0" w:space="0" w:color="auto"/>
        <w:left w:val="none" w:sz="0" w:space="0" w:color="auto"/>
        <w:bottom w:val="none" w:sz="0" w:space="0" w:color="auto"/>
        <w:right w:val="none" w:sz="0" w:space="0" w:color="auto"/>
      </w:divBdr>
    </w:div>
    <w:div w:id="1771074732">
      <w:bodyDiv w:val="1"/>
      <w:marLeft w:val="0"/>
      <w:marRight w:val="0"/>
      <w:marTop w:val="0"/>
      <w:marBottom w:val="0"/>
      <w:divBdr>
        <w:top w:val="none" w:sz="0" w:space="0" w:color="auto"/>
        <w:left w:val="none" w:sz="0" w:space="0" w:color="auto"/>
        <w:bottom w:val="none" w:sz="0" w:space="0" w:color="auto"/>
        <w:right w:val="none" w:sz="0" w:space="0" w:color="auto"/>
      </w:divBdr>
    </w:div>
    <w:div w:id="1771311997">
      <w:bodyDiv w:val="1"/>
      <w:marLeft w:val="0"/>
      <w:marRight w:val="0"/>
      <w:marTop w:val="0"/>
      <w:marBottom w:val="0"/>
      <w:divBdr>
        <w:top w:val="none" w:sz="0" w:space="0" w:color="auto"/>
        <w:left w:val="none" w:sz="0" w:space="0" w:color="auto"/>
        <w:bottom w:val="none" w:sz="0" w:space="0" w:color="auto"/>
        <w:right w:val="none" w:sz="0" w:space="0" w:color="auto"/>
      </w:divBdr>
    </w:div>
    <w:div w:id="1771779425">
      <w:bodyDiv w:val="1"/>
      <w:marLeft w:val="0"/>
      <w:marRight w:val="0"/>
      <w:marTop w:val="0"/>
      <w:marBottom w:val="0"/>
      <w:divBdr>
        <w:top w:val="none" w:sz="0" w:space="0" w:color="auto"/>
        <w:left w:val="none" w:sz="0" w:space="0" w:color="auto"/>
        <w:bottom w:val="none" w:sz="0" w:space="0" w:color="auto"/>
        <w:right w:val="none" w:sz="0" w:space="0" w:color="auto"/>
      </w:divBdr>
    </w:div>
    <w:div w:id="1773015190">
      <w:bodyDiv w:val="1"/>
      <w:marLeft w:val="0"/>
      <w:marRight w:val="0"/>
      <w:marTop w:val="0"/>
      <w:marBottom w:val="0"/>
      <w:divBdr>
        <w:top w:val="none" w:sz="0" w:space="0" w:color="auto"/>
        <w:left w:val="none" w:sz="0" w:space="0" w:color="auto"/>
        <w:bottom w:val="none" w:sz="0" w:space="0" w:color="auto"/>
        <w:right w:val="none" w:sz="0" w:space="0" w:color="auto"/>
      </w:divBdr>
    </w:div>
    <w:div w:id="1773355881">
      <w:bodyDiv w:val="1"/>
      <w:marLeft w:val="0"/>
      <w:marRight w:val="0"/>
      <w:marTop w:val="0"/>
      <w:marBottom w:val="0"/>
      <w:divBdr>
        <w:top w:val="none" w:sz="0" w:space="0" w:color="auto"/>
        <w:left w:val="none" w:sz="0" w:space="0" w:color="auto"/>
        <w:bottom w:val="none" w:sz="0" w:space="0" w:color="auto"/>
        <w:right w:val="none" w:sz="0" w:space="0" w:color="auto"/>
      </w:divBdr>
    </w:div>
    <w:div w:id="1775320738">
      <w:bodyDiv w:val="1"/>
      <w:marLeft w:val="0"/>
      <w:marRight w:val="0"/>
      <w:marTop w:val="0"/>
      <w:marBottom w:val="0"/>
      <w:divBdr>
        <w:top w:val="none" w:sz="0" w:space="0" w:color="auto"/>
        <w:left w:val="none" w:sz="0" w:space="0" w:color="auto"/>
        <w:bottom w:val="none" w:sz="0" w:space="0" w:color="auto"/>
        <w:right w:val="none" w:sz="0" w:space="0" w:color="auto"/>
      </w:divBdr>
    </w:div>
    <w:div w:id="1775594301">
      <w:bodyDiv w:val="1"/>
      <w:marLeft w:val="0"/>
      <w:marRight w:val="0"/>
      <w:marTop w:val="0"/>
      <w:marBottom w:val="0"/>
      <w:divBdr>
        <w:top w:val="none" w:sz="0" w:space="0" w:color="auto"/>
        <w:left w:val="none" w:sz="0" w:space="0" w:color="auto"/>
        <w:bottom w:val="none" w:sz="0" w:space="0" w:color="auto"/>
        <w:right w:val="none" w:sz="0" w:space="0" w:color="auto"/>
      </w:divBdr>
    </w:div>
    <w:div w:id="1776751750">
      <w:bodyDiv w:val="1"/>
      <w:marLeft w:val="0"/>
      <w:marRight w:val="0"/>
      <w:marTop w:val="0"/>
      <w:marBottom w:val="0"/>
      <w:divBdr>
        <w:top w:val="none" w:sz="0" w:space="0" w:color="auto"/>
        <w:left w:val="none" w:sz="0" w:space="0" w:color="auto"/>
        <w:bottom w:val="none" w:sz="0" w:space="0" w:color="auto"/>
        <w:right w:val="none" w:sz="0" w:space="0" w:color="auto"/>
      </w:divBdr>
    </w:div>
    <w:div w:id="1778450783">
      <w:bodyDiv w:val="1"/>
      <w:marLeft w:val="0"/>
      <w:marRight w:val="0"/>
      <w:marTop w:val="0"/>
      <w:marBottom w:val="0"/>
      <w:divBdr>
        <w:top w:val="none" w:sz="0" w:space="0" w:color="auto"/>
        <w:left w:val="none" w:sz="0" w:space="0" w:color="auto"/>
        <w:bottom w:val="none" w:sz="0" w:space="0" w:color="auto"/>
        <w:right w:val="none" w:sz="0" w:space="0" w:color="auto"/>
      </w:divBdr>
    </w:div>
    <w:div w:id="1779830763">
      <w:bodyDiv w:val="1"/>
      <w:marLeft w:val="0"/>
      <w:marRight w:val="0"/>
      <w:marTop w:val="0"/>
      <w:marBottom w:val="0"/>
      <w:divBdr>
        <w:top w:val="none" w:sz="0" w:space="0" w:color="auto"/>
        <w:left w:val="none" w:sz="0" w:space="0" w:color="auto"/>
        <w:bottom w:val="none" w:sz="0" w:space="0" w:color="auto"/>
        <w:right w:val="none" w:sz="0" w:space="0" w:color="auto"/>
      </w:divBdr>
    </w:div>
    <w:div w:id="1780566609">
      <w:bodyDiv w:val="1"/>
      <w:marLeft w:val="0"/>
      <w:marRight w:val="0"/>
      <w:marTop w:val="0"/>
      <w:marBottom w:val="0"/>
      <w:divBdr>
        <w:top w:val="none" w:sz="0" w:space="0" w:color="auto"/>
        <w:left w:val="none" w:sz="0" w:space="0" w:color="auto"/>
        <w:bottom w:val="none" w:sz="0" w:space="0" w:color="auto"/>
        <w:right w:val="none" w:sz="0" w:space="0" w:color="auto"/>
      </w:divBdr>
    </w:div>
    <w:div w:id="1780907990">
      <w:bodyDiv w:val="1"/>
      <w:marLeft w:val="0"/>
      <w:marRight w:val="0"/>
      <w:marTop w:val="0"/>
      <w:marBottom w:val="0"/>
      <w:divBdr>
        <w:top w:val="none" w:sz="0" w:space="0" w:color="auto"/>
        <w:left w:val="none" w:sz="0" w:space="0" w:color="auto"/>
        <w:bottom w:val="none" w:sz="0" w:space="0" w:color="auto"/>
        <w:right w:val="none" w:sz="0" w:space="0" w:color="auto"/>
      </w:divBdr>
    </w:div>
    <w:div w:id="1781486956">
      <w:bodyDiv w:val="1"/>
      <w:marLeft w:val="0"/>
      <w:marRight w:val="0"/>
      <w:marTop w:val="0"/>
      <w:marBottom w:val="0"/>
      <w:divBdr>
        <w:top w:val="none" w:sz="0" w:space="0" w:color="auto"/>
        <w:left w:val="none" w:sz="0" w:space="0" w:color="auto"/>
        <w:bottom w:val="none" w:sz="0" w:space="0" w:color="auto"/>
        <w:right w:val="none" w:sz="0" w:space="0" w:color="auto"/>
      </w:divBdr>
    </w:div>
    <w:div w:id="1781604728">
      <w:bodyDiv w:val="1"/>
      <w:marLeft w:val="0"/>
      <w:marRight w:val="0"/>
      <w:marTop w:val="0"/>
      <w:marBottom w:val="0"/>
      <w:divBdr>
        <w:top w:val="none" w:sz="0" w:space="0" w:color="auto"/>
        <w:left w:val="none" w:sz="0" w:space="0" w:color="auto"/>
        <w:bottom w:val="none" w:sz="0" w:space="0" w:color="auto"/>
        <w:right w:val="none" w:sz="0" w:space="0" w:color="auto"/>
      </w:divBdr>
    </w:div>
    <w:div w:id="1781680912">
      <w:bodyDiv w:val="1"/>
      <w:marLeft w:val="0"/>
      <w:marRight w:val="0"/>
      <w:marTop w:val="0"/>
      <w:marBottom w:val="0"/>
      <w:divBdr>
        <w:top w:val="none" w:sz="0" w:space="0" w:color="auto"/>
        <w:left w:val="none" w:sz="0" w:space="0" w:color="auto"/>
        <w:bottom w:val="none" w:sz="0" w:space="0" w:color="auto"/>
        <w:right w:val="none" w:sz="0" w:space="0" w:color="auto"/>
      </w:divBdr>
    </w:div>
    <w:div w:id="1781949003">
      <w:bodyDiv w:val="1"/>
      <w:marLeft w:val="0"/>
      <w:marRight w:val="0"/>
      <w:marTop w:val="0"/>
      <w:marBottom w:val="0"/>
      <w:divBdr>
        <w:top w:val="none" w:sz="0" w:space="0" w:color="auto"/>
        <w:left w:val="none" w:sz="0" w:space="0" w:color="auto"/>
        <w:bottom w:val="none" w:sz="0" w:space="0" w:color="auto"/>
        <w:right w:val="none" w:sz="0" w:space="0" w:color="auto"/>
      </w:divBdr>
    </w:div>
    <w:div w:id="1782411280">
      <w:bodyDiv w:val="1"/>
      <w:marLeft w:val="0"/>
      <w:marRight w:val="0"/>
      <w:marTop w:val="0"/>
      <w:marBottom w:val="0"/>
      <w:divBdr>
        <w:top w:val="none" w:sz="0" w:space="0" w:color="auto"/>
        <w:left w:val="none" w:sz="0" w:space="0" w:color="auto"/>
        <w:bottom w:val="none" w:sz="0" w:space="0" w:color="auto"/>
        <w:right w:val="none" w:sz="0" w:space="0" w:color="auto"/>
      </w:divBdr>
    </w:div>
    <w:div w:id="1784037736">
      <w:bodyDiv w:val="1"/>
      <w:marLeft w:val="0"/>
      <w:marRight w:val="0"/>
      <w:marTop w:val="0"/>
      <w:marBottom w:val="0"/>
      <w:divBdr>
        <w:top w:val="none" w:sz="0" w:space="0" w:color="auto"/>
        <w:left w:val="none" w:sz="0" w:space="0" w:color="auto"/>
        <w:bottom w:val="none" w:sz="0" w:space="0" w:color="auto"/>
        <w:right w:val="none" w:sz="0" w:space="0" w:color="auto"/>
      </w:divBdr>
    </w:div>
    <w:div w:id="1784492155">
      <w:bodyDiv w:val="1"/>
      <w:marLeft w:val="0"/>
      <w:marRight w:val="0"/>
      <w:marTop w:val="0"/>
      <w:marBottom w:val="0"/>
      <w:divBdr>
        <w:top w:val="none" w:sz="0" w:space="0" w:color="auto"/>
        <w:left w:val="none" w:sz="0" w:space="0" w:color="auto"/>
        <w:bottom w:val="none" w:sz="0" w:space="0" w:color="auto"/>
        <w:right w:val="none" w:sz="0" w:space="0" w:color="auto"/>
      </w:divBdr>
    </w:div>
    <w:div w:id="1784615371">
      <w:bodyDiv w:val="1"/>
      <w:marLeft w:val="0"/>
      <w:marRight w:val="0"/>
      <w:marTop w:val="0"/>
      <w:marBottom w:val="0"/>
      <w:divBdr>
        <w:top w:val="none" w:sz="0" w:space="0" w:color="auto"/>
        <w:left w:val="none" w:sz="0" w:space="0" w:color="auto"/>
        <w:bottom w:val="none" w:sz="0" w:space="0" w:color="auto"/>
        <w:right w:val="none" w:sz="0" w:space="0" w:color="auto"/>
      </w:divBdr>
    </w:div>
    <w:div w:id="1784761336">
      <w:bodyDiv w:val="1"/>
      <w:marLeft w:val="0"/>
      <w:marRight w:val="0"/>
      <w:marTop w:val="0"/>
      <w:marBottom w:val="0"/>
      <w:divBdr>
        <w:top w:val="none" w:sz="0" w:space="0" w:color="auto"/>
        <w:left w:val="none" w:sz="0" w:space="0" w:color="auto"/>
        <w:bottom w:val="none" w:sz="0" w:space="0" w:color="auto"/>
        <w:right w:val="none" w:sz="0" w:space="0" w:color="auto"/>
      </w:divBdr>
    </w:div>
    <w:div w:id="1785224046">
      <w:bodyDiv w:val="1"/>
      <w:marLeft w:val="0"/>
      <w:marRight w:val="0"/>
      <w:marTop w:val="0"/>
      <w:marBottom w:val="0"/>
      <w:divBdr>
        <w:top w:val="none" w:sz="0" w:space="0" w:color="auto"/>
        <w:left w:val="none" w:sz="0" w:space="0" w:color="auto"/>
        <w:bottom w:val="none" w:sz="0" w:space="0" w:color="auto"/>
        <w:right w:val="none" w:sz="0" w:space="0" w:color="auto"/>
      </w:divBdr>
    </w:div>
    <w:div w:id="1786150023">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9660677">
      <w:bodyDiv w:val="1"/>
      <w:marLeft w:val="0"/>
      <w:marRight w:val="0"/>
      <w:marTop w:val="0"/>
      <w:marBottom w:val="0"/>
      <w:divBdr>
        <w:top w:val="none" w:sz="0" w:space="0" w:color="auto"/>
        <w:left w:val="none" w:sz="0" w:space="0" w:color="auto"/>
        <w:bottom w:val="none" w:sz="0" w:space="0" w:color="auto"/>
        <w:right w:val="none" w:sz="0" w:space="0" w:color="auto"/>
      </w:divBdr>
    </w:div>
    <w:div w:id="1791050626">
      <w:bodyDiv w:val="1"/>
      <w:marLeft w:val="0"/>
      <w:marRight w:val="0"/>
      <w:marTop w:val="0"/>
      <w:marBottom w:val="0"/>
      <w:divBdr>
        <w:top w:val="none" w:sz="0" w:space="0" w:color="auto"/>
        <w:left w:val="none" w:sz="0" w:space="0" w:color="auto"/>
        <w:bottom w:val="none" w:sz="0" w:space="0" w:color="auto"/>
        <w:right w:val="none" w:sz="0" w:space="0" w:color="auto"/>
      </w:divBdr>
    </w:div>
    <w:div w:id="1792673615">
      <w:bodyDiv w:val="1"/>
      <w:marLeft w:val="0"/>
      <w:marRight w:val="0"/>
      <w:marTop w:val="0"/>
      <w:marBottom w:val="0"/>
      <w:divBdr>
        <w:top w:val="none" w:sz="0" w:space="0" w:color="auto"/>
        <w:left w:val="none" w:sz="0" w:space="0" w:color="auto"/>
        <w:bottom w:val="none" w:sz="0" w:space="0" w:color="auto"/>
        <w:right w:val="none" w:sz="0" w:space="0" w:color="auto"/>
      </w:divBdr>
    </w:div>
    <w:div w:id="1793212399">
      <w:bodyDiv w:val="1"/>
      <w:marLeft w:val="0"/>
      <w:marRight w:val="0"/>
      <w:marTop w:val="0"/>
      <w:marBottom w:val="0"/>
      <w:divBdr>
        <w:top w:val="none" w:sz="0" w:space="0" w:color="auto"/>
        <w:left w:val="none" w:sz="0" w:space="0" w:color="auto"/>
        <w:bottom w:val="none" w:sz="0" w:space="0" w:color="auto"/>
        <w:right w:val="none" w:sz="0" w:space="0" w:color="auto"/>
      </w:divBdr>
    </w:div>
    <w:div w:id="1793280267">
      <w:bodyDiv w:val="1"/>
      <w:marLeft w:val="0"/>
      <w:marRight w:val="0"/>
      <w:marTop w:val="0"/>
      <w:marBottom w:val="0"/>
      <w:divBdr>
        <w:top w:val="none" w:sz="0" w:space="0" w:color="auto"/>
        <w:left w:val="none" w:sz="0" w:space="0" w:color="auto"/>
        <w:bottom w:val="none" w:sz="0" w:space="0" w:color="auto"/>
        <w:right w:val="none" w:sz="0" w:space="0" w:color="auto"/>
      </w:divBdr>
    </w:div>
    <w:div w:id="1793743289">
      <w:bodyDiv w:val="1"/>
      <w:marLeft w:val="0"/>
      <w:marRight w:val="0"/>
      <w:marTop w:val="0"/>
      <w:marBottom w:val="0"/>
      <w:divBdr>
        <w:top w:val="none" w:sz="0" w:space="0" w:color="auto"/>
        <w:left w:val="none" w:sz="0" w:space="0" w:color="auto"/>
        <w:bottom w:val="none" w:sz="0" w:space="0" w:color="auto"/>
        <w:right w:val="none" w:sz="0" w:space="0" w:color="auto"/>
      </w:divBdr>
    </w:div>
    <w:div w:id="1793748256">
      <w:bodyDiv w:val="1"/>
      <w:marLeft w:val="0"/>
      <w:marRight w:val="0"/>
      <w:marTop w:val="0"/>
      <w:marBottom w:val="0"/>
      <w:divBdr>
        <w:top w:val="none" w:sz="0" w:space="0" w:color="auto"/>
        <w:left w:val="none" w:sz="0" w:space="0" w:color="auto"/>
        <w:bottom w:val="none" w:sz="0" w:space="0" w:color="auto"/>
        <w:right w:val="none" w:sz="0" w:space="0" w:color="auto"/>
      </w:divBdr>
    </w:div>
    <w:div w:id="1793937684">
      <w:bodyDiv w:val="1"/>
      <w:marLeft w:val="0"/>
      <w:marRight w:val="0"/>
      <w:marTop w:val="0"/>
      <w:marBottom w:val="0"/>
      <w:divBdr>
        <w:top w:val="none" w:sz="0" w:space="0" w:color="auto"/>
        <w:left w:val="none" w:sz="0" w:space="0" w:color="auto"/>
        <w:bottom w:val="none" w:sz="0" w:space="0" w:color="auto"/>
        <w:right w:val="none" w:sz="0" w:space="0" w:color="auto"/>
      </w:divBdr>
    </w:div>
    <w:div w:id="1794715537">
      <w:bodyDiv w:val="1"/>
      <w:marLeft w:val="0"/>
      <w:marRight w:val="0"/>
      <w:marTop w:val="0"/>
      <w:marBottom w:val="0"/>
      <w:divBdr>
        <w:top w:val="none" w:sz="0" w:space="0" w:color="auto"/>
        <w:left w:val="none" w:sz="0" w:space="0" w:color="auto"/>
        <w:bottom w:val="none" w:sz="0" w:space="0" w:color="auto"/>
        <w:right w:val="none" w:sz="0" w:space="0" w:color="auto"/>
      </w:divBdr>
    </w:div>
    <w:div w:id="1796874064">
      <w:bodyDiv w:val="1"/>
      <w:marLeft w:val="0"/>
      <w:marRight w:val="0"/>
      <w:marTop w:val="0"/>
      <w:marBottom w:val="0"/>
      <w:divBdr>
        <w:top w:val="none" w:sz="0" w:space="0" w:color="auto"/>
        <w:left w:val="none" w:sz="0" w:space="0" w:color="auto"/>
        <w:bottom w:val="none" w:sz="0" w:space="0" w:color="auto"/>
        <w:right w:val="none" w:sz="0" w:space="0" w:color="auto"/>
      </w:divBdr>
    </w:div>
    <w:div w:id="1797335967">
      <w:bodyDiv w:val="1"/>
      <w:marLeft w:val="0"/>
      <w:marRight w:val="0"/>
      <w:marTop w:val="0"/>
      <w:marBottom w:val="0"/>
      <w:divBdr>
        <w:top w:val="none" w:sz="0" w:space="0" w:color="auto"/>
        <w:left w:val="none" w:sz="0" w:space="0" w:color="auto"/>
        <w:bottom w:val="none" w:sz="0" w:space="0" w:color="auto"/>
        <w:right w:val="none" w:sz="0" w:space="0" w:color="auto"/>
      </w:divBdr>
    </w:div>
    <w:div w:id="1798601742">
      <w:bodyDiv w:val="1"/>
      <w:marLeft w:val="0"/>
      <w:marRight w:val="0"/>
      <w:marTop w:val="0"/>
      <w:marBottom w:val="0"/>
      <w:divBdr>
        <w:top w:val="none" w:sz="0" w:space="0" w:color="auto"/>
        <w:left w:val="none" w:sz="0" w:space="0" w:color="auto"/>
        <w:bottom w:val="none" w:sz="0" w:space="0" w:color="auto"/>
        <w:right w:val="none" w:sz="0" w:space="0" w:color="auto"/>
      </w:divBdr>
    </w:div>
    <w:div w:id="1799295549">
      <w:bodyDiv w:val="1"/>
      <w:marLeft w:val="0"/>
      <w:marRight w:val="0"/>
      <w:marTop w:val="0"/>
      <w:marBottom w:val="0"/>
      <w:divBdr>
        <w:top w:val="none" w:sz="0" w:space="0" w:color="auto"/>
        <w:left w:val="none" w:sz="0" w:space="0" w:color="auto"/>
        <w:bottom w:val="none" w:sz="0" w:space="0" w:color="auto"/>
        <w:right w:val="none" w:sz="0" w:space="0" w:color="auto"/>
      </w:divBdr>
    </w:div>
    <w:div w:id="1799759333">
      <w:bodyDiv w:val="1"/>
      <w:marLeft w:val="0"/>
      <w:marRight w:val="0"/>
      <w:marTop w:val="0"/>
      <w:marBottom w:val="0"/>
      <w:divBdr>
        <w:top w:val="none" w:sz="0" w:space="0" w:color="auto"/>
        <w:left w:val="none" w:sz="0" w:space="0" w:color="auto"/>
        <w:bottom w:val="none" w:sz="0" w:space="0" w:color="auto"/>
        <w:right w:val="none" w:sz="0" w:space="0" w:color="auto"/>
      </w:divBdr>
    </w:div>
    <w:div w:id="1801219377">
      <w:bodyDiv w:val="1"/>
      <w:marLeft w:val="0"/>
      <w:marRight w:val="0"/>
      <w:marTop w:val="0"/>
      <w:marBottom w:val="0"/>
      <w:divBdr>
        <w:top w:val="none" w:sz="0" w:space="0" w:color="auto"/>
        <w:left w:val="none" w:sz="0" w:space="0" w:color="auto"/>
        <w:bottom w:val="none" w:sz="0" w:space="0" w:color="auto"/>
        <w:right w:val="none" w:sz="0" w:space="0" w:color="auto"/>
      </w:divBdr>
    </w:div>
    <w:div w:id="1801803300">
      <w:bodyDiv w:val="1"/>
      <w:marLeft w:val="0"/>
      <w:marRight w:val="0"/>
      <w:marTop w:val="0"/>
      <w:marBottom w:val="0"/>
      <w:divBdr>
        <w:top w:val="none" w:sz="0" w:space="0" w:color="auto"/>
        <w:left w:val="none" w:sz="0" w:space="0" w:color="auto"/>
        <w:bottom w:val="none" w:sz="0" w:space="0" w:color="auto"/>
        <w:right w:val="none" w:sz="0" w:space="0" w:color="auto"/>
      </w:divBdr>
    </w:div>
    <w:div w:id="1802267302">
      <w:bodyDiv w:val="1"/>
      <w:marLeft w:val="0"/>
      <w:marRight w:val="0"/>
      <w:marTop w:val="0"/>
      <w:marBottom w:val="0"/>
      <w:divBdr>
        <w:top w:val="none" w:sz="0" w:space="0" w:color="auto"/>
        <w:left w:val="none" w:sz="0" w:space="0" w:color="auto"/>
        <w:bottom w:val="none" w:sz="0" w:space="0" w:color="auto"/>
        <w:right w:val="none" w:sz="0" w:space="0" w:color="auto"/>
      </w:divBdr>
    </w:div>
    <w:div w:id="1802530703">
      <w:bodyDiv w:val="1"/>
      <w:marLeft w:val="0"/>
      <w:marRight w:val="0"/>
      <w:marTop w:val="0"/>
      <w:marBottom w:val="0"/>
      <w:divBdr>
        <w:top w:val="none" w:sz="0" w:space="0" w:color="auto"/>
        <w:left w:val="none" w:sz="0" w:space="0" w:color="auto"/>
        <w:bottom w:val="none" w:sz="0" w:space="0" w:color="auto"/>
        <w:right w:val="none" w:sz="0" w:space="0" w:color="auto"/>
      </w:divBdr>
    </w:div>
    <w:div w:id="1803495261">
      <w:bodyDiv w:val="1"/>
      <w:marLeft w:val="0"/>
      <w:marRight w:val="0"/>
      <w:marTop w:val="0"/>
      <w:marBottom w:val="0"/>
      <w:divBdr>
        <w:top w:val="none" w:sz="0" w:space="0" w:color="auto"/>
        <w:left w:val="none" w:sz="0" w:space="0" w:color="auto"/>
        <w:bottom w:val="none" w:sz="0" w:space="0" w:color="auto"/>
        <w:right w:val="none" w:sz="0" w:space="0" w:color="auto"/>
      </w:divBdr>
    </w:div>
    <w:div w:id="1805076267">
      <w:bodyDiv w:val="1"/>
      <w:marLeft w:val="0"/>
      <w:marRight w:val="0"/>
      <w:marTop w:val="0"/>
      <w:marBottom w:val="0"/>
      <w:divBdr>
        <w:top w:val="none" w:sz="0" w:space="0" w:color="auto"/>
        <w:left w:val="none" w:sz="0" w:space="0" w:color="auto"/>
        <w:bottom w:val="none" w:sz="0" w:space="0" w:color="auto"/>
        <w:right w:val="none" w:sz="0" w:space="0" w:color="auto"/>
      </w:divBdr>
    </w:div>
    <w:div w:id="1805541926">
      <w:bodyDiv w:val="1"/>
      <w:marLeft w:val="0"/>
      <w:marRight w:val="0"/>
      <w:marTop w:val="0"/>
      <w:marBottom w:val="0"/>
      <w:divBdr>
        <w:top w:val="none" w:sz="0" w:space="0" w:color="auto"/>
        <w:left w:val="none" w:sz="0" w:space="0" w:color="auto"/>
        <w:bottom w:val="none" w:sz="0" w:space="0" w:color="auto"/>
        <w:right w:val="none" w:sz="0" w:space="0" w:color="auto"/>
      </w:divBdr>
    </w:div>
    <w:div w:id="1805779967">
      <w:bodyDiv w:val="1"/>
      <w:marLeft w:val="0"/>
      <w:marRight w:val="0"/>
      <w:marTop w:val="0"/>
      <w:marBottom w:val="0"/>
      <w:divBdr>
        <w:top w:val="none" w:sz="0" w:space="0" w:color="auto"/>
        <w:left w:val="none" w:sz="0" w:space="0" w:color="auto"/>
        <w:bottom w:val="none" w:sz="0" w:space="0" w:color="auto"/>
        <w:right w:val="none" w:sz="0" w:space="0" w:color="auto"/>
      </w:divBdr>
    </w:div>
    <w:div w:id="1806845956">
      <w:bodyDiv w:val="1"/>
      <w:marLeft w:val="0"/>
      <w:marRight w:val="0"/>
      <w:marTop w:val="0"/>
      <w:marBottom w:val="0"/>
      <w:divBdr>
        <w:top w:val="none" w:sz="0" w:space="0" w:color="auto"/>
        <w:left w:val="none" w:sz="0" w:space="0" w:color="auto"/>
        <w:bottom w:val="none" w:sz="0" w:space="0" w:color="auto"/>
        <w:right w:val="none" w:sz="0" w:space="0" w:color="auto"/>
      </w:divBdr>
    </w:div>
    <w:div w:id="1807039326">
      <w:bodyDiv w:val="1"/>
      <w:marLeft w:val="0"/>
      <w:marRight w:val="0"/>
      <w:marTop w:val="0"/>
      <w:marBottom w:val="0"/>
      <w:divBdr>
        <w:top w:val="none" w:sz="0" w:space="0" w:color="auto"/>
        <w:left w:val="none" w:sz="0" w:space="0" w:color="auto"/>
        <w:bottom w:val="none" w:sz="0" w:space="0" w:color="auto"/>
        <w:right w:val="none" w:sz="0" w:space="0" w:color="auto"/>
      </w:divBdr>
    </w:div>
    <w:div w:id="1807118926">
      <w:bodyDiv w:val="1"/>
      <w:marLeft w:val="0"/>
      <w:marRight w:val="0"/>
      <w:marTop w:val="0"/>
      <w:marBottom w:val="0"/>
      <w:divBdr>
        <w:top w:val="none" w:sz="0" w:space="0" w:color="auto"/>
        <w:left w:val="none" w:sz="0" w:space="0" w:color="auto"/>
        <w:bottom w:val="none" w:sz="0" w:space="0" w:color="auto"/>
        <w:right w:val="none" w:sz="0" w:space="0" w:color="auto"/>
      </w:divBdr>
    </w:div>
    <w:div w:id="1809780478">
      <w:bodyDiv w:val="1"/>
      <w:marLeft w:val="0"/>
      <w:marRight w:val="0"/>
      <w:marTop w:val="0"/>
      <w:marBottom w:val="0"/>
      <w:divBdr>
        <w:top w:val="none" w:sz="0" w:space="0" w:color="auto"/>
        <w:left w:val="none" w:sz="0" w:space="0" w:color="auto"/>
        <w:bottom w:val="none" w:sz="0" w:space="0" w:color="auto"/>
        <w:right w:val="none" w:sz="0" w:space="0" w:color="auto"/>
      </w:divBdr>
    </w:div>
    <w:div w:id="1810782214">
      <w:bodyDiv w:val="1"/>
      <w:marLeft w:val="0"/>
      <w:marRight w:val="0"/>
      <w:marTop w:val="0"/>
      <w:marBottom w:val="0"/>
      <w:divBdr>
        <w:top w:val="none" w:sz="0" w:space="0" w:color="auto"/>
        <w:left w:val="none" w:sz="0" w:space="0" w:color="auto"/>
        <w:bottom w:val="none" w:sz="0" w:space="0" w:color="auto"/>
        <w:right w:val="none" w:sz="0" w:space="0" w:color="auto"/>
      </w:divBdr>
    </w:div>
    <w:div w:id="1811362191">
      <w:bodyDiv w:val="1"/>
      <w:marLeft w:val="0"/>
      <w:marRight w:val="0"/>
      <w:marTop w:val="0"/>
      <w:marBottom w:val="0"/>
      <w:divBdr>
        <w:top w:val="none" w:sz="0" w:space="0" w:color="auto"/>
        <w:left w:val="none" w:sz="0" w:space="0" w:color="auto"/>
        <w:bottom w:val="none" w:sz="0" w:space="0" w:color="auto"/>
        <w:right w:val="none" w:sz="0" w:space="0" w:color="auto"/>
      </w:divBdr>
    </w:div>
    <w:div w:id="1812012586">
      <w:bodyDiv w:val="1"/>
      <w:marLeft w:val="0"/>
      <w:marRight w:val="0"/>
      <w:marTop w:val="0"/>
      <w:marBottom w:val="0"/>
      <w:divBdr>
        <w:top w:val="none" w:sz="0" w:space="0" w:color="auto"/>
        <w:left w:val="none" w:sz="0" w:space="0" w:color="auto"/>
        <w:bottom w:val="none" w:sz="0" w:space="0" w:color="auto"/>
        <w:right w:val="none" w:sz="0" w:space="0" w:color="auto"/>
      </w:divBdr>
    </w:div>
    <w:div w:id="1812208482">
      <w:bodyDiv w:val="1"/>
      <w:marLeft w:val="0"/>
      <w:marRight w:val="0"/>
      <w:marTop w:val="0"/>
      <w:marBottom w:val="0"/>
      <w:divBdr>
        <w:top w:val="none" w:sz="0" w:space="0" w:color="auto"/>
        <w:left w:val="none" w:sz="0" w:space="0" w:color="auto"/>
        <w:bottom w:val="none" w:sz="0" w:space="0" w:color="auto"/>
        <w:right w:val="none" w:sz="0" w:space="0" w:color="auto"/>
      </w:divBdr>
    </w:div>
    <w:div w:id="1812749151">
      <w:bodyDiv w:val="1"/>
      <w:marLeft w:val="0"/>
      <w:marRight w:val="0"/>
      <w:marTop w:val="0"/>
      <w:marBottom w:val="0"/>
      <w:divBdr>
        <w:top w:val="none" w:sz="0" w:space="0" w:color="auto"/>
        <w:left w:val="none" w:sz="0" w:space="0" w:color="auto"/>
        <w:bottom w:val="none" w:sz="0" w:space="0" w:color="auto"/>
        <w:right w:val="none" w:sz="0" w:space="0" w:color="auto"/>
      </w:divBdr>
    </w:div>
    <w:div w:id="1812823652">
      <w:bodyDiv w:val="1"/>
      <w:marLeft w:val="0"/>
      <w:marRight w:val="0"/>
      <w:marTop w:val="0"/>
      <w:marBottom w:val="0"/>
      <w:divBdr>
        <w:top w:val="none" w:sz="0" w:space="0" w:color="auto"/>
        <w:left w:val="none" w:sz="0" w:space="0" w:color="auto"/>
        <w:bottom w:val="none" w:sz="0" w:space="0" w:color="auto"/>
        <w:right w:val="none" w:sz="0" w:space="0" w:color="auto"/>
      </w:divBdr>
    </w:div>
    <w:div w:id="1813865379">
      <w:bodyDiv w:val="1"/>
      <w:marLeft w:val="0"/>
      <w:marRight w:val="0"/>
      <w:marTop w:val="0"/>
      <w:marBottom w:val="0"/>
      <w:divBdr>
        <w:top w:val="none" w:sz="0" w:space="0" w:color="auto"/>
        <w:left w:val="none" w:sz="0" w:space="0" w:color="auto"/>
        <w:bottom w:val="none" w:sz="0" w:space="0" w:color="auto"/>
        <w:right w:val="none" w:sz="0" w:space="0" w:color="auto"/>
      </w:divBdr>
    </w:div>
    <w:div w:id="1814133728">
      <w:bodyDiv w:val="1"/>
      <w:marLeft w:val="0"/>
      <w:marRight w:val="0"/>
      <w:marTop w:val="0"/>
      <w:marBottom w:val="0"/>
      <w:divBdr>
        <w:top w:val="none" w:sz="0" w:space="0" w:color="auto"/>
        <w:left w:val="none" w:sz="0" w:space="0" w:color="auto"/>
        <w:bottom w:val="none" w:sz="0" w:space="0" w:color="auto"/>
        <w:right w:val="none" w:sz="0" w:space="0" w:color="auto"/>
      </w:divBdr>
    </w:div>
    <w:div w:id="1815484256">
      <w:bodyDiv w:val="1"/>
      <w:marLeft w:val="0"/>
      <w:marRight w:val="0"/>
      <w:marTop w:val="0"/>
      <w:marBottom w:val="0"/>
      <w:divBdr>
        <w:top w:val="none" w:sz="0" w:space="0" w:color="auto"/>
        <w:left w:val="none" w:sz="0" w:space="0" w:color="auto"/>
        <w:bottom w:val="none" w:sz="0" w:space="0" w:color="auto"/>
        <w:right w:val="none" w:sz="0" w:space="0" w:color="auto"/>
      </w:divBdr>
    </w:div>
    <w:div w:id="1817532721">
      <w:bodyDiv w:val="1"/>
      <w:marLeft w:val="0"/>
      <w:marRight w:val="0"/>
      <w:marTop w:val="0"/>
      <w:marBottom w:val="0"/>
      <w:divBdr>
        <w:top w:val="none" w:sz="0" w:space="0" w:color="auto"/>
        <w:left w:val="none" w:sz="0" w:space="0" w:color="auto"/>
        <w:bottom w:val="none" w:sz="0" w:space="0" w:color="auto"/>
        <w:right w:val="none" w:sz="0" w:space="0" w:color="auto"/>
      </w:divBdr>
    </w:div>
    <w:div w:id="1817840622">
      <w:bodyDiv w:val="1"/>
      <w:marLeft w:val="0"/>
      <w:marRight w:val="0"/>
      <w:marTop w:val="0"/>
      <w:marBottom w:val="0"/>
      <w:divBdr>
        <w:top w:val="none" w:sz="0" w:space="0" w:color="auto"/>
        <w:left w:val="none" w:sz="0" w:space="0" w:color="auto"/>
        <w:bottom w:val="none" w:sz="0" w:space="0" w:color="auto"/>
        <w:right w:val="none" w:sz="0" w:space="0" w:color="auto"/>
      </w:divBdr>
    </w:div>
    <w:div w:id="1818106459">
      <w:bodyDiv w:val="1"/>
      <w:marLeft w:val="0"/>
      <w:marRight w:val="0"/>
      <w:marTop w:val="0"/>
      <w:marBottom w:val="0"/>
      <w:divBdr>
        <w:top w:val="none" w:sz="0" w:space="0" w:color="auto"/>
        <w:left w:val="none" w:sz="0" w:space="0" w:color="auto"/>
        <w:bottom w:val="none" w:sz="0" w:space="0" w:color="auto"/>
        <w:right w:val="none" w:sz="0" w:space="0" w:color="auto"/>
      </w:divBdr>
    </w:div>
    <w:div w:id="1818761463">
      <w:bodyDiv w:val="1"/>
      <w:marLeft w:val="0"/>
      <w:marRight w:val="0"/>
      <w:marTop w:val="0"/>
      <w:marBottom w:val="0"/>
      <w:divBdr>
        <w:top w:val="none" w:sz="0" w:space="0" w:color="auto"/>
        <w:left w:val="none" w:sz="0" w:space="0" w:color="auto"/>
        <w:bottom w:val="none" w:sz="0" w:space="0" w:color="auto"/>
        <w:right w:val="none" w:sz="0" w:space="0" w:color="auto"/>
      </w:divBdr>
    </w:div>
    <w:div w:id="1819493581">
      <w:bodyDiv w:val="1"/>
      <w:marLeft w:val="0"/>
      <w:marRight w:val="0"/>
      <w:marTop w:val="0"/>
      <w:marBottom w:val="0"/>
      <w:divBdr>
        <w:top w:val="none" w:sz="0" w:space="0" w:color="auto"/>
        <w:left w:val="none" w:sz="0" w:space="0" w:color="auto"/>
        <w:bottom w:val="none" w:sz="0" w:space="0" w:color="auto"/>
        <w:right w:val="none" w:sz="0" w:space="0" w:color="auto"/>
      </w:divBdr>
    </w:div>
    <w:div w:id="1819951738">
      <w:bodyDiv w:val="1"/>
      <w:marLeft w:val="0"/>
      <w:marRight w:val="0"/>
      <w:marTop w:val="0"/>
      <w:marBottom w:val="0"/>
      <w:divBdr>
        <w:top w:val="none" w:sz="0" w:space="0" w:color="auto"/>
        <w:left w:val="none" w:sz="0" w:space="0" w:color="auto"/>
        <w:bottom w:val="none" w:sz="0" w:space="0" w:color="auto"/>
        <w:right w:val="none" w:sz="0" w:space="0" w:color="auto"/>
      </w:divBdr>
    </w:div>
    <w:div w:id="1821119840">
      <w:bodyDiv w:val="1"/>
      <w:marLeft w:val="0"/>
      <w:marRight w:val="0"/>
      <w:marTop w:val="0"/>
      <w:marBottom w:val="0"/>
      <w:divBdr>
        <w:top w:val="none" w:sz="0" w:space="0" w:color="auto"/>
        <w:left w:val="none" w:sz="0" w:space="0" w:color="auto"/>
        <w:bottom w:val="none" w:sz="0" w:space="0" w:color="auto"/>
        <w:right w:val="none" w:sz="0" w:space="0" w:color="auto"/>
      </w:divBdr>
    </w:div>
    <w:div w:id="1821773072">
      <w:bodyDiv w:val="1"/>
      <w:marLeft w:val="0"/>
      <w:marRight w:val="0"/>
      <w:marTop w:val="0"/>
      <w:marBottom w:val="0"/>
      <w:divBdr>
        <w:top w:val="none" w:sz="0" w:space="0" w:color="auto"/>
        <w:left w:val="none" w:sz="0" w:space="0" w:color="auto"/>
        <w:bottom w:val="none" w:sz="0" w:space="0" w:color="auto"/>
        <w:right w:val="none" w:sz="0" w:space="0" w:color="auto"/>
      </w:divBdr>
    </w:div>
    <w:div w:id="1822578627">
      <w:bodyDiv w:val="1"/>
      <w:marLeft w:val="0"/>
      <w:marRight w:val="0"/>
      <w:marTop w:val="0"/>
      <w:marBottom w:val="0"/>
      <w:divBdr>
        <w:top w:val="none" w:sz="0" w:space="0" w:color="auto"/>
        <w:left w:val="none" w:sz="0" w:space="0" w:color="auto"/>
        <w:bottom w:val="none" w:sz="0" w:space="0" w:color="auto"/>
        <w:right w:val="none" w:sz="0" w:space="0" w:color="auto"/>
      </w:divBdr>
    </w:div>
    <w:div w:id="1825244603">
      <w:bodyDiv w:val="1"/>
      <w:marLeft w:val="0"/>
      <w:marRight w:val="0"/>
      <w:marTop w:val="0"/>
      <w:marBottom w:val="0"/>
      <w:divBdr>
        <w:top w:val="none" w:sz="0" w:space="0" w:color="auto"/>
        <w:left w:val="none" w:sz="0" w:space="0" w:color="auto"/>
        <w:bottom w:val="none" w:sz="0" w:space="0" w:color="auto"/>
        <w:right w:val="none" w:sz="0" w:space="0" w:color="auto"/>
      </w:divBdr>
    </w:div>
    <w:div w:id="182531136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26169459">
      <w:bodyDiv w:val="1"/>
      <w:marLeft w:val="0"/>
      <w:marRight w:val="0"/>
      <w:marTop w:val="0"/>
      <w:marBottom w:val="0"/>
      <w:divBdr>
        <w:top w:val="none" w:sz="0" w:space="0" w:color="auto"/>
        <w:left w:val="none" w:sz="0" w:space="0" w:color="auto"/>
        <w:bottom w:val="none" w:sz="0" w:space="0" w:color="auto"/>
        <w:right w:val="none" w:sz="0" w:space="0" w:color="auto"/>
      </w:divBdr>
    </w:div>
    <w:div w:id="1826847861">
      <w:bodyDiv w:val="1"/>
      <w:marLeft w:val="0"/>
      <w:marRight w:val="0"/>
      <w:marTop w:val="0"/>
      <w:marBottom w:val="0"/>
      <w:divBdr>
        <w:top w:val="none" w:sz="0" w:space="0" w:color="auto"/>
        <w:left w:val="none" w:sz="0" w:space="0" w:color="auto"/>
        <w:bottom w:val="none" w:sz="0" w:space="0" w:color="auto"/>
        <w:right w:val="none" w:sz="0" w:space="0" w:color="auto"/>
      </w:divBdr>
    </w:div>
    <w:div w:id="1827084382">
      <w:bodyDiv w:val="1"/>
      <w:marLeft w:val="0"/>
      <w:marRight w:val="0"/>
      <w:marTop w:val="0"/>
      <w:marBottom w:val="0"/>
      <w:divBdr>
        <w:top w:val="none" w:sz="0" w:space="0" w:color="auto"/>
        <w:left w:val="none" w:sz="0" w:space="0" w:color="auto"/>
        <w:bottom w:val="none" w:sz="0" w:space="0" w:color="auto"/>
        <w:right w:val="none" w:sz="0" w:space="0" w:color="auto"/>
      </w:divBdr>
    </w:div>
    <w:div w:id="1827742733">
      <w:bodyDiv w:val="1"/>
      <w:marLeft w:val="0"/>
      <w:marRight w:val="0"/>
      <w:marTop w:val="0"/>
      <w:marBottom w:val="0"/>
      <w:divBdr>
        <w:top w:val="none" w:sz="0" w:space="0" w:color="auto"/>
        <w:left w:val="none" w:sz="0" w:space="0" w:color="auto"/>
        <w:bottom w:val="none" w:sz="0" w:space="0" w:color="auto"/>
        <w:right w:val="none" w:sz="0" w:space="0" w:color="auto"/>
      </w:divBdr>
    </w:div>
    <w:div w:id="1828276635">
      <w:bodyDiv w:val="1"/>
      <w:marLeft w:val="0"/>
      <w:marRight w:val="0"/>
      <w:marTop w:val="0"/>
      <w:marBottom w:val="0"/>
      <w:divBdr>
        <w:top w:val="none" w:sz="0" w:space="0" w:color="auto"/>
        <w:left w:val="none" w:sz="0" w:space="0" w:color="auto"/>
        <w:bottom w:val="none" w:sz="0" w:space="0" w:color="auto"/>
        <w:right w:val="none" w:sz="0" w:space="0" w:color="auto"/>
      </w:divBdr>
    </w:div>
    <w:div w:id="1828521544">
      <w:bodyDiv w:val="1"/>
      <w:marLeft w:val="0"/>
      <w:marRight w:val="0"/>
      <w:marTop w:val="0"/>
      <w:marBottom w:val="0"/>
      <w:divBdr>
        <w:top w:val="none" w:sz="0" w:space="0" w:color="auto"/>
        <w:left w:val="none" w:sz="0" w:space="0" w:color="auto"/>
        <w:bottom w:val="none" w:sz="0" w:space="0" w:color="auto"/>
        <w:right w:val="none" w:sz="0" w:space="0" w:color="auto"/>
      </w:divBdr>
    </w:div>
    <w:div w:id="1829324467">
      <w:bodyDiv w:val="1"/>
      <w:marLeft w:val="0"/>
      <w:marRight w:val="0"/>
      <w:marTop w:val="0"/>
      <w:marBottom w:val="0"/>
      <w:divBdr>
        <w:top w:val="none" w:sz="0" w:space="0" w:color="auto"/>
        <w:left w:val="none" w:sz="0" w:space="0" w:color="auto"/>
        <w:bottom w:val="none" w:sz="0" w:space="0" w:color="auto"/>
        <w:right w:val="none" w:sz="0" w:space="0" w:color="auto"/>
      </w:divBdr>
    </w:div>
    <w:div w:id="1829592914">
      <w:bodyDiv w:val="1"/>
      <w:marLeft w:val="0"/>
      <w:marRight w:val="0"/>
      <w:marTop w:val="0"/>
      <w:marBottom w:val="0"/>
      <w:divBdr>
        <w:top w:val="none" w:sz="0" w:space="0" w:color="auto"/>
        <w:left w:val="none" w:sz="0" w:space="0" w:color="auto"/>
        <w:bottom w:val="none" w:sz="0" w:space="0" w:color="auto"/>
        <w:right w:val="none" w:sz="0" w:space="0" w:color="auto"/>
      </w:divBdr>
    </w:div>
    <w:div w:id="1829982162">
      <w:bodyDiv w:val="1"/>
      <w:marLeft w:val="0"/>
      <w:marRight w:val="0"/>
      <w:marTop w:val="0"/>
      <w:marBottom w:val="0"/>
      <w:divBdr>
        <w:top w:val="none" w:sz="0" w:space="0" w:color="auto"/>
        <w:left w:val="none" w:sz="0" w:space="0" w:color="auto"/>
        <w:bottom w:val="none" w:sz="0" w:space="0" w:color="auto"/>
        <w:right w:val="none" w:sz="0" w:space="0" w:color="auto"/>
      </w:divBdr>
    </w:div>
    <w:div w:id="1831098577">
      <w:bodyDiv w:val="1"/>
      <w:marLeft w:val="0"/>
      <w:marRight w:val="0"/>
      <w:marTop w:val="0"/>
      <w:marBottom w:val="0"/>
      <w:divBdr>
        <w:top w:val="none" w:sz="0" w:space="0" w:color="auto"/>
        <w:left w:val="none" w:sz="0" w:space="0" w:color="auto"/>
        <w:bottom w:val="none" w:sz="0" w:space="0" w:color="auto"/>
        <w:right w:val="none" w:sz="0" w:space="0" w:color="auto"/>
      </w:divBdr>
    </w:div>
    <w:div w:id="1831286885">
      <w:bodyDiv w:val="1"/>
      <w:marLeft w:val="0"/>
      <w:marRight w:val="0"/>
      <w:marTop w:val="0"/>
      <w:marBottom w:val="0"/>
      <w:divBdr>
        <w:top w:val="none" w:sz="0" w:space="0" w:color="auto"/>
        <w:left w:val="none" w:sz="0" w:space="0" w:color="auto"/>
        <w:bottom w:val="none" w:sz="0" w:space="0" w:color="auto"/>
        <w:right w:val="none" w:sz="0" w:space="0" w:color="auto"/>
      </w:divBdr>
    </w:div>
    <w:div w:id="1832869439">
      <w:bodyDiv w:val="1"/>
      <w:marLeft w:val="0"/>
      <w:marRight w:val="0"/>
      <w:marTop w:val="0"/>
      <w:marBottom w:val="0"/>
      <w:divBdr>
        <w:top w:val="none" w:sz="0" w:space="0" w:color="auto"/>
        <w:left w:val="none" w:sz="0" w:space="0" w:color="auto"/>
        <w:bottom w:val="none" w:sz="0" w:space="0" w:color="auto"/>
        <w:right w:val="none" w:sz="0" w:space="0" w:color="auto"/>
      </w:divBdr>
    </w:div>
    <w:div w:id="1833065171">
      <w:bodyDiv w:val="1"/>
      <w:marLeft w:val="0"/>
      <w:marRight w:val="0"/>
      <w:marTop w:val="0"/>
      <w:marBottom w:val="0"/>
      <w:divBdr>
        <w:top w:val="none" w:sz="0" w:space="0" w:color="auto"/>
        <w:left w:val="none" w:sz="0" w:space="0" w:color="auto"/>
        <w:bottom w:val="none" w:sz="0" w:space="0" w:color="auto"/>
        <w:right w:val="none" w:sz="0" w:space="0" w:color="auto"/>
      </w:divBdr>
    </w:div>
    <w:div w:id="1833177345">
      <w:bodyDiv w:val="1"/>
      <w:marLeft w:val="0"/>
      <w:marRight w:val="0"/>
      <w:marTop w:val="0"/>
      <w:marBottom w:val="0"/>
      <w:divBdr>
        <w:top w:val="none" w:sz="0" w:space="0" w:color="auto"/>
        <w:left w:val="none" w:sz="0" w:space="0" w:color="auto"/>
        <w:bottom w:val="none" w:sz="0" w:space="0" w:color="auto"/>
        <w:right w:val="none" w:sz="0" w:space="0" w:color="auto"/>
      </w:divBdr>
    </w:div>
    <w:div w:id="1834643333">
      <w:bodyDiv w:val="1"/>
      <w:marLeft w:val="0"/>
      <w:marRight w:val="0"/>
      <w:marTop w:val="0"/>
      <w:marBottom w:val="0"/>
      <w:divBdr>
        <w:top w:val="none" w:sz="0" w:space="0" w:color="auto"/>
        <w:left w:val="none" w:sz="0" w:space="0" w:color="auto"/>
        <w:bottom w:val="none" w:sz="0" w:space="0" w:color="auto"/>
        <w:right w:val="none" w:sz="0" w:space="0" w:color="auto"/>
      </w:divBdr>
    </w:div>
    <w:div w:id="1838227238">
      <w:bodyDiv w:val="1"/>
      <w:marLeft w:val="0"/>
      <w:marRight w:val="0"/>
      <w:marTop w:val="0"/>
      <w:marBottom w:val="0"/>
      <w:divBdr>
        <w:top w:val="none" w:sz="0" w:space="0" w:color="auto"/>
        <w:left w:val="none" w:sz="0" w:space="0" w:color="auto"/>
        <w:bottom w:val="none" w:sz="0" w:space="0" w:color="auto"/>
        <w:right w:val="none" w:sz="0" w:space="0" w:color="auto"/>
      </w:divBdr>
    </w:div>
    <w:div w:id="1838693460">
      <w:bodyDiv w:val="1"/>
      <w:marLeft w:val="0"/>
      <w:marRight w:val="0"/>
      <w:marTop w:val="0"/>
      <w:marBottom w:val="0"/>
      <w:divBdr>
        <w:top w:val="none" w:sz="0" w:space="0" w:color="auto"/>
        <w:left w:val="none" w:sz="0" w:space="0" w:color="auto"/>
        <w:bottom w:val="none" w:sz="0" w:space="0" w:color="auto"/>
        <w:right w:val="none" w:sz="0" w:space="0" w:color="auto"/>
      </w:divBdr>
    </w:div>
    <w:div w:id="1838760637">
      <w:bodyDiv w:val="1"/>
      <w:marLeft w:val="0"/>
      <w:marRight w:val="0"/>
      <w:marTop w:val="0"/>
      <w:marBottom w:val="0"/>
      <w:divBdr>
        <w:top w:val="none" w:sz="0" w:space="0" w:color="auto"/>
        <w:left w:val="none" w:sz="0" w:space="0" w:color="auto"/>
        <w:bottom w:val="none" w:sz="0" w:space="0" w:color="auto"/>
        <w:right w:val="none" w:sz="0" w:space="0" w:color="auto"/>
      </w:divBdr>
    </w:div>
    <w:div w:id="1840273137">
      <w:bodyDiv w:val="1"/>
      <w:marLeft w:val="0"/>
      <w:marRight w:val="0"/>
      <w:marTop w:val="0"/>
      <w:marBottom w:val="0"/>
      <w:divBdr>
        <w:top w:val="none" w:sz="0" w:space="0" w:color="auto"/>
        <w:left w:val="none" w:sz="0" w:space="0" w:color="auto"/>
        <w:bottom w:val="none" w:sz="0" w:space="0" w:color="auto"/>
        <w:right w:val="none" w:sz="0" w:space="0" w:color="auto"/>
      </w:divBdr>
    </w:div>
    <w:div w:id="1840391208">
      <w:bodyDiv w:val="1"/>
      <w:marLeft w:val="0"/>
      <w:marRight w:val="0"/>
      <w:marTop w:val="0"/>
      <w:marBottom w:val="0"/>
      <w:divBdr>
        <w:top w:val="none" w:sz="0" w:space="0" w:color="auto"/>
        <w:left w:val="none" w:sz="0" w:space="0" w:color="auto"/>
        <w:bottom w:val="none" w:sz="0" w:space="0" w:color="auto"/>
        <w:right w:val="none" w:sz="0" w:space="0" w:color="auto"/>
      </w:divBdr>
    </w:div>
    <w:div w:id="1840540572">
      <w:bodyDiv w:val="1"/>
      <w:marLeft w:val="0"/>
      <w:marRight w:val="0"/>
      <w:marTop w:val="0"/>
      <w:marBottom w:val="0"/>
      <w:divBdr>
        <w:top w:val="none" w:sz="0" w:space="0" w:color="auto"/>
        <w:left w:val="none" w:sz="0" w:space="0" w:color="auto"/>
        <w:bottom w:val="none" w:sz="0" w:space="0" w:color="auto"/>
        <w:right w:val="none" w:sz="0" w:space="0" w:color="auto"/>
      </w:divBdr>
    </w:div>
    <w:div w:id="1840655477">
      <w:bodyDiv w:val="1"/>
      <w:marLeft w:val="0"/>
      <w:marRight w:val="0"/>
      <w:marTop w:val="0"/>
      <w:marBottom w:val="0"/>
      <w:divBdr>
        <w:top w:val="none" w:sz="0" w:space="0" w:color="auto"/>
        <w:left w:val="none" w:sz="0" w:space="0" w:color="auto"/>
        <w:bottom w:val="none" w:sz="0" w:space="0" w:color="auto"/>
        <w:right w:val="none" w:sz="0" w:space="0" w:color="auto"/>
      </w:divBdr>
    </w:div>
    <w:div w:id="1840925476">
      <w:bodyDiv w:val="1"/>
      <w:marLeft w:val="0"/>
      <w:marRight w:val="0"/>
      <w:marTop w:val="0"/>
      <w:marBottom w:val="0"/>
      <w:divBdr>
        <w:top w:val="none" w:sz="0" w:space="0" w:color="auto"/>
        <w:left w:val="none" w:sz="0" w:space="0" w:color="auto"/>
        <w:bottom w:val="none" w:sz="0" w:space="0" w:color="auto"/>
        <w:right w:val="none" w:sz="0" w:space="0" w:color="auto"/>
      </w:divBdr>
    </w:div>
    <w:div w:id="1841188487">
      <w:bodyDiv w:val="1"/>
      <w:marLeft w:val="0"/>
      <w:marRight w:val="0"/>
      <w:marTop w:val="0"/>
      <w:marBottom w:val="0"/>
      <w:divBdr>
        <w:top w:val="none" w:sz="0" w:space="0" w:color="auto"/>
        <w:left w:val="none" w:sz="0" w:space="0" w:color="auto"/>
        <w:bottom w:val="none" w:sz="0" w:space="0" w:color="auto"/>
        <w:right w:val="none" w:sz="0" w:space="0" w:color="auto"/>
      </w:divBdr>
    </w:div>
    <w:div w:id="1841462756">
      <w:bodyDiv w:val="1"/>
      <w:marLeft w:val="0"/>
      <w:marRight w:val="0"/>
      <w:marTop w:val="0"/>
      <w:marBottom w:val="0"/>
      <w:divBdr>
        <w:top w:val="none" w:sz="0" w:space="0" w:color="auto"/>
        <w:left w:val="none" w:sz="0" w:space="0" w:color="auto"/>
        <w:bottom w:val="none" w:sz="0" w:space="0" w:color="auto"/>
        <w:right w:val="none" w:sz="0" w:space="0" w:color="auto"/>
      </w:divBdr>
    </w:div>
    <w:div w:id="1842155341">
      <w:bodyDiv w:val="1"/>
      <w:marLeft w:val="0"/>
      <w:marRight w:val="0"/>
      <w:marTop w:val="0"/>
      <w:marBottom w:val="0"/>
      <w:divBdr>
        <w:top w:val="none" w:sz="0" w:space="0" w:color="auto"/>
        <w:left w:val="none" w:sz="0" w:space="0" w:color="auto"/>
        <w:bottom w:val="none" w:sz="0" w:space="0" w:color="auto"/>
        <w:right w:val="none" w:sz="0" w:space="0" w:color="auto"/>
      </w:divBdr>
    </w:div>
    <w:div w:id="1842500859">
      <w:bodyDiv w:val="1"/>
      <w:marLeft w:val="0"/>
      <w:marRight w:val="0"/>
      <w:marTop w:val="0"/>
      <w:marBottom w:val="0"/>
      <w:divBdr>
        <w:top w:val="none" w:sz="0" w:space="0" w:color="auto"/>
        <w:left w:val="none" w:sz="0" w:space="0" w:color="auto"/>
        <w:bottom w:val="none" w:sz="0" w:space="0" w:color="auto"/>
        <w:right w:val="none" w:sz="0" w:space="0" w:color="auto"/>
      </w:divBdr>
    </w:div>
    <w:div w:id="1842575045">
      <w:bodyDiv w:val="1"/>
      <w:marLeft w:val="0"/>
      <w:marRight w:val="0"/>
      <w:marTop w:val="0"/>
      <w:marBottom w:val="0"/>
      <w:divBdr>
        <w:top w:val="none" w:sz="0" w:space="0" w:color="auto"/>
        <w:left w:val="none" w:sz="0" w:space="0" w:color="auto"/>
        <w:bottom w:val="none" w:sz="0" w:space="0" w:color="auto"/>
        <w:right w:val="none" w:sz="0" w:space="0" w:color="auto"/>
      </w:divBdr>
    </w:div>
    <w:div w:id="1843082703">
      <w:bodyDiv w:val="1"/>
      <w:marLeft w:val="0"/>
      <w:marRight w:val="0"/>
      <w:marTop w:val="0"/>
      <w:marBottom w:val="0"/>
      <w:divBdr>
        <w:top w:val="none" w:sz="0" w:space="0" w:color="auto"/>
        <w:left w:val="none" w:sz="0" w:space="0" w:color="auto"/>
        <w:bottom w:val="none" w:sz="0" w:space="0" w:color="auto"/>
        <w:right w:val="none" w:sz="0" w:space="0" w:color="auto"/>
      </w:divBdr>
    </w:div>
    <w:div w:id="1843205146">
      <w:bodyDiv w:val="1"/>
      <w:marLeft w:val="0"/>
      <w:marRight w:val="0"/>
      <w:marTop w:val="0"/>
      <w:marBottom w:val="0"/>
      <w:divBdr>
        <w:top w:val="none" w:sz="0" w:space="0" w:color="auto"/>
        <w:left w:val="none" w:sz="0" w:space="0" w:color="auto"/>
        <w:bottom w:val="none" w:sz="0" w:space="0" w:color="auto"/>
        <w:right w:val="none" w:sz="0" w:space="0" w:color="auto"/>
      </w:divBdr>
    </w:div>
    <w:div w:id="1843661295">
      <w:bodyDiv w:val="1"/>
      <w:marLeft w:val="0"/>
      <w:marRight w:val="0"/>
      <w:marTop w:val="0"/>
      <w:marBottom w:val="0"/>
      <w:divBdr>
        <w:top w:val="none" w:sz="0" w:space="0" w:color="auto"/>
        <w:left w:val="none" w:sz="0" w:space="0" w:color="auto"/>
        <w:bottom w:val="none" w:sz="0" w:space="0" w:color="auto"/>
        <w:right w:val="none" w:sz="0" w:space="0" w:color="auto"/>
      </w:divBdr>
    </w:div>
    <w:div w:id="1844474238">
      <w:bodyDiv w:val="1"/>
      <w:marLeft w:val="0"/>
      <w:marRight w:val="0"/>
      <w:marTop w:val="0"/>
      <w:marBottom w:val="0"/>
      <w:divBdr>
        <w:top w:val="none" w:sz="0" w:space="0" w:color="auto"/>
        <w:left w:val="none" w:sz="0" w:space="0" w:color="auto"/>
        <w:bottom w:val="none" w:sz="0" w:space="0" w:color="auto"/>
        <w:right w:val="none" w:sz="0" w:space="0" w:color="auto"/>
      </w:divBdr>
    </w:div>
    <w:div w:id="1844511250">
      <w:bodyDiv w:val="1"/>
      <w:marLeft w:val="0"/>
      <w:marRight w:val="0"/>
      <w:marTop w:val="0"/>
      <w:marBottom w:val="0"/>
      <w:divBdr>
        <w:top w:val="none" w:sz="0" w:space="0" w:color="auto"/>
        <w:left w:val="none" w:sz="0" w:space="0" w:color="auto"/>
        <w:bottom w:val="none" w:sz="0" w:space="0" w:color="auto"/>
        <w:right w:val="none" w:sz="0" w:space="0" w:color="auto"/>
      </w:divBdr>
    </w:div>
    <w:div w:id="1847164048">
      <w:bodyDiv w:val="1"/>
      <w:marLeft w:val="0"/>
      <w:marRight w:val="0"/>
      <w:marTop w:val="0"/>
      <w:marBottom w:val="0"/>
      <w:divBdr>
        <w:top w:val="none" w:sz="0" w:space="0" w:color="auto"/>
        <w:left w:val="none" w:sz="0" w:space="0" w:color="auto"/>
        <w:bottom w:val="none" w:sz="0" w:space="0" w:color="auto"/>
        <w:right w:val="none" w:sz="0" w:space="0" w:color="auto"/>
      </w:divBdr>
    </w:div>
    <w:div w:id="1847816720">
      <w:bodyDiv w:val="1"/>
      <w:marLeft w:val="0"/>
      <w:marRight w:val="0"/>
      <w:marTop w:val="0"/>
      <w:marBottom w:val="0"/>
      <w:divBdr>
        <w:top w:val="none" w:sz="0" w:space="0" w:color="auto"/>
        <w:left w:val="none" w:sz="0" w:space="0" w:color="auto"/>
        <w:bottom w:val="none" w:sz="0" w:space="0" w:color="auto"/>
        <w:right w:val="none" w:sz="0" w:space="0" w:color="auto"/>
      </w:divBdr>
    </w:div>
    <w:div w:id="1847859011">
      <w:bodyDiv w:val="1"/>
      <w:marLeft w:val="0"/>
      <w:marRight w:val="0"/>
      <w:marTop w:val="0"/>
      <w:marBottom w:val="0"/>
      <w:divBdr>
        <w:top w:val="none" w:sz="0" w:space="0" w:color="auto"/>
        <w:left w:val="none" w:sz="0" w:space="0" w:color="auto"/>
        <w:bottom w:val="none" w:sz="0" w:space="0" w:color="auto"/>
        <w:right w:val="none" w:sz="0" w:space="0" w:color="auto"/>
      </w:divBdr>
    </w:div>
    <w:div w:id="1848055808">
      <w:bodyDiv w:val="1"/>
      <w:marLeft w:val="0"/>
      <w:marRight w:val="0"/>
      <w:marTop w:val="0"/>
      <w:marBottom w:val="0"/>
      <w:divBdr>
        <w:top w:val="none" w:sz="0" w:space="0" w:color="auto"/>
        <w:left w:val="none" w:sz="0" w:space="0" w:color="auto"/>
        <w:bottom w:val="none" w:sz="0" w:space="0" w:color="auto"/>
        <w:right w:val="none" w:sz="0" w:space="0" w:color="auto"/>
      </w:divBdr>
    </w:div>
    <w:div w:id="1848058643">
      <w:bodyDiv w:val="1"/>
      <w:marLeft w:val="0"/>
      <w:marRight w:val="0"/>
      <w:marTop w:val="0"/>
      <w:marBottom w:val="0"/>
      <w:divBdr>
        <w:top w:val="none" w:sz="0" w:space="0" w:color="auto"/>
        <w:left w:val="none" w:sz="0" w:space="0" w:color="auto"/>
        <w:bottom w:val="none" w:sz="0" w:space="0" w:color="auto"/>
        <w:right w:val="none" w:sz="0" w:space="0" w:color="auto"/>
      </w:divBdr>
    </w:div>
    <w:div w:id="1848323761">
      <w:bodyDiv w:val="1"/>
      <w:marLeft w:val="0"/>
      <w:marRight w:val="0"/>
      <w:marTop w:val="0"/>
      <w:marBottom w:val="0"/>
      <w:divBdr>
        <w:top w:val="none" w:sz="0" w:space="0" w:color="auto"/>
        <w:left w:val="none" w:sz="0" w:space="0" w:color="auto"/>
        <w:bottom w:val="none" w:sz="0" w:space="0" w:color="auto"/>
        <w:right w:val="none" w:sz="0" w:space="0" w:color="auto"/>
      </w:divBdr>
    </w:div>
    <w:div w:id="1848978894">
      <w:bodyDiv w:val="1"/>
      <w:marLeft w:val="0"/>
      <w:marRight w:val="0"/>
      <w:marTop w:val="0"/>
      <w:marBottom w:val="0"/>
      <w:divBdr>
        <w:top w:val="none" w:sz="0" w:space="0" w:color="auto"/>
        <w:left w:val="none" w:sz="0" w:space="0" w:color="auto"/>
        <w:bottom w:val="none" w:sz="0" w:space="0" w:color="auto"/>
        <w:right w:val="none" w:sz="0" w:space="0" w:color="auto"/>
      </w:divBdr>
    </w:div>
    <w:div w:id="1848980379">
      <w:bodyDiv w:val="1"/>
      <w:marLeft w:val="0"/>
      <w:marRight w:val="0"/>
      <w:marTop w:val="0"/>
      <w:marBottom w:val="0"/>
      <w:divBdr>
        <w:top w:val="none" w:sz="0" w:space="0" w:color="auto"/>
        <w:left w:val="none" w:sz="0" w:space="0" w:color="auto"/>
        <w:bottom w:val="none" w:sz="0" w:space="0" w:color="auto"/>
        <w:right w:val="none" w:sz="0" w:space="0" w:color="auto"/>
      </w:divBdr>
    </w:div>
    <w:div w:id="1849784921">
      <w:bodyDiv w:val="1"/>
      <w:marLeft w:val="0"/>
      <w:marRight w:val="0"/>
      <w:marTop w:val="0"/>
      <w:marBottom w:val="0"/>
      <w:divBdr>
        <w:top w:val="none" w:sz="0" w:space="0" w:color="auto"/>
        <w:left w:val="none" w:sz="0" w:space="0" w:color="auto"/>
        <w:bottom w:val="none" w:sz="0" w:space="0" w:color="auto"/>
        <w:right w:val="none" w:sz="0" w:space="0" w:color="auto"/>
      </w:divBdr>
    </w:div>
    <w:div w:id="1851143786">
      <w:bodyDiv w:val="1"/>
      <w:marLeft w:val="0"/>
      <w:marRight w:val="0"/>
      <w:marTop w:val="0"/>
      <w:marBottom w:val="0"/>
      <w:divBdr>
        <w:top w:val="none" w:sz="0" w:space="0" w:color="auto"/>
        <w:left w:val="none" w:sz="0" w:space="0" w:color="auto"/>
        <w:bottom w:val="none" w:sz="0" w:space="0" w:color="auto"/>
        <w:right w:val="none" w:sz="0" w:space="0" w:color="auto"/>
      </w:divBdr>
    </w:div>
    <w:div w:id="1853490194">
      <w:bodyDiv w:val="1"/>
      <w:marLeft w:val="0"/>
      <w:marRight w:val="0"/>
      <w:marTop w:val="0"/>
      <w:marBottom w:val="0"/>
      <w:divBdr>
        <w:top w:val="none" w:sz="0" w:space="0" w:color="auto"/>
        <w:left w:val="none" w:sz="0" w:space="0" w:color="auto"/>
        <w:bottom w:val="none" w:sz="0" w:space="0" w:color="auto"/>
        <w:right w:val="none" w:sz="0" w:space="0" w:color="auto"/>
      </w:divBdr>
    </w:div>
    <w:div w:id="1854152706">
      <w:bodyDiv w:val="1"/>
      <w:marLeft w:val="0"/>
      <w:marRight w:val="0"/>
      <w:marTop w:val="0"/>
      <w:marBottom w:val="0"/>
      <w:divBdr>
        <w:top w:val="none" w:sz="0" w:space="0" w:color="auto"/>
        <w:left w:val="none" w:sz="0" w:space="0" w:color="auto"/>
        <w:bottom w:val="none" w:sz="0" w:space="0" w:color="auto"/>
        <w:right w:val="none" w:sz="0" w:space="0" w:color="auto"/>
      </w:divBdr>
    </w:div>
    <w:div w:id="1854568228">
      <w:bodyDiv w:val="1"/>
      <w:marLeft w:val="0"/>
      <w:marRight w:val="0"/>
      <w:marTop w:val="0"/>
      <w:marBottom w:val="0"/>
      <w:divBdr>
        <w:top w:val="none" w:sz="0" w:space="0" w:color="auto"/>
        <w:left w:val="none" w:sz="0" w:space="0" w:color="auto"/>
        <w:bottom w:val="none" w:sz="0" w:space="0" w:color="auto"/>
        <w:right w:val="none" w:sz="0" w:space="0" w:color="auto"/>
      </w:divBdr>
    </w:div>
    <w:div w:id="1855223842">
      <w:bodyDiv w:val="1"/>
      <w:marLeft w:val="0"/>
      <w:marRight w:val="0"/>
      <w:marTop w:val="0"/>
      <w:marBottom w:val="0"/>
      <w:divBdr>
        <w:top w:val="none" w:sz="0" w:space="0" w:color="auto"/>
        <w:left w:val="none" w:sz="0" w:space="0" w:color="auto"/>
        <w:bottom w:val="none" w:sz="0" w:space="0" w:color="auto"/>
        <w:right w:val="none" w:sz="0" w:space="0" w:color="auto"/>
      </w:divBdr>
    </w:div>
    <w:div w:id="1855654965">
      <w:bodyDiv w:val="1"/>
      <w:marLeft w:val="0"/>
      <w:marRight w:val="0"/>
      <w:marTop w:val="0"/>
      <w:marBottom w:val="0"/>
      <w:divBdr>
        <w:top w:val="none" w:sz="0" w:space="0" w:color="auto"/>
        <w:left w:val="none" w:sz="0" w:space="0" w:color="auto"/>
        <w:bottom w:val="none" w:sz="0" w:space="0" w:color="auto"/>
        <w:right w:val="none" w:sz="0" w:space="0" w:color="auto"/>
      </w:divBdr>
    </w:div>
    <w:div w:id="1856919787">
      <w:bodyDiv w:val="1"/>
      <w:marLeft w:val="0"/>
      <w:marRight w:val="0"/>
      <w:marTop w:val="0"/>
      <w:marBottom w:val="0"/>
      <w:divBdr>
        <w:top w:val="none" w:sz="0" w:space="0" w:color="auto"/>
        <w:left w:val="none" w:sz="0" w:space="0" w:color="auto"/>
        <w:bottom w:val="none" w:sz="0" w:space="0" w:color="auto"/>
        <w:right w:val="none" w:sz="0" w:space="0" w:color="auto"/>
      </w:divBdr>
    </w:div>
    <w:div w:id="1857501091">
      <w:bodyDiv w:val="1"/>
      <w:marLeft w:val="0"/>
      <w:marRight w:val="0"/>
      <w:marTop w:val="0"/>
      <w:marBottom w:val="0"/>
      <w:divBdr>
        <w:top w:val="none" w:sz="0" w:space="0" w:color="auto"/>
        <w:left w:val="none" w:sz="0" w:space="0" w:color="auto"/>
        <w:bottom w:val="none" w:sz="0" w:space="0" w:color="auto"/>
        <w:right w:val="none" w:sz="0" w:space="0" w:color="auto"/>
      </w:divBdr>
    </w:div>
    <w:div w:id="1857503058">
      <w:bodyDiv w:val="1"/>
      <w:marLeft w:val="0"/>
      <w:marRight w:val="0"/>
      <w:marTop w:val="0"/>
      <w:marBottom w:val="0"/>
      <w:divBdr>
        <w:top w:val="none" w:sz="0" w:space="0" w:color="auto"/>
        <w:left w:val="none" w:sz="0" w:space="0" w:color="auto"/>
        <w:bottom w:val="none" w:sz="0" w:space="0" w:color="auto"/>
        <w:right w:val="none" w:sz="0" w:space="0" w:color="auto"/>
      </w:divBdr>
    </w:div>
    <w:div w:id="1857959188">
      <w:bodyDiv w:val="1"/>
      <w:marLeft w:val="0"/>
      <w:marRight w:val="0"/>
      <w:marTop w:val="0"/>
      <w:marBottom w:val="0"/>
      <w:divBdr>
        <w:top w:val="none" w:sz="0" w:space="0" w:color="auto"/>
        <w:left w:val="none" w:sz="0" w:space="0" w:color="auto"/>
        <w:bottom w:val="none" w:sz="0" w:space="0" w:color="auto"/>
        <w:right w:val="none" w:sz="0" w:space="0" w:color="auto"/>
      </w:divBdr>
    </w:div>
    <w:div w:id="1859806171">
      <w:bodyDiv w:val="1"/>
      <w:marLeft w:val="0"/>
      <w:marRight w:val="0"/>
      <w:marTop w:val="0"/>
      <w:marBottom w:val="0"/>
      <w:divBdr>
        <w:top w:val="none" w:sz="0" w:space="0" w:color="auto"/>
        <w:left w:val="none" w:sz="0" w:space="0" w:color="auto"/>
        <w:bottom w:val="none" w:sz="0" w:space="0" w:color="auto"/>
        <w:right w:val="none" w:sz="0" w:space="0" w:color="auto"/>
      </w:divBdr>
    </w:div>
    <w:div w:id="1860502597">
      <w:bodyDiv w:val="1"/>
      <w:marLeft w:val="0"/>
      <w:marRight w:val="0"/>
      <w:marTop w:val="0"/>
      <w:marBottom w:val="0"/>
      <w:divBdr>
        <w:top w:val="none" w:sz="0" w:space="0" w:color="auto"/>
        <w:left w:val="none" w:sz="0" w:space="0" w:color="auto"/>
        <w:bottom w:val="none" w:sz="0" w:space="0" w:color="auto"/>
        <w:right w:val="none" w:sz="0" w:space="0" w:color="auto"/>
      </w:divBdr>
    </w:div>
    <w:div w:id="1860700091">
      <w:bodyDiv w:val="1"/>
      <w:marLeft w:val="0"/>
      <w:marRight w:val="0"/>
      <w:marTop w:val="0"/>
      <w:marBottom w:val="0"/>
      <w:divBdr>
        <w:top w:val="none" w:sz="0" w:space="0" w:color="auto"/>
        <w:left w:val="none" w:sz="0" w:space="0" w:color="auto"/>
        <w:bottom w:val="none" w:sz="0" w:space="0" w:color="auto"/>
        <w:right w:val="none" w:sz="0" w:space="0" w:color="auto"/>
      </w:divBdr>
    </w:div>
    <w:div w:id="1861241070">
      <w:bodyDiv w:val="1"/>
      <w:marLeft w:val="0"/>
      <w:marRight w:val="0"/>
      <w:marTop w:val="0"/>
      <w:marBottom w:val="0"/>
      <w:divBdr>
        <w:top w:val="none" w:sz="0" w:space="0" w:color="auto"/>
        <w:left w:val="none" w:sz="0" w:space="0" w:color="auto"/>
        <w:bottom w:val="none" w:sz="0" w:space="0" w:color="auto"/>
        <w:right w:val="none" w:sz="0" w:space="0" w:color="auto"/>
      </w:divBdr>
    </w:div>
    <w:div w:id="1861505807">
      <w:bodyDiv w:val="1"/>
      <w:marLeft w:val="0"/>
      <w:marRight w:val="0"/>
      <w:marTop w:val="0"/>
      <w:marBottom w:val="0"/>
      <w:divBdr>
        <w:top w:val="none" w:sz="0" w:space="0" w:color="auto"/>
        <w:left w:val="none" w:sz="0" w:space="0" w:color="auto"/>
        <w:bottom w:val="none" w:sz="0" w:space="0" w:color="auto"/>
        <w:right w:val="none" w:sz="0" w:space="0" w:color="auto"/>
      </w:divBdr>
    </w:div>
    <w:div w:id="1863323111">
      <w:bodyDiv w:val="1"/>
      <w:marLeft w:val="0"/>
      <w:marRight w:val="0"/>
      <w:marTop w:val="0"/>
      <w:marBottom w:val="0"/>
      <w:divBdr>
        <w:top w:val="none" w:sz="0" w:space="0" w:color="auto"/>
        <w:left w:val="none" w:sz="0" w:space="0" w:color="auto"/>
        <w:bottom w:val="none" w:sz="0" w:space="0" w:color="auto"/>
        <w:right w:val="none" w:sz="0" w:space="0" w:color="auto"/>
      </w:divBdr>
    </w:div>
    <w:div w:id="1865752696">
      <w:bodyDiv w:val="1"/>
      <w:marLeft w:val="0"/>
      <w:marRight w:val="0"/>
      <w:marTop w:val="0"/>
      <w:marBottom w:val="0"/>
      <w:divBdr>
        <w:top w:val="none" w:sz="0" w:space="0" w:color="auto"/>
        <w:left w:val="none" w:sz="0" w:space="0" w:color="auto"/>
        <w:bottom w:val="none" w:sz="0" w:space="0" w:color="auto"/>
        <w:right w:val="none" w:sz="0" w:space="0" w:color="auto"/>
      </w:divBdr>
    </w:div>
    <w:div w:id="1867015496">
      <w:bodyDiv w:val="1"/>
      <w:marLeft w:val="0"/>
      <w:marRight w:val="0"/>
      <w:marTop w:val="0"/>
      <w:marBottom w:val="0"/>
      <w:divBdr>
        <w:top w:val="none" w:sz="0" w:space="0" w:color="auto"/>
        <w:left w:val="none" w:sz="0" w:space="0" w:color="auto"/>
        <w:bottom w:val="none" w:sz="0" w:space="0" w:color="auto"/>
        <w:right w:val="none" w:sz="0" w:space="0" w:color="auto"/>
      </w:divBdr>
    </w:div>
    <w:div w:id="1868254803">
      <w:bodyDiv w:val="1"/>
      <w:marLeft w:val="0"/>
      <w:marRight w:val="0"/>
      <w:marTop w:val="0"/>
      <w:marBottom w:val="0"/>
      <w:divBdr>
        <w:top w:val="none" w:sz="0" w:space="0" w:color="auto"/>
        <w:left w:val="none" w:sz="0" w:space="0" w:color="auto"/>
        <w:bottom w:val="none" w:sz="0" w:space="0" w:color="auto"/>
        <w:right w:val="none" w:sz="0" w:space="0" w:color="auto"/>
      </w:divBdr>
    </w:div>
    <w:div w:id="1869174620">
      <w:bodyDiv w:val="1"/>
      <w:marLeft w:val="0"/>
      <w:marRight w:val="0"/>
      <w:marTop w:val="0"/>
      <w:marBottom w:val="0"/>
      <w:divBdr>
        <w:top w:val="none" w:sz="0" w:space="0" w:color="auto"/>
        <w:left w:val="none" w:sz="0" w:space="0" w:color="auto"/>
        <w:bottom w:val="none" w:sz="0" w:space="0" w:color="auto"/>
        <w:right w:val="none" w:sz="0" w:space="0" w:color="auto"/>
      </w:divBdr>
    </w:div>
    <w:div w:id="1869291112">
      <w:bodyDiv w:val="1"/>
      <w:marLeft w:val="0"/>
      <w:marRight w:val="0"/>
      <w:marTop w:val="0"/>
      <w:marBottom w:val="0"/>
      <w:divBdr>
        <w:top w:val="none" w:sz="0" w:space="0" w:color="auto"/>
        <w:left w:val="none" w:sz="0" w:space="0" w:color="auto"/>
        <w:bottom w:val="none" w:sz="0" w:space="0" w:color="auto"/>
        <w:right w:val="none" w:sz="0" w:space="0" w:color="auto"/>
      </w:divBdr>
    </w:div>
    <w:div w:id="1869294866">
      <w:bodyDiv w:val="1"/>
      <w:marLeft w:val="0"/>
      <w:marRight w:val="0"/>
      <w:marTop w:val="0"/>
      <w:marBottom w:val="0"/>
      <w:divBdr>
        <w:top w:val="none" w:sz="0" w:space="0" w:color="auto"/>
        <w:left w:val="none" w:sz="0" w:space="0" w:color="auto"/>
        <w:bottom w:val="none" w:sz="0" w:space="0" w:color="auto"/>
        <w:right w:val="none" w:sz="0" w:space="0" w:color="auto"/>
      </w:divBdr>
    </w:div>
    <w:div w:id="1869946779">
      <w:bodyDiv w:val="1"/>
      <w:marLeft w:val="0"/>
      <w:marRight w:val="0"/>
      <w:marTop w:val="0"/>
      <w:marBottom w:val="0"/>
      <w:divBdr>
        <w:top w:val="none" w:sz="0" w:space="0" w:color="auto"/>
        <w:left w:val="none" w:sz="0" w:space="0" w:color="auto"/>
        <w:bottom w:val="none" w:sz="0" w:space="0" w:color="auto"/>
        <w:right w:val="none" w:sz="0" w:space="0" w:color="auto"/>
      </w:divBdr>
    </w:div>
    <w:div w:id="1869949088">
      <w:bodyDiv w:val="1"/>
      <w:marLeft w:val="0"/>
      <w:marRight w:val="0"/>
      <w:marTop w:val="0"/>
      <w:marBottom w:val="0"/>
      <w:divBdr>
        <w:top w:val="none" w:sz="0" w:space="0" w:color="auto"/>
        <w:left w:val="none" w:sz="0" w:space="0" w:color="auto"/>
        <w:bottom w:val="none" w:sz="0" w:space="0" w:color="auto"/>
        <w:right w:val="none" w:sz="0" w:space="0" w:color="auto"/>
      </w:divBdr>
    </w:div>
    <w:div w:id="1870491906">
      <w:bodyDiv w:val="1"/>
      <w:marLeft w:val="0"/>
      <w:marRight w:val="0"/>
      <w:marTop w:val="0"/>
      <w:marBottom w:val="0"/>
      <w:divBdr>
        <w:top w:val="none" w:sz="0" w:space="0" w:color="auto"/>
        <w:left w:val="none" w:sz="0" w:space="0" w:color="auto"/>
        <w:bottom w:val="none" w:sz="0" w:space="0" w:color="auto"/>
        <w:right w:val="none" w:sz="0" w:space="0" w:color="auto"/>
      </w:divBdr>
    </w:div>
    <w:div w:id="1871456157">
      <w:bodyDiv w:val="1"/>
      <w:marLeft w:val="0"/>
      <w:marRight w:val="0"/>
      <w:marTop w:val="0"/>
      <w:marBottom w:val="0"/>
      <w:divBdr>
        <w:top w:val="none" w:sz="0" w:space="0" w:color="auto"/>
        <w:left w:val="none" w:sz="0" w:space="0" w:color="auto"/>
        <w:bottom w:val="none" w:sz="0" w:space="0" w:color="auto"/>
        <w:right w:val="none" w:sz="0" w:space="0" w:color="auto"/>
      </w:divBdr>
    </w:div>
    <w:div w:id="1871527449">
      <w:bodyDiv w:val="1"/>
      <w:marLeft w:val="0"/>
      <w:marRight w:val="0"/>
      <w:marTop w:val="0"/>
      <w:marBottom w:val="0"/>
      <w:divBdr>
        <w:top w:val="none" w:sz="0" w:space="0" w:color="auto"/>
        <w:left w:val="none" w:sz="0" w:space="0" w:color="auto"/>
        <w:bottom w:val="none" w:sz="0" w:space="0" w:color="auto"/>
        <w:right w:val="none" w:sz="0" w:space="0" w:color="auto"/>
      </w:divBdr>
    </w:div>
    <w:div w:id="1873568154">
      <w:bodyDiv w:val="1"/>
      <w:marLeft w:val="0"/>
      <w:marRight w:val="0"/>
      <w:marTop w:val="0"/>
      <w:marBottom w:val="0"/>
      <w:divBdr>
        <w:top w:val="none" w:sz="0" w:space="0" w:color="auto"/>
        <w:left w:val="none" w:sz="0" w:space="0" w:color="auto"/>
        <w:bottom w:val="none" w:sz="0" w:space="0" w:color="auto"/>
        <w:right w:val="none" w:sz="0" w:space="0" w:color="auto"/>
      </w:divBdr>
    </w:div>
    <w:div w:id="1874029734">
      <w:bodyDiv w:val="1"/>
      <w:marLeft w:val="0"/>
      <w:marRight w:val="0"/>
      <w:marTop w:val="0"/>
      <w:marBottom w:val="0"/>
      <w:divBdr>
        <w:top w:val="none" w:sz="0" w:space="0" w:color="auto"/>
        <w:left w:val="none" w:sz="0" w:space="0" w:color="auto"/>
        <w:bottom w:val="none" w:sz="0" w:space="0" w:color="auto"/>
        <w:right w:val="none" w:sz="0" w:space="0" w:color="auto"/>
      </w:divBdr>
    </w:div>
    <w:div w:id="1874535947">
      <w:bodyDiv w:val="1"/>
      <w:marLeft w:val="0"/>
      <w:marRight w:val="0"/>
      <w:marTop w:val="0"/>
      <w:marBottom w:val="0"/>
      <w:divBdr>
        <w:top w:val="none" w:sz="0" w:space="0" w:color="auto"/>
        <w:left w:val="none" w:sz="0" w:space="0" w:color="auto"/>
        <w:bottom w:val="none" w:sz="0" w:space="0" w:color="auto"/>
        <w:right w:val="none" w:sz="0" w:space="0" w:color="auto"/>
      </w:divBdr>
    </w:div>
    <w:div w:id="1876695991">
      <w:bodyDiv w:val="1"/>
      <w:marLeft w:val="0"/>
      <w:marRight w:val="0"/>
      <w:marTop w:val="0"/>
      <w:marBottom w:val="0"/>
      <w:divBdr>
        <w:top w:val="none" w:sz="0" w:space="0" w:color="auto"/>
        <w:left w:val="none" w:sz="0" w:space="0" w:color="auto"/>
        <w:bottom w:val="none" w:sz="0" w:space="0" w:color="auto"/>
        <w:right w:val="none" w:sz="0" w:space="0" w:color="auto"/>
      </w:divBdr>
    </w:div>
    <w:div w:id="1876775001">
      <w:bodyDiv w:val="1"/>
      <w:marLeft w:val="0"/>
      <w:marRight w:val="0"/>
      <w:marTop w:val="0"/>
      <w:marBottom w:val="0"/>
      <w:divBdr>
        <w:top w:val="none" w:sz="0" w:space="0" w:color="auto"/>
        <w:left w:val="none" w:sz="0" w:space="0" w:color="auto"/>
        <w:bottom w:val="none" w:sz="0" w:space="0" w:color="auto"/>
        <w:right w:val="none" w:sz="0" w:space="0" w:color="auto"/>
      </w:divBdr>
    </w:div>
    <w:div w:id="1877430636">
      <w:bodyDiv w:val="1"/>
      <w:marLeft w:val="0"/>
      <w:marRight w:val="0"/>
      <w:marTop w:val="0"/>
      <w:marBottom w:val="0"/>
      <w:divBdr>
        <w:top w:val="none" w:sz="0" w:space="0" w:color="auto"/>
        <w:left w:val="none" w:sz="0" w:space="0" w:color="auto"/>
        <w:bottom w:val="none" w:sz="0" w:space="0" w:color="auto"/>
        <w:right w:val="none" w:sz="0" w:space="0" w:color="auto"/>
      </w:divBdr>
    </w:div>
    <w:div w:id="1877741597">
      <w:bodyDiv w:val="1"/>
      <w:marLeft w:val="0"/>
      <w:marRight w:val="0"/>
      <w:marTop w:val="0"/>
      <w:marBottom w:val="0"/>
      <w:divBdr>
        <w:top w:val="none" w:sz="0" w:space="0" w:color="auto"/>
        <w:left w:val="none" w:sz="0" w:space="0" w:color="auto"/>
        <w:bottom w:val="none" w:sz="0" w:space="0" w:color="auto"/>
        <w:right w:val="none" w:sz="0" w:space="0" w:color="auto"/>
      </w:divBdr>
    </w:div>
    <w:div w:id="1879275690">
      <w:bodyDiv w:val="1"/>
      <w:marLeft w:val="0"/>
      <w:marRight w:val="0"/>
      <w:marTop w:val="0"/>
      <w:marBottom w:val="0"/>
      <w:divBdr>
        <w:top w:val="none" w:sz="0" w:space="0" w:color="auto"/>
        <w:left w:val="none" w:sz="0" w:space="0" w:color="auto"/>
        <w:bottom w:val="none" w:sz="0" w:space="0" w:color="auto"/>
        <w:right w:val="none" w:sz="0" w:space="0" w:color="auto"/>
      </w:divBdr>
    </w:div>
    <w:div w:id="1881169392">
      <w:bodyDiv w:val="1"/>
      <w:marLeft w:val="0"/>
      <w:marRight w:val="0"/>
      <w:marTop w:val="0"/>
      <w:marBottom w:val="0"/>
      <w:divBdr>
        <w:top w:val="none" w:sz="0" w:space="0" w:color="auto"/>
        <w:left w:val="none" w:sz="0" w:space="0" w:color="auto"/>
        <w:bottom w:val="none" w:sz="0" w:space="0" w:color="auto"/>
        <w:right w:val="none" w:sz="0" w:space="0" w:color="auto"/>
      </w:divBdr>
    </w:div>
    <w:div w:id="1881942014">
      <w:bodyDiv w:val="1"/>
      <w:marLeft w:val="0"/>
      <w:marRight w:val="0"/>
      <w:marTop w:val="0"/>
      <w:marBottom w:val="0"/>
      <w:divBdr>
        <w:top w:val="none" w:sz="0" w:space="0" w:color="auto"/>
        <w:left w:val="none" w:sz="0" w:space="0" w:color="auto"/>
        <w:bottom w:val="none" w:sz="0" w:space="0" w:color="auto"/>
        <w:right w:val="none" w:sz="0" w:space="0" w:color="auto"/>
      </w:divBdr>
    </w:div>
    <w:div w:id="1882551611">
      <w:bodyDiv w:val="1"/>
      <w:marLeft w:val="0"/>
      <w:marRight w:val="0"/>
      <w:marTop w:val="0"/>
      <w:marBottom w:val="0"/>
      <w:divBdr>
        <w:top w:val="none" w:sz="0" w:space="0" w:color="auto"/>
        <w:left w:val="none" w:sz="0" w:space="0" w:color="auto"/>
        <w:bottom w:val="none" w:sz="0" w:space="0" w:color="auto"/>
        <w:right w:val="none" w:sz="0" w:space="0" w:color="auto"/>
      </w:divBdr>
    </w:div>
    <w:div w:id="1885555319">
      <w:bodyDiv w:val="1"/>
      <w:marLeft w:val="0"/>
      <w:marRight w:val="0"/>
      <w:marTop w:val="0"/>
      <w:marBottom w:val="0"/>
      <w:divBdr>
        <w:top w:val="none" w:sz="0" w:space="0" w:color="auto"/>
        <w:left w:val="none" w:sz="0" w:space="0" w:color="auto"/>
        <w:bottom w:val="none" w:sz="0" w:space="0" w:color="auto"/>
        <w:right w:val="none" w:sz="0" w:space="0" w:color="auto"/>
      </w:divBdr>
    </w:div>
    <w:div w:id="1885944415">
      <w:bodyDiv w:val="1"/>
      <w:marLeft w:val="0"/>
      <w:marRight w:val="0"/>
      <w:marTop w:val="0"/>
      <w:marBottom w:val="0"/>
      <w:divBdr>
        <w:top w:val="none" w:sz="0" w:space="0" w:color="auto"/>
        <w:left w:val="none" w:sz="0" w:space="0" w:color="auto"/>
        <w:bottom w:val="none" w:sz="0" w:space="0" w:color="auto"/>
        <w:right w:val="none" w:sz="0" w:space="0" w:color="auto"/>
      </w:divBdr>
    </w:div>
    <w:div w:id="1886259646">
      <w:bodyDiv w:val="1"/>
      <w:marLeft w:val="0"/>
      <w:marRight w:val="0"/>
      <w:marTop w:val="0"/>
      <w:marBottom w:val="0"/>
      <w:divBdr>
        <w:top w:val="none" w:sz="0" w:space="0" w:color="auto"/>
        <w:left w:val="none" w:sz="0" w:space="0" w:color="auto"/>
        <w:bottom w:val="none" w:sz="0" w:space="0" w:color="auto"/>
        <w:right w:val="none" w:sz="0" w:space="0" w:color="auto"/>
      </w:divBdr>
    </w:div>
    <w:div w:id="1886872142">
      <w:bodyDiv w:val="1"/>
      <w:marLeft w:val="0"/>
      <w:marRight w:val="0"/>
      <w:marTop w:val="0"/>
      <w:marBottom w:val="0"/>
      <w:divBdr>
        <w:top w:val="none" w:sz="0" w:space="0" w:color="auto"/>
        <w:left w:val="none" w:sz="0" w:space="0" w:color="auto"/>
        <w:bottom w:val="none" w:sz="0" w:space="0" w:color="auto"/>
        <w:right w:val="none" w:sz="0" w:space="0" w:color="auto"/>
      </w:divBdr>
    </w:div>
    <w:div w:id="1887184555">
      <w:bodyDiv w:val="1"/>
      <w:marLeft w:val="0"/>
      <w:marRight w:val="0"/>
      <w:marTop w:val="0"/>
      <w:marBottom w:val="0"/>
      <w:divBdr>
        <w:top w:val="none" w:sz="0" w:space="0" w:color="auto"/>
        <w:left w:val="none" w:sz="0" w:space="0" w:color="auto"/>
        <w:bottom w:val="none" w:sz="0" w:space="0" w:color="auto"/>
        <w:right w:val="none" w:sz="0" w:space="0" w:color="auto"/>
      </w:divBdr>
    </w:div>
    <w:div w:id="1888059336">
      <w:bodyDiv w:val="1"/>
      <w:marLeft w:val="0"/>
      <w:marRight w:val="0"/>
      <w:marTop w:val="0"/>
      <w:marBottom w:val="0"/>
      <w:divBdr>
        <w:top w:val="none" w:sz="0" w:space="0" w:color="auto"/>
        <w:left w:val="none" w:sz="0" w:space="0" w:color="auto"/>
        <w:bottom w:val="none" w:sz="0" w:space="0" w:color="auto"/>
        <w:right w:val="none" w:sz="0" w:space="0" w:color="auto"/>
      </w:divBdr>
    </w:div>
    <w:div w:id="1888905171">
      <w:bodyDiv w:val="1"/>
      <w:marLeft w:val="0"/>
      <w:marRight w:val="0"/>
      <w:marTop w:val="0"/>
      <w:marBottom w:val="0"/>
      <w:divBdr>
        <w:top w:val="none" w:sz="0" w:space="0" w:color="auto"/>
        <w:left w:val="none" w:sz="0" w:space="0" w:color="auto"/>
        <w:bottom w:val="none" w:sz="0" w:space="0" w:color="auto"/>
        <w:right w:val="none" w:sz="0" w:space="0" w:color="auto"/>
      </w:divBdr>
    </w:div>
    <w:div w:id="1889801306">
      <w:bodyDiv w:val="1"/>
      <w:marLeft w:val="0"/>
      <w:marRight w:val="0"/>
      <w:marTop w:val="0"/>
      <w:marBottom w:val="0"/>
      <w:divBdr>
        <w:top w:val="none" w:sz="0" w:space="0" w:color="auto"/>
        <w:left w:val="none" w:sz="0" w:space="0" w:color="auto"/>
        <w:bottom w:val="none" w:sz="0" w:space="0" w:color="auto"/>
        <w:right w:val="none" w:sz="0" w:space="0" w:color="auto"/>
      </w:divBdr>
    </w:div>
    <w:div w:id="1890801807">
      <w:bodyDiv w:val="1"/>
      <w:marLeft w:val="0"/>
      <w:marRight w:val="0"/>
      <w:marTop w:val="0"/>
      <w:marBottom w:val="0"/>
      <w:divBdr>
        <w:top w:val="none" w:sz="0" w:space="0" w:color="auto"/>
        <w:left w:val="none" w:sz="0" w:space="0" w:color="auto"/>
        <w:bottom w:val="none" w:sz="0" w:space="0" w:color="auto"/>
        <w:right w:val="none" w:sz="0" w:space="0" w:color="auto"/>
      </w:divBdr>
    </w:div>
    <w:div w:id="1891188433">
      <w:bodyDiv w:val="1"/>
      <w:marLeft w:val="0"/>
      <w:marRight w:val="0"/>
      <w:marTop w:val="0"/>
      <w:marBottom w:val="0"/>
      <w:divBdr>
        <w:top w:val="none" w:sz="0" w:space="0" w:color="auto"/>
        <w:left w:val="none" w:sz="0" w:space="0" w:color="auto"/>
        <w:bottom w:val="none" w:sz="0" w:space="0" w:color="auto"/>
        <w:right w:val="none" w:sz="0" w:space="0" w:color="auto"/>
      </w:divBdr>
    </w:div>
    <w:div w:id="1893617471">
      <w:bodyDiv w:val="1"/>
      <w:marLeft w:val="0"/>
      <w:marRight w:val="0"/>
      <w:marTop w:val="0"/>
      <w:marBottom w:val="0"/>
      <w:divBdr>
        <w:top w:val="none" w:sz="0" w:space="0" w:color="auto"/>
        <w:left w:val="none" w:sz="0" w:space="0" w:color="auto"/>
        <w:bottom w:val="none" w:sz="0" w:space="0" w:color="auto"/>
        <w:right w:val="none" w:sz="0" w:space="0" w:color="auto"/>
      </w:divBdr>
    </w:div>
    <w:div w:id="1893733427">
      <w:bodyDiv w:val="1"/>
      <w:marLeft w:val="0"/>
      <w:marRight w:val="0"/>
      <w:marTop w:val="0"/>
      <w:marBottom w:val="0"/>
      <w:divBdr>
        <w:top w:val="none" w:sz="0" w:space="0" w:color="auto"/>
        <w:left w:val="none" w:sz="0" w:space="0" w:color="auto"/>
        <w:bottom w:val="none" w:sz="0" w:space="0" w:color="auto"/>
        <w:right w:val="none" w:sz="0" w:space="0" w:color="auto"/>
      </w:divBdr>
    </w:div>
    <w:div w:id="1894655390">
      <w:bodyDiv w:val="1"/>
      <w:marLeft w:val="0"/>
      <w:marRight w:val="0"/>
      <w:marTop w:val="0"/>
      <w:marBottom w:val="0"/>
      <w:divBdr>
        <w:top w:val="none" w:sz="0" w:space="0" w:color="auto"/>
        <w:left w:val="none" w:sz="0" w:space="0" w:color="auto"/>
        <w:bottom w:val="none" w:sz="0" w:space="0" w:color="auto"/>
        <w:right w:val="none" w:sz="0" w:space="0" w:color="auto"/>
      </w:divBdr>
    </w:div>
    <w:div w:id="1894734541">
      <w:bodyDiv w:val="1"/>
      <w:marLeft w:val="0"/>
      <w:marRight w:val="0"/>
      <w:marTop w:val="0"/>
      <w:marBottom w:val="0"/>
      <w:divBdr>
        <w:top w:val="none" w:sz="0" w:space="0" w:color="auto"/>
        <w:left w:val="none" w:sz="0" w:space="0" w:color="auto"/>
        <w:bottom w:val="none" w:sz="0" w:space="0" w:color="auto"/>
        <w:right w:val="none" w:sz="0" w:space="0" w:color="auto"/>
      </w:divBdr>
    </w:div>
    <w:div w:id="1895239474">
      <w:bodyDiv w:val="1"/>
      <w:marLeft w:val="0"/>
      <w:marRight w:val="0"/>
      <w:marTop w:val="0"/>
      <w:marBottom w:val="0"/>
      <w:divBdr>
        <w:top w:val="none" w:sz="0" w:space="0" w:color="auto"/>
        <w:left w:val="none" w:sz="0" w:space="0" w:color="auto"/>
        <w:bottom w:val="none" w:sz="0" w:space="0" w:color="auto"/>
        <w:right w:val="none" w:sz="0" w:space="0" w:color="auto"/>
      </w:divBdr>
    </w:div>
    <w:div w:id="1895922612">
      <w:bodyDiv w:val="1"/>
      <w:marLeft w:val="0"/>
      <w:marRight w:val="0"/>
      <w:marTop w:val="0"/>
      <w:marBottom w:val="0"/>
      <w:divBdr>
        <w:top w:val="none" w:sz="0" w:space="0" w:color="auto"/>
        <w:left w:val="none" w:sz="0" w:space="0" w:color="auto"/>
        <w:bottom w:val="none" w:sz="0" w:space="0" w:color="auto"/>
        <w:right w:val="none" w:sz="0" w:space="0" w:color="auto"/>
      </w:divBdr>
    </w:div>
    <w:div w:id="1896162238">
      <w:bodyDiv w:val="1"/>
      <w:marLeft w:val="0"/>
      <w:marRight w:val="0"/>
      <w:marTop w:val="0"/>
      <w:marBottom w:val="0"/>
      <w:divBdr>
        <w:top w:val="none" w:sz="0" w:space="0" w:color="auto"/>
        <w:left w:val="none" w:sz="0" w:space="0" w:color="auto"/>
        <w:bottom w:val="none" w:sz="0" w:space="0" w:color="auto"/>
        <w:right w:val="none" w:sz="0" w:space="0" w:color="auto"/>
      </w:divBdr>
    </w:div>
    <w:div w:id="1896239739">
      <w:bodyDiv w:val="1"/>
      <w:marLeft w:val="0"/>
      <w:marRight w:val="0"/>
      <w:marTop w:val="0"/>
      <w:marBottom w:val="0"/>
      <w:divBdr>
        <w:top w:val="none" w:sz="0" w:space="0" w:color="auto"/>
        <w:left w:val="none" w:sz="0" w:space="0" w:color="auto"/>
        <w:bottom w:val="none" w:sz="0" w:space="0" w:color="auto"/>
        <w:right w:val="none" w:sz="0" w:space="0" w:color="auto"/>
      </w:divBdr>
    </w:div>
    <w:div w:id="1897203032">
      <w:bodyDiv w:val="1"/>
      <w:marLeft w:val="0"/>
      <w:marRight w:val="0"/>
      <w:marTop w:val="0"/>
      <w:marBottom w:val="0"/>
      <w:divBdr>
        <w:top w:val="none" w:sz="0" w:space="0" w:color="auto"/>
        <w:left w:val="none" w:sz="0" w:space="0" w:color="auto"/>
        <w:bottom w:val="none" w:sz="0" w:space="0" w:color="auto"/>
        <w:right w:val="none" w:sz="0" w:space="0" w:color="auto"/>
      </w:divBdr>
    </w:div>
    <w:div w:id="1897543469">
      <w:bodyDiv w:val="1"/>
      <w:marLeft w:val="0"/>
      <w:marRight w:val="0"/>
      <w:marTop w:val="0"/>
      <w:marBottom w:val="0"/>
      <w:divBdr>
        <w:top w:val="none" w:sz="0" w:space="0" w:color="auto"/>
        <w:left w:val="none" w:sz="0" w:space="0" w:color="auto"/>
        <w:bottom w:val="none" w:sz="0" w:space="0" w:color="auto"/>
        <w:right w:val="none" w:sz="0" w:space="0" w:color="auto"/>
      </w:divBdr>
    </w:div>
    <w:div w:id="1897813241">
      <w:bodyDiv w:val="1"/>
      <w:marLeft w:val="0"/>
      <w:marRight w:val="0"/>
      <w:marTop w:val="0"/>
      <w:marBottom w:val="0"/>
      <w:divBdr>
        <w:top w:val="none" w:sz="0" w:space="0" w:color="auto"/>
        <w:left w:val="none" w:sz="0" w:space="0" w:color="auto"/>
        <w:bottom w:val="none" w:sz="0" w:space="0" w:color="auto"/>
        <w:right w:val="none" w:sz="0" w:space="0" w:color="auto"/>
      </w:divBdr>
    </w:div>
    <w:div w:id="1897857782">
      <w:bodyDiv w:val="1"/>
      <w:marLeft w:val="0"/>
      <w:marRight w:val="0"/>
      <w:marTop w:val="0"/>
      <w:marBottom w:val="0"/>
      <w:divBdr>
        <w:top w:val="none" w:sz="0" w:space="0" w:color="auto"/>
        <w:left w:val="none" w:sz="0" w:space="0" w:color="auto"/>
        <w:bottom w:val="none" w:sz="0" w:space="0" w:color="auto"/>
        <w:right w:val="none" w:sz="0" w:space="0" w:color="auto"/>
      </w:divBdr>
    </w:div>
    <w:div w:id="1897932422">
      <w:bodyDiv w:val="1"/>
      <w:marLeft w:val="0"/>
      <w:marRight w:val="0"/>
      <w:marTop w:val="0"/>
      <w:marBottom w:val="0"/>
      <w:divBdr>
        <w:top w:val="none" w:sz="0" w:space="0" w:color="auto"/>
        <w:left w:val="none" w:sz="0" w:space="0" w:color="auto"/>
        <w:bottom w:val="none" w:sz="0" w:space="0" w:color="auto"/>
        <w:right w:val="none" w:sz="0" w:space="0" w:color="auto"/>
      </w:divBdr>
    </w:div>
    <w:div w:id="1898318837">
      <w:bodyDiv w:val="1"/>
      <w:marLeft w:val="0"/>
      <w:marRight w:val="0"/>
      <w:marTop w:val="0"/>
      <w:marBottom w:val="0"/>
      <w:divBdr>
        <w:top w:val="none" w:sz="0" w:space="0" w:color="auto"/>
        <w:left w:val="none" w:sz="0" w:space="0" w:color="auto"/>
        <w:bottom w:val="none" w:sz="0" w:space="0" w:color="auto"/>
        <w:right w:val="none" w:sz="0" w:space="0" w:color="auto"/>
      </w:divBdr>
    </w:div>
    <w:div w:id="1898320842">
      <w:bodyDiv w:val="1"/>
      <w:marLeft w:val="0"/>
      <w:marRight w:val="0"/>
      <w:marTop w:val="0"/>
      <w:marBottom w:val="0"/>
      <w:divBdr>
        <w:top w:val="none" w:sz="0" w:space="0" w:color="auto"/>
        <w:left w:val="none" w:sz="0" w:space="0" w:color="auto"/>
        <w:bottom w:val="none" w:sz="0" w:space="0" w:color="auto"/>
        <w:right w:val="none" w:sz="0" w:space="0" w:color="auto"/>
      </w:divBdr>
    </w:div>
    <w:div w:id="1898396602">
      <w:bodyDiv w:val="1"/>
      <w:marLeft w:val="0"/>
      <w:marRight w:val="0"/>
      <w:marTop w:val="0"/>
      <w:marBottom w:val="0"/>
      <w:divBdr>
        <w:top w:val="none" w:sz="0" w:space="0" w:color="auto"/>
        <w:left w:val="none" w:sz="0" w:space="0" w:color="auto"/>
        <w:bottom w:val="none" w:sz="0" w:space="0" w:color="auto"/>
        <w:right w:val="none" w:sz="0" w:space="0" w:color="auto"/>
      </w:divBdr>
    </w:div>
    <w:div w:id="1898398551">
      <w:bodyDiv w:val="1"/>
      <w:marLeft w:val="0"/>
      <w:marRight w:val="0"/>
      <w:marTop w:val="0"/>
      <w:marBottom w:val="0"/>
      <w:divBdr>
        <w:top w:val="none" w:sz="0" w:space="0" w:color="auto"/>
        <w:left w:val="none" w:sz="0" w:space="0" w:color="auto"/>
        <w:bottom w:val="none" w:sz="0" w:space="0" w:color="auto"/>
        <w:right w:val="none" w:sz="0" w:space="0" w:color="auto"/>
      </w:divBdr>
    </w:div>
    <w:div w:id="1899441004">
      <w:bodyDiv w:val="1"/>
      <w:marLeft w:val="0"/>
      <w:marRight w:val="0"/>
      <w:marTop w:val="0"/>
      <w:marBottom w:val="0"/>
      <w:divBdr>
        <w:top w:val="none" w:sz="0" w:space="0" w:color="auto"/>
        <w:left w:val="none" w:sz="0" w:space="0" w:color="auto"/>
        <w:bottom w:val="none" w:sz="0" w:space="0" w:color="auto"/>
        <w:right w:val="none" w:sz="0" w:space="0" w:color="auto"/>
      </w:divBdr>
    </w:div>
    <w:div w:id="1899510580">
      <w:bodyDiv w:val="1"/>
      <w:marLeft w:val="0"/>
      <w:marRight w:val="0"/>
      <w:marTop w:val="0"/>
      <w:marBottom w:val="0"/>
      <w:divBdr>
        <w:top w:val="none" w:sz="0" w:space="0" w:color="auto"/>
        <w:left w:val="none" w:sz="0" w:space="0" w:color="auto"/>
        <w:bottom w:val="none" w:sz="0" w:space="0" w:color="auto"/>
        <w:right w:val="none" w:sz="0" w:space="0" w:color="auto"/>
      </w:divBdr>
    </w:div>
    <w:div w:id="1899517096">
      <w:bodyDiv w:val="1"/>
      <w:marLeft w:val="0"/>
      <w:marRight w:val="0"/>
      <w:marTop w:val="0"/>
      <w:marBottom w:val="0"/>
      <w:divBdr>
        <w:top w:val="none" w:sz="0" w:space="0" w:color="auto"/>
        <w:left w:val="none" w:sz="0" w:space="0" w:color="auto"/>
        <w:bottom w:val="none" w:sz="0" w:space="0" w:color="auto"/>
        <w:right w:val="none" w:sz="0" w:space="0" w:color="auto"/>
      </w:divBdr>
    </w:div>
    <w:div w:id="1900827078">
      <w:bodyDiv w:val="1"/>
      <w:marLeft w:val="0"/>
      <w:marRight w:val="0"/>
      <w:marTop w:val="0"/>
      <w:marBottom w:val="0"/>
      <w:divBdr>
        <w:top w:val="none" w:sz="0" w:space="0" w:color="auto"/>
        <w:left w:val="none" w:sz="0" w:space="0" w:color="auto"/>
        <w:bottom w:val="none" w:sz="0" w:space="0" w:color="auto"/>
        <w:right w:val="none" w:sz="0" w:space="0" w:color="auto"/>
      </w:divBdr>
    </w:div>
    <w:div w:id="1900896027">
      <w:bodyDiv w:val="1"/>
      <w:marLeft w:val="0"/>
      <w:marRight w:val="0"/>
      <w:marTop w:val="0"/>
      <w:marBottom w:val="0"/>
      <w:divBdr>
        <w:top w:val="none" w:sz="0" w:space="0" w:color="auto"/>
        <w:left w:val="none" w:sz="0" w:space="0" w:color="auto"/>
        <w:bottom w:val="none" w:sz="0" w:space="0" w:color="auto"/>
        <w:right w:val="none" w:sz="0" w:space="0" w:color="auto"/>
      </w:divBdr>
    </w:div>
    <w:div w:id="1901018478">
      <w:bodyDiv w:val="1"/>
      <w:marLeft w:val="0"/>
      <w:marRight w:val="0"/>
      <w:marTop w:val="0"/>
      <w:marBottom w:val="0"/>
      <w:divBdr>
        <w:top w:val="none" w:sz="0" w:space="0" w:color="auto"/>
        <w:left w:val="none" w:sz="0" w:space="0" w:color="auto"/>
        <w:bottom w:val="none" w:sz="0" w:space="0" w:color="auto"/>
        <w:right w:val="none" w:sz="0" w:space="0" w:color="auto"/>
      </w:divBdr>
    </w:div>
    <w:div w:id="1901356593">
      <w:bodyDiv w:val="1"/>
      <w:marLeft w:val="0"/>
      <w:marRight w:val="0"/>
      <w:marTop w:val="0"/>
      <w:marBottom w:val="0"/>
      <w:divBdr>
        <w:top w:val="none" w:sz="0" w:space="0" w:color="auto"/>
        <w:left w:val="none" w:sz="0" w:space="0" w:color="auto"/>
        <w:bottom w:val="none" w:sz="0" w:space="0" w:color="auto"/>
        <w:right w:val="none" w:sz="0" w:space="0" w:color="auto"/>
      </w:divBdr>
    </w:div>
    <w:div w:id="1901599672">
      <w:bodyDiv w:val="1"/>
      <w:marLeft w:val="0"/>
      <w:marRight w:val="0"/>
      <w:marTop w:val="0"/>
      <w:marBottom w:val="0"/>
      <w:divBdr>
        <w:top w:val="none" w:sz="0" w:space="0" w:color="auto"/>
        <w:left w:val="none" w:sz="0" w:space="0" w:color="auto"/>
        <w:bottom w:val="none" w:sz="0" w:space="0" w:color="auto"/>
        <w:right w:val="none" w:sz="0" w:space="0" w:color="auto"/>
      </w:divBdr>
    </w:div>
    <w:div w:id="1901668149">
      <w:bodyDiv w:val="1"/>
      <w:marLeft w:val="0"/>
      <w:marRight w:val="0"/>
      <w:marTop w:val="0"/>
      <w:marBottom w:val="0"/>
      <w:divBdr>
        <w:top w:val="none" w:sz="0" w:space="0" w:color="auto"/>
        <w:left w:val="none" w:sz="0" w:space="0" w:color="auto"/>
        <w:bottom w:val="none" w:sz="0" w:space="0" w:color="auto"/>
        <w:right w:val="none" w:sz="0" w:space="0" w:color="auto"/>
      </w:divBdr>
    </w:div>
    <w:div w:id="1901987224">
      <w:bodyDiv w:val="1"/>
      <w:marLeft w:val="0"/>
      <w:marRight w:val="0"/>
      <w:marTop w:val="0"/>
      <w:marBottom w:val="0"/>
      <w:divBdr>
        <w:top w:val="none" w:sz="0" w:space="0" w:color="auto"/>
        <w:left w:val="none" w:sz="0" w:space="0" w:color="auto"/>
        <w:bottom w:val="none" w:sz="0" w:space="0" w:color="auto"/>
        <w:right w:val="none" w:sz="0" w:space="0" w:color="auto"/>
      </w:divBdr>
    </w:div>
    <w:div w:id="1902398442">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3441793">
      <w:bodyDiv w:val="1"/>
      <w:marLeft w:val="0"/>
      <w:marRight w:val="0"/>
      <w:marTop w:val="0"/>
      <w:marBottom w:val="0"/>
      <w:divBdr>
        <w:top w:val="none" w:sz="0" w:space="0" w:color="auto"/>
        <w:left w:val="none" w:sz="0" w:space="0" w:color="auto"/>
        <w:bottom w:val="none" w:sz="0" w:space="0" w:color="auto"/>
        <w:right w:val="none" w:sz="0" w:space="0" w:color="auto"/>
      </w:divBdr>
    </w:div>
    <w:div w:id="1904175233">
      <w:bodyDiv w:val="1"/>
      <w:marLeft w:val="0"/>
      <w:marRight w:val="0"/>
      <w:marTop w:val="0"/>
      <w:marBottom w:val="0"/>
      <w:divBdr>
        <w:top w:val="none" w:sz="0" w:space="0" w:color="auto"/>
        <w:left w:val="none" w:sz="0" w:space="0" w:color="auto"/>
        <w:bottom w:val="none" w:sz="0" w:space="0" w:color="auto"/>
        <w:right w:val="none" w:sz="0" w:space="0" w:color="auto"/>
      </w:divBdr>
    </w:div>
    <w:div w:id="1904441257">
      <w:bodyDiv w:val="1"/>
      <w:marLeft w:val="0"/>
      <w:marRight w:val="0"/>
      <w:marTop w:val="0"/>
      <w:marBottom w:val="0"/>
      <w:divBdr>
        <w:top w:val="none" w:sz="0" w:space="0" w:color="auto"/>
        <w:left w:val="none" w:sz="0" w:space="0" w:color="auto"/>
        <w:bottom w:val="none" w:sz="0" w:space="0" w:color="auto"/>
        <w:right w:val="none" w:sz="0" w:space="0" w:color="auto"/>
      </w:divBdr>
    </w:div>
    <w:div w:id="1905137222">
      <w:bodyDiv w:val="1"/>
      <w:marLeft w:val="0"/>
      <w:marRight w:val="0"/>
      <w:marTop w:val="0"/>
      <w:marBottom w:val="0"/>
      <w:divBdr>
        <w:top w:val="none" w:sz="0" w:space="0" w:color="auto"/>
        <w:left w:val="none" w:sz="0" w:space="0" w:color="auto"/>
        <w:bottom w:val="none" w:sz="0" w:space="0" w:color="auto"/>
        <w:right w:val="none" w:sz="0" w:space="0" w:color="auto"/>
      </w:divBdr>
    </w:div>
    <w:div w:id="1908489853">
      <w:bodyDiv w:val="1"/>
      <w:marLeft w:val="0"/>
      <w:marRight w:val="0"/>
      <w:marTop w:val="0"/>
      <w:marBottom w:val="0"/>
      <w:divBdr>
        <w:top w:val="none" w:sz="0" w:space="0" w:color="auto"/>
        <w:left w:val="none" w:sz="0" w:space="0" w:color="auto"/>
        <w:bottom w:val="none" w:sz="0" w:space="0" w:color="auto"/>
        <w:right w:val="none" w:sz="0" w:space="0" w:color="auto"/>
      </w:divBdr>
    </w:div>
    <w:div w:id="1908492713">
      <w:bodyDiv w:val="1"/>
      <w:marLeft w:val="0"/>
      <w:marRight w:val="0"/>
      <w:marTop w:val="0"/>
      <w:marBottom w:val="0"/>
      <w:divBdr>
        <w:top w:val="none" w:sz="0" w:space="0" w:color="auto"/>
        <w:left w:val="none" w:sz="0" w:space="0" w:color="auto"/>
        <w:bottom w:val="none" w:sz="0" w:space="0" w:color="auto"/>
        <w:right w:val="none" w:sz="0" w:space="0" w:color="auto"/>
      </w:divBdr>
    </w:div>
    <w:div w:id="1909026992">
      <w:bodyDiv w:val="1"/>
      <w:marLeft w:val="0"/>
      <w:marRight w:val="0"/>
      <w:marTop w:val="0"/>
      <w:marBottom w:val="0"/>
      <w:divBdr>
        <w:top w:val="none" w:sz="0" w:space="0" w:color="auto"/>
        <w:left w:val="none" w:sz="0" w:space="0" w:color="auto"/>
        <w:bottom w:val="none" w:sz="0" w:space="0" w:color="auto"/>
        <w:right w:val="none" w:sz="0" w:space="0" w:color="auto"/>
      </w:divBdr>
    </w:div>
    <w:div w:id="1909264123">
      <w:bodyDiv w:val="1"/>
      <w:marLeft w:val="0"/>
      <w:marRight w:val="0"/>
      <w:marTop w:val="0"/>
      <w:marBottom w:val="0"/>
      <w:divBdr>
        <w:top w:val="none" w:sz="0" w:space="0" w:color="auto"/>
        <w:left w:val="none" w:sz="0" w:space="0" w:color="auto"/>
        <w:bottom w:val="none" w:sz="0" w:space="0" w:color="auto"/>
        <w:right w:val="none" w:sz="0" w:space="0" w:color="auto"/>
      </w:divBdr>
    </w:div>
    <w:div w:id="1909413296">
      <w:bodyDiv w:val="1"/>
      <w:marLeft w:val="0"/>
      <w:marRight w:val="0"/>
      <w:marTop w:val="0"/>
      <w:marBottom w:val="0"/>
      <w:divBdr>
        <w:top w:val="none" w:sz="0" w:space="0" w:color="auto"/>
        <w:left w:val="none" w:sz="0" w:space="0" w:color="auto"/>
        <w:bottom w:val="none" w:sz="0" w:space="0" w:color="auto"/>
        <w:right w:val="none" w:sz="0" w:space="0" w:color="auto"/>
      </w:divBdr>
    </w:div>
    <w:div w:id="1910115796">
      <w:bodyDiv w:val="1"/>
      <w:marLeft w:val="0"/>
      <w:marRight w:val="0"/>
      <w:marTop w:val="0"/>
      <w:marBottom w:val="0"/>
      <w:divBdr>
        <w:top w:val="none" w:sz="0" w:space="0" w:color="auto"/>
        <w:left w:val="none" w:sz="0" w:space="0" w:color="auto"/>
        <w:bottom w:val="none" w:sz="0" w:space="0" w:color="auto"/>
        <w:right w:val="none" w:sz="0" w:space="0" w:color="auto"/>
      </w:divBdr>
    </w:div>
    <w:div w:id="1910190746">
      <w:bodyDiv w:val="1"/>
      <w:marLeft w:val="0"/>
      <w:marRight w:val="0"/>
      <w:marTop w:val="0"/>
      <w:marBottom w:val="0"/>
      <w:divBdr>
        <w:top w:val="none" w:sz="0" w:space="0" w:color="auto"/>
        <w:left w:val="none" w:sz="0" w:space="0" w:color="auto"/>
        <w:bottom w:val="none" w:sz="0" w:space="0" w:color="auto"/>
        <w:right w:val="none" w:sz="0" w:space="0" w:color="auto"/>
      </w:divBdr>
    </w:div>
    <w:div w:id="1910454933">
      <w:bodyDiv w:val="1"/>
      <w:marLeft w:val="0"/>
      <w:marRight w:val="0"/>
      <w:marTop w:val="0"/>
      <w:marBottom w:val="0"/>
      <w:divBdr>
        <w:top w:val="none" w:sz="0" w:space="0" w:color="auto"/>
        <w:left w:val="none" w:sz="0" w:space="0" w:color="auto"/>
        <w:bottom w:val="none" w:sz="0" w:space="0" w:color="auto"/>
        <w:right w:val="none" w:sz="0" w:space="0" w:color="auto"/>
      </w:divBdr>
    </w:div>
    <w:div w:id="1910534114">
      <w:bodyDiv w:val="1"/>
      <w:marLeft w:val="0"/>
      <w:marRight w:val="0"/>
      <w:marTop w:val="0"/>
      <w:marBottom w:val="0"/>
      <w:divBdr>
        <w:top w:val="none" w:sz="0" w:space="0" w:color="auto"/>
        <w:left w:val="none" w:sz="0" w:space="0" w:color="auto"/>
        <w:bottom w:val="none" w:sz="0" w:space="0" w:color="auto"/>
        <w:right w:val="none" w:sz="0" w:space="0" w:color="auto"/>
      </w:divBdr>
    </w:div>
    <w:div w:id="1912810424">
      <w:bodyDiv w:val="1"/>
      <w:marLeft w:val="0"/>
      <w:marRight w:val="0"/>
      <w:marTop w:val="0"/>
      <w:marBottom w:val="0"/>
      <w:divBdr>
        <w:top w:val="none" w:sz="0" w:space="0" w:color="auto"/>
        <w:left w:val="none" w:sz="0" w:space="0" w:color="auto"/>
        <w:bottom w:val="none" w:sz="0" w:space="0" w:color="auto"/>
        <w:right w:val="none" w:sz="0" w:space="0" w:color="auto"/>
      </w:divBdr>
    </w:div>
    <w:div w:id="1914005219">
      <w:bodyDiv w:val="1"/>
      <w:marLeft w:val="0"/>
      <w:marRight w:val="0"/>
      <w:marTop w:val="0"/>
      <w:marBottom w:val="0"/>
      <w:divBdr>
        <w:top w:val="none" w:sz="0" w:space="0" w:color="auto"/>
        <w:left w:val="none" w:sz="0" w:space="0" w:color="auto"/>
        <w:bottom w:val="none" w:sz="0" w:space="0" w:color="auto"/>
        <w:right w:val="none" w:sz="0" w:space="0" w:color="auto"/>
      </w:divBdr>
    </w:div>
    <w:div w:id="1914318173">
      <w:bodyDiv w:val="1"/>
      <w:marLeft w:val="0"/>
      <w:marRight w:val="0"/>
      <w:marTop w:val="0"/>
      <w:marBottom w:val="0"/>
      <w:divBdr>
        <w:top w:val="none" w:sz="0" w:space="0" w:color="auto"/>
        <w:left w:val="none" w:sz="0" w:space="0" w:color="auto"/>
        <w:bottom w:val="none" w:sz="0" w:space="0" w:color="auto"/>
        <w:right w:val="none" w:sz="0" w:space="0" w:color="auto"/>
      </w:divBdr>
    </w:div>
    <w:div w:id="1915696304">
      <w:bodyDiv w:val="1"/>
      <w:marLeft w:val="0"/>
      <w:marRight w:val="0"/>
      <w:marTop w:val="0"/>
      <w:marBottom w:val="0"/>
      <w:divBdr>
        <w:top w:val="none" w:sz="0" w:space="0" w:color="auto"/>
        <w:left w:val="none" w:sz="0" w:space="0" w:color="auto"/>
        <w:bottom w:val="none" w:sz="0" w:space="0" w:color="auto"/>
        <w:right w:val="none" w:sz="0" w:space="0" w:color="auto"/>
      </w:divBdr>
    </w:div>
    <w:div w:id="1916626623">
      <w:bodyDiv w:val="1"/>
      <w:marLeft w:val="0"/>
      <w:marRight w:val="0"/>
      <w:marTop w:val="0"/>
      <w:marBottom w:val="0"/>
      <w:divBdr>
        <w:top w:val="none" w:sz="0" w:space="0" w:color="auto"/>
        <w:left w:val="none" w:sz="0" w:space="0" w:color="auto"/>
        <w:bottom w:val="none" w:sz="0" w:space="0" w:color="auto"/>
        <w:right w:val="none" w:sz="0" w:space="0" w:color="auto"/>
      </w:divBdr>
    </w:div>
    <w:div w:id="1917009835">
      <w:bodyDiv w:val="1"/>
      <w:marLeft w:val="0"/>
      <w:marRight w:val="0"/>
      <w:marTop w:val="0"/>
      <w:marBottom w:val="0"/>
      <w:divBdr>
        <w:top w:val="none" w:sz="0" w:space="0" w:color="auto"/>
        <w:left w:val="none" w:sz="0" w:space="0" w:color="auto"/>
        <w:bottom w:val="none" w:sz="0" w:space="0" w:color="auto"/>
        <w:right w:val="none" w:sz="0" w:space="0" w:color="auto"/>
      </w:divBdr>
    </w:div>
    <w:div w:id="1918173494">
      <w:bodyDiv w:val="1"/>
      <w:marLeft w:val="0"/>
      <w:marRight w:val="0"/>
      <w:marTop w:val="0"/>
      <w:marBottom w:val="0"/>
      <w:divBdr>
        <w:top w:val="none" w:sz="0" w:space="0" w:color="auto"/>
        <w:left w:val="none" w:sz="0" w:space="0" w:color="auto"/>
        <w:bottom w:val="none" w:sz="0" w:space="0" w:color="auto"/>
        <w:right w:val="none" w:sz="0" w:space="0" w:color="auto"/>
      </w:divBdr>
    </w:div>
    <w:div w:id="1919244764">
      <w:bodyDiv w:val="1"/>
      <w:marLeft w:val="0"/>
      <w:marRight w:val="0"/>
      <w:marTop w:val="0"/>
      <w:marBottom w:val="0"/>
      <w:divBdr>
        <w:top w:val="none" w:sz="0" w:space="0" w:color="auto"/>
        <w:left w:val="none" w:sz="0" w:space="0" w:color="auto"/>
        <w:bottom w:val="none" w:sz="0" w:space="0" w:color="auto"/>
        <w:right w:val="none" w:sz="0" w:space="0" w:color="auto"/>
      </w:divBdr>
    </w:div>
    <w:div w:id="1919754307">
      <w:bodyDiv w:val="1"/>
      <w:marLeft w:val="0"/>
      <w:marRight w:val="0"/>
      <w:marTop w:val="0"/>
      <w:marBottom w:val="0"/>
      <w:divBdr>
        <w:top w:val="none" w:sz="0" w:space="0" w:color="auto"/>
        <w:left w:val="none" w:sz="0" w:space="0" w:color="auto"/>
        <w:bottom w:val="none" w:sz="0" w:space="0" w:color="auto"/>
        <w:right w:val="none" w:sz="0" w:space="0" w:color="auto"/>
      </w:divBdr>
    </w:div>
    <w:div w:id="1920016688">
      <w:bodyDiv w:val="1"/>
      <w:marLeft w:val="0"/>
      <w:marRight w:val="0"/>
      <w:marTop w:val="0"/>
      <w:marBottom w:val="0"/>
      <w:divBdr>
        <w:top w:val="none" w:sz="0" w:space="0" w:color="auto"/>
        <w:left w:val="none" w:sz="0" w:space="0" w:color="auto"/>
        <w:bottom w:val="none" w:sz="0" w:space="0" w:color="auto"/>
        <w:right w:val="none" w:sz="0" w:space="0" w:color="auto"/>
      </w:divBdr>
    </w:div>
    <w:div w:id="1920749369">
      <w:bodyDiv w:val="1"/>
      <w:marLeft w:val="0"/>
      <w:marRight w:val="0"/>
      <w:marTop w:val="0"/>
      <w:marBottom w:val="0"/>
      <w:divBdr>
        <w:top w:val="none" w:sz="0" w:space="0" w:color="auto"/>
        <w:left w:val="none" w:sz="0" w:space="0" w:color="auto"/>
        <w:bottom w:val="none" w:sz="0" w:space="0" w:color="auto"/>
        <w:right w:val="none" w:sz="0" w:space="0" w:color="auto"/>
      </w:divBdr>
    </w:div>
    <w:div w:id="1920939602">
      <w:bodyDiv w:val="1"/>
      <w:marLeft w:val="0"/>
      <w:marRight w:val="0"/>
      <w:marTop w:val="0"/>
      <w:marBottom w:val="0"/>
      <w:divBdr>
        <w:top w:val="none" w:sz="0" w:space="0" w:color="auto"/>
        <w:left w:val="none" w:sz="0" w:space="0" w:color="auto"/>
        <w:bottom w:val="none" w:sz="0" w:space="0" w:color="auto"/>
        <w:right w:val="none" w:sz="0" w:space="0" w:color="auto"/>
      </w:divBdr>
    </w:div>
    <w:div w:id="1922375808">
      <w:bodyDiv w:val="1"/>
      <w:marLeft w:val="0"/>
      <w:marRight w:val="0"/>
      <w:marTop w:val="0"/>
      <w:marBottom w:val="0"/>
      <w:divBdr>
        <w:top w:val="none" w:sz="0" w:space="0" w:color="auto"/>
        <w:left w:val="none" w:sz="0" w:space="0" w:color="auto"/>
        <w:bottom w:val="none" w:sz="0" w:space="0" w:color="auto"/>
        <w:right w:val="none" w:sz="0" w:space="0" w:color="auto"/>
      </w:divBdr>
    </w:div>
    <w:div w:id="1924220181">
      <w:bodyDiv w:val="1"/>
      <w:marLeft w:val="0"/>
      <w:marRight w:val="0"/>
      <w:marTop w:val="0"/>
      <w:marBottom w:val="0"/>
      <w:divBdr>
        <w:top w:val="none" w:sz="0" w:space="0" w:color="auto"/>
        <w:left w:val="none" w:sz="0" w:space="0" w:color="auto"/>
        <w:bottom w:val="none" w:sz="0" w:space="0" w:color="auto"/>
        <w:right w:val="none" w:sz="0" w:space="0" w:color="auto"/>
      </w:divBdr>
    </w:div>
    <w:div w:id="1924485234">
      <w:bodyDiv w:val="1"/>
      <w:marLeft w:val="0"/>
      <w:marRight w:val="0"/>
      <w:marTop w:val="0"/>
      <w:marBottom w:val="0"/>
      <w:divBdr>
        <w:top w:val="none" w:sz="0" w:space="0" w:color="auto"/>
        <w:left w:val="none" w:sz="0" w:space="0" w:color="auto"/>
        <w:bottom w:val="none" w:sz="0" w:space="0" w:color="auto"/>
        <w:right w:val="none" w:sz="0" w:space="0" w:color="auto"/>
      </w:divBdr>
    </w:div>
    <w:div w:id="1925142280">
      <w:bodyDiv w:val="1"/>
      <w:marLeft w:val="0"/>
      <w:marRight w:val="0"/>
      <w:marTop w:val="0"/>
      <w:marBottom w:val="0"/>
      <w:divBdr>
        <w:top w:val="none" w:sz="0" w:space="0" w:color="auto"/>
        <w:left w:val="none" w:sz="0" w:space="0" w:color="auto"/>
        <w:bottom w:val="none" w:sz="0" w:space="0" w:color="auto"/>
        <w:right w:val="none" w:sz="0" w:space="0" w:color="auto"/>
      </w:divBdr>
    </w:div>
    <w:div w:id="1925452002">
      <w:bodyDiv w:val="1"/>
      <w:marLeft w:val="0"/>
      <w:marRight w:val="0"/>
      <w:marTop w:val="0"/>
      <w:marBottom w:val="0"/>
      <w:divBdr>
        <w:top w:val="none" w:sz="0" w:space="0" w:color="auto"/>
        <w:left w:val="none" w:sz="0" w:space="0" w:color="auto"/>
        <w:bottom w:val="none" w:sz="0" w:space="0" w:color="auto"/>
        <w:right w:val="none" w:sz="0" w:space="0" w:color="auto"/>
      </w:divBdr>
    </w:div>
    <w:div w:id="1925991560">
      <w:bodyDiv w:val="1"/>
      <w:marLeft w:val="0"/>
      <w:marRight w:val="0"/>
      <w:marTop w:val="0"/>
      <w:marBottom w:val="0"/>
      <w:divBdr>
        <w:top w:val="none" w:sz="0" w:space="0" w:color="auto"/>
        <w:left w:val="none" w:sz="0" w:space="0" w:color="auto"/>
        <w:bottom w:val="none" w:sz="0" w:space="0" w:color="auto"/>
        <w:right w:val="none" w:sz="0" w:space="0" w:color="auto"/>
      </w:divBdr>
    </w:div>
    <w:div w:id="1927035450">
      <w:bodyDiv w:val="1"/>
      <w:marLeft w:val="0"/>
      <w:marRight w:val="0"/>
      <w:marTop w:val="0"/>
      <w:marBottom w:val="0"/>
      <w:divBdr>
        <w:top w:val="none" w:sz="0" w:space="0" w:color="auto"/>
        <w:left w:val="none" w:sz="0" w:space="0" w:color="auto"/>
        <w:bottom w:val="none" w:sz="0" w:space="0" w:color="auto"/>
        <w:right w:val="none" w:sz="0" w:space="0" w:color="auto"/>
      </w:divBdr>
    </w:div>
    <w:div w:id="1928031244">
      <w:bodyDiv w:val="1"/>
      <w:marLeft w:val="0"/>
      <w:marRight w:val="0"/>
      <w:marTop w:val="0"/>
      <w:marBottom w:val="0"/>
      <w:divBdr>
        <w:top w:val="none" w:sz="0" w:space="0" w:color="auto"/>
        <w:left w:val="none" w:sz="0" w:space="0" w:color="auto"/>
        <w:bottom w:val="none" w:sz="0" w:space="0" w:color="auto"/>
        <w:right w:val="none" w:sz="0" w:space="0" w:color="auto"/>
      </w:divBdr>
    </w:div>
    <w:div w:id="1928346577">
      <w:bodyDiv w:val="1"/>
      <w:marLeft w:val="0"/>
      <w:marRight w:val="0"/>
      <w:marTop w:val="0"/>
      <w:marBottom w:val="0"/>
      <w:divBdr>
        <w:top w:val="none" w:sz="0" w:space="0" w:color="auto"/>
        <w:left w:val="none" w:sz="0" w:space="0" w:color="auto"/>
        <w:bottom w:val="none" w:sz="0" w:space="0" w:color="auto"/>
        <w:right w:val="none" w:sz="0" w:space="0" w:color="auto"/>
      </w:divBdr>
    </w:div>
    <w:div w:id="1928882223">
      <w:bodyDiv w:val="1"/>
      <w:marLeft w:val="0"/>
      <w:marRight w:val="0"/>
      <w:marTop w:val="0"/>
      <w:marBottom w:val="0"/>
      <w:divBdr>
        <w:top w:val="none" w:sz="0" w:space="0" w:color="auto"/>
        <w:left w:val="none" w:sz="0" w:space="0" w:color="auto"/>
        <w:bottom w:val="none" w:sz="0" w:space="0" w:color="auto"/>
        <w:right w:val="none" w:sz="0" w:space="0" w:color="auto"/>
      </w:divBdr>
    </w:div>
    <w:div w:id="1930506629">
      <w:bodyDiv w:val="1"/>
      <w:marLeft w:val="0"/>
      <w:marRight w:val="0"/>
      <w:marTop w:val="0"/>
      <w:marBottom w:val="0"/>
      <w:divBdr>
        <w:top w:val="none" w:sz="0" w:space="0" w:color="auto"/>
        <w:left w:val="none" w:sz="0" w:space="0" w:color="auto"/>
        <w:bottom w:val="none" w:sz="0" w:space="0" w:color="auto"/>
        <w:right w:val="none" w:sz="0" w:space="0" w:color="auto"/>
      </w:divBdr>
    </w:div>
    <w:div w:id="1931236802">
      <w:bodyDiv w:val="1"/>
      <w:marLeft w:val="0"/>
      <w:marRight w:val="0"/>
      <w:marTop w:val="0"/>
      <w:marBottom w:val="0"/>
      <w:divBdr>
        <w:top w:val="none" w:sz="0" w:space="0" w:color="auto"/>
        <w:left w:val="none" w:sz="0" w:space="0" w:color="auto"/>
        <w:bottom w:val="none" w:sz="0" w:space="0" w:color="auto"/>
        <w:right w:val="none" w:sz="0" w:space="0" w:color="auto"/>
      </w:divBdr>
    </w:div>
    <w:div w:id="1931889669">
      <w:bodyDiv w:val="1"/>
      <w:marLeft w:val="0"/>
      <w:marRight w:val="0"/>
      <w:marTop w:val="0"/>
      <w:marBottom w:val="0"/>
      <w:divBdr>
        <w:top w:val="none" w:sz="0" w:space="0" w:color="auto"/>
        <w:left w:val="none" w:sz="0" w:space="0" w:color="auto"/>
        <w:bottom w:val="none" w:sz="0" w:space="0" w:color="auto"/>
        <w:right w:val="none" w:sz="0" w:space="0" w:color="auto"/>
      </w:divBdr>
    </w:div>
    <w:div w:id="1932078766">
      <w:bodyDiv w:val="1"/>
      <w:marLeft w:val="0"/>
      <w:marRight w:val="0"/>
      <w:marTop w:val="0"/>
      <w:marBottom w:val="0"/>
      <w:divBdr>
        <w:top w:val="none" w:sz="0" w:space="0" w:color="auto"/>
        <w:left w:val="none" w:sz="0" w:space="0" w:color="auto"/>
        <w:bottom w:val="none" w:sz="0" w:space="0" w:color="auto"/>
        <w:right w:val="none" w:sz="0" w:space="0" w:color="auto"/>
      </w:divBdr>
    </w:div>
    <w:div w:id="1933468946">
      <w:bodyDiv w:val="1"/>
      <w:marLeft w:val="0"/>
      <w:marRight w:val="0"/>
      <w:marTop w:val="0"/>
      <w:marBottom w:val="0"/>
      <w:divBdr>
        <w:top w:val="none" w:sz="0" w:space="0" w:color="auto"/>
        <w:left w:val="none" w:sz="0" w:space="0" w:color="auto"/>
        <w:bottom w:val="none" w:sz="0" w:space="0" w:color="auto"/>
        <w:right w:val="none" w:sz="0" w:space="0" w:color="auto"/>
      </w:divBdr>
    </w:div>
    <w:div w:id="1933539316">
      <w:bodyDiv w:val="1"/>
      <w:marLeft w:val="0"/>
      <w:marRight w:val="0"/>
      <w:marTop w:val="0"/>
      <w:marBottom w:val="0"/>
      <w:divBdr>
        <w:top w:val="none" w:sz="0" w:space="0" w:color="auto"/>
        <w:left w:val="none" w:sz="0" w:space="0" w:color="auto"/>
        <w:bottom w:val="none" w:sz="0" w:space="0" w:color="auto"/>
        <w:right w:val="none" w:sz="0" w:space="0" w:color="auto"/>
      </w:divBdr>
    </w:div>
    <w:div w:id="1933782371">
      <w:bodyDiv w:val="1"/>
      <w:marLeft w:val="0"/>
      <w:marRight w:val="0"/>
      <w:marTop w:val="0"/>
      <w:marBottom w:val="0"/>
      <w:divBdr>
        <w:top w:val="none" w:sz="0" w:space="0" w:color="auto"/>
        <w:left w:val="none" w:sz="0" w:space="0" w:color="auto"/>
        <w:bottom w:val="none" w:sz="0" w:space="0" w:color="auto"/>
        <w:right w:val="none" w:sz="0" w:space="0" w:color="auto"/>
      </w:divBdr>
    </w:div>
    <w:div w:id="1933972415">
      <w:bodyDiv w:val="1"/>
      <w:marLeft w:val="0"/>
      <w:marRight w:val="0"/>
      <w:marTop w:val="0"/>
      <w:marBottom w:val="0"/>
      <w:divBdr>
        <w:top w:val="none" w:sz="0" w:space="0" w:color="auto"/>
        <w:left w:val="none" w:sz="0" w:space="0" w:color="auto"/>
        <w:bottom w:val="none" w:sz="0" w:space="0" w:color="auto"/>
        <w:right w:val="none" w:sz="0" w:space="0" w:color="auto"/>
      </w:divBdr>
    </w:div>
    <w:div w:id="1935360208">
      <w:bodyDiv w:val="1"/>
      <w:marLeft w:val="0"/>
      <w:marRight w:val="0"/>
      <w:marTop w:val="0"/>
      <w:marBottom w:val="0"/>
      <w:divBdr>
        <w:top w:val="none" w:sz="0" w:space="0" w:color="auto"/>
        <w:left w:val="none" w:sz="0" w:space="0" w:color="auto"/>
        <w:bottom w:val="none" w:sz="0" w:space="0" w:color="auto"/>
        <w:right w:val="none" w:sz="0" w:space="0" w:color="auto"/>
      </w:divBdr>
    </w:div>
    <w:div w:id="1938559879">
      <w:bodyDiv w:val="1"/>
      <w:marLeft w:val="0"/>
      <w:marRight w:val="0"/>
      <w:marTop w:val="0"/>
      <w:marBottom w:val="0"/>
      <w:divBdr>
        <w:top w:val="none" w:sz="0" w:space="0" w:color="auto"/>
        <w:left w:val="none" w:sz="0" w:space="0" w:color="auto"/>
        <w:bottom w:val="none" w:sz="0" w:space="0" w:color="auto"/>
        <w:right w:val="none" w:sz="0" w:space="0" w:color="auto"/>
      </w:divBdr>
    </w:div>
    <w:div w:id="1938709494">
      <w:bodyDiv w:val="1"/>
      <w:marLeft w:val="0"/>
      <w:marRight w:val="0"/>
      <w:marTop w:val="0"/>
      <w:marBottom w:val="0"/>
      <w:divBdr>
        <w:top w:val="none" w:sz="0" w:space="0" w:color="auto"/>
        <w:left w:val="none" w:sz="0" w:space="0" w:color="auto"/>
        <w:bottom w:val="none" w:sz="0" w:space="0" w:color="auto"/>
        <w:right w:val="none" w:sz="0" w:space="0" w:color="auto"/>
      </w:divBdr>
    </w:div>
    <w:div w:id="1940214592">
      <w:bodyDiv w:val="1"/>
      <w:marLeft w:val="0"/>
      <w:marRight w:val="0"/>
      <w:marTop w:val="0"/>
      <w:marBottom w:val="0"/>
      <w:divBdr>
        <w:top w:val="none" w:sz="0" w:space="0" w:color="auto"/>
        <w:left w:val="none" w:sz="0" w:space="0" w:color="auto"/>
        <w:bottom w:val="none" w:sz="0" w:space="0" w:color="auto"/>
        <w:right w:val="none" w:sz="0" w:space="0" w:color="auto"/>
      </w:divBdr>
    </w:div>
    <w:div w:id="1941335198">
      <w:bodyDiv w:val="1"/>
      <w:marLeft w:val="0"/>
      <w:marRight w:val="0"/>
      <w:marTop w:val="0"/>
      <w:marBottom w:val="0"/>
      <w:divBdr>
        <w:top w:val="none" w:sz="0" w:space="0" w:color="auto"/>
        <w:left w:val="none" w:sz="0" w:space="0" w:color="auto"/>
        <w:bottom w:val="none" w:sz="0" w:space="0" w:color="auto"/>
        <w:right w:val="none" w:sz="0" w:space="0" w:color="auto"/>
      </w:divBdr>
    </w:div>
    <w:div w:id="1942104535">
      <w:bodyDiv w:val="1"/>
      <w:marLeft w:val="0"/>
      <w:marRight w:val="0"/>
      <w:marTop w:val="0"/>
      <w:marBottom w:val="0"/>
      <w:divBdr>
        <w:top w:val="none" w:sz="0" w:space="0" w:color="auto"/>
        <w:left w:val="none" w:sz="0" w:space="0" w:color="auto"/>
        <w:bottom w:val="none" w:sz="0" w:space="0" w:color="auto"/>
        <w:right w:val="none" w:sz="0" w:space="0" w:color="auto"/>
      </w:divBdr>
    </w:div>
    <w:div w:id="1942369826">
      <w:bodyDiv w:val="1"/>
      <w:marLeft w:val="0"/>
      <w:marRight w:val="0"/>
      <w:marTop w:val="0"/>
      <w:marBottom w:val="0"/>
      <w:divBdr>
        <w:top w:val="none" w:sz="0" w:space="0" w:color="auto"/>
        <w:left w:val="none" w:sz="0" w:space="0" w:color="auto"/>
        <w:bottom w:val="none" w:sz="0" w:space="0" w:color="auto"/>
        <w:right w:val="none" w:sz="0" w:space="0" w:color="auto"/>
      </w:divBdr>
    </w:div>
    <w:div w:id="1942494348">
      <w:bodyDiv w:val="1"/>
      <w:marLeft w:val="0"/>
      <w:marRight w:val="0"/>
      <w:marTop w:val="0"/>
      <w:marBottom w:val="0"/>
      <w:divBdr>
        <w:top w:val="none" w:sz="0" w:space="0" w:color="auto"/>
        <w:left w:val="none" w:sz="0" w:space="0" w:color="auto"/>
        <w:bottom w:val="none" w:sz="0" w:space="0" w:color="auto"/>
        <w:right w:val="none" w:sz="0" w:space="0" w:color="auto"/>
      </w:divBdr>
    </w:div>
    <w:div w:id="1942642389">
      <w:bodyDiv w:val="1"/>
      <w:marLeft w:val="0"/>
      <w:marRight w:val="0"/>
      <w:marTop w:val="0"/>
      <w:marBottom w:val="0"/>
      <w:divBdr>
        <w:top w:val="none" w:sz="0" w:space="0" w:color="auto"/>
        <w:left w:val="none" w:sz="0" w:space="0" w:color="auto"/>
        <w:bottom w:val="none" w:sz="0" w:space="0" w:color="auto"/>
        <w:right w:val="none" w:sz="0" w:space="0" w:color="auto"/>
      </w:divBdr>
    </w:div>
    <w:div w:id="1943536609">
      <w:bodyDiv w:val="1"/>
      <w:marLeft w:val="0"/>
      <w:marRight w:val="0"/>
      <w:marTop w:val="0"/>
      <w:marBottom w:val="0"/>
      <w:divBdr>
        <w:top w:val="none" w:sz="0" w:space="0" w:color="auto"/>
        <w:left w:val="none" w:sz="0" w:space="0" w:color="auto"/>
        <w:bottom w:val="none" w:sz="0" w:space="0" w:color="auto"/>
        <w:right w:val="none" w:sz="0" w:space="0" w:color="auto"/>
      </w:divBdr>
    </w:div>
    <w:div w:id="1943562703">
      <w:bodyDiv w:val="1"/>
      <w:marLeft w:val="0"/>
      <w:marRight w:val="0"/>
      <w:marTop w:val="0"/>
      <w:marBottom w:val="0"/>
      <w:divBdr>
        <w:top w:val="none" w:sz="0" w:space="0" w:color="auto"/>
        <w:left w:val="none" w:sz="0" w:space="0" w:color="auto"/>
        <w:bottom w:val="none" w:sz="0" w:space="0" w:color="auto"/>
        <w:right w:val="none" w:sz="0" w:space="0" w:color="auto"/>
      </w:divBdr>
    </w:div>
    <w:div w:id="1943954372">
      <w:bodyDiv w:val="1"/>
      <w:marLeft w:val="0"/>
      <w:marRight w:val="0"/>
      <w:marTop w:val="0"/>
      <w:marBottom w:val="0"/>
      <w:divBdr>
        <w:top w:val="none" w:sz="0" w:space="0" w:color="auto"/>
        <w:left w:val="none" w:sz="0" w:space="0" w:color="auto"/>
        <w:bottom w:val="none" w:sz="0" w:space="0" w:color="auto"/>
        <w:right w:val="none" w:sz="0" w:space="0" w:color="auto"/>
      </w:divBdr>
    </w:div>
    <w:div w:id="1944266366">
      <w:bodyDiv w:val="1"/>
      <w:marLeft w:val="0"/>
      <w:marRight w:val="0"/>
      <w:marTop w:val="0"/>
      <w:marBottom w:val="0"/>
      <w:divBdr>
        <w:top w:val="none" w:sz="0" w:space="0" w:color="auto"/>
        <w:left w:val="none" w:sz="0" w:space="0" w:color="auto"/>
        <w:bottom w:val="none" w:sz="0" w:space="0" w:color="auto"/>
        <w:right w:val="none" w:sz="0" w:space="0" w:color="auto"/>
      </w:divBdr>
    </w:div>
    <w:div w:id="1944266943">
      <w:bodyDiv w:val="1"/>
      <w:marLeft w:val="0"/>
      <w:marRight w:val="0"/>
      <w:marTop w:val="0"/>
      <w:marBottom w:val="0"/>
      <w:divBdr>
        <w:top w:val="none" w:sz="0" w:space="0" w:color="auto"/>
        <w:left w:val="none" w:sz="0" w:space="0" w:color="auto"/>
        <w:bottom w:val="none" w:sz="0" w:space="0" w:color="auto"/>
        <w:right w:val="none" w:sz="0" w:space="0" w:color="auto"/>
      </w:divBdr>
    </w:div>
    <w:div w:id="1944878207">
      <w:bodyDiv w:val="1"/>
      <w:marLeft w:val="0"/>
      <w:marRight w:val="0"/>
      <w:marTop w:val="0"/>
      <w:marBottom w:val="0"/>
      <w:divBdr>
        <w:top w:val="none" w:sz="0" w:space="0" w:color="auto"/>
        <w:left w:val="none" w:sz="0" w:space="0" w:color="auto"/>
        <w:bottom w:val="none" w:sz="0" w:space="0" w:color="auto"/>
        <w:right w:val="none" w:sz="0" w:space="0" w:color="auto"/>
      </w:divBdr>
    </w:div>
    <w:div w:id="1945533720">
      <w:bodyDiv w:val="1"/>
      <w:marLeft w:val="0"/>
      <w:marRight w:val="0"/>
      <w:marTop w:val="0"/>
      <w:marBottom w:val="0"/>
      <w:divBdr>
        <w:top w:val="none" w:sz="0" w:space="0" w:color="auto"/>
        <w:left w:val="none" w:sz="0" w:space="0" w:color="auto"/>
        <w:bottom w:val="none" w:sz="0" w:space="0" w:color="auto"/>
        <w:right w:val="none" w:sz="0" w:space="0" w:color="auto"/>
      </w:divBdr>
    </w:div>
    <w:div w:id="1946230527">
      <w:bodyDiv w:val="1"/>
      <w:marLeft w:val="0"/>
      <w:marRight w:val="0"/>
      <w:marTop w:val="0"/>
      <w:marBottom w:val="0"/>
      <w:divBdr>
        <w:top w:val="none" w:sz="0" w:space="0" w:color="auto"/>
        <w:left w:val="none" w:sz="0" w:space="0" w:color="auto"/>
        <w:bottom w:val="none" w:sz="0" w:space="0" w:color="auto"/>
        <w:right w:val="none" w:sz="0" w:space="0" w:color="auto"/>
      </w:divBdr>
    </w:div>
    <w:div w:id="1946419376">
      <w:bodyDiv w:val="1"/>
      <w:marLeft w:val="0"/>
      <w:marRight w:val="0"/>
      <w:marTop w:val="0"/>
      <w:marBottom w:val="0"/>
      <w:divBdr>
        <w:top w:val="none" w:sz="0" w:space="0" w:color="auto"/>
        <w:left w:val="none" w:sz="0" w:space="0" w:color="auto"/>
        <w:bottom w:val="none" w:sz="0" w:space="0" w:color="auto"/>
        <w:right w:val="none" w:sz="0" w:space="0" w:color="auto"/>
      </w:divBdr>
    </w:div>
    <w:div w:id="1946569768">
      <w:bodyDiv w:val="1"/>
      <w:marLeft w:val="0"/>
      <w:marRight w:val="0"/>
      <w:marTop w:val="0"/>
      <w:marBottom w:val="0"/>
      <w:divBdr>
        <w:top w:val="none" w:sz="0" w:space="0" w:color="auto"/>
        <w:left w:val="none" w:sz="0" w:space="0" w:color="auto"/>
        <w:bottom w:val="none" w:sz="0" w:space="0" w:color="auto"/>
        <w:right w:val="none" w:sz="0" w:space="0" w:color="auto"/>
      </w:divBdr>
    </w:div>
    <w:div w:id="1946813239">
      <w:bodyDiv w:val="1"/>
      <w:marLeft w:val="0"/>
      <w:marRight w:val="0"/>
      <w:marTop w:val="0"/>
      <w:marBottom w:val="0"/>
      <w:divBdr>
        <w:top w:val="none" w:sz="0" w:space="0" w:color="auto"/>
        <w:left w:val="none" w:sz="0" w:space="0" w:color="auto"/>
        <w:bottom w:val="none" w:sz="0" w:space="0" w:color="auto"/>
        <w:right w:val="none" w:sz="0" w:space="0" w:color="auto"/>
      </w:divBdr>
    </w:div>
    <w:div w:id="1946882590">
      <w:bodyDiv w:val="1"/>
      <w:marLeft w:val="0"/>
      <w:marRight w:val="0"/>
      <w:marTop w:val="0"/>
      <w:marBottom w:val="0"/>
      <w:divBdr>
        <w:top w:val="none" w:sz="0" w:space="0" w:color="auto"/>
        <w:left w:val="none" w:sz="0" w:space="0" w:color="auto"/>
        <w:bottom w:val="none" w:sz="0" w:space="0" w:color="auto"/>
        <w:right w:val="none" w:sz="0" w:space="0" w:color="auto"/>
      </w:divBdr>
    </w:div>
    <w:div w:id="1947233314">
      <w:bodyDiv w:val="1"/>
      <w:marLeft w:val="0"/>
      <w:marRight w:val="0"/>
      <w:marTop w:val="0"/>
      <w:marBottom w:val="0"/>
      <w:divBdr>
        <w:top w:val="none" w:sz="0" w:space="0" w:color="auto"/>
        <w:left w:val="none" w:sz="0" w:space="0" w:color="auto"/>
        <w:bottom w:val="none" w:sz="0" w:space="0" w:color="auto"/>
        <w:right w:val="none" w:sz="0" w:space="0" w:color="auto"/>
      </w:divBdr>
    </w:div>
    <w:div w:id="1948152139">
      <w:bodyDiv w:val="1"/>
      <w:marLeft w:val="0"/>
      <w:marRight w:val="0"/>
      <w:marTop w:val="0"/>
      <w:marBottom w:val="0"/>
      <w:divBdr>
        <w:top w:val="none" w:sz="0" w:space="0" w:color="auto"/>
        <w:left w:val="none" w:sz="0" w:space="0" w:color="auto"/>
        <w:bottom w:val="none" w:sz="0" w:space="0" w:color="auto"/>
        <w:right w:val="none" w:sz="0" w:space="0" w:color="auto"/>
      </w:divBdr>
    </w:div>
    <w:div w:id="1948197040">
      <w:bodyDiv w:val="1"/>
      <w:marLeft w:val="0"/>
      <w:marRight w:val="0"/>
      <w:marTop w:val="0"/>
      <w:marBottom w:val="0"/>
      <w:divBdr>
        <w:top w:val="none" w:sz="0" w:space="0" w:color="auto"/>
        <w:left w:val="none" w:sz="0" w:space="0" w:color="auto"/>
        <w:bottom w:val="none" w:sz="0" w:space="0" w:color="auto"/>
        <w:right w:val="none" w:sz="0" w:space="0" w:color="auto"/>
      </w:divBdr>
    </w:div>
    <w:div w:id="1948805640">
      <w:bodyDiv w:val="1"/>
      <w:marLeft w:val="0"/>
      <w:marRight w:val="0"/>
      <w:marTop w:val="0"/>
      <w:marBottom w:val="0"/>
      <w:divBdr>
        <w:top w:val="none" w:sz="0" w:space="0" w:color="auto"/>
        <w:left w:val="none" w:sz="0" w:space="0" w:color="auto"/>
        <w:bottom w:val="none" w:sz="0" w:space="0" w:color="auto"/>
        <w:right w:val="none" w:sz="0" w:space="0" w:color="auto"/>
      </w:divBdr>
    </w:div>
    <w:div w:id="1949314672">
      <w:bodyDiv w:val="1"/>
      <w:marLeft w:val="0"/>
      <w:marRight w:val="0"/>
      <w:marTop w:val="0"/>
      <w:marBottom w:val="0"/>
      <w:divBdr>
        <w:top w:val="none" w:sz="0" w:space="0" w:color="auto"/>
        <w:left w:val="none" w:sz="0" w:space="0" w:color="auto"/>
        <w:bottom w:val="none" w:sz="0" w:space="0" w:color="auto"/>
        <w:right w:val="none" w:sz="0" w:space="0" w:color="auto"/>
      </w:divBdr>
    </w:div>
    <w:div w:id="1951161602">
      <w:bodyDiv w:val="1"/>
      <w:marLeft w:val="0"/>
      <w:marRight w:val="0"/>
      <w:marTop w:val="0"/>
      <w:marBottom w:val="0"/>
      <w:divBdr>
        <w:top w:val="none" w:sz="0" w:space="0" w:color="auto"/>
        <w:left w:val="none" w:sz="0" w:space="0" w:color="auto"/>
        <w:bottom w:val="none" w:sz="0" w:space="0" w:color="auto"/>
        <w:right w:val="none" w:sz="0" w:space="0" w:color="auto"/>
      </w:divBdr>
    </w:div>
    <w:div w:id="1951426955">
      <w:bodyDiv w:val="1"/>
      <w:marLeft w:val="0"/>
      <w:marRight w:val="0"/>
      <w:marTop w:val="0"/>
      <w:marBottom w:val="0"/>
      <w:divBdr>
        <w:top w:val="none" w:sz="0" w:space="0" w:color="auto"/>
        <w:left w:val="none" w:sz="0" w:space="0" w:color="auto"/>
        <w:bottom w:val="none" w:sz="0" w:space="0" w:color="auto"/>
        <w:right w:val="none" w:sz="0" w:space="0" w:color="auto"/>
      </w:divBdr>
    </w:div>
    <w:div w:id="1951623150">
      <w:bodyDiv w:val="1"/>
      <w:marLeft w:val="0"/>
      <w:marRight w:val="0"/>
      <w:marTop w:val="0"/>
      <w:marBottom w:val="0"/>
      <w:divBdr>
        <w:top w:val="none" w:sz="0" w:space="0" w:color="auto"/>
        <w:left w:val="none" w:sz="0" w:space="0" w:color="auto"/>
        <w:bottom w:val="none" w:sz="0" w:space="0" w:color="auto"/>
        <w:right w:val="none" w:sz="0" w:space="0" w:color="auto"/>
      </w:divBdr>
    </w:div>
    <w:div w:id="1952124116">
      <w:bodyDiv w:val="1"/>
      <w:marLeft w:val="0"/>
      <w:marRight w:val="0"/>
      <w:marTop w:val="0"/>
      <w:marBottom w:val="0"/>
      <w:divBdr>
        <w:top w:val="none" w:sz="0" w:space="0" w:color="auto"/>
        <w:left w:val="none" w:sz="0" w:space="0" w:color="auto"/>
        <w:bottom w:val="none" w:sz="0" w:space="0" w:color="auto"/>
        <w:right w:val="none" w:sz="0" w:space="0" w:color="auto"/>
      </w:divBdr>
    </w:div>
    <w:div w:id="1952858392">
      <w:bodyDiv w:val="1"/>
      <w:marLeft w:val="0"/>
      <w:marRight w:val="0"/>
      <w:marTop w:val="0"/>
      <w:marBottom w:val="0"/>
      <w:divBdr>
        <w:top w:val="none" w:sz="0" w:space="0" w:color="auto"/>
        <w:left w:val="none" w:sz="0" w:space="0" w:color="auto"/>
        <w:bottom w:val="none" w:sz="0" w:space="0" w:color="auto"/>
        <w:right w:val="none" w:sz="0" w:space="0" w:color="auto"/>
      </w:divBdr>
    </w:div>
    <w:div w:id="1952930298">
      <w:bodyDiv w:val="1"/>
      <w:marLeft w:val="0"/>
      <w:marRight w:val="0"/>
      <w:marTop w:val="0"/>
      <w:marBottom w:val="0"/>
      <w:divBdr>
        <w:top w:val="none" w:sz="0" w:space="0" w:color="auto"/>
        <w:left w:val="none" w:sz="0" w:space="0" w:color="auto"/>
        <w:bottom w:val="none" w:sz="0" w:space="0" w:color="auto"/>
        <w:right w:val="none" w:sz="0" w:space="0" w:color="auto"/>
      </w:divBdr>
    </w:div>
    <w:div w:id="1953392917">
      <w:bodyDiv w:val="1"/>
      <w:marLeft w:val="0"/>
      <w:marRight w:val="0"/>
      <w:marTop w:val="0"/>
      <w:marBottom w:val="0"/>
      <w:divBdr>
        <w:top w:val="none" w:sz="0" w:space="0" w:color="auto"/>
        <w:left w:val="none" w:sz="0" w:space="0" w:color="auto"/>
        <w:bottom w:val="none" w:sz="0" w:space="0" w:color="auto"/>
        <w:right w:val="none" w:sz="0" w:space="0" w:color="auto"/>
      </w:divBdr>
    </w:div>
    <w:div w:id="1954094526">
      <w:bodyDiv w:val="1"/>
      <w:marLeft w:val="0"/>
      <w:marRight w:val="0"/>
      <w:marTop w:val="0"/>
      <w:marBottom w:val="0"/>
      <w:divBdr>
        <w:top w:val="none" w:sz="0" w:space="0" w:color="auto"/>
        <w:left w:val="none" w:sz="0" w:space="0" w:color="auto"/>
        <w:bottom w:val="none" w:sz="0" w:space="0" w:color="auto"/>
        <w:right w:val="none" w:sz="0" w:space="0" w:color="auto"/>
      </w:divBdr>
    </w:div>
    <w:div w:id="1956865697">
      <w:bodyDiv w:val="1"/>
      <w:marLeft w:val="0"/>
      <w:marRight w:val="0"/>
      <w:marTop w:val="0"/>
      <w:marBottom w:val="0"/>
      <w:divBdr>
        <w:top w:val="none" w:sz="0" w:space="0" w:color="auto"/>
        <w:left w:val="none" w:sz="0" w:space="0" w:color="auto"/>
        <w:bottom w:val="none" w:sz="0" w:space="0" w:color="auto"/>
        <w:right w:val="none" w:sz="0" w:space="0" w:color="auto"/>
      </w:divBdr>
    </w:div>
    <w:div w:id="1958216547">
      <w:bodyDiv w:val="1"/>
      <w:marLeft w:val="0"/>
      <w:marRight w:val="0"/>
      <w:marTop w:val="0"/>
      <w:marBottom w:val="0"/>
      <w:divBdr>
        <w:top w:val="none" w:sz="0" w:space="0" w:color="auto"/>
        <w:left w:val="none" w:sz="0" w:space="0" w:color="auto"/>
        <w:bottom w:val="none" w:sz="0" w:space="0" w:color="auto"/>
        <w:right w:val="none" w:sz="0" w:space="0" w:color="auto"/>
      </w:divBdr>
    </w:div>
    <w:div w:id="1958759855">
      <w:bodyDiv w:val="1"/>
      <w:marLeft w:val="0"/>
      <w:marRight w:val="0"/>
      <w:marTop w:val="0"/>
      <w:marBottom w:val="0"/>
      <w:divBdr>
        <w:top w:val="none" w:sz="0" w:space="0" w:color="auto"/>
        <w:left w:val="none" w:sz="0" w:space="0" w:color="auto"/>
        <w:bottom w:val="none" w:sz="0" w:space="0" w:color="auto"/>
        <w:right w:val="none" w:sz="0" w:space="0" w:color="auto"/>
      </w:divBdr>
    </w:div>
    <w:div w:id="1960140633">
      <w:bodyDiv w:val="1"/>
      <w:marLeft w:val="0"/>
      <w:marRight w:val="0"/>
      <w:marTop w:val="0"/>
      <w:marBottom w:val="0"/>
      <w:divBdr>
        <w:top w:val="none" w:sz="0" w:space="0" w:color="auto"/>
        <w:left w:val="none" w:sz="0" w:space="0" w:color="auto"/>
        <w:bottom w:val="none" w:sz="0" w:space="0" w:color="auto"/>
        <w:right w:val="none" w:sz="0" w:space="0" w:color="auto"/>
      </w:divBdr>
    </w:div>
    <w:div w:id="1960378380">
      <w:bodyDiv w:val="1"/>
      <w:marLeft w:val="0"/>
      <w:marRight w:val="0"/>
      <w:marTop w:val="0"/>
      <w:marBottom w:val="0"/>
      <w:divBdr>
        <w:top w:val="none" w:sz="0" w:space="0" w:color="auto"/>
        <w:left w:val="none" w:sz="0" w:space="0" w:color="auto"/>
        <w:bottom w:val="none" w:sz="0" w:space="0" w:color="auto"/>
        <w:right w:val="none" w:sz="0" w:space="0" w:color="auto"/>
      </w:divBdr>
    </w:div>
    <w:div w:id="1961640794">
      <w:bodyDiv w:val="1"/>
      <w:marLeft w:val="0"/>
      <w:marRight w:val="0"/>
      <w:marTop w:val="0"/>
      <w:marBottom w:val="0"/>
      <w:divBdr>
        <w:top w:val="none" w:sz="0" w:space="0" w:color="auto"/>
        <w:left w:val="none" w:sz="0" w:space="0" w:color="auto"/>
        <w:bottom w:val="none" w:sz="0" w:space="0" w:color="auto"/>
        <w:right w:val="none" w:sz="0" w:space="0" w:color="auto"/>
      </w:divBdr>
    </w:div>
    <w:div w:id="1962884041">
      <w:bodyDiv w:val="1"/>
      <w:marLeft w:val="0"/>
      <w:marRight w:val="0"/>
      <w:marTop w:val="0"/>
      <w:marBottom w:val="0"/>
      <w:divBdr>
        <w:top w:val="none" w:sz="0" w:space="0" w:color="auto"/>
        <w:left w:val="none" w:sz="0" w:space="0" w:color="auto"/>
        <w:bottom w:val="none" w:sz="0" w:space="0" w:color="auto"/>
        <w:right w:val="none" w:sz="0" w:space="0" w:color="auto"/>
      </w:divBdr>
    </w:div>
    <w:div w:id="1962957979">
      <w:bodyDiv w:val="1"/>
      <w:marLeft w:val="0"/>
      <w:marRight w:val="0"/>
      <w:marTop w:val="0"/>
      <w:marBottom w:val="0"/>
      <w:divBdr>
        <w:top w:val="none" w:sz="0" w:space="0" w:color="auto"/>
        <w:left w:val="none" w:sz="0" w:space="0" w:color="auto"/>
        <w:bottom w:val="none" w:sz="0" w:space="0" w:color="auto"/>
        <w:right w:val="none" w:sz="0" w:space="0" w:color="auto"/>
      </w:divBdr>
    </w:div>
    <w:div w:id="1964000951">
      <w:bodyDiv w:val="1"/>
      <w:marLeft w:val="0"/>
      <w:marRight w:val="0"/>
      <w:marTop w:val="0"/>
      <w:marBottom w:val="0"/>
      <w:divBdr>
        <w:top w:val="none" w:sz="0" w:space="0" w:color="auto"/>
        <w:left w:val="none" w:sz="0" w:space="0" w:color="auto"/>
        <w:bottom w:val="none" w:sz="0" w:space="0" w:color="auto"/>
        <w:right w:val="none" w:sz="0" w:space="0" w:color="auto"/>
      </w:divBdr>
    </w:div>
    <w:div w:id="1965578544">
      <w:bodyDiv w:val="1"/>
      <w:marLeft w:val="0"/>
      <w:marRight w:val="0"/>
      <w:marTop w:val="0"/>
      <w:marBottom w:val="0"/>
      <w:divBdr>
        <w:top w:val="none" w:sz="0" w:space="0" w:color="auto"/>
        <w:left w:val="none" w:sz="0" w:space="0" w:color="auto"/>
        <w:bottom w:val="none" w:sz="0" w:space="0" w:color="auto"/>
        <w:right w:val="none" w:sz="0" w:space="0" w:color="auto"/>
      </w:divBdr>
    </w:div>
    <w:div w:id="1966429849">
      <w:bodyDiv w:val="1"/>
      <w:marLeft w:val="0"/>
      <w:marRight w:val="0"/>
      <w:marTop w:val="0"/>
      <w:marBottom w:val="0"/>
      <w:divBdr>
        <w:top w:val="none" w:sz="0" w:space="0" w:color="auto"/>
        <w:left w:val="none" w:sz="0" w:space="0" w:color="auto"/>
        <w:bottom w:val="none" w:sz="0" w:space="0" w:color="auto"/>
        <w:right w:val="none" w:sz="0" w:space="0" w:color="auto"/>
      </w:divBdr>
    </w:div>
    <w:div w:id="1967813591">
      <w:bodyDiv w:val="1"/>
      <w:marLeft w:val="0"/>
      <w:marRight w:val="0"/>
      <w:marTop w:val="0"/>
      <w:marBottom w:val="0"/>
      <w:divBdr>
        <w:top w:val="none" w:sz="0" w:space="0" w:color="auto"/>
        <w:left w:val="none" w:sz="0" w:space="0" w:color="auto"/>
        <w:bottom w:val="none" w:sz="0" w:space="0" w:color="auto"/>
        <w:right w:val="none" w:sz="0" w:space="0" w:color="auto"/>
      </w:divBdr>
    </w:div>
    <w:div w:id="1968194858">
      <w:bodyDiv w:val="1"/>
      <w:marLeft w:val="0"/>
      <w:marRight w:val="0"/>
      <w:marTop w:val="0"/>
      <w:marBottom w:val="0"/>
      <w:divBdr>
        <w:top w:val="none" w:sz="0" w:space="0" w:color="auto"/>
        <w:left w:val="none" w:sz="0" w:space="0" w:color="auto"/>
        <w:bottom w:val="none" w:sz="0" w:space="0" w:color="auto"/>
        <w:right w:val="none" w:sz="0" w:space="0" w:color="auto"/>
      </w:divBdr>
    </w:div>
    <w:div w:id="1968393914">
      <w:bodyDiv w:val="1"/>
      <w:marLeft w:val="0"/>
      <w:marRight w:val="0"/>
      <w:marTop w:val="0"/>
      <w:marBottom w:val="0"/>
      <w:divBdr>
        <w:top w:val="none" w:sz="0" w:space="0" w:color="auto"/>
        <w:left w:val="none" w:sz="0" w:space="0" w:color="auto"/>
        <w:bottom w:val="none" w:sz="0" w:space="0" w:color="auto"/>
        <w:right w:val="none" w:sz="0" w:space="0" w:color="auto"/>
      </w:divBdr>
    </w:div>
    <w:div w:id="1969897935">
      <w:bodyDiv w:val="1"/>
      <w:marLeft w:val="0"/>
      <w:marRight w:val="0"/>
      <w:marTop w:val="0"/>
      <w:marBottom w:val="0"/>
      <w:divBdr>
        <w:top w:val="none" w:sz="0" w:space="0" w:color="auto"/>
        <w:left w:val="none" w:sz="0" w:space="0" w:color="auto"/>
        <w:bottom w:val="none" w:sz="0" w:space="0" w:color="auto"/>
        <w:right w:val="none" w:sz="0" w:space="0" w:color="auto"/>
      </w:divBdr>
    </w:div>
    <w:div w:id="1970283427">
      <w:bodyDiv w:val="1"/>
      <w:marLeft w:val="0"/>
      <w:marRight w:val="0"/>
      <w:marTop w:val="0"/>
      <w:marBottom w:val="0"/>
      <w:divBdr>
        <w:top w:val="none" w:sz="0" w:space="0" w:color="auto"/>
        <w:left w:val="none" w:sz="0" w:space="0" w:color="auto"/>
        <w:bottom w:val="none" w:sz="0" w:space="0" w:color="auto"/>
        <w:right w:val="none" w:sz="0" w:space="0" w:color="auto"/>
      </w:divBdr>
    </w:div>
    <w:div w:id="1971015309">
      <w:bodyDiv w:val="1"/>
      <w:marLeft w:val="0"/>
      <w:marRight w:val="0"/>
      <w:marTop w:val="0"/>
      <w:marBottom w:val="0"/>
      <w:divBdr>
        <w:top w:val="none" w:sz="0" w:space="0" w:color="auto"/>
        <w:left w:val="none" w:sz="0" w:space="0" w:color="auto"/>
        <w:bottom w:val="none" w:sz="0" w:space="0" w:color="auto"/>
        <w:right w:val="none" w:sz="0" w:space="0" w:color="auto"/>
      </w:divBdr>
    </w:div>
    <w:div w:id="1971473297">
      <w:bodyDiv w:val="1"/>
      <w:marLeft w:val="0"/>
      <w:marRight w:val="0"/>
      <w:marTop w:val="0"/>
      <w:marBottom w:val="0"/>
      <w:divBdr>
        <w:top w:val="none" w:sz="0" w:space="0" w:color="auto"/>
        <w:left w:val="none" w:sz="0" w:space="0" w:color="auto"/>
        <w:bottom w:val="none" w:sz="0" w:space="0" w:color="auto"/>
        <w:right w:val="none" w:sz="0" w:space="0" w:color="auto"/>
      </w:divBdr>
    </w:div>
    <w:div w:id="1972711256">
      <w:bodyDiv w:val="1"/>
      <w:marLeft w:val="0"/>
      <w:marRight w:val="0"/>
      <w:marTop w:val="0"/>
      <w:marBottom w:val="0"/>
      <w:divBdr>
        <w:top w:val="none" w:sz="0" w:space="0" w:color="auto"/>
        <w:left w:val="none" w:sz="0" w:space="0" w:color="auto"/>
        <w:bottom w:val="none" w:sz="0" w:space="0" w:color="auto"/>
        <w:right w:val="none" w:sz="0" w:space="0" w:color="auto"/>
      </w:divBdr>
    </w:div>
    <w:div w:id="1973512723">
      <w:bodyDiv w:val="1"/>
      <w:marLeft w:val="0"/>
      <w:marRight w:val="0"/>
      <w:marTop w:val="0"/>
      <w:marBottom w:val="0"/>
      <w:divBdr>
        <w:top w:val="none" w:sz="0" w:space="0" w:color="auto"/>
        <w:left w:val="none" w:sz="0" w:space="0" w:color="auto"/>
        <w:bottom w:val="none" w:sz="0" w:space="0" w:color="auto"/>
        <w:right w:val="none" w:sz="0" w:space="0" w:color="auto"/>
      </w:divBdr>
    </w:div>
    <w:div w:id="1973560491">
      <w:bodyDiv w:val="1"/>
      <w:marLeft w:val="0"/>
      <w:marRight w:val="0"/>
      <w:marTop w:val="0"/>
      <w:marBottom w:val="0"/>
      <w:divBdr>
        <w:top w:val="none" w:sz="0" w:space="0" w:color="auto"/>
        <w:left w:val="none" w:sz="0" w:space="0" w:color="auto"/>
        <w:bottom w:val="none" w:sz="0" w:space="0" w:color="auto"/>
        <w:right w:val="none" w:sz="0" w:space="0" w:color="auto"/>
      </w:divBdr>
    </w:div>
    <w:div w:id="1974096388">
      <w:bodyDiv w:val="1"/>
      <w:marLeft w:val="0"/>
      <w:marRight w:val="0"/>
      <w:marTop w:val="0"/>
      <w:marBottom w:val="0"/>
      <w:divBdr>
        <w:top w:val="none" w:sz="0" w:space="0" w:color="auto"/>
        <w:left w:val="none" w:sz="0" w:space="0" w:color="auto"/>
        <w:bottom w:val="none" w:sz="0" w:space="0" w:color="auto"/>
        <w:right w:val="none" w:sz="0" w:space="0" w:color="auto"/>
      </w:divBdr>
    </w:div>
    <w:div w:id="1974477029">
      <w:bodyDiv w:val="1"/>
      <w:marLeft w:val="0"/>
      <w:marRight w:val="0"/>
      <w:marTop w:val="0"/>
      <w:marBottom w:val="0"/>
      <w:divBdr>
        <w:top w:val="none" w:sz="0" w:space="0" w:color="auto"/>
        <w:left w:val="none" w:sz="0" w:space="0" w:color="auto"/>
        <w:bottom w:val="none" w:sz="0" w:space="0" w:color="auto"/>
        <w:right w:val="none" w:sz="0" w:space="0" w:color="auto"/>
      </w:divBdr>
    </w:div>
    <w:div w:id="1974670798">
      <w:bodyDiv w:val="1"/>
      <w:marLeft w:val="0"/>
      <w:marRight w:val="0"/>
      <w:marTop w:val="0"/>
      <w:marBottom w:val="0"/>
      <w:divBdr>
        <w:top w:val="none" w:sz="0" w:space="0" w:color="auto"/>
        <w:left w:val="none" w:sz="0" w:space="0" w:color="auto"/>
        <w:bottom w:val="none" w:sz="0" w:space="0" w:color="auto"/>
        <w:right w:val="none" w:sz="0" w:space="0" w:color="auto"/>
      </w:divBdr>
    </w:div>
    <w:div w:id="1975061906">
      <w:bodyDiv w:val="1"/>
      <w:marLeft w:val="0"/>
      <w:marRight w:val="0"/>
      <w:marTop w:val="0"/>
      <w:marBottom w:val="0"/>
      <w:divBdr>
        <w:top w:val="none" w:sz="0" w:space="0" w:color="auto"/>
        <w:left w:val="none" w:sz="0" w:space="0" w:color="auto"/>
        <w:bottom w:val="none" w:sz="0" w:space="0" w:color="auto"/>
        <w:right w:val="none" w:sz="0" w:space="0" w:color="auto"/>
      </w:divBdr>
    </w:div>
    <w:div w:id="1975062572">
      <w:bodyDiv w:val="1"/>
      <w:marLeft w:val="0"/>
      <w:marRight w:val="0"/>
      <w:marTop w:val="0"/>
      <w:marBottom w:val="0"/>
      <w:divBdr>
        <w:top w:val="none" w:sz="0" w:space="0" w:color="auto"/>
        <w:left w:val="none" w:sz="0" w:space="0" w:color="auto"/>
        <w:bottom w:val="none" w:sz="0" w:space="0" w:color="auto"/>
        <w:right w:val="none" w:sz="0" w:space="0" w:color="auto"/>
      </w:divBdr>
    </w:div>
    <w:div w:id="1975598932">
      <w:bodyDiv w:val="1"/>
      <w:marLeft w:val="0"/>
      <w:marRight w:val="0"/>
      <w:marTop w:val="0"/>
      <w:marBottom w:val="0"/>
      <w:divBdr>
        <w:top w:val="none" w:sz="0" w:space="0" w:color="auto"/>
        <w:left w:val="none" w:sz="0" w:space="0" w:color="auto"/>
        <w:bottom w:val="none" w:sz="0" w:space="0" w:color="auto"/>
        <w:right w:val="none" w:sz="0" w:space="0" w:color="auto"/>
      </w:divBdr>
    </w:div>
    <w:div w:id="1975864124">
      <w:bodyDiv w:val="1"/>
      <w:marLeft w:val="0"/>
      <w:marRight w:val="0"/>
      <w:marTop w:val="0"/>
      <w:marBottom w:val="0"/>
      <w:divBdr>
        <w:top w:val="none" w:sz="0" w:space="0" w:color="auto"/>
        <w:left w:val="none" w:sz="0" w:space="0" w:color="auto"/>
        <w:bottom w:val="none" w:sz="0" w:space="0" w:color="auto"/>
        <w:right w:val="none" w:sz="0" w:space="0" w:color="auto"/>
      </w:divBdr>
    </w:div>
    <w:div w:id="1976134592">
      <w:bodyDiv w:val="1"/>
      <w:marLeft w:val="0"/>
      <w:marRight w:val="0"/>
      <w:marTop w:val="0"/>
      <w:marBottom w:val="0"/>
      <w:divBdr>
        <w:top w:val="none" w:sz="0" w:space="0" w:color="auto"/>
        <w:left w:val="none" w:sz="0" w:space="0" w:color="auto"/>
        <w:bottom w:val="none" w:sz="0" w:space="0" w:color="auto"/>
        <w:right w:val="none" w:sz="0" w:space="0" w:color="auto"/>
      </w:divBdr>
    </w:div>
    <w:div w:id="1976371822">
      <w:bodyDiv w:val="1"/>
      <w:marLeft w:val="0"/>
      <w:marRight w:val="0"/>
      <w:marTop w:val="0"/>
      <w:marBottom w:val="0"/>
      <w:divBdr>
        <w:top w:val="none" w:sz="0" w:space="0" w:color="auto"/>
        <w:left w:val="none" w:sz="0" w:space="0" w:color="auto"/>
        <w:bottom w:val="none" w:sz="0" w:space="0" w:color="auto"/>
        <w:right w:val="none" w:sz="0" w:space="0" w:color="auto"/>
      </w:divBdr>
    </w:div>
    <w:div w:id="1977876755">
      <w:bodyDiv w:val="1"/>
      <w:marLeft w:val="0"/>
      <w:marRight w:val="0"/>
      <w:marTop w:val="0"/>
      <w:marBottom w:val="0"/>
      <w:divBdr>
        <w:top w:val="none" w:sz="0" w:space="0" w:color="auto"/>
        <w:left w:val="none" w:sz="0" w:space="0" w:color="auto"/>
        <w:bottom w:val="none" w:sz="0" w:space="0" w:color="auto"/>
        <w:right w:val="none" w:sz="0" w:space="0" w:color="auto"/>
      </w:divBdr>
    </w:div>
    <w:div w:id="1979603603">
      <w:bodyDiv w:val="1"/>
      <w:marLeft w:val="0"/>
      <w:marRight w:val="0"/>
      <w:marTop w:val="0"/>
      <w:marBottom w:val="0"/>
      <w:divBdr>
        <w:top w:val="none" w:sz="0" w:space="0" w:color="auto"/>
        <w:left w:val="none" w:sz="0" w:space="0" w:color="auto"/>
        <w:bottom w:val="none" w:sz="0" w:space="0" w:color="auto"/>
        <w:right w:val="none" w:sz="0" w:space="0" w:color="auto"/>
      </w:divBdr>
    </w:div>
    <w:div w:id="1981962226">
      <w:bodyDiv w:val="1"/>
      <w:marLeft w:val="0"/>
      <w:marRight w:val="0"/>
      <w:marTop w:val="0"/>
      <w:marBottom w:val="0"/>
      <w:divBdr>
        <w:top w:val="none" w:sz="0" w:space="0" w:color="auto"/>
        <w:left w:val="none" w:sz="0" w:space="0" w:color="auto"/>
        <w:bottom w:val="none" w:sz="0" w:space="0" w:color="auto"/>
        <w:right w:val="none" w:sz="0" w:space="0" w:color="auto"/>
      </w:divBdr>
    </w:div>
    <w:div w:id="1982925049">
      <w:bodyDiv w:val="1"/>
      <w:marLeft w:val="0"/>
      <w:marRight w:val="0"/>
      <w:marTop w:val="0"/>
      <w:marBottom w:val="0"/>
      <w:divBdr>
        <w:top w:val="none" w:sz="0" w:space="0" w:color="auto"/>
        <w:left w:val="none" w:sz="0" w:space="0" w:color="auto"/>
        <w:bottom w:val="none" w:sz="0" w:space="0" w:color="auto"/>
        <w:right w:val="none" w:sz="0" w:space="0" w:color="auto"/>
      </w:divBdr>
    </w:div>
    <w:div w:id="1982996075">
      <w:bodyDiv w:val="1"/>
      <w:marLeft w:val="0"/>
      <w:marRight w:val="0"/>
      <w:marTop w:val="0"/>
      <w:marBottom w:val="0"/>
      <w:divBdr>
        <w:top w:val="none" w:sz="0" w:space="0" w:color="auto"/>
        <w:left w:val="none" w:sz="0" w:space="0" w:color="auto"/>
        <w:bottom w:val="none" w:sz="0" w:space="0" w:color="auto"/>
        <w:right w:val="none" w:sz="0" w:space="0" w:color="auto"/>
      </w:divBdr>
    </w:div>
    <w:div w:id="1983193960">
      <w:bodyDiv w:val="1"/>
      <w:marLeft w:val="0"/>
      <w:marRight w:val="0"/>
      <w:marTop w:val="0"/>
      <w:marBottom w:val="0"/>
      <w:divBdr>
        <w:top w:val="none" w:sz="0" w:space="0" w:color="auto"/>
        <w:left w:val="none" w:sz="0" w:space="0" w:color="auto"/>
        <w:bottom w:val="none" w:sz="0" w:space="0" w:color="auto"/>
        <w:right w:val="none" w:sz="0" w:space="0" w:color="auto"/>
      </w:divBdr>
    </w:div>
    <w:div w:id="1983390171">
      <w:bodyDiv w:val="1"/>
      <w:marLeft w:val="0"/>
      <w:marRight w:val="0"/>
      <w:marTop w:val="0"/>
      <w:marBottom w:val="0"/>
      <w:divBdr>
        <w:top w:val="none" w:sz="0" w:space="0" w:color="auto"/>
        <w:left w:val="none" w:sz="0" w:space="0" w:color="auto"/>
        <w:bottom w:val="none" w:sz="0" w:space="0" w:color="auto"/>
        <w:right w:val="none" w:sz="0" w:space="0" w:color="auto"/>
      </w:divBdr>
    </w:div>
    <w:div w:id="1983852373">
      <w:bodyDiv w:val="1"/>
      <w:marLeft w:val="0"/>
      <w:marRight w:val="0"/>
      <w:marTop w:val="0"/>
      <w:marBottom w:val="0"/>
      <w:divBdr>
        <w:top w:val="none" w:sz="0" w:space="0" w:color="auto"/>
        <w:left w:val="none" w:sz="0" w:space="0" w:color="auto"/>
        <w:bottom w:val="none" w:sz="0" w:space="0" w:color="auto"/>
        <w:right w:val="none" w:sz="0" w:space="0" w:color="auto"/>
      </w:divBdr>
    </w:div>
    <w:div w:id="1984313435">
      <w:bodyDiv w:val="1"/>
      <w:marLeft w:val="0"/>
      <w:marRight w:val="0"/>
      <w:marTop w:val="0"/>
      <w:marBottom w:val="0"/>
      <w:divBdr>
        <w:top w:val="none" w:sz="0" w:space="0" w:color="auto"/>
        <w:left w:val="none" w:sz="0" w:space="0" w:color="auto"/>
        <w:bottom w:val="none" w:sz="0" w:space="0" w:color="auto"/>
        <w:right w:val="none" w:sz="0" w:space="0" w:color="auto"/>
      </w:divBdr>
    </w:div>
    <w:div w:id="1985156682">
      <w:bodyDiv w:val="1"/>
      <w:marLeft w:val="0"/>
      <w:marRight w:val="0"/>
      <w:marTop w:val="0"/>
      <w:marBottom w:val="0"/>
      <w:divBdr>
        <w:top w:val="none" w:sz="0" w:space="0" w:color="auto"/>
        <w:left w:val="none" w:sz="0" w:space="0" w:color="auto"/>
        <w:bottom w:val="none" w:sz="0" w:space="0" w:color="auto"/>
        <w:right w:val="none" w:sz="0" w:space="0" w:color="auto"/>
      </w:divBdr>
    </w:div>
    <w:div w:id="1986007905">
      <w:bodyDiv w:val="1"/>
      <w:marLeft w:val="0"/>
      <w:marRight w:val="0"/>
      <w:marTop w:val="0"/>
      <w:marBottom w:val="0"/>
      <w:divBdr>
        <w:top w:val="none" w:sz="0" w:space="0" w:color="auto"/>
        <w:left w:val="none" w:sz="0" w:space="0" w:color="auto"/>
        <w:bottom w:val="none" w:sz="0" w:space="0" w:color="auto"/>
        <w:right w:val="none" w:sz="0" w:space="0" w:color="auto"/>
      </w:divBdr>
    </w:div>
    <w:div w:id="1986273370">
      <w:bodyDiv w:val="1"/>
      <w:marLeft w:val="0"/>
      <w:marRight w:val="0"/>
      <w:marTop w:val="0"/>
      <w:marBottom w:val="0"/>
      <w:divBdr>
        <w:top w:val="none" w:sz="0" w:space="0" w:color="auto"/>
        <w:left w:val="none" w:sz="0" w:space="0" w:color="auto"/>
        <w:bottom w:val="none" w:sz="0" w:space="0" w:color="auto"/>
        <w:right w:val="none" w:sz="0" w:space="0" w:color="auto"/>
      </w:divBdr>
    </w:div>
    <w:div w:id="1986424143">
      <w:bodyDiv w:val="1"/>
      <w:marLeft w:val="0"/>
      <w:marRight w:val="0"/>
      <w:marTop w:val="0"/>
      <w:marBottom w:val="0"/>
      <w:divBdr>
        <w:top w:val="none" w:sz="0" w:space="0" w:color="auto"/>
        <w:left w:val="none" w:sz="0" w:space="0" w:color="auto"/>
        <w:bottom w:val="none" w:sz="0" w:space="0" w:color="auto"/>
        <w:right w:val="none" w:sz="0" w:space="0" w:color="auto"/>
      </w:divBdr>
    </w:div>
    <w:div w:id="1986424220">
      <w:bodyDiv w:val="1"/>
      <w:marLeft w:val="0"/>
      <w:marRight w:val="0"/>
      <w:marTop w:val="0"/>
      <w:marBottom w:val="0"/>
      <w:divBdr>
        <w:top w:val="none" w:sz="0" w:space="0" w:color="auto"/>
        <w:left w:val="none" w:sz="0" w:space="0" w:color="auto"/>
        <w:bottom w:val="none" w:sz="0" w:space="0" w:color="auto"/>
        <w:right w:val="none" w:sz="0" w:space="0" w:color="auto"/>
      </w:divBdr>
    </w:div>
    <w:div w:id="1990207328">
      <w:bodyDiv w:val="1"/>
      <w:marLeft w:val="0"/>
      <w:marRight w:val="0"/>
      <w:marTop w:val="0"/>
      <w:marBottom w:val="0"/>
      <w:divBdr>
        <w:top w:val="none" w:sz="0" w:space="0" w:color="auto"/>
        <w:left w:val="none" w:sz="0" w:space="0" w:color="auto"/>
        <w:bottom w:val="none" w:sz="0" w:space="0" w:color="auto"/>
        <w:right w:val="none" w:sz="0" w:space="0" w:color="auto"/>
      </w:divBdr>
    </w:div>
    <w:div w:id="1990665758">
      <w:bodyDiv w:val="1"/>
      <w:marLeft w:val="0"/>
      <w:marRight w:val="0"/>
      <w:marTop w:val="0"/>
      <w:marBottom w:val="0"/>
      <w:divBdr>
        <w:top w:val="none" w:sz="0" w:space="0" w:color="auto"/>
        <w:left w:val="none" w:sz="0" w:space="0" w:color="auto"/>
        <w:bottom w:val="none" w:sz="0" w:space="0" w:color="auto"/>
        <w:right w:val="none" w:sz="0" w:space="0" w:color="auto"/>
      </w:divBdr>
    </w:div>
    <w:div w:id="1990858348">
      <w:bodyDiv w:val="1"/>
      <w:marLeft w:val="0"/>
      <w:marRight w:val="0"/>
      <w:marTop w:val="0"/>
      <w:marBottom w:val="0"/>
      <w:divBdr>
        <w:top w:val="none" w:sz="0" w:space="0" w:color="auto"/>
        <w:left w:val="none" w:sz="0" w:space="0" w:color="auto"/>
        <w:bottom w:val="none" w:sz="0" w:space="0" w:color="auto"/>
        <w:right w:val="none" w:sz="0" w:space="0" w:color="auto"/>
      </w:divBdr>
    </w:div>
    <w:div w:id="1991252439">
      <w:bodyDiv w:val="1"/>
      <w:marLeft w:val="0"/>
      <w:marRight w:val="0"/>
      <w:marTop w:val="0"/>
      <w:marBottom w:val="0"/>
      <w:divBdr>
        <w:top w:val="none" w:sz="0" w:space="0" w:color="auto"/>
        <w:left w:val="none" w:sz="0" w:space="0" w:color="auto"/>
        <w:bottom w:val="none" w:sz="0" w:space="0" w:color="auto"/>
        <w:right w:val="none" w:sz="0" w:space="0" w:color="auto"/>
      </w:divBdr>
    </w:div>
    <w:div w:id="1991396573">
      <w:bodyDiv w:val="1"/>
      <w:marLeft w:val="0"/>
      <w:marRight w:val="0"/>
      <w:marTop w:val="0"/>
      <w:marBottom w:val="0"/>
      <w:divBdr>
        <w:top w:val="none" w:sz="0" w:space="0" w:color="auto"/>
        <w:left w:val="none" w:sz="0" w:space="0" w:color="auto"/>
        <w:bottom w:val="none" w:sz="0" w:space="0" w:color="auto"/>
        <w:right w:val="none" w:sz="0" w:space="0" w:color="auto"/>
      </w:divBdr>
    </w:div>
    <w:div w:id="1991712244">
      <w:bodyDiv w:val="1"/>
      <w:marLeft w:val="0"/>
      <w:marRight w:val="0"/>
      <w:marTop w:val="0"/>
      <w:marBottom w:val="0"/>
      <w:divBdr>
        <w:top w:val="none" w:sz="0" w:space="0" w:color="auto"/>
        <w:left w:val="none" w:sz="0" w:space="0" w:color="auto"/>
        <w:bottom w:val="none" w:sz="0" w:space="0" w:color="auto"/>
        <w:right w:val="none" w:sz="0" w:space="0" w:color="auto"/>
      </w:divBdr>
    </w:div>
    <w:div w:id="1993681899">
      <w:bodyDiv w:val="1"/>
      <w:marLeft w:val="0"/>
      <w:marRight w:val="0"/>
      <w:marTop w:val="0"/>
      <w:marBottom w:val="0"/>
      <w:divBdr>
        <w:top w:val="none" w:sz="0" w:space="0" w:color="auto"/>
        <w:left w:val="none" w:sz="0" w:space="0" w:color="auto"/>
        <w:bottom w:val="none" w:sz="0" w:space="0" w:color="auto"/>
        <w:right w:val="none" w:sz="0" w:space="0" w:color="auto"/>
      </w:divBdr>
    </w:div>
    <w:div w:id="1993830066">
      <w:bodyDiv w:val="1"/>
      <w:marLeft w:val="0"/>
      <w:marRight w:val="0"/>
      <w:marTop w:val="0"/>
      <w:marBottom w:val="0"/>
      <w:divBdr>
        <w:top w:val="none" w:sz="0" w:space="0" w:color="auto"/>
        <w:left w:val="none" w:sz="0" w:space="0" w:color="auto"/>
        <w:bottom w:val="none" w:sz="0" w:space="0" w:color="auto"/>
        <w:right w:val="none" w:sz="0" w:space="0" w:color="auto"/>
      </w:divBdr>
    </w:div>
    <w:div w:id="1993871094">
      <w:bodyDiv w:val="1"/>
      <w:marLeft w:val="0"/>
      <w:marRight w:val="0"/>
      <w:marTop w:val="0"/>
      <w:marBottom w:val="0"/>
      <w:divBdr>
        <w:top w:val="none" w:sz="0" w:space="0" w:color="auto"/>
        <w:left w:val="none" w:sz="0" w:space="0" w:color="auto"/>
        <w:bottom w:val="none" w:sz="0" w:space="0" w:color="auto"/>
        <w:right w:val="none" w:sz="0" w:space="0" w:color="auto"/>
      </w:divBdr>
    </w:div>
    <w:div w:id="1994288429">
      <w:bodyDiv w:val="1"/>
      <w:marLeft w:val="0"/>
      <w:marRight w:val="0"/>
      <w:marTop w:val="0"/>
      <w:marBottom w:val="0"/>
      <w:divBdr>
        <w:top w:val="none" w:sz="0" w:space="0" w:color="auto"/>
        <w:left w:val="none" w:sz="0" w:space="0" w:color="auto"/>
        <w:bottom w:val="none" w:sz="0" w:space="0" w:color="auto"/>
        <w:right w:val="none" w:sz="0" w:space="0" w:color="auto"/>
      </w:divBdr>
    </w:div>
    <w:div w:id="1995256091">
      <w:bodyDiv w:val="1"/>
      <w:marLeft w:val="0"/>
      <w:marRight w:val="0"/>
      <w:marTop w:val="0"/>
      <w:marBottom w:val="0"/>
      <w:divBdr>
        <w:top w:val="none" w:sz="0" w:space="0" w:color="auto"/>
        <w:left w:val="none" w:sz="0" w:space="0" w:color="auto"/>
        <w:bottom w:val="none" w:sz="0" w:space="0" w:color="auto"/>
        <w:right w:val="none" w:sz="0" w:space="0" w:color="auto"/>
      </w:divBdr>
    </w:div>
    <w:div w:id="1996373491">
      <w:bodyDiv w:val="1"/>
      <w:marLeft w:val="0"/>
      <w:marRight w:val="0"/>
      <w:marTop w:val="0"/>
      <w:marBottom w:val="0"/>
      <w:divBdr>
        <w:top w:val="none" w:sz="0" w:space="0" w:color="auto"/>
        <w:left w:val="none" w:sz="0" w:space="0" w:color="auto"/>
        <w:bottom w:val="none" w:sz="0" w:space="0" w:color="auto"/>
        <w:right w:val="none" w:sz="0" w:space="0" w:color="auto"/>
      </w:divBdr>
    </w:div>
    <w:div w:id="1997101086">
      <w:bodyDiv w:val="1"/>
      <w:marLeft w:val="0"/>
      <w:marRight w:val="0"/>
      <w:marTop w:val="0"/>
      <w:marBottom w:val="0"/>
      <w:divBdr>
        <w:top w:val="none" w:sz="0" w:space="0" w:color="auto"/>
        <w:left w:val="none" w:sz="0" w:space="0" w:color="auto"/>
        <w:bottom w:val="none" w:sz="0" w:space="0" w:color="auto"/>
        <w:right w:val="none" w:sz="0" w:space="0" w:color="auto"/>
      </w:divBdr>
    </w:div>
    <w:div w:id="1997491569">
      <w:bodyDiv w:val="1"/>
      <w:marLeft w:val="0"/>
      <w:marRight w:val="0"/>
      <w:marTop w:val="0"/>
      <w:marBottom w:val="0"/>
      <w:divBdr>
        <w:top w:val="none" w:sz="0" w:space="0" w:color="auto"/>
        <w:left w:val="none" w:sz="0" w:space="0" w:color="auto"/>
        <w:bottom w:val="none" w:sz="0" w:space="0" w:color="auto"/>
        <w:right w:val="none" w:sz="0" w:space="0" w:color="auto"/>
      </w:divBdr>
    </w:div>
    <w:div w:id="1997563078">
      <w:bodyDiv w:val="1"/>
      <w:marLeft w:val="0"/>
      <w:marRight w:val="0"/>
      <w:marTop w:val="0"/>
      <w:marBottom w:val="0"/>
      <w:divBdr>
        <w:top w:val="none" w:sz="0" w:space="0" w:color="auto"/>
        <w:left w:val="none" w:sz="0" w:space="0" w:color="auto"/>
        <w:bottom w:val="none" w:sz="0" w:space="0" w:color="auto"/>
        <w:right w:val="none" w:sz="0" w:space="0" w:color="auto"/>
      </w:divBdr>
    </w:div>
    <w:div w:id="1999265733">
      <w:bodyDiv w:val="1"/>
      <w:marLeft w:val="0"/>
      <w:marRight w:val="0"/>
      <w:marTop w:val="0"/>
      <w:marBottom w:val="0"/>
      <w:divBdr>
        <w:top w:val="none" w:sz="0" w:space="0" w:color="auto"/>
        <w:left w:val="none" w:sz="0" w:space="0" w:color="auto"/>
        <w:bottom w:val="none" w:sz="0" w:space="0" w:color="auto"/>
        <w:right w:val="none" w:sz="0" w:space="0" w:color="auto"/>
      </w:divBdr>
    </w:div>
    <w:div w:id="1999504539">
      <w:bodyDiv w:val="1"/>
      <w:marLeft w:val="0"/>
      <w:marRight w:val="0"/>
      <w:marTop w:val="0"/>
      <w:marBottom w:val="0"/>
      <w:divBdr>
        <w:top w:val="none" w:sz="0" w:space="0" w:color="auto"/>
        <w:left w:val="none" w:sz="0" w:space="0" w:color="auto"/>
        <w:bottom w:val="none" w:sz="0" w:space="0" w:color="auto"/>
        <w:right w:val="none" w:sz="0" w:space="0" w:color="auto"/>
      </w:divBdr>
    </w:div>
    <w:div w:id="2000304543">
      <w:bodyDiv w:val="1"/>
      <w:marLeft w:val="0"/>
      <w:marRight w:val="0"/>
      <w:marTop w:val="0"/>
      <w:marBottom w:val="0"/>
      <w:divBdr>
        <w:top w:val="none" w:sz="0" w:space="0" w:color="auto"/>
        <w:left w:val="none" w:sz="0" w:space="0" w:color="auto"/>
        <w:bottom w:val="none" w:sz="0" w:space="0" w:color="auto"/>
        <w:right w:val="none" w:sz="0" w:space="0" w:color="auto"/>
      </w:divBdr>
    </w:div>
    <w:div w:id="2001692190">
      <w:bodyDiv w:val="1"/>
      <w:marLeft w:val="0"/>
      <w:marRight w:val="0"/>
      <w:marTop w:val="0"/>
      <w:marBottom w:val="0"/>
      <w:divBdr>
        <w:top w:val="none" w:sz="0" w:space="0" w:color="auto"/>
        <w:left w:val="none" w:sz="0" w:space="0" w:color="auto"/>
        <w:bottom w:val="none" w:sz="0" w:space="0" w:color="auto"/>
        <w:right w:val="none" w:sz="0" w:space="0" w:color="auto"/>
      </w:divBdr>
    </w:div>
    <w:div w:id="2002387736">
      <w:bodyDiv w:val="1"/>
      <w:marLeft w:val="0"/>
      <w:marRight w:val="0"/>
      <w:marTop w:val="0"/>
      <w:marBottom w:val="0"/>
      <w:divBdr>
        <w:top w:val="none" w:sz="0" w:space="0" w:color="auto"/>
        <w:left w:val="none" w:sz="0" w:space="0" w:color="auto"/>
        <w:bottom w:val="none" w:sz="0" w:space="0" w:color="auto"/>
        <w:right w:val="none" w:sz="0" w:space="0" w:color="auto"/>
      </w:divBdr>
    </w:div>
    <w:div w:id="2002806907">
      <w:bodyDiv w:val="1"/>
      <w:marLeft w:val="0"/>
      <w:marRight w:val="0"/>
      <w:marTop w:val="0"/>
      <w:marBottom w:val="0"/>
      <w:divBdr>
        <w:top w:val="none" w:sz="0" w:space="0" w:color="auto"/>
        <w:left w:val="none" w:sz="0" w:space="0" w:color="auto"/>
        <w:bottom w:val="none" w:sz="0" w:space="0" w:color="auto"/>
        <w:right w:val="none" w:sz="0" w:space="0" w:color="auto"/>
      </w:divBdr>
    </w:div>
    <w:div w:id="2004165644">
      <w:bodyDiv w:val="1"/>
      <w:marLeft w:val="0"/>
      <w:marRight w:val="0"/>
      <w:marTop w:val="0"/>
      <w:marBottom w:val="0"/>
      <w:divBdr>
        <w:top w:val="none" w:sz="0" w:space="0" w:color="auto"/>
        <w:left w:val="none" w:sz="0" w:space="0" w:color="auto"/>
        <w:bottom w:val="none" w:sz="0" w:space="0" w:color="auto"/>
        <w:right w:val="none" w:sz="0" w:space="0" w:color="auto"/>
      </w:divBdr>
    </w:div>
    <w:div w:id="2004237394">
      <w:bodyDiv w:val="1"/>
      <w:marLeft w:val="0"/>
      <w:marRight w:val="0"/>
      <w:marTop w:val="0"/>
      <w:marBottom w:val="0"/>
      <w:divBdr>
        <w:top w:val="none" w:sz="0" w:space="0" w:color="auto"/>
        <w:left w:val="none" w:sz="0" w:space="0" w:color="auto"/>
        <w:bottom w:val="none" w:sz="0" w:space="0" w:color="auto"/>
        <w:right w:val="none" w:sz="0" w:space="0" w:color="auto"/>
      </w:divBdr>
    </w:div>
    <w:div w:id="2004819021">
      <w:bodyDiv w:val="1"/>
      <w:marLeft w:val="0"/>
      <w:marRight w:val="0"/>
      <w:marTop w:val="0"/>
      <w:marBottom w:val="0"/>
      <w:divBdr>
        <w:top w:val="none" w:sz="0" w:space="0" w:color="auto"/>
        <w:left w:val="none" w:sz="0" w:space="0" w:color="auto"/>
        <w:bottom w:val="none" w:sz="0" w:space="0" w:color="auto"/>
        <w:right w:val="none" w:sz="0" w:space="0" w:color="auto"/>
      </w:divBdr>
    </w:div>
    <w:div w:id="2005009149">
      <w:bodyDiv w:val="1"/>
      <w:marLeft w:val="0"/>
      <w:marRight w:val="0"/>
      <w:marTop w:val="0"/>
      <w:marBottom w:val="0"/>
      <w:divBdr>
        <w:top w:val="none" w:sz="0" w:space="0" w:color="auto"/>
        <w:left w:val="none" w:sz="0" w:space="0" w:color="auto"/>
        <w:bottom w:val="none" w:sz="0" w:space="0" w:color="auto"/>
        <w:right w:val="none" w:sz="0" w:space="0" w:color="auto"/>
      </w:divBdr>
    </w:div>
    <w:div w:id="2007323717">
      <w:bodyDiv w:val="1"/>
      <w:marLeft w:val="0"/>
      <w:marRight w:val="0"/>
      <w:marTop w:val="0"/>
      <w:marBottom w:val="0"/>
      <w:divBdr>
        <w:top w:val="none" w:sz="0" w:space="0" w:color="auto"/>
        <w:left w:val="none" w:sz="0" w:space="0" w:color="auto"/>
        <w:bottom w:val="none" w:sz="0" w:space="0" w:color="auto"/>
        <w:right w:val="none" w:sz="0" w:space="0" w:color="auto"/>
      </w:divBdr>
    </w:div>
    <w:div w:id="2007591387">
      <w:bodyDiv w:val="1"/>
      <w:marLeft w:val="0"/>
      <w:marRight w:val="0"/>
      <w:marTop w:val="0"/>
      <w:marBottom w:val="0"/>
      <w:divBdr>
        <w:top w:val="none" w:sz="0" w:space="0" w:color="auto"/>
        <w:left w:val="none" w:sz="0" w:space="0" w:color="auto"/>
        <w:bottom w:val="none" w:sz="0" w:space="0" w:color="auto"/>
        <w:right w:val="none" w:sz="0" w:space="0" w:color="auto"/>
      </w:divBdr>
    </w:div>
    <w:div w:id="2007973156">
      <w:bodyDiv w:val="1"/>
      <w:marLeft w:val="0"/>
      <w:marRight w:val="0"/>
      <w:marTop w:val="0"/>
      <w:marBottom w:val="0"/>
      <w:divBdr>
        <w:top w:val="none" w:sz="0" w:space="0" w:color="auto"/>
        <w:left w:val="none" w:sz="0" w:space="0" w:color="auto"/>
        <w:bottom w:val="none" w:sz="0" w:space="0" w:color="auto"/>
        <w:right w:val="none" w:sz="0" w:space="0" w:color="auto"/>
      </w:divBdr>
    </w:div>
    <w:div w:id="2008555070">
      <w:bodyDiv w:val="1"/>
      <w:marLeft w:val="0"/>
      <w:marRight w:val="0"/>
      <w:marTop w:val="0"/>
      <w:marBottom w:val="0"/>
      <w:divBdr>
        <w:top w:val="none" w:sz="0" w:space="0" w:color="auto"/>
        <w:left w:val="none" w:sz="0" w:space="0" w:color="auto"/>
        <w:bottom w:val="none" w:sz="0" w:space="0" w:color="auto"/>
        <w:right w:val="none" w:sz="0" w:space="0" w:color="auto"/>
      </w:divBdr>
    </w:div>
    <w:div w:id="2009941739">
      <w:bodyDiv w:val="1"/>
      <w:marLeft w:val="0"/>
      <w:marRight w:val="0"/>
      <w:marTop w:val="0"/>
      <w:marBottom w:val="0"/>
      <w:divBdr>
        <w:top w:val="none" w:sz="0" w:space="0" w:color="auto"/>
        <w:left w:val="none" w:sz="0" w:space="0" w:color="auto"/>
        <w:bottom w:val="none" w:sz="0" w:space="0" w:color="auto"/>
        <w:right w:val="none" w:sz="0" w:space="0" w:color="auto"/>
      </w:divBdr>
    </w:div>
    <w:div w:id="2010016740">
      <w:bodyDiv w:val="1"/>
      <w:marLeft w:val="0"/>
      <w:marRight w:val="0"/>
      <w:marTop w:val="0"/>
      <w:marBottom w:val="0"/>
      <w:divBdr>
        <w:top w:val="none" w:sz="0" w:space="0" w:color="auto"/>
        <w:left w:val="none" w:sz="0" w:space="0" w:color="auto"/>
        <w:bottom w:val="none" w:sz="0" w:space="0" w:color="auto"/>
        <w:right w:val="none" w:sz="0" w:space="0" w:color="auto"/>
      </w:divBdr>
    </w:div>
    <w:div w:id="2010936745">
      <w:bodyDiv w:val="1"/>
      <w:marLeft w:val="0"/>
      <w:marRight w:val="0"/>
      <w:marTop w:val="0"/>
      <w:marBottom w:val="0"/>
      <w:divBdr>
        <w:top w:val="none" w:sz="0" w:space="0" w:color="auto"/>
        <w:left w:val="none" w:sz="0" w:space="0" w:color="auto"/>
        <w:bottom w:val="none" w:sz="0" w:space="0" w:color="auto"/>
        <w:right w:val="none" w:sz="0" w:space="0" w:color="auto"/>
      </w:divBdr>
    </w:div>
    <w:div w:id="2011132899">
      <w:bodyDiv w:val="1"/>
      <w:marLeft w:val="0"/>
      <w:marRight w:val="0"/>
      <w:marTop w:val="0"/>
      <w:marBottom w:val="0"/>
      <w:divBdr>
        <w:top w:val="none" w:sz="0" w:space="0" w:color="auto"/>
        <w:left w:val="none" w:sz="0" w:space="0" w:color="auto"/>
        <w:bottom w:val="none" w:sz="0" w:space="0" w:color="auto"/>
        <w:right w:val="none" w:sz="0" w:space="0" w:color="auto"/>
      </w:divBdr>
    </w:div>
    <w:div w:id="2012683419">
      <w:bodyDiv w:val="1"/>
      <w:marLeft w:val="0"/>
      <w:marRight w:val="0"/>
      <w:marTop w:val="0"/>
      <w:marBottom w:val="0"/>
      <w:divBdr>
        <w:top w:val="none" w:sz="0" w:space="0" w:color="auto"/>
        <w:left w:val="none" w:sz="0" w:space="0" w:color="auto"/>
        <w:bottom w:val="none" w:sz="0" w:space="0" w:color="auto"/>
        <w:right w:val="none" w:sz="0" w:space="0" w:color="auto"/>
      </w:divBdr>
    </w:div>
    <w:div w:id="2012952187">
      <w:bodyDiv w:val="1"/>
      <w:marLeft w:val="0"/>
      <w:marRight w:val="0"/>
      <w:marTop w:val="0"/>
      <w:marBottom w:val="0"/>
      <w:divBdr>
        <w:top w:val="none" w:sz="0" w:space="0" w:color="auto"/>
        <w:left w:val="none" w:sz="0" w:space="0" w:color="auto"/>
        <w:bottom w:val="none" w:sz="0" w:space="0" w:color="auto"/>
        <w:right w:val="none" w:sz="0" w:space="0" w:color="auto"/>
      </w:divBdr>
    </w:div>
    <w:div w:id="2013756814">
      <w:bodyDiv w:val="1"/>
      <w:marLeft w:val="0"/>
      <w:marRight w:val="0"/>
      <w:marTop w:val="0"/>
      <w:marBottom w:val="0"/>
      <w:divBdr>
        <w:top w:val="none" w:sz="0" w:space="0" w:color="auto"/>
        <w:left w:val="none" w:sz="0" w:space="0" w:color="auto"/>
        <w:bottom w:val="none" w:sz="0" w:space="0" w:color="auto"/>
        <w:right w:val="none" w:sz="0" w:space="0" w:color="auto"/>
      </w:divBdr>
    </w:div>
    <w:div w:id="2013988620">
      <w:bodyDiv w:val="1"/>
      <w:marLeft w:val="0"/>
      <w:marRight w:val="0"/>
      <w:marTop w:val="0"/>
      <w:marBottom w:val="0"/>
      <w:divBdr>
        <w:top w:val="none" w:sz="0" w:space="0" w:color="auto"/>
        <w:left w:val="none" w:sz="0" w:space="0" w:color="auto"/>
        <w:bottom w:val="none" w:sz="0" w:space="0" w:color="auto"/>
        <w:right w:val="none" w:sz="0" w:space="0" w:color="auto"/>
      </w:divBdr>
    </w:div>
    <w:div w:id="2015103766">
      <w:bodyDiv w:val="1"/>
      <w:marLeft w:val="0"/>
      <w:marRight w:val="0"/>
      <w:marTop w:val="0"/>
      <w:marBottom w:val="0"/>
      <w:divBdr>
        <w:top w:val="none" w:sz="0" w:space="0" w:color="auto"/>
        <w:left w:val="none" w:sz="0" w:space="0" w:color="auto"/>
        <w:bottom w:val="none" w:sz="0" w:space="0" w:color="auto"/>
        <w:right w:val="none" w:sz="0" w:space="0" w:color="auto"/>
      </w:divBdr>
    </w:div>
    <w:div w:id="2015104314">
      <w:bodyDiv w:val="1"/>
      <w:marLeft w:val="0"/>
      <w:marRight w:val="0"/>
      <w:marTop w:val="0"/>
      <w:marBottom w:val="0"/>
      <w:divBdr>
        <w:top w:val="none" w:sz="0" w:space="0" w:color="auto"/>
        <w:left w:val="none" w:sz="0" w:space="0" w:color="auto"/>
        <w:bottom w:val="none" w:sz="0" w:space="0" w:color="auto"/>
        <w:right w:val="none" w:sz="0" w:space="0" w:color="auto"/>
      </w:divBdr>
    </w:div>
    <w:div w:id="2015260831">
      <w:bodyDiv w:val="1"/>
      <w:marLeft w:val="0"/>
      <w:marRight w:val="0"/>
      <w:marTop w:val="0"/>
      <w:marBottom w:val="0"/>
      <w:divBdr>
        <w:top w:val="none" w:sz="0" w:space="0" w:color="auto"/>
        <w:left w:val="none" w:sz="0" w:space="0" w:color="auto"/>
        <w:bottom w:val="none" w:sz="0" w:space="0" w:color="auto"/>
        <w:right w:val="none" w:sz="0" w:space="0" w:color="auto"/>
      </w:divBdr>
    </w:div>
    <w:div w:id="2015523231">
      <w:bodyDiv w:val="1"/>
      <w:marLeft w:val="0"/>
      <w:marRight w:val="0"/>
      <w:marTop w:val="0"/>
      <w:marBottom w:val="0"/>
      <w:divBdr>
        <w:top w:val="none" w:sz="0" w:space="0" w:color="auto"/>
        <w:left w:val="none" w:sz="0" w:space="0" w:color="auto"/>
        <w:bottom w:val="none" w:sz="0" w:space="0" w:color="auto"/>
        <w:right w:val="none" w:sz="0" w:space="0" w:color="auto"/>
      </w:divBdr>
    </w:div>
    <w:div w:id="2016034189">
      <w:bodyDiv w:val="1"/>
      <w:marLeft w:val="0"/>
      <w:marRight w:val="0"/>
      <w:marTop w:val="0"/>
      <w:marBottom w:val="0"/>
      <w:divBdr>
        <w:top w:val="none" w:sz="0" w:space="0" w:color="auto"/>
        <w:left w:val="none" w:sz="0" w:space="0" w:color="auto"/>
        <w:bottom w:val="none" w:sz="0" w:space="0" w:color="auto"/>
        <w:right w:val="none" w:sz="0" w:space="0" w:color="auto"/>
      </w:divBdr>
    </w:div>
    <w:div w:id="2016300793">
      <w:bodyDiv w:val="1"/>
      <w:marLeft w:val="0"/>
      <w:marRight w:val="0"/>
      <w:marTop w:val="0"/>
      <w:marBottom w:val="0"/>
      <w:divBdr>
        <w:top w:val="none" w:sz="0" w:space="0" w:color="auto"/>
        <w:left w:val="none" w:sz="0" w:space="0" w:color="auto"/>
        <w:bottom w:val="none" w:sz="0" w:space="0" w:color="auto"/>
        <w:right w:val="none" w:sz="0" w:space="0" w:color="auto"/>
      </w:divBdr>
    </w:div>
    <w:div w:id="2016491251">
      <w:bodyDiv w:val="1"/>
      <w:marLeft w:val="0"/>
      <w:marRight w:val="0"/>
      <w:marTop w:val="0"/>
      <w:marBottom w:val="0"/>
      <w:divBdr>
        <w:top w:val="none" w:sz="0" w:space="0" w:color="auto"/>
        <w:left w:val="none" w:sz="0" w:space="0" w:color="auto"/>
        <w:bottom w:val="none" w:sz="0" w:space="0" w:color="auto"/>
        <w:right w:val="none" w:sz="0" w:space="0" w:color="auto"/>
      </w:divBdr>
    </w:div>
    <w:div w:id="2016689210">
      <w:bodyDiv w:val="1"/>
      <w:marLeft w:val="0"/>
      <w:marRight w:val="0"/>
      <w:marTop w:val="0"/>
      <w:marBottom w:val="0"/>
      <w:divBdr>
        <w:top w:val="none" w:sz="0" w:space="0" w:color="auto"/>
        <w:left w:val="none" w:sz="0" w:space="0" w:color="auto"/>
        <w:bottom w:val="none" w:sz="0" w:space="0" w:color="auto"/>
        <w:right w:val="none" w:sz="0" w:space="0" w:color="auto"/>
      </w:divBdr>
    </w:div>
    <w:div w:id="2016767576">
      <w:bodyDiv w:val="1"/>
      <w:marLeft w:val="0"/>
      <w:marRight w:val="0"/>
      <w:marTop w:val="0"/>
      <w:marBottom w:val="0"/>
      <w:divBdr>
        <w:top w:val="none" w:sz="0" w:space="0" w:color="auto"/>
        <w:left w:val="none" w:sz="0" w:space="0" w:color="auto"/>
        <w:bottom w:val="none" w:sz="0" w:space="0" w:color="auto"/>
        <w:right w:val="none" w:sz="0" w:space="0" w:color="auto"/>
      </w:divBdr>
    </w:div>
    <w:div w:id="2016953941">
      <w:bodyDiv w:val="1"/>
      <w:marLeft w:val="0"/>
      <w:marRight w:val="0"/>
      <w:marTop w:val="0"/>
      <w:marBottom w:val="0"/>
      <w:divBdr>
        <w:top w:val="none" w:sz="0" w:space="0" w:color="auto"/>
        <w:left w:val="none" w:sz="0" w:space="0" w:color="auto"/>
        <w:bottom w:val="none" w:sz="0" w:space="0" w:color="auto"/>
        <w:right w:val="none" w:sz="0" w:space="0" w:color="auto"/>
      </w:divBdr>
    </w:div>
    <w:div w:id="2017727479">
      <w:bodyDiv w:val="1"/>
      <w:marLeft w:val="0"/>
      <w:marRight w:val="0"/>
      <w:marTop w:val="0"/>
      <w:marBottom w:val="0"/>
      <w:divBdr>
        <w:top w:val="none" w:sz="0" w:space="0" w:color="auto"/>
        <w:left w:val="none" w:sz="0" w:space="0" w:color="auto"/>
        <w:bottom w:val="none" w:sz="0" w:space="0" w:color="auto"/>
        <w:right w:val="none" w:sz="0" w:space="0" w:color="auto"/>
      </w:divBdr>
    </w:div>
    <w:div w:id="2017731822">
      <w:bodyDiv w:val="1"/>
      <w:marLeft w:val="0"/>
      <w:marRight w:val="0"/>
      <w:marTop w:val="0"/>
      <w:marBottom w:val="0"/>
      <w:divBdr>
        <w:top w:val="none" w:sz="0" w:space="0" w:color="auto"/>
        <w:left w:val="none" w:sz="0" w:space="0" w:color="auto"/>
        <w:bottom w:val="none" w:sz="0" w:space="0" w:color="auto"/>
        <w:right w:val="none" w:sz="0" w:space="0" w:color="auto"/>
      </w:divBdr>
    </w:div>
    <w:div w:id="2017876039">
      <w:bodyDiv w:val="1"/>
      <w:marLeft w:val="0"/>
      <w:marRight w:val="0"/>
      <w:marTop w:val="0"/>
      <w:marBottom w:val="0"/>
      <w:divBdr>
        <w:top w:val="none" w:sz="0" w:space="0" w:color="auto"/>
        <w:left w:val="none" w:sz="0" w:space="0" w:color="auto"/>
        <w:bottom w:val="none" w:sz="0" w:space="0" w:color="auto"/>
        <w:right w:val="none" w:sz="0" w:space="0" w:color="auto"/>
      </w:divBdr>
    </w:div>
    <w:div w:id="2018457023">
      <w:bodyDiv w:val="1"/>
      <w:marLeft w:val="0"/>
      <w:marRight w:val="0"/>
      <w:marTop w:val="0"/>
      <w:marBottom w:val="0"/>
      <w:divBdr>
        <w:top w:val="none" w:sz="0" w:space="0" w:color="auto"/>
        <w:left w:val="none" w:sz="0" w:space="0" w:color="auto"/>
        <w:bottom w:val="none" w:sz="0" w:space="0" w:color="auto"/>
        <w:right w:val="none" w:sz="0" w:space="0" w:color="auto"/>
      </w:divBdr>
    </w:div>
    <w:div w:id="2019194424">
      <w:bodyDiv w:val="1"/>
      <w:marLeft w:val="0"/>
      <w:marRight w:val="0"/>
      <w:marTop w:val="0"/>
      <w:marBottom w:val="0"/>
      <w:divBdr>
        <w:top w:val="none" w:sz="0" w:space="0" w:color="auto"/>
        <w:left w:val="none" w:sz="0" w:space="0" w:color="auto"/>
        <w:bottom w:val="none" w:sz="0" w:space="0" w:color="auto"/>
        <w:right w:val="none" w:sz="0" w:space="0" w:color="auto"/>
      </w:divBdr>
    </w:div>
    <w:div w:id="2020698141">
      <w:bodyDiv w:val="1"/>
      <w:marLeft w:val="0"/>
      <w:marRight w:val="0"/>
      <w:marTop w:val="0"/>
      <w:marBottom w:val="0"/>
      <w:divBdr>
        <w:top w:val="none" w:sz="0" w:space="0" w:color="auto"/>
        <w:left w:val="none" w:sz="0" w:space="0" w:color="auto"/>
        <w:bottom w:val="none" w:sz="0" w:space="0" w:color="auto"/>
        <w:right w:val="none" w:sz="0" w:space="0" w:color="auto"/>
      </w:divBdr>
    </w:div>
    <w:div w:id="2020887147">
      <w:bodyDiv w:val="1"/>
      <w:marLeft w:val="0"/>
      <w:marRight w:val="0"/>
      <w:marTop w:val="0"/>
      <w:marBottom w:val="0"/>
      <w:divBdr>
        <w:top w:val="none" w:sz="0" w:space="0" w:color="auto"/>
        <w:left w:val="none" w:sz="0" w:space="0" w:color="auto"/>
        <w:bottom w:val="none" w:sz="0" w:space="0" w:color="auto"/>
        <w:right w:val="none" w:sz="0" w:space="0" w:color="auto"/>
      </w:divBdr>
    </w:div>
    <w:div w:id="2020892520">
      <w:bodyDiv w:val="1"/>
      <w:marLeft w:val="0"/>
      <w:marRight w:val="0"/>
      <w:marTop w:val="0"/>
      <w:marBottom w:val="0"/>
      <w:divBdr>
        <w:top w:val="none" w:sz="0" w:space="0" w:color="auto"/>
        <w:left w:val="none" w:sz="0" w:space="0" w:color="auto"/>
        <w:bottom w:val="none" w:sz="0" w:space="0" w:color="auto"/>
        <w:right w:val="none" w:sz="0" w:space="0" w:color="auto"/>
      </w:divBdr>
    </w:div>
    <w:div w:id="2021085401">
      <w:bodyDiv w:val="1"/>
      <w:marLeft w:val="0"/>
      <w:marRight w:val="0"/>
      <w:marTop w:val="0"/>
      <w:marBottom w:val="0"/>
      <w:divBdr>
        <w:top w:val="none" w:sz="0" w:space="0" w:color="auto"/>
        <w:left w:val="none" w:sz="0" w:space="0" w:color="auto"/>
        <w:bottom w:val="none" w:sz="0" w:space="0" w:color="auto"/>
        <w:right w:val="none" w:sz="0" w:space="0" w:color="auto"/>
      </w:divBdr>
    </w:div>
    <w:div w:id="2021277664">
      <w:bodyDiv w:val="1"/>
      <w:marLeft w:val="0"/>
      <w:marRight w:val="0"/>
      <w:marTop w:val="0"/>
      <w:marBottom w:val="0"/>
      <w:divBdr>
        <w:top w:val="none" w:sz="0" w:space="0" w:color="auto"/>
        <w:left w:val="none" w:sz="0" w:space="0" w:color="auto"/>
        <w:bottom w:val="none" w:sz="0" w:space="0" w:color="auto"/>
        <w:right w:val="none" w:sz="0" w:space="0" w:color="auto"/>
      </w:divBdr>
    </w:div>
    <w:div w:id="2021540127">
      <w:bodyDiv w:val="1"/>
      <w:marLeft w:val="0"/>
      <w:marRight w:val="0"/>
      <w:marTop w:val="0"/>
      <w:marBottom w:val="0"/>
      <w:divBdr>
        <w:top w:val="none" w:sz="0" w:space="0" w:color="auto"/>
        <w:left w:val="none" w:sz="0" w:space="0" w:color="auto"/>
        <w:bottom w:val="none" w:sz="0" w:space="0" w:color="auto"/>
        <w:right w:val="none" w:sz="0" w:space="0" w:color="auto"/>
      </w:divBdr>
    </w:div>
    <w:div w:id="2021854811">
      <w:bodyDiv w:val="1"/>
      <w:marLeft w:val="0"/>
      <w:marRight w:val="0"/>
      <w:marTop w:val="0"/>
      <w:marBottom w:val="0"/>
      <w:divBdr>
        <w:top w:val="none" w:sz="0" w:space="0" w:color="auto"/>
        <w:left w:val="none" w:sz="0" w:space="0" w:color="auto"/>
        <w:bottom w:val="none" w:sz="0" w:space="0" w:color="auto"/>
        <w:right w:val="none" w:sz="0" w:space="0" w:color="auto"/>
      </w:divBdr>
    </w:div>
    <w:div w:id="2024086868">
      <w:bodyDiv w:val="1"/>
      <w:marLeft w:val="0"/>
      <w:marRight w:val="0"/>
      <w:marTop w:val="0"/>
      <w:marBottom w:val="0"/>
      <w:divBdr>
        <w:top w:val="none" w:sz="0" w:space="0" w:color="auto"/>
        <w:left w:val="none" w:sz="0" w:space="0" w:color="auto"/>
        <w:bottom w:val="none" w:sz="0" w:space="0" w:color="auto"/>
        <w:right w:val="none" w:sz="0" w:space="0" w:color="auto"/>
      </w:divBdr>
    </w:div>
    <w:div w:id="2024476720">
      <w:bodyDiv w:val="1"/>
      <w:marLeft w:val="0"/>
      <w:marRight w:val="0"/>
      <w:marTop w:val="0"/>
      <w:marBottom w:val="0"/>
      <w:divBdr>
        <w:top w:val="none" w:sz="0" w:space="0" w:color="auto"/>
        <w:left w:val="none" w:sz="0" w:space="0" w:color="auto"/>
        <w:bottom w:val="none" w:sz="0" w:space="0" w:color="auto"/>
        <w:right w:val="none" w:sz="0" w:space="0" w:color="auto"/>
      </w:divBdr>
    </w:div>
    <w:div w:id="2025980973">
      <w:bodyDiv w:val="1"/>
      <w:marLeft w:val="0"/>
      <w:marRight w:val="0"/>
      <w:marTop w:val="0"/>
      <w:marBottom w:val="0"/>
      <w:divBdr>
        <w:top w:val="none" w:sz="0" w:space="0" w:color="auto"/>
        <w:left w:val="none" w:sz="0" w:space="0" w:color="auto"/>
        <w:bottom w:val="none" w:sz="0" w:space="0" w:color="auto"/>
        <w:right w:val="none" w:sz="0" w:space="0" w:color="auto"/>
      </w:divBdr>
    </w:div>
    <w:div w:id="2026782372">
      <w:bodyDiv w:val="1"/>
      <w:marLeft w:val="0"/>
      <w:marRight w:val="0"/>
      <w:marTop w:val="0"/>
      <w:marBottom w:val="0"/>
      <w:divBdr>
        <w:top w:val="none" w:sz="0" w:space="0" w:color="auto"/>
        <w:left w:val="none" w:sz="0" w:space="0" w:color="auto"/>
        <w:bottom w:val="none" w:sz="0" w:space="0" w:color="auto"/>
        <w:right w:val="none" w:sz="0" w:space="0" w:color="auto"/>
      </w:divBdr>
    </w:div>
    <w:div w:id="2026862448">
      <w:bodyDiv w:val="1"/>
      <w:marLeft w:val="0"/>
      <w:marRight w:val="0"/>
      <w:marTop w:val="0"/>
      <w:marBottom w:val="0"/>
      <w:divBdr>
        <w:top w:val="none" w:sz="0" w:space="0" w:color="auto"/>
        <w:left w:val="none" w:sz="0" w:space="0" w:color="auto"/>
        <w:bottom w:val="none" w:sz="0" w:space="0" w:color="auto"/>
        <w:right w:val="none" w:sz="0" w:space="0" w:color="auto"/>
      </w:divBdr>
    </w:div>
    <w:div w:id="2027094023">
      <w:bodyDiv w:val="1"/>
      <w:marLeft w:val="0"/>
      <w:marRight w:val="0"/>
      <w:marTop w:val="0"/>
      <w:marBottom w:val="0"/>
      <w:divBdr>
        <w:top w:val="none" w:sz="0" w:space="0" w:color="auto"/>
        <w:left w:val="none" w:sz="0" w:space="0" w:color="auto"/>
        <w:bottom w:val="none" w:sz="0" w:space="0" w:color="auto"/>
        <w:right w:val="none" w:sz="0" w:space="0" w:color="auto"/>
      </w:divBdr>
    </w:div>
    <w:div w:id="2029404283">
      <w:bodyDiv w:val="1"/>
      <w:marLeft w:val="0"/>
      <w:marRight w:val="0"/>
      <w:marTop w:val="0"/>
      <w:marBottom w:val="0"/>
      <w:divBdr>
        <w:top w:val="none" w:sz="0" w:space="0" w:color="auto"/>
        <w:left w:val="none" w:sz="0" w:space="0" w:color="auto"/>
        <w:bottom w:val="none" w:sz="0" w:space="0" w:color="auto"/>
        <w:right w:val="none" w:sz="0" w:space="0" w:color="auto"/>
      </w:divBdr>
    </w:div>
    <w:div w:id="2029404447">
      <w:bodyDiv w:val="1"/>
      <w:marLeft w:val="0"/>
      <w:marRight w:val="0"/>
      <w:marTop w:val="0"/>
      <w:marBottom w:val="0"/>
      <w:divBdr>
        <w:top w:val="none" w:sz="0" w:space="0" w:color="auto"/>
        <w:left w:val="none" w:sz="0" w:space="0" w:color="auto"/>
        <w:bottom w:val="none" w:sz="0" w:space="0" w:color="auto"/>
        <w:right w:val="none" w:sz="0" w:space="0" w:color="auto"/>
      </w:divBdr>
    </w:div>
    <w:div w:id="2029673272">
      <w:bodyDiv w:val="1"/>
      <w:marLeft w:val="0"/>
      <w:marRight w:val="0"/>
      <w:marTop w:val="0"/>
      <w:marBottom w:val="0"/>
      <w:divBdr>
        <w:top w:val="none" w:sz="0" w:space="0" w:color="auto"/>
        <w:left w:val="none" w:sz="0" w:space="0" w:color="auto"/>
        <w:bottom w:val="none" w:sz="0" w:space="0" w:color="auto"/>
        <w:right w:val="none" w:sz="0" w:space="0" w:color="auto"/>
      </w:divBdr>
    </w:div>
    <w:div w:id="2029914428">
      <w:bodyDiv w:val="1"/>
      <w:marLeft w:val="0"/>
      <w:marRight w:val="0"/>
      <w:marTop w:val="0"/>
      <w:marBottom w:val="0"/>
      <w:divBdr>
        <w:top w:val="none" w:sz="0" w:space="0" w:color="auto"/>
        <w:left w:val="none" w:sz="0" w:space="0" w:color="auto"/>
        <w:bottom w:val="none" w:sz="0" w:space="0" w:color="auto"/>
        <w:right w:val="none" w:sz="0" w:space="0" w:color="auto"/>
      </w:divBdr>
    </w:div>
    <w:div w:id="2031179719">
      <w:bodyDiv w:val="1"/>
      <w:marLeft w:val="0"/>
      <w:marRight w:val="0"/>
      <w:marTop w:val="0"/>
      <w:marBottom w:val="0"/>
      <w:divBdr>
        <w:top w:val="none" w:sz="0" w:space="0" w:color="auto"/>
        <w:left w:val="none" w:sz="0" w:space="0" w:color="auto"/>
        <w:bottom w:val="none" w:sz="0" w:space="0" w:color="auto"/>
        <w:right w:val="none" w:sz="0" w:space="0" w:color="auto"/>
      </w:divBdr>
    </w:div>
    <w:div w:id="2031451251">
      <w:bodyDiv w:val="1"/>
      <w:marLeft w:val="0"/>
      <w:marRight w:val="0"/>
      <w:marTop w:val="0"/>
      <w:marBottom w:val="0"/>
      <w:divBdr>
        <w:top w:val="none" w:sz="0" w:space="0" w:color="auto"/>
        <w:left w:val="none" w:sz="0" w:space="0" w:color="auto"/>
        <w:bottom w:val="none" w:sz="0" w:space="0" w:color="auto"/>
        <w:right w:val="none" w:sz="0" w:space="0" w:color="auto"/>
      </w:divBdr>
    </w:div>
    <w:div w:id="2033801821">
      <w:bodyDiv w:val="1"/>
      <w:marLeft w:val="0"/>
      <w:marRight w:val="0"/>
      <w:marTop w:val="0"/>
      <w:marBottom w:val="0"/>
      <w:divBdr>
        <w:top w:val="none" w:sz="0" w:space="0" w:color="auto"/>
        <w:left w:val="none" w:sz="0" w:space="0" w:color="auto"/>
        <w:bottom w:val="none" w:sz="0" w:space="0" w:color="auto"/>
        <w:right w:val="none" w:sz="0" w:space="0" w:color="auto"/>
      </w:divBdr>
    </w:div>
    <w:div w:id="2034259479">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37193449">
      <w:bodyDiv w:val="1"/>
      <w:marLeft w:val="0"/>
      <w:marRight w:val="0"/>
      <w:marTop w:val="0"/>
      <w:marBottom w:val="0"/>
      <w:divBdr>
        <w:top w:val="none" w:sz="0" w:space="0" w:color="auto"/>
        <w:left w:val="none" w:sz="0" w:space="0" w:color="auto"/>
        <w:bottom w:val="none" w:sz="0" w:space="0" w:color="auto"/>
        <w:right w:val="none" w:sz="0" w:space="0" w:color="auto"/>
      </w:divBdr>
    </w:div>
    <w:div w:id="2037267713">
      <w:bodyDiv w:val="1"/>
      <w:marLeft w:val="0"/>
      <w:marRight w:val="0"/>
      <w:marTop w:val="0"/>
      <w:marBottom w:val="0"/>
      <w:divBdr>
        <w:top w:val="none" w:sz="0" w:space="0" w:color="auto"/>
        <w:left w:val="none" w:sz="0" w:space="0" w:color="auto"/>
        <w:bottom w:val="none" w:sz="0" w:space="0" w:color="auto"/>
        <w:right w:val="none" w:sz="0" w:space="0" w:color="auto"/>
      </w:divBdr>
    </w:div>
    <w:div w:id="2039038806">
      <w:bodyDiv w:val="1"/>
      <w:marLeft w:val="0"/>
      <w:marRight w:val="0"/>
      <w:marTop w:val="0"/>
      <w:marBottom w:val="0"/>
      <w:divBdr>
        <w:top w:val="none" w:sz="0" w:space="0" w:color="auto"/>
        <w:left w:val="none" w:sz="0" w:space="0" w:color="auto"/>
        <w:bottom w:val="none" w:sz="0" w:space="0" w:color="auto"/>
        <w:right w:val="none" w:sz="0" w:space="0" w:color="auto"/>
      </w:divBdr>
    </w:div>
    <w:div w:id="2039239701">
      <w:bodyDiv w:val="1"/>
      <w:marLeft w:val="0"/>
      <w:marRight w:val="0"/>
      <w:marTop w:val="0"/>
      <w:marBottom w:val="0"/>
      <w:divBdr>
        <w:top w:val="none" w:sz="0" w:space="0" w:color="auto"/>
        <w:left w:val="none" w:sz="0" w:space="0" w:color="auto"/>
        <w:bottom w:val="none" w:sz="0" w:space="0" w:color="auto"/>
        <w:right w:val="none" w:sz="0" w:space="0" w:color="auto"/>
      </w:divBdr>
    </w:div>
    <w:div w:id="2039887980">
      <w:bodyDiv w:val="1"/>
      <w:marLeft w:val="0"/>
      <w:marRight w:val="0"/>
      <w:marTop w:val="0"/>
      <w:marBottom w:val="0"/>
      <w:divBdr>
        <w:top w:val="none" w:sz="0" w:space="0" w:color="auto"/>
        <w:left w:val="none" w:sz="0" w:space="0" w:color="auto"/>
        <w:bottom w:val="none" w:sz="0" w:space="0" w:color="auto"/>
        <w:right w:val="none" w:sz="0" w:space="0" w:color="auto"/>
      </w:divBdr>
    </w:div>
    <w:div w:id="2040086609">
      <w:bodyDiv w:val="1"/>
      <w:marLeft w:val="0"/>
      <w:marRight w:val="0"/>
      <w:marTop w:val="0"/>
      <w:marBottom w:val="0"/>
      <w:divBdr>
        <w:top w:val="none" w:sz="0" w:space="0" w:color="auto"/>
        <w:left w:val="none" w:sz="0" w:space="0" w:color="auto"/>
        <w:bottom w:val="none" w:sz="0" w:space="0" w:color="auto"/>
        <w:right w:val="none" w:sz="0" w:space="0" w:color="auto"/>
      </w:divBdr>
    </w:div>
    <w:div w:id="2040886637">
      <w:bodyDiv w:val="1"/>
      <w:marLeft w:val="0"/>
      <w:marRight w:val="0"/>
      <w:marTop w:val="0"/>
      <w:marBottom w:val="0"/>
      <w:divBdr>
        <w:top w:val="none" w:sz="0" w:space="0" w:color="auto"/>
        <w:left w:val="none" w:sz="0" w:space="0" w:color="auto"/>
        <w:bottom w:val="none" w:sz="0" w:space="0" w:color="auto"/>
        <w:right w:val="none" w:sz="0" w:space="0" w:color="auto"/>
      </w:divBdr>
    </w:div>
    <w:div w:id="2040931534">
      <w:bodyDiv w:val="1"/>
      <w:marLeft w:val="0"/>
      <w:marRight w:val="0"/>
      <w:marTop w:val="0"/>
      <w:marBottom w:val="0"/>
      <w:divBdr>
        <w:top w:val="none" w:sz="0" w:space="0" w:color="auto"/>
        <w:left w:val="none" w:sz="0" w:space="0" w:color="auto"/>
        <w:bottom w:val="none" w:sz="0" w:space="0" w:color="auto"/>
        <w:right w:val="none" w:sz="0" w:space="0" w:color="auto"/>
      </w:divBdr>
    </w:div>
    <w:div w:id="2041130316">
      <w:bodyDiv w:val="1"/>
      <w:marLeft w:val="0"/>
      <w:marRight w:val="0"/>
      <w:marTop w:val="0"/>
      <w:marBottom w:val="0"/>
      <w:divBdr>
        <w:top w:val="none" w:sz="0" w:space="0" w:color="auto"/>
        <w:left w:val="none" w:sz="0" w:space="0" w:color="auto"/>
        <w:bottom w:val="none" w:sz="0" w:space="0" w:color="auto"/>
        <w:right w:val="none" w:sz="0" w:space="0" w:color="auto"/>
      </w:divBdr>
    </w:div>
    <w:div w:id="2041276691">
      <w:bodyDiv w:val="1"/>
      <w:marLeft w:val="0"/>
      <w:marRight w:val="0"/>
      <w:marTop w:val="0"/>
      <w:marBottom w:val="0"/>
      <w:divBdr>
        <w:top w:val="none" w:sz="0" w:space="0" w:color="auto"/>
        <w:left w:val="none" w:sz="0" w:space="0" w:color="auto"/>
        <w:bottom w:val="none" w:sz="0" w:space="0" w:color="auto"/>
        <w:right w:val="none" w:sz="0" w:space="0" w:color="auto"/>
      </w:divBdr>
    </w:div>
    <w:div w:id="2041516671">
      <w:bodyDiv w:val="1"/>
      <w:marLeft w:val="0"/>
      <w:marRight w:val="0"/>
      <w:marTop w:val="0"/>
      <w:marBottom w:val="0"/>
      <w:divBdr>
        <w:top w:val="none" w:sz="0" w:space="0" w:color="auto"/>
        <w:left w:val="none" w:sz="0" w:space="0" w:color="auto"/>
        <w:bottom w:val="none" w:sz="0" w:space="0" w:color="auto"/>
        <w:right w:val="none" w:sz="0" w:space="0" w:color="auto"/>
      </w:divBdr>
    </w:div>
    <w:div w:id="2041658512">
      <w:bodyDiv w:val="1"/>
      <w:marLeft w:val="0"/>
      <w:marRight w:val="0"/>
      <w:marTop w:val="0"/>
      <w:marBottom w:val="0"/>
      <w:divBdr>
        <w:top w:val="none" w:sz="0" w:space="0" w:color="auto"/>
        <w:left w:val="none" w:sz="0" w:space="0" w:color="auto"/>
        <w:bottom w:val="none" w:sz="0" w:space="0" w:color="auto"/>
        <w:right w:val="none" w:sz="0" w:space="0" w:color="auto"/>
      </w:divBdr>
    </w:div>
    <w:div w:id="2041709694">
      <w:bodyDiv w:val="1"/>
      <w:marLeft w:val="0"/>
      <w:marRight w:val="0"/>
      <w:marTop w:val="0"/>
      <w:marBottom w:val="0"/>
      <w:divBdr>
        <w:top w:val="none" w:sz="0" w:space="0" w:color="auto"/>
        <w:left w:val="none" w:sz="0" w:space="0" w:color="auto"/>
        <w:bottom w:val="none" w:sz="0" w:space="0" w:color="auto"/>
        <w:right w:val="none" w:sz="0" w:space="0" w:color="auto"/>
      </w:divBdr>
    </w:div>
    <w:div w:id="2042364558">
      <w:bodyDiv w:val="1"/>
      <w:marLeft w:val="0"/>
      <w:marRight w:val="0"/>
      <w:marTop w:val="0"/>
      <w:marBottom w:val="0"/>
      <w:divBdr>
        <w:top w:val="none" w:sz="0" w:space="0" w:color="auto"/>
        <w:left w:val="none" w:sz="0" w:space="0" w:color="auto"/>
        <w:bottom w:val="none" w:sz="0" w:space="0" w:color="auto"/>
        <w:right w:val="none" w:sz="0" w:space="0" w:color="auto"/>
      </w:divBdr>
    </w:div>
    <w:div w:id="2044279652">
      <w:bodyDiv w:val="1"/>
      <w:marLeft w:val="0"/>
      <w:marRight w:val="0"/>
      <w:marTop w:val="0"/>
      <w:marBottom w:val="0"/>
      <w:divBdr>
        <w:top w:val="none" w:sz="0" w:space="0" w:color="auto"/>
        <w:left w:val="none" w:sz="0" w:space="0" w:color="auto"/>
        <w:bottom w:val="none" w:sz="0" w:space="0" w:color="auto"/>
        <w:right w:val="none" w:sz="0" w:space="0" w:color="auto"/>
      </w:divBdr>
    </w:div>
    <w:div w:id="2044477064">
      <w:bodyDiv w:val="1"/>
      <w:marLeft w:val="0"/>
      <w:marRight w:val="0"/>
      <w:marTop w:val="0"/>
      <w:marBottom w:val="0"/>
      <w:divBdr>
        <w:top w:val="none" w:sz="0" w:space="0" w:color="auto"/>
        <w:left w:val="none" w:sz="0" w:space="0" w:color="auto"/>
        <w:bottom w:val="none" w:sz="0" w:space="0" w:color="auto"/>
        <w:right w:val="none" w:sz="0" w:space="0" w:color="auto"/>
      </w:divBdr>
    </w:div>
    <w:div w:id="2045127831">
      <w:bodyDiv w:val="1"/>
      <w:marLeft w:val="0"/>
      <w:marRight w:val="0"/>
      <w:marTop w:val="0"/>
      <w:marBottom w:val="0"/>
      <w:divBdr>
        <w:top w:val="none" w:sz="0" w:space="0" w:color="auto"/>
        <w:left w:val="none" w:sz="0" w:space="0" w:color="auto"/>
        <w:bottom w:val="none" w:sz="0" w:space="0" w:color="auto"/>
        <w:right w:val="none" w:sz="0" w:space="0" w:color="auto"/>
      </w:divBdr>
    </w:div>
    <w:div w:id="2045205246">
      <w:bodyDiv w:val="1"/>
      <w:marLeft w:val="0"/>
      <w:marRight w:val="0"/>
      <w:marTop w:val="0"/>
      <w:marBottom w:val="0"/>
      <w:divBdr>
        <w:top w:val="none" w:sz="0" w:space="0" w:color="auto"/>
        <w:left w:val="none" w:sz="0" w:space="0" w:color="auto"/>
        <w:bottom w:val="none" w:sz="0" w:space="0" w:color="auto"/>
        <w:right w:val="none" w:sz="0" w:space="0" w:color="auto"/>
      </w:divBdr>
    </w:div>
    <w:div w:id="2045398367">
      <w:bodyDiv w:val="1"/>
      <w:marLeft w:val="0"/>
      <w:marRight w:val="0"/>
      <w:marTop w:val="0"/>
      <w:marBottom w:val="0"/>
      <w:divBdr>
        <w:top w:val="none" w:sz="0" w:space="0" w:color="auto"/>
        <w:left w:val="none" w:sz="0" w:space="0" w:color="auto"/>
        <w:bottom w:val="none" w:sz="0" w:space="0" w:color="auto"/>
        <w:right w:val="none" w:sz="0" w:space="0" w:color="auto"/>
      </w:divBdr>
    </w:div>
    <w:div w:id="2045405040">
      <w:bodyDiv w:val="1"/>
      <w:marLeft w:val="0"/>
      <w:marRight w:val="0"/>
      <w:marTop w:val="0"/>
      <w:marBottom w:val="0"/>
      <w:divBdr>
        <w:top w:val="none" w:sz="0" w:space="0" w:color="auto"/>
        <w:left w:val="none" w:sz="0" w:space="0" w:color="auto"/>
        <w:bottom w:val="none" w:sz="0" w:space="0" w:color="auto"/>
        <w:right w:val="none" w:sz="0" w:space="0" w:color="auto"/>
      </w:divBdr>
    </w:div>
    <w:div w:id="2045522882">
      <w:bodyDiv w:val="1"/>
      <w:marLeft w:val="0"/>
      <w:marRight w:val="0"/>
      <w:marTop w:val="0"/>
      <w:marBottom w:val="0"/>
      <w:divBdr>
        <w:top w:val="none" w:sz="0" w:space="0" w:color="auto"/>
        <w:left w:val="none" w:sz="0" w:space="0" w:color="auto"/>
        <w:bottom w:val="none" w:sz="0" w:space="0" w:color="auto"/>
        <w:right w:val="none" w:sz="0" w:space="0" w:color="auto"/>
      </w:divBdr>
    </w:div>
    <w:div w:id="2045980628">
      <w:bodyDiv w:val="1"/>
      <w:marLeft w:val="0"/>
      <w:marRight w:val="0"/>
      <w:marTop w:val="0"/>
      <w:marBottom w:val="0"/>
      <w:divBdr>
        <w:top w:val="none" w:sz="0" w:space="0" w:color="auto"/>
        <w:left w:val="none" w:sz="0" w:space="0" w:color="auto"/>
        <w:bottom w:val="none" w:sz="0" w:space="0" w:color="auto"/>
        <w:right w:val="none" w:sz="0" w:space="0" w:color="auto"/>
      </w:divBdr>
    </w:div>
    <w:div w:id="2046060804">
      <w:bodyDiv w:val="1"/>
      <w:marLeft w:val="0"/>
      <w:marRight w:val="0"/>
      <w:marTop w:val="0"/>
      <w:marBottom w:val="0"/>
      <w:divBdr>
        <w:top w:val="none" w:sz="0" w:space="0" w:color="auto"/>
        <w:left w:val="none" w:sz="0" w:space="0" w:color="auto"/>
        <w:bottom w:val="none" w:sz="0" w:space="0" w:color="auto"/>
        <w:right w:val="none" w:sz="0" w:space="0" w:color="auto"/>
      </w:divBdr>
    </w:div>
    <w:div w:id="2048556058">
      <w:bodyDiv w:val="1"/>
      <w:marLeft w:val="0"/>
      <w:marRight w:val="0"/>
      <w:marTop w:val="0"/>
      <w:marBottom w:val="0"/>
      <w:divBdr>
        <w:top w:val="none" w:sz="0" w:space="0" w:color="auto"/>
        <w:left w:val="none" w:sz="0" w:space="0" w:color="auto"/>
        <w:bottom w:val="none" w:sz="0" w:space="0" w:color="auto"/>
        <w:right w:val="none" w:sz="0" w:space="0" w:color="auto"/>
      </w:divBdr>
    </w:div>
    <w:div w:id="2048986581">
      <w:bodyDiv w:val="1"/>
      <w:marLeft w:val="0"/>
      <w:marRight w:val="0"/>
      <w:marTop w:val="0"/>
      <w:marBottom w:val="0"/>
      <w:divBdr>
        <w:top w:val="none" w:sz="0" w:space="0" w:color="auto"/>
        <w:left w:val="none" w:sz="0" w:space="0" w:color="auto"/>
        <w:bottom w:val="none" w:sz="0" w:space="0" w:color="auto"/>
        <w:right w:val="none" w:sz="0" w:space="0" w:color="auto"/>
      </w:divBdr>
    </w:div>
    <w:div w:id="2049455137">
      <w:bodyDiv w:val="1"/>
      <w:marLeft w:val="0"/>
      <w:marRight w:val="0"/>
      <w:marTop w:val="0"/>
      <w:marBottom w:val="0"/>
      <w:divBdr>
        <w:top w:val="none" w:sz="0" w:space="0" w:color="auto"/>
        <w:left w:val="none" w:sz="0" w:space="0" w:color="auto"/>
        <w:bottom w:val="none" w:sz="0" w:space="0" w:color="auto"/>
        <w:right w:val="none" w:sz="0" w:space="0" w:color="auto"/>
      </w:divBdr>
    </w:div>
    <w:div w:id="2049791474">
      <w:bodyDiv w:val="1"/>
      <w:marLeft w:val="0"/>
      <w:marRight w:val="0"/>
      <w:marTop w:val="0"/>
      <w:marBottom w:val="0"/>
      <w:divBdr>
        <w:top w:val="none" w:sz="0" w:space="0" w:color="auto"/>
        <w:left w:val="none" w:sz="0" w:space="0" w:color="auto"/>
        <w:bottom w:val="none" w:sz="0" w:space="0" w:color="auto"/>
        <w:right w:val="none" w:sz="0" w:space="0" w:color="auto"/>
      </w:divBdr>
    </w:div>
    <w:div w:id="2049835735">
      <w:bodyDiv w:val="1"/>
      <w:marLeft w:val="0"/>
      <w:marRight w:val="0"/>
      <w:marTop w:val="0"/>
      <w:marBottom w:val="0"/>
      <w:divBdr>
        <w:top w:val="none" w:sz="0" w:space="0" w:color="auto"/>
        <w:left w:val="none" w:sz="0" w:space="0" w:color="auto"/>
        <w:bottom w:val="none" w:sz="0" w:space="0" w:color="auto"/>
        <w:right w:val="none" w:sz="0" w:space="0" w:color="auto"/>
      </w:divBdr>
    </w:div>
    <w:div w:id="2050252292">
      <w:bodyDiv w:val="1"/>
      <w:marLeft w:val="0"/>
      <w:marRight w:val="0"/>
      <w:marTop w:val="0"/>
      <w:marBottom w:val="0"/>
      <w:divBdr>
        <w:top w:val="none" w:sz="0" w:space="0" w:color="auto"/>
        <w:left w:val="none" w:sz="0" w:space="0" w:color="auto"/>
        <w:bottom w:val="none" w:sz="0" w:space="0" w:color="auto"/>
        <w:right w:val="none" w:sz="0" w:space="0" w:color="auto"/>
      </w:divBdr>
    </w:div>
    <w:div w:id="2050378518">
      <w:bodyDiv w:val="1"/>
      <w:marLeft w:val="0"/>
      <w:marRight w:val="0"/>
      <w:marTop w:val="0"/>
      <w:marBottom w:val="0"/>
      <w:divBdr>
        <w:top w:val="none" w:sz="0" w:space="0" w:color="auto"/>
        <w:left w:val="none" w:sz="0" w:space="0" w:color="auto"/>
        <w:bottom w:val="none" w:sz="0" w:space="0" w:color="auto"/>
        <w:right w:val="none" w:sz="0" w:space="0" w:color="auto"/>
      </w:divBdr>
    </w:div>
    <w:div w:id="2050572676">
      <w:bodyDiv w:val="1"/>
      <w:marLeft w:val="0"/>
      <w:marRight w:val="0"/>
      <w:marTop w:val="0"/>
      <w:marBottom w:val="0"/>
      <w:divBdr>
        <w:top w:val="none" w:sz="0" w:space="0" w:color="auto"/>
        <w:left w:val="none" w:sz="0" w:space="0" w:color="auto"/>
        <w:bottom w:val="none" w:sz="0" w:space="0" w:color="auto"/>
        <w:right w:val="none" w:sz="0" w:space="0" w:color="auto"/>
      </w:divBdr>
    </w:div>
    <w:div w:id="2050954936">
      <w:bodyDiv w:val="1"/>
      <w:marLeft w:val="0"/>
      <w:marRight w:val="0"/>
      <w:marTop w:val="0"/>
      <w:marBottom w:val="0"/>
      <w:divBdr>
        <w:top w:val="none" w:sz="0" w:space="0" w:color="auto"/>
        <w:left w:val="none" w:sz="0" w:space="0" w:color="auto"/>
        <w:bottom w:val="none" w:sz="0" w:space="0" w:color="auto"/>
        <w:right w:val="none" w:sz="0" w:space="0" w:color="auto"/>
      </w:divBdr>
    </w:div>
    <w:div w:id="2051612082">
      <w:bodyDiv w:val="1"/>
      <w:marLeft w:val="0"/>
      <w:marRight w:val="0"/>
      <w:marTop w:val="0"/>
      <w:marBottom w:val="0"/>
      <w:divBdr>
        <w:top w:val="none" w:sz="0" w:space="0" w:color="auto"/>
        <w:left w:val="none" w:sz="0" w:space="0" w:color="auto"/>
        <w:bottom w:val="none" w:sz="0" w:space="0" w:color="auto"/>
        <w:right w:val="none" w:sz="0" w:space="0" w:color="auto"/>
      </w:divBdr>
    </w:div>
    <w:div w:id="2051680742">
      <w:bodyDiv w:val="1"/>
      <w:marLeft w:val="0"/>
      <w:marRight w:val="0"/>
      <w:marTop w:val="0"/>
      <w:marBottom w:val="0"/>
      <w:divBdr>
        <w:top w:val="none" w:sz="0" w:space="0" w:color="auto"/>
        <w:left w:val="none" w:sz="0" w:space="0" w:color="auto"/>
        <w:bottom w:val="none" w:sz="0" w:space="0" w:color="auto"/>
        <w:right w:val="none" w:sz="0" w:space="0" w:color="auto"/>
      </w:divBdr>
    </w:div>
    <w:div w:id="2051806110">
      <w:bodyDiv w:val="1"/>
      <w:marLeft w:val="0"/>
      <w:marRight w:val="0"/>
      <w:marTop w:val="0"/>
      <w:marBottom w:val="0"/>
      <w:divBdr>
        <w:top w:val="none" w:sz="0" w:space="0" w:color="auto"/>
        <w:left w:val="none" w:sz="0" w:space="0" w:color="auto"/>
        <w:bottom w:val="none" w:sz="0" w:space="0" w:color="auto"/>
        <w:right w:val="none" w:sz="0" w:space="0" w:color="auto"/>
      </w:divBdr>
    </w:div>
    <w:div w:id="2051952542">
      <w:bodyDiv w:val="1"/>
      <w:marLeft w:val="0"/>
      <w:marRight w:val="0"/>
      <w:marTop w:val="0"/>
      <w:marBottom w:val="0"/>
      <w:divBdr>
        <w:top w:val="none" w:sz="0" w:space="0" w:color="auto"/>
        <w:left w:val="none" w:sz="0" w:space="0" w:color="auto"/>
        <w:bottom w:val="none" w:sz="0" w:space="0" w:color="auto"/>
        <w:right w:val="none" w:sz="0" w:space="0" w:color="auto"/>
      </w:divBdr>
    </w:div>
    <w:div w:id="2053073241">
      <w:bodyDiv w:val="1"/>
      <w:marLeft w:val="0"/>
      <w:marRight w:val="0"/>
      <w:marTop w:val="0"/>
      <w:marBottom w:val="0"/>
      <w:divBdr>
        <w:top w:val="none" w:sz="0" w:space="0" w:color="auto"/>
        <w:left w:val="none" w:sz="0" w:space="0" w:color="auto"/>
        <w:bottom w:val="none" w:sz="0" w:space="0" w:color="auto"/>
        <w:right w:val="none" w:sz="0" w:space="0" w:color="auto"/>
      </w:divBdr>
    </w:div>
    <w:div w:id="2053311654">
      <w:bodyDiv w:val="1"/>
      <w:marLeft w:val="0"/>
      <w:marRight w:val="0"/>
      <w:marTop w:val="0"/>
      <w:marBottom w:val="0"/>
      <w:divBdr>
        <w:top w:val="none" w:sz="0" w:space="0" w:color="auto"/>
        <w:left w:val="none" w:sz="0" w:space="0" w:color="auto"/>
        <w:bottom w:val="none" w:sz="0" w:space="0" w:color="auto"/>
        <w:right w:val="none" w:sz="0" w:space="0" w:color="auto"/>
      </w:divBdr>
    </w:div>
    <w:div w:id="2055546020">
      <w:bodyDiv w:val="1"/>
      <w:marLeft w:val="0"/>
      <w:marRight w:val="0"/>
      <w:marTop w:val="0"/>
      <w:marBottom w:val="0"/>
      <w:divBdr>
        <w:top w:val="none" w:sz="0" w:space="0" w:color="auto"/>
        <w:left w:val="none" w:sz="0" w:space="0" w:color="auto"/>
        <w:bottom w:val="none" w:sz="0" w:space="0" w:color="auto"/>
        <w:right w:val="none" w:sz="0" w:space="0" w:color="auto"/>
      </w:divBdr>
    </w:div>
    <w:div w:id="2055807675">
      <w:bodyDiv w:val="1"/>
      <w:marLeft w:val="0"/>
      <w:marRight w:val="0"/>
      <w:marTop w:val="0"/>
      <w:marBottom w:val="0"/>
      <w:divBdr>
        <w:top w:val="none" w:sz="0" w:space="0" w:color="auto"/>
        <w:left w:val="none" w:sz="0" w:space="0" w:color="auto"/>
        <w:bottom w:val="none" w:sz="0" w:space="0" w:color="auto"/>
        <w:right w:val="none" w:sz="0" w:space="0" w:color="auto"/>
      </w:divBdr>
    </w:div>
    <w:div w:id="2056273566">
      <w:bodyDiv w:val="1"/>
      <w:marLeft w:val="0"/>
      <w:marRight w:val="0"/>
      <w:marTop w:val="0"/>
      <w:marBottom w:val="0"/>
      <w:divBdr>
        <w:top w:val="none" w:sz="0" w:space="0" w:color="auto"/>
        <w:left w:val="none" w:sz="0" w:space="0" w:color="auto"/>
        <w:bottom w:val="none" w:sz="0" w:space="0" w:color="auto"/>
        <w:right w:val="none" w:sz="0" w:space="0" w:color="auto"/>
      </w:divBdr>
    </w:div>
    <w:div w:id="2056466542">
      <w:bodyDiv w:val="1"/>
      <w:marLeft w:val="0"/>
      <w:marRight w:val="0"/>
      <w:marTop w:val="0"/>
      <w:marBottom w:val="0"/>
      <w:divBdr>
        <w:top w:val="none" w:sz="0" w:space="0" w:color="auto"/>
        <w:left w:val="none" w:sz="0" w:space="0" w:color="auto"/>
        <w:bottom w:val="none" w:sz="0" w:space="0" w:color="auto"/>
        <w:right w:val="none" w:sz="0" w:space="0" w:color="auto"/>
      </w:divBdr>
    </w:div>
    <w:div w:id="2057194741">
      <w:bodyDiv w:val="1"/>
      <w:marLeft w:val="0"/>
      <w:marRight w:val="0"/>
      <w:marTop w:val="0"/>
      <w:marBottom w:val="0"/>
      <w:divBdr>
        <w:top w:val="none" w:sz="0" w:space="0" w:color="auto"/>
        <w:left w:val="none" w:sz="0" w:space="0" w:color="auto"/>
        <w:bottom w:val="none" w:sz="0" w:space="0" w:color="auto"/>
        <w:right w:val="none" w:sz="0" w:space="0" w:color="auto"/>
      </w:divBdr>
    </w:div>
    <w:div w:id="2057270953">
      <w:bodyDiv w:val="1"/>
      <w:marLeft w:val="0"/>
      <w:marRight w:val="0"/>
      <w:marTop w:val="0"/>
      <w:marBottom w:val="0"/>
      <w:divBdr>
        <w:top w:val="none" w:sz="0" w:space="0" w:color="auto"/>
        <w:left w:val="none" w:sz="0" w:space="0" w:color="auto"/>
        <w:bottom w:val="none" w:sz="0" w:space="0" w:color="auto"/>
        <w:right w:val="none" w:sz="0" w:space="0" w:color="auto"/>
      </w:divBdr>
    </w:div>
    <w:div w:id="2057582815">
      <w:bodyDiv w:val="1"/>
      <w:marLeft w:val="0"/>
      <w:marRight w:val="0"/>
      <w:marTop w:val="0"/>
      <w:marBottom w:val="0"/>
      <w:divBdr>
        <w:top w:val="none" w:sz="0" w:space="0" w:color="auto"/>
        <w:left w:val="none" w:sz="0" w:space="0" w:color="auto"/>
        <w:bottom w:val="none" w:sz="0" w:space="0" w:color="auto"/>
        <w:right w:val="none" w:sz="0" w:space="0" w:color="auto"/>
      </w:divBdr>
    </w:div>
    <w:div w:id="2058158257">
      <w:bodyDiv w:val="1"/>
      <w:marLeft w:val="0"/>
      <w:marRight w:val="0"/>
      <w:marTop w:val="0"/>
      <w:marBottom w:val="0"/>
      <w:divBdr>
        <w:top w:val="none" w:sz="0" w:space="0" w:color="auto"/>
        <w:left w:val="none" w:sz="0" w:space="0" w:color="auto"/>
        <w:bottom w:val="none" w:sz="0" w:space="0" w:color="auto"/>
        <w:right w:val="none" w:sz="0" w:space="0" w:color="auto"/>
      </w:divBdr>
    </w:div>
    <w:div w:id="2058772313">
      <w:bodyDiv w:val="1"/>
      <w:marLeft w:val="0"/>
      <w:marRight w:val="0"/>
      <w:marTop w:val="0"/>
      <w:marBottom w:val="0"/>
      <w:divBdr>
        <w:top w:val="none" w:sz="0" w:space="0" w:color="auto"/>
        <w:left w:val="none" w:sz="0" w:space="0" w:color="auto"/>
        <w:bottom w:val="none" w:sz="0" w:space="0" w:color="auto"/>
        <w:right w:val="none" w:sz="0" w:space="0" w:color="auto"/>
      </w:divBdr>
    </w:div>
    <w:div w:id="2058772893">
      <w:bodyDiv w:val="1"/>
      <w:marLeft w:val="0"/>
      <w:marRight w:val="0"/>
      <w:marTop w:val="0"/>
      <w:marBottom w:val="0"/>
      <w:divBdr>
        <w:top w:val="none" w:sz="0" w:space="0" w:color="auto"/>
        <w:left w:val="none" w:sz="0" w:space="0" w:color="auto"/>
        <w:bottom w:val="none" w:sz="0" w:space="0" w:color="auto"/>
        <w:right w:val="none" w:sz="0" w:space="0" w:color="auto"/>
      </w:divBdr>
    </w:div>
    <w:div w:id="2059238073">
      <w:bodyDiv w:val="1"/>
      <w:marLeft w:val="0"/>
      <w:marRight w:val="0"/>
      <w:marTop w:val="0"/>
      <w:marBottom w:val="0"/>
      <w:divBdr>
        <w:top w:val="none" w:sz="0" w:space="0" w:color="auto"/>
        <w:left w:val="none" w:sz="0" w:space="0" w:color="auto"/>
        <w:bottom w:val="none" w:sz="0" w:space="0" w:color="auto"/>
        <w:right w:val="none" w:sz="0" w:space="0" w:color="auto"/>
      </w:divBdr>
    </w:div>
    <w:div w:id="2059551440">
      <w:bodyDiv w:val="1"/>
      <w:marLeft w:val="0"/>
      <w:marRight w:val="0"/>
      <w:marTop w:val="0"/>
      <w:marBottom w:val="0"/>
      <w:divBdr>
        <w:top w:val="none" w:sz="0" w:space="0" w:color="auto"/>
        <w:left w:val="none" w:sz="0" w:space="0" w:color="auto"/>
        <w:bottom w:val="none" w:sz="0" w:space="0" w:color="auto"/>
        <w:right w:val="none" w:sz="0" w:space="0" w:color="auto"/>
      </w:divBdr>
    </w:div>
    <w:div w:id="2060933484">
      <w:bodyDiv w:val="1"/>
      <w:marLeft w:val="0"/>
      <w:marRight w:val="0"/>
      <w:marTop w:val="0"/>
      <w:marBottom w:val="0"/>
      <w:divBdr>
        <w:top w:val="none" w:sz="0" w:space="0" w:color="auto"/>
        <w:left w:val="none" w:sz="0" w:space="0" w:color="auto"/>
        <w:bottom w:val="none" w:sz="0" w:space="0" w:color="auto"/>
        <w:right w:val="none" w:sz="0" w:space="0" w:color="auto"/>
      </w:divBdr>
    </w:div>
    <w:div w:id="2062165858">
      <w:bodyDiv w:val="1"/>
      <w:marLeft w:val="0"/>
      <w:marRight w:val="0"/>
      <w:marTop w:val="0"/>
      <w:marBottom w:val="0"/>
      <w:divBdr>
        <w:top w:val="none" w:sz="0" w:space="0" w:color="auto"/>
        <w:left w:val="none" w:sz="0" w:space="0" w:color="auto"/>
        <w:bottom w:val="none" w:sz="0" w:space="0" w:color="auto"/>
        <w:right w:val="none" w:sz="0" w:space="0" w:color="auto"/>
      </w:divBdr>
    </w:div>
    <w:div w:id="2062752960">
      <w:bodyDiv w:val="1"/>
      <w:marLeft w:val="0"/>
      <w:marRight w:val="0"/>
      <w:marTop w:val="0"/>
      <w:marBottom w:val="0"/>
      <w:divBdr>
        <w:top w:val="none" w:sz="0" w:space="0" w:color="auto"/>
        <w:left w:val="none" w:sz="0" w:space="0" w:color="auto"/>
        <w:bottom w:val="none" w:sz="0" w:space="0" w:color="auto"/>
        <w:right w:val="none" w:sz="0" w:space="0" w:color="auto"/>
      </w:divBdr>
    </w:div>
    <w:div w:id="2064719821">
      <w:bodyDiv w:val="1"/>
      <w:marLeft w:val="0"/>
      <w:marRight w:val="0"/>
      <w:marTop w:val="0"/>
      <w:marBottom w:val="0"/>
      <w:divBdr>
        <w:top w:val="none" w:sz="0" w:space="0" w:color="auto"/>
        <w:left w:val="none" w:sz="0" w:space="0" w:color="auto"/>
        <w:bottom w:val="none" w:sz="0" w:space="0" w:color="auto"/>
        <w:right w:val="none" w:sz="0" w:space="0" w:color="auto"/>
      </w:divBdr>
    </w:div>
    <w:div w:id="2066367255">
      <w:bodyDiv w:val="1"/>
      <w:marLeft w:val="0"/>
      <w:marRight w:val="0"/>
      <w:marTop w:val="0"/>
      <w:marBottom w:val="0"/>
      <w:divBdr>
        <w:top w:val="none" w:sz="0" w:space="0" w:color="auto"/>
        <w:left w:val="none" w:sz="0" w:space="0" w:color="auto"/>
        <w:bottom w:val="none" w:sz="0" w:space="0" w:color="auto"/>
        <w:right w:val="none" w:sz="0" w:space="0" w:color="auto"/>
      </w:divBdr>
    </w:div>
    <w:div w:id="2066373407">
      <w:bodyDiv w:val="1"/>
      <w:marLeft w:val="0"/>
      <w:marRight w:val="0"/>
      <w:marTop w:val="0"/>
      <w:marBottom w:val="0"/>
      <w:divBdr>
        <w:top w:val="none" w:sz="0" w:space="0" w:color="auto"/>
        <w:left w:val="none" w:sz="0" w:space="0" w:color="auto"/>
        <w:bottom w:val="none" w:sz="0" w:space="0" w:color="auto"/>
        <w:right w:val="none" w:sz="0" w:space="0" w:color="auto"/>
      </w:divBdr>
    </w:div>
    <w:div w:id="2066681708">
      <w:bodyDiv w:val="1"/>
      <w:marLeft w:val="0"/>
      <w:marRight w:val="0"/>
      <w:marTop w:val="0"/>
      <w:marBottom w:val="0"/>
      <w:divBdr>
        <w:top w:val="none" w:sz="0" w:space="0" w:color="auto"/>
        <w:left w:val="none" w:sz="0" w:space="0" w:color="auto"/>
        <w:bottom w:val="none" w:sz="0" w:space="0" w:color="auto"/>
        <w:right w:val="none" w:sz="0" w:space="0" w:color="auto"/>
      </w:divBdr>
    </w:div>
    <w:div w:id="2067144190">
      <w:bodyDiv w:val="1"/>
      <w:marLeft w:val="0"/>
      <w:marRight w:val="0"/>
      <w:marTop w:val="0"/>
      <w:marBottom w:val="0"/>
      <w:divBdr>
        <w:top w:val="none" w:sz="0" w:space="0" w:color="auto"/>
        <w:left w:val="none" w:sz="0" w:space="0" w:color="auto"/>
        <w:bottom w:val="none" w:sz="0" w:space="0" w:color="auto"/>
        <w:right w:val="none" w:sz="0" w:space="0" w:color="auto"/>
      </w:divBdr>
    </w:div>
    <w:div w:id="2067798932">
      <w:bodyDiv w:val="1"/>
      <w:marLeft w:val="0"/>
      <w:marRight w:val="0"/>
      <w:marTop w:val="0"/>
      <w:marBottom w:val="0"/>
      <w:divBdr>
        <w:top w:val="none" w:sz="0" w:space="0" w:color="auto"/>
        <w:left w:val="none" w:sz="0" w:space="0" w:color="auto"/>
        <w:bottom w:val="none" w:sz="0" w:space="0" w:color="auto"/>
        <w:right w:val="none" w:sz="0" w:space="0" w:color="auto"/>
      </w:divBdr>
    </w:div>
    <w:div w:id="2067802291">
      <w:bodyDiv w:val="1"/>
      <w:marLeft w:val="0"/>
      <w:marRight w:val="0"/>
      <w:marTop w:val="0"/>
      <w:marBottom w:val="0"/>
      <w:divBdr>
        <w:top w:val="none" w:sz="0" w:space="0" w:color="auto"/>
        <w:left w:val="none" w:sz="0" w:space="0" w:color="auto"/>
        <w:bottom w:val="none" w:sz="0" w:space="0" w:color="auto"/>
        <w:right w:val="none" w:sz="0" w:space="0" w:color="auto"/>
      </w:divBdr>
    </w:div>
    <w:div w:id="2068408356">
      <w:bodyDiv w:val="1"/>
      <w:marLeft w:val="0"/>
      <w:marRight w:val="0"/>
      <w:marTop w:val="0"/>
      <w:marBottom w:val="0"/>
      <w:divBdr>
        <w:top w:val="none" w:sz="0" w:space="0" w:color="auto"/>
        <w:left w:val="none" w:sz="0" w:space="0" w:color="auto"/>
        <w:bottom w:val="none" w:sz="0" w:space="0" w:color="auto"/>
        <w:right w:val="none" w:sz="0" w:space="0" w:color="auto"/>
      </w:divBdr>
    </w:div>
    <w:div w:id="2068527883">
      <w:bodyDiv w:val="1"/>
      <w:marLeft w:val="0"/>
      <w:marRight w:val="0"/>
      <w:marTop w:val="0"/>
      <w:marBottom w:val="0"/>
      <w:divBdr>
        <w:top w:val="none" w:sz="0" w:space="0" w:color="auto"/>
        <w:left w:val="none" w:sz="0" w:space="0" w:color="auto"/>
        <w:bottom w:val="none" w:sz="0" w:space="0" w:color="auto"/>
        <w:right w:val="none" w:sz="0" w:space="0" w:color="auto"/>
      </w:divBdr>
    </w:div>
    <w:div w:id="2068798437">
      <w:bodyDiv w:val="1"/>
      <w:marLeft w:val="0"/>
      <w:marRight w:val="0"/>
      <w:marTop w:val="0"/>
      <w:marBottom w:val="0"/>
      <w:divBdr>
        <w:top w:val="none" w:sz="0" w:space="0" w:color="auto"/>
        <w:left w:val="none" w:sz="0" w:space="0" w:color="auto"/>
        <w:bottom w:val="none" w:sz="0" w:space="0" w:color="auto"/>
        <w:right w:val="none" w:sz="0" w:space="0" w:color="auto"/>
      </w:divBdr>
    </w:div>
    <w:div w:id="2069524677">
      <w:bodyDiv w:val="1"/>
      <w:marLeft w:val="0"/>
      <w:marRight w:val="0"/>
      <w:marTop w:val="0"/>
      <w:marBottom w:val="0"/>
      <w:divBdr>
        <w:top w:val="none" w:sz="0" w:space="0" w:color="auto"/>
        <w:left w:val="none" w:sz="0" w:space="0" w:color="auto"/>
        <w:bottom w:val="none" w:sz="0" w:space="0" w:color="auto"/>
        <w:right w:val="none" w:sz="0" w:space="0" w:color="auto"/>
      </w:divBdr>
    </w:div>
    <w:div w:id="2069644362">
      <w:bodyDiv w:val="1"/>
      <w:marLeft w:val="0"/>
      <w:marRight w:val="0"/>
      <w:marTop w:val="0"/>
      <w:marBottom w:val="0"/>
      <w:divBdr>
        <w:top w:val="none" w:sz="0" w:space="0" w:color="auto"/>
        <w:left w:val="none" w:sz="0" w:space="0" w:color="auto"/>
        <w:bottom w:val="none" w:sz="0" w:space="0" w:color="auto"/>
        <w:right w:val="none" w:sz="0" w:space="0" w:color="auto"/>
      </w:divBdr>
    </w:div>
    <w:div w:id="2070494088">
      <w:bodyDiv w:val="1"/>
      <w:marLeft w:val="0"/>
      <w:marRight w:val="0"/>
      <w:marTop w:val="0"/>
      <w:marBottom w:val="0"/>
      <w:divBdr>
        <w:top w:val="none" w:sz="0" w:space="0" w:color="auto"/>
        <w:left w:val="none" w:sz="0" w:space="0" w:color="auto"/>
        <w:bottom w:val="none" w:sz="0" w:space="0" w:color="auto"/>
        <w:right w:val="none" w:sz="0" w:space="0" w:color="auto"/>
      </w:divBdr>
    </w:div>
    <w:div w:id="2072069451">
      <w:bodyDiv w:val="1"/>
      <w:marLeft w:val="0"/>
      <w:marRight w:val="0"/>
      <w:marTop w:val="0"/>
      <w:marBottom w:val="0"/>
      <w:divBdr>
        <w:top w:val="none" w:sz="0" w:space="0" w:color="auto"/>
        <w:left w:val="none" w:sz="0" w:space="0" w:color="auto"/>
        <w:bottom w:val="none" w:sz="0" w:space="0" w:color="auto"/>
        <w:right w:val="none" w:sz="0" w:space="0" w:color="auto"/>
      </w:divBdr>
    </w:div>
    <w:div w:id="2073308543">
      <w:bodyDiv w:val="1"/>
      <w:marLeft w:val="0"/>
      <w:marRight w:val="0"/>
      <w:marTop w:val="0"/>
      <w:marBottom w:val="0"/>
      <w:divBdr>
        <w:top w:val="none" w:sz="0" w:space="0" w:color="auto"/>
        <w:left w:val="none" w:sz="0" w:space="0" w:color="auto"/>
        <w:bottom w:val="none" w:sz="0" w:space="0" w:color="auto"/>
        <w:right w:val="none" w:sz="0" w:space="0" w:color="auto"/>
      </w:divBdr>
    </w:div>
    <w:div w:id="2076123500">
      <w:bodyDiv w:val="1"/>
      <w:marLeft w:val="0"/>
      <w:marRight w:val="0"/>
      <w:marTop w:val="0"/>
      <w:marBottom w:val="0"/>
      <w:divBdr>
        <w:top w:val="none" w:sz="0" w:space="0" w:color="auto"/>
        <w:left w:val="none" w:sz="0" w:space="0" w:color="auto"/>
        <w:bottom w:val="none" w:sz="0" w:space="0" w:color="auto"/>
        <w:right w:val="none" w:sz="0" w:space="0" w:color="auto"/>
      </w:divBdr>
    </w:div>
    <w:div w:id="2078280133">
      <w:bodyDiv w:val="1"/>
      <w:marLeft w:val="0"/>
      <w:marRight w:val="0"/>
      <w:marTop w:val="0"/>
      <w:marBottom w:val="0"/>
      <w:divBdr>
        <w:top w:val="none" w:sz="0" w:space="0" w:color="auto"/>
        <w:left w:val="none" w:sz="0" w:space="0" w:color="auto"/>
        <w:bottom w:val="none" w:sz="0" w:space="0" w:color="auto"/>
        <w:right w:val="none" w:sz="0" w:space="0" w:color="auto"/>
      </w:divBdr>
    </w:div>
    <w:div w:id="2078479154">
      <w:bodyDiv w:val="1"/>
      <w:marLeft w:val="0"/>
      <w:marRight w:val="0"/>
      <w:marTop w:val="0"/>
      <w:marBottom w:val="0"/>
      <w:divBdr>
        <w:top w:val="none" w:sz="0" w:space="0" w:color="auto"/>
        <w:left w:val="none" w:sz="0" w:space="0" w:color="auto"/>
        <w:bottom w:val="none" w:sz="0" w:space="0" w:color="auto"/>
        <w:right w:val="none" w:sz="0" w:space="0" w:color="auto"/>
      </w:divBdr>
    </w:div>
    <w:div w:id="2079938576">
      <w:bodyDiv w:val="1"/>
      <w:marLeft w:val="0"/>
      <w:marRight w:val="0"/>
      <w:marTop w:val="0"/>
      <w:marBottom w:val="0"/>
      <w:divBdr>
        <w:top w:val="none" w:sz="0" w:space="0" w:color="auto"/>
        <w:left w:val="none" w:sz="0" w:space="0" w:color="auto"/>
        <w:bottom w:val="none" w:sz="0" w:space="0" w:color="auto"/>
        <w:right w:val="none" w:sz="0" w:space="0" w:color="auto"/>
      </w:divBdr>
    </w:div>
    <w:div w:id="2080056024">
      <w:bodyDiv w:val="1"/>
      <w:marLeft w:val="0"/>
      <w:marRight w:val="0"/>
      <w:marTop w:val="0"/>
      <w:marBottom w:val="0"/>
      <w:divBdr>
        <w:top w:val="none" w:sz="0" w:space="0" w:color="auto"/>
        <w:left w:val="none" w:sz="0" w:space="0" w:color="auto"/>
        <w:bottom w:val="none" w:sz="0" w:space="0" w:color="auto"/>
        <w:right w:val="none" w:sz="0" w:space="0" w:color="auto"/>
      </w:divBdr>
    </w:div>
    <w:div w:id="2080209857">
      <w:bodyDiv w:val="1"/>
      <w:marLeft w:val="0"/>
      <w:marRight w:val="0"/>
      <w:marTop w:val="0"/>
      <w:marBottom w:val="0"/>
      <w:divBdr>
        <w:top w:val="none" w:sz="0" w:space="0" w:color="auto"/>
        <w:left w:val="none" w:sz="0" w:space="0" w:color="auto"/>
        <w:bottom w:val="none" w:sz="0" w:space="0" w:color="auto"/>
        <w:right w:val="none" w:sz="0" w:space="0" w:color="auto"/>
      </w:divBdr>
    </w:div>
    <w:div w:id="2080713182">
      <w:bodyDiv w:val="1"/>
      <w:marLeft w:val="0"/>
      <w:marRight w:val="0"/>
      <w:marTop w:val="0"/>
      <w:marBottom w:val="0"/>
      <w:divBdr>
        <w:top w:val="none" w:sz="0" w:space="0" w:color="auto"/>
        <w:left w:val="none" w:sz="0" w:space="0" w:color="auto"/>
        <w:bottom w:val="none" w:sz="0" w:space="0" w:color="auto"/>
        <w:right w:val="none" w:sz="0" w:space="0" w:color="auto"/>
      </w:divBdr>
    </w:div>
    <w:div w:id="2081832450">
      <w:bodyDiv w:val="1"/>
      <w:marLeft w:val="0"/>
      <w:marRight w:val="0"/>
      <w:marTop w:val="0"/>
      <w:marBottom w:val="0"/>
      <w:divBdr>
        <w:top w:val="none" w:sz="0" w:space="0" w:color="auto"/>
        <w:left w:val="none" w:sz="0" w:space="0" w:color="auto"/>
        <w:bottom w:val="none" w:sz="0" w:space="0" w:color="auto"/>
        <w:right w:val="none" w:sz="0" w:space="0" w:color="auto"/>
      </w:divBdr>
    </w:div>
    <w:div w:id="2082016185">
      <w:bodyDiv w:val="1"/>
      <w:marLeft w:val="0"/>
      <w:marRight w:val="0"/>
      <w:marTop w:val="0"/>
      <w:marBottom w:val="0"/>
      <w:divBdr>
        <w:top w:val="none" w:sz="0" w:space="0" w:color="auto"/>
        <w:left w:val="none" w:sz="0" w:space="0" w:color="auto"/>
        <w:bottom w:val="none" w:sz="0" w:space="0" w:color="auto"/>
        <w:right w:val="none" w:sz="0" w:space="0" w:color="auto"/>
      </w:divBdr>
    </w:div>
    <w:div w:id="2082020715">
      <w:bodyDiv w:val="1"/>
      <w:marLeft w:val="0"/>
      <w:marRight w:val="0"/>
      <w:marTop w:val="0"/>
      <w:marBottom w:val="0"/>
      <w:divBdr>
        <w:top w:val="none" w:sz="0" w:space="0" w:color="auto"/>
        <w:left w:val="none" w:sz="0" w:space="0" w:color="auto"/>
        <w:bottom w:val="none" w:sz="0" w:space="0" w:color="auto"/>
        <w:right w:val="none" w:sz="0" w:space="0" w:color="auto"/>
      </w:divBdr>
    </w:div>
    <w:div w:id="2084181338">
      <w:bodyDiv w:val="1"/>
      <w:marLeft w:val="0"/>
      <w:marRight w:val="0"/>
      <w:marTop w:val="0"/>
      <w:marBottom w:val="0"/>
      <w:divBdr>
        <w:top w:val="none" w:sz="0" w:space="0" w:color="auto"/>
        <w:left w:val="none" w:sz="0" w:space="0" w:color="auto"/>
        <w:bottom w:val="none" w:sz="0" w:space="0" w:color="auto"/>
        <w:right w:val="none" w:sz="0" w:space="0" w:color="auto"/>
      </w:divBdr>
    </w:div>
    <w:div w:id="2085838749">
      <w:bodyDiv w:val="1"/>
      <w:marLeft w:val="0"/>
      <w:marRight w:val="0"/>
      <w:marTop w:val="0"/>
      <w:marBottom w:val="0"/>
      <w:divBdr>
        <w:top w:val="none" w:sz="0" w:space="0" w:color="auto"/>
        <w:left w:val="none" w:sz="0" w:space="0" w:color="auto"/>
        <w:bottom w:val="none" w:sz="0" w:space="0" w:color="auto"/>
        <w:right w:val="none" w:sz="0" w:space="0" w:color="auto"/>
      </w:divBdr>
    </w:div>
    <w:div w:id="2086756805">
      <w:bodyDiv w:val="1"/>
      <w:marLeft w:val="0"/>
      <w:marRight w:val="0"/>
      <w:marTop w:val="0"/>
      <w:marBottom w:val="0"/>
      <w:divBdr>
        <w:top w:val="none" w:sz="0" w:space="0" w:color="auto"/>
        <w:left w:val="none" w:sz="0" w:space="0" w:color="auto"/>
        <w:bottom w:val="none" w:sz="0" w:space="0" w:color="auto"/>
        <w:right w:val="none" w:sz="0" w:space="0" w:color="auto"/>
      </w:divBdr>
    </w:div>
    <w:div w:id="2087796950">
      <w:bodyDiv w:val="1"/>
      <w:marLeft w:val="0"/>
      <w:marRight w:val="0"/>
      <w:marTop w:val="0"/>
      <w:marBottom w:val="0"/>
      <w:divBdr>
        <w:top w:val="none" w:sz="0" w:space="0" w:color="auto"/>
        <w:left w:val="none" w:sz="0" w:space="0" w:color="auto"/>
        <w:bottom w:val="none" w:sz="0" w:space="0" w:color="auto"/>
        <w:right w:val="none" w:sz="0" w:space="0" w:color="auto"/>
      </w:divBdr>
    </w:div>
    <w:div w:id="2087802697">
      <w:bodyDiv w:val="1"/>
      <w:marLeft w:val="0"/>
      <w:marRight w:val="0"/>
      <w:marTop w:val="0"/>
      <w:marBottom w:val="0"/>
      <w:divBdr>
        <w:top w:val="none" w:sz="0" w:space="0" w:color="auto"/>
        <w:left w:val="none" w:sz="0" w:space="0" w:color="auto"/>
        <w:bottom w:val="none" w:sz="0" w:space="0" w:color="auto"/>
        <w:right w:val="none" w:sz="0" w:space="0" w:color="auto"/>
      </w:divBdr>
    </w:div>
    <w:div w:id="2087918660">
      <w:bodyDiv w:val="1"/>
      <w:marLeft w:val="0"/>
      <w:marRight w:val="0"/>
      <w:marTop w:val="0"/>
      <w:marBottom w:val="0"/>
      <w:divBdr>
        <w:top w:val="none" w:sz="0" w:space="0" w:color="auto"/>
        <w:left w:val="none" w:sz="0" w:space="0" w:color="auto"/>
        <w:bottom w:val="none" w:sz="0" w:space="0" w:color="auto"/>
        <w:right w:val="none" w:sz="0" w:space="0" w:color="auto"/>
      </w:divBdr>
    </w:div>
    <w:div w:id="2088265144">
      <w:bodyDiv w:val="1"/>
      <w:marLeft w:val="0"/>
      <w:marRight w:val="0"/>
      <w:marTop w:val="0"/>
      <w:marBottom w:val="0"/>
      <w:divBdr>
        <w:top w:val="none" w:sz="0" w:space="0" w:color="auto"/>
        <w:left w:val="none" w:sz="0" w:space="0" w:color="auto"/>
        <w:bottom w:val="none" w:sz="0" w:space="0" w:color="auto"/>
        <w:right w:val="none" w:sz="0" w:space="0" w:color="auto"/>
      </w:divBdr>
    </w:div>
    <w:div w:id="2088267126">
      <w:bodyDiv w:val="1"/>
      <w:marLeft w:val="0"/>
      <w:marRight w:val="0"/>
      <w:marTop w:val="0"/>
      <w:marBottom w:val="0"/>
      <w:divBdr>
        <w:top w:val="none" w:sz="0" w:space="0" w:color="auto"/>
        <w:left w:val="none" w:sz="0" w:space="0" w:color="auto"/>
        <w:bottom w:val="none" w:sz="0" w:space="0" w:color="auto"/>
        <w:right w:val="none" w:sz="0" w:space="0" w:color="auto"/>
      </w:divBdr>
    </w:div>
    <w:div w:id="2088651096">
      <w:bodyDiv w:val="1"/>
      <w:marLeft w:val="0"/>
      <w:marRight w:val="0"/>
      <w:marTop w:val="0"/>
      <w:marBottom w:val="0"/>
      <w:divBdr>
        <w:top w:val="none" w:sz="0" w:space="0" w:color="auto"/>
        <w:left w:val="none" w:sz="0" w:space="0" w:color="auto"/>
        <w:bottom w:val="none" w:sz="0" w:space="0" w:color="auto"/>
        <w:right w:val="none" w:sz="0" w:space="0" w:color="auto"/>
      </w:divBdr>
    </w:div>
    <w:div w:id="2089040115">
      <w:bodyDiv w:val="1"/>
      <w:marLeft w:val="0"/>
      <w:marRight w:val="0"/>
      <w:marTop w:val="0"/>
      <w:marBottom w:val="0"/>
      <w:divBdr>
        <w:top w:val="none" w:sz="0" w:space="0" w:color="auto"/>
        <w:left w:val="none" w:sz="0" w:space="0" w:color="auto"/>
        <w:bottom w:val="none" w:sz="0" w:space="0" w:color="auto"/>
        <w:right w:val="none" w:sz="0" w:space="0" w:color="auto"/>
      </w:divBdr>
    </w:div>
    <w:div w:id="2089616697">
      <w:bodyDiv w:val="1"/>
      <w:marLeft w:val="0"/>
      <w:marRight w:val="0"/>
      <w:marTop w:val="0"/>
      <w:marBottom w:val="0"/>
      <w:divBdr>
        <w:top w:val="none" w:sz="0" w:space="0" w:color="auto"/>
        <w:left w:val="none" w:sz="0" w:space="0" w:color="auto"/>
        <w:bottom w:val="none" w:sz="0" w:space="0" w:color="auto"/>
        <w:right w:val="none" w:sz="0" w:space="0" w:color="auto"/>
      </w:divBdr>
    </w:div>
    <w:div w:id="2090423362">
      <w:bodyDiv w:val="1"/>
      <w:marLeft w:val="0"/>
      <w:marRight w:val="0"/>
      <w:marTop w:val="0"/>
      <w:marBottom w:val="0"/>
      <w:divBdr>
        <w:top w:val="none" w:sz="0" w:space="0" w:color="auto"/>
        <w:left w:val="none" w:sz="0" w:space="0" w:color="auto"/>
        <w:bottom w:val="none" w:sz="0" w:space="0" w:color="auto"/>
        <w:right w:val="none" w:sz="0" w:space="0" w:color="auto"/>
      </w:divBdr>
    </w:div>
    <w:div w:id="2091385137">
      <w:bodyDiv w:val="1"/>
      <w:marLeft w:val="0"/>
      <w:marRight w:val="0"/>
      <w:marTop w:val="0"/>
      <w:marBottom w:val="0"/>
      <w:divBdr>
        <w:top w:val="none" w:sz="0" w:space="0" w:color="auto"/>
        <w:left w:val="none" w:sz="0" w:space="0" w:color="auto"/>
        <w:bottom w:val="none" w:sz="0" w:space="0" w:color="auto"/>
        <w:right w:val="none" w:sz="0" w:space="0" w:color="auto"/>
      </w:divBdr>
    </w:div>
    <w:div w:id="2092072441">
      <w:bodyDiv w:val="1"/>
      <w:marLeft w:val="0"/>
      <w:marRight w:val="0"/>
      <w:marTop w:val="0"/>
      <w:marBottom w:val="0"/>
      <w:divBdr>
        <w:top w:val="none" w:sz="0" w:space="0" w:color="auto"/>
        <w:left w:val="none" w:sz="0" w:space="0" w:color="auto"/>
        <w:bottom w:val="none" w:sz="0" w:space="0" w:color="auto"/>
        <w:right w:val="none" w:sz="0" w:space="0" w:color="auto"/>
      </w:divBdr>
    </w:div>
    <w:div w:id="2092461149">
      <w:bodyDiv w:val="1"/>
      <w:marLeft w:val="0"/>
      <w:marRight w:val="0"/>
      <w:marTop w:val="0"/>
      <w:marBottom w:val="0"/>
      <w:divBdr>
        <w:top w:val="none" w:sz="0" w:space="0" w:color="auto"/>
        <w:left w:val="none" w:sz="0" w:space="0" w:color="auto"/>
        <w:bottom w:val="none" w:sz="0" w:space="0" w:color="auto"/>
        <w:right w:val="none" w:sz="0" w:space="0" w:color="auto"/>
      </w:divBdr>
    </w:div>
    <w:div w:id="2092578333">
      <w:bodyDiv w:val="1"/>
      <w:marLeft w:val="0"/>
      <w:marRight w:val="0"/>
      <w:marTop w:val="0"/>
      <w:marBottom w:val="0"/>
      <w:divBdr>
        <w:top w:val="none" w:sz="0" w:space="0" w:color="auto"/>
        <w:left w:val="none" w:sz="0" w:space="0" w:color="auto"/>
        <w:bottom w:val="none" w:sz="0" w:space="0" w:color="auto"/>
        <w:right w:val="none" w:sz="0" w:space="0" w:color="auto"/>
      </w:divBdr>
    </w:div>
    <w:div w:id="2092697817">
      <w:bodyDiv w:val="1"/>
      <w:marLeft w:val="0"/>
      <w:marRight w:val="0"/>
      <w:marTop w:val="0"/>
      <w:marBottom w:val="0"/>
      <w:divBdr>
        <w:top w:val="none" w:sz="0" w:space="0" w:color="auto"/>
        <w:left w:val="none" w:sz="0" w:space="0" w:color="auto"/>
        <w:bottom w:val="none" w:sz="0" w:space="0" w:color="auto"/>
        <w:right w:val="none" w:sz="0" w:space="0" w:color="auto"/>
      </w:divBdr>
    </w:div>
    <w:div w:id="2093382496">
      <w:bodyDiv w:val="1"/>
      <w:marLeft w:val="0"/>
      <w:marRight w:val="0"/>
      <w:marTop w:val="0"/>
      <w:marBottom w:val="0"/>
      <w:divBdr>
        <w:top w:val="none" w:sz="0" w:space="0" w:color="auto"/>
        <w:left w:val="none" w:sz="0" w:space="0" w:color="auto"/>
        <w:bottom w:val="none" w:sz="0" w:space="0" w:color="auto"/>
        <w:right w:val="none" w:sz="0" w:space="0" w:color="auto"/>
      </w:divBdr>
    </w:div>
    <w:div w:id="2094084826">
      <w:bodyDiv w:val="1"/>
      <w:marLeft w:val="0"/>
      <w:marRight w:val="0"/>
      <w:marTop w:val="0"/>
      <w:marBottom w:val="0"/>
      <w:divBdr>
        <w:top w:val="none" w:sz="0" w:space="0" w:color="auto"/>
        <w:left w:val="none" w:sz="0" w:space="0" w:color="auto"/>
        <w:bottom w:val="none" w:sz="0" w:space="0" w:color="auto"/>
        <w:right w:val="none" w:sz="0" w:space="0" w:color="auto"/>
      </w:divBdr>
    </w:div>
    <w:div w:id="2095471732">
      <w:bodyDiv w:val="1"/>
      <w:marLeft w:val="0"/>
      <w:marRight w:val="0"/>
      <w:marTop w:val="0"/>
      <w:marBottom w:val="0"/>
      <w:divBdr>
        <w:top w:val="none" w:sz="0" w:space="0" w:color="auto"/>
        <w:left w:val="none" w:sz="0" w:space="0" w:color="auto"/>
        <w:bottom w:val="none" w:sz="0" w:space="0" w:color="auto"/>
        <w:right w:val="none" w:sz="0" w:space="0" w:color="auto"/>
      </w:divBdr>
    </w:div>
    <w:div w:id="2097092102">
      <w:bodyDiv w:val="1"/>
      <w:marLeft w:val="0"/>
      <w:marRight w:val="0"/>
      <w:marTop w:val="0"/>
      <w:marBottom w:val="0"/>
      <w:divBdr>
        <w:top w:val="none" w:sz="0" w:space="0" w:color="auto"/>
        <w:left w:val="none" w:sz="0" w:space="0" w:color="auto"/>
        <w:bottom w:val="none" w:sz="0" w:space="0" w:color="auto"/>
        <w:right w:val="none" w:sz="0" w:space="0" w:color="auto"/>
      </w:divBdr>
    </w:div>
    <w:div w:id="2097557642">
      <w:bodyDiv w:val="1"/>
      <w:marLeft w:val="0"/>
      <w:marRight w:val="0"/>
      <w:marTop w:val="0"/>
      <w:marBottom w:val="0"/>
      <w:divBdr>
        <w:top w:val="none" w:sz="0" w:space="0" w:color="auto"/>
        <w:left w:val="none" w:sz="0" w:space="0" w:color="auto"/>
        <w:bottom w:val="none" w:sz="0" w:space="0" w:color="auto"/>
        <w:right w:val="none" w:sz="0" w:space="0" w:color="auto"/>
      </w:divBdr>
    </w:div>
    <w:div w:id="2097703980">
      <w:bodyDiv w:val="1"/>
      <w:marLeft w:val="0"/>
      <w:marRight w:val="0"/>
      <w:marTop w:val="0"/>
      <w:marBottom w:val="0"/>
      <w:divBdr>
        <w:top w:val="none" w:sz="0" w:space="0" w:color="auto"/>
        <w:left w:val="none" w:sz="0" w:space="0" w:color="auto"/>
        <w:bottom w:val="none" w:sz="0" w:space="0" w:color="auto"/>
        <w:right w:val="none" w:sz="0" w:space="0" w:color="auto"/>
      </w:divBdr>
    </w:div>
    <w:div w:id="2098013448">
      <w:bodyDiv w:val="1"/>
      <w:marLeft w:val="0"/>
      <w:marRight w:val="0"/>
      <w:marTop w:val="0"/>
      <w:marBottom w:val="0"/>
      <w:divBdr>
        <w:top w:val="none" w:sz="0" w:space="0" w:color="auto"/>
        <w:left w:val="none" w:sz="0" w:space="0" w:color="auto"/>
        <w:bottom w:val="none" w:sz="0" w:space="0" w:color="auto"/>
        <w:right w:val="none" w:sz="0" w:space="0" w:color="auto"/>
      </w:divBdr>
    </w:div>
    <w:div w:id="2098403349">
      <w:bodyDiv w:val="1"/>
      <w:marLeft w:val="0"/>
      <w:marRight w:val="0"/>
      <w:marTop w:val="0"/>
      <w:marBottom w:val="0"/>
      <w:divBdr>
        <w:top w:val="none" w:sz="0" w:space="0" w:color="auto"/>
        <w:left w:val="none" w:sz="0" w:space="0" w:color="auto"/>
        <w:bottom w:val="none" w:sz="0" w:space="0" w:color="auto"/>
        <w:right w:val="none" w:sz="0" w:space="0" w:color="auto"/>
      </w:divBdr>
    </w:div>
    <w:div w:id="2098817393">
      <w:bodyDiv w:val="1"/>
      <w:marLeft w:val="0"/>
      <w:marRight w:val="0"/>
      <w:marTop w:val="0"/>
      <w:marBottom w:val="0"/>
      <w:divBdr>
        <w:top w:val="none" w:sz="0" w:space="0" w:color="auto"/>
        <w:left w:val="none" w:sz="0" w:space="0" w:color="auto"/>
        <w:bottom w:val="none" w:sz="0" w:space="0" w:color="auto"/>
        <w:right w:val="none" w:sz="0" w:space="0" w:color="auto"/>
      </w:divBdr>
    </w:div>
    <w:div w:id="2099138139">
      <w:bodyDiv w:val="1"/>
      <w:marLeft w:val="0"/>
      <w:marRight w:val="0"/>
      <w:marTop w:val="0"/>
      <w:marBottom w:val="0"/>
      <w:divBdr>
        <w:top w:val="none" w:sz="0" w:space="0" w:color="auto"/>
        <w:left w:val="none" w:sz="0" w:space="0" w:color="auto"/>
        <w:bottom w:val="none" w:sz="0" w:space="0" w:color="auto"/>
        <w:right w:val="none" w:sz="0" w:space="0" w:color="auto"/>
      </w:divBdr>
    </w:div>
    <w:div w:id="2099250919">
      <w:bodyDiv w:val="1"/>
      <w:marLeft w:val="0"/>
      <w:marRight w:val="0"/>
      <w:marTop w:val="0"/>
      <w:marBottom w:val="0"/>
      <w:divBdr>
        <w:top w:val="none" w:sz="0" w:space="0" w:color="auto"/>
        <w:left w:val="none" w:sz="0" w:space="0" w:color="auto"/>
        <w:bottom w:val="none" w:sz="0" w:space="0" w:color="auto"/>
        <w:right w:val="none" w:sz="0" w:space="0" w:color="auto"/>
      </w:divBdr>
    </w:div>
    <w:div w:id="2099986118">
      <w:bodyDiv w:val="1"/>
      <w:marLeft w:val="0"/>
      <w:marRight w:val="0"/>
      <w:marTop w:val="0"/>
      <w:marBottom w:val="0"/>
      <w:divBdr>
        <w:top w:val="none" w:sz="0" w:space="0" w:color="auto"/>
        <w:left w:val="none" w:sz="0" w:space="0" w:color="auto"/>
        <w:bottom w:val="none" w:sz="0" w:space="0" w:color="auto"/>
        <w:right w:val="none" w:sz="0" w:space="0" w:color="auto"/>
      </w:divBdr>
    </w:div>
    <w:div w:id="2100061217">
      <w:bodyDiv w:val="1"/>
      <w:marLeft w:val="0"/>
      <w:marRight w:val="0"/>
      <w:marTop w:val="0"/>
      <w:marBottom w:val="0"/>
      <w:divBdr>
        <w:top w:val="none" w:sz="0" w:space="0" w:color="auto"/>
        <w:left w:val="none" w:sz="0" w:space="0" w:color="auto"/>
        <w:bottom w:val="none" w:sz="0" w:space="0" w:color="auto"/>
        <w:right w:val="none" w:sz="0" w:space="0" w:color="auto"/>
      </w:divBdr>
    </w:div>
    <w:div w:id="2100565968">
      <w:bodyDiv w:val="1"/>
      <w:marLeft w:val="0"/>
      <w:marRight w:val="0"/>
      <w:marTop w:val="0"/>
      <w:marBottom w:val="0"/>
      <w:divBdr>
        <w:top w:val="none" w:sz="0" w:space="0" w:color="auto"/>
        <w:left w:val="none" w:sz="0" w:space="0" w:color="auto"/>
        <w:bottom w:val="none" w:sz="0" w:space="0" w:color="auto"/>
        <w:right w:val="none" w:sz="0" w:space="0" w:color="auto"/>
      </w:divBdr>
    </w:div>
    <w:div w:id="2101754028">
      <w:bodyDiv w:val="1"/>
      <w:marLeft w:val="0"/>
      <w:marRight w:val="0"/>
      <w:marTop w:val="0"/>
      <w:marBottom w:val="0"/>
      <w:divBdr>
        <w:top w:val="none" w:sz="0" w:space="0" w:color="auto"/>
        <w:left w:val="none" w:sz="0" w:space="0" w:color="auto"/>
        <w:bottom w:val="none" w:sz="0" w:space="0" w:color="auto"/>
        <w:right w:val="none" w:sz="0" w:space="0" w:color="auto"/>
      </w:divBdr>
    </w:div>
    <w:div w:id="2102487889">
      <w:bodyDiv w:val="1"/>
      <w:marLeft w:val="0"/>
      <w:marRight w:val="0"/>
      <w:marTop w:val="0"/>
      <w:marBottom w:val="0"/>
      <w:divBdr>
        <w:top w:val="none" w:sz="0" w:space="0" w:color="auto"/>
        <w:left w:val="none" w:sz="0" w:space="0" w:color="auto"/>
        <w:bottom w:val="none" w:sz="0" w:space="0" w:color="auto"/>
        <w:right w:val="none" w:sz="0" w:space="0" w:color="auto"/>
      </w:divBdr>
    </w:div>
    <w:div w:id="2103328905">
      <w:bodyDiv w:val="1"/>
      <w:marLeft w:val="0"/>
      <w:marRight w:val="0"/>
      <w:marTop w:val="0"/>
      <w:marBottom w:val="0"/>
      <w:divBdr>
        <w:top w:val="none" w:sz="0" w:space="0" w:color="auto"/>
        <w:left w:val="none" w:sz="0" w:space="0" w:color="auto"/>
        <w:bottom w:val="none" w:sz="0" w:space="0" w:color="auto"/>
        <w:right w:val="none" w:sz="0" w:space="0" w:color="auto"/>
      </w:divBdr>
    </w:div>
    <w:div w:id="2104034891">
      <w:bodyDiv w:val="1"/>
      <w:marLeft w:val="0"/>
      <w:marRight w:val="0"/>
      <w:marTop w:val="0"/>
      <w:marBottom w:val="0"/>
      <w:divBdr>
        <w:top w:val="none" w:sz="0" w:space="0" w:color="auto"/>
        <w:left w:val="none" w:sz="0" w:space="0" w:color="auto"/>
        <w:bottom w:val="none" w:sz="0" w:space="0" w:color="auto"/>
        <w:right w:val="none" w:sz="0" w:space="0" w:color="auto"/>
      </w:divBdr>
    </w:div>
    <w:div w:id="2104296085">
      <w:bodyDiv w:val="1"/>
      <w:marLeft w:val="0"/>
      <w:marRight w:val="0"/>
      <w:marTop w:val="0"/>
      <w:marBottom w:val="0"/>
      <w:divBdr>
        <w:top w:val="none" w:sz="0" w:space="0" w:color="auto"/>
        <w:left w:val="none" w:sz="0" w:space="0" w:color="auto"/>
        <w:bottom w:val="none" w:sz="0" w:space="0" w:color="auto"/>
        <w:right w:val="none" w:sz="0" w:space="0" w:color="auto"/>
      </w:divBdr>
    </w:div>
    <w:div w:id="2104572428">
      <w:bodyDiv w:val="1"/>
      <w:marLeft w:val="0"/>
      <w:marRight w:val="0"/>
      <w:marTop w:val="0"/>
      <w:marBottom w:val="0"/>
      <w:divBdr>
        <w:top w:val="none" w:sz="0" w:space="0" w:color="auto"/>
        <w:left w:val="none" w:sz="0" w:space="0" w:color="auto"/>
        <w:bottom w:val="none" w:sz="0" w:space="0" w:color="auto"/>
        <w:right w:val="none" w:sz="0" w:space="0" w:color="auto"/>
      </w:divBdr>
    </w:div>
    <w:div w:id="2104717710">
      <w:bodyDiv w:val="1"/>
      <w:marLeft w:val="0"/>
      <w:marRight w:val="0"/>
      <w:marTop w:val="0"/>
      <w:marBottom w:val="0"/>
      <w:divBdr>
        <w:top w:val="none" w:sz="0" w:space="0" w:color="auto"/>
        <w:left w:val="none" w:sz="0" w:space="0" w:color="auto"/>
        <w:bottom w:val="none" w:sz="0" w:space="0" w:color="auto"/>
        <w:right w:val="none" w:sz="0" w:space="0" w:color="auto"/>
      </w:divBdr>
    </w:div>
    <w:div w:id="2105344699">
      <w:bodyDiv w:val="1"/>
      <w:marLeft w:val="0"/>
      <w:marRight w:val="0"/>
      <w:marTop w:val="0"/>
      <w:marBottom w:val="0"/>
      <w:divBdr>
        <w:top w:val="none" w:sz="0" w:space="0" w:color="auto"/>
        <w:left w:val="none" w:sz="0" w:space="0" w:color="auto"/>
        <w:bottom w:val="none" w:sz="0" w:space="0" w:color="auto"/>
        <w:right w:val="none" w:sz="0" w:space="0" w:color="auto"/>
      </w:divBdr>
    </w:div>
    <w:div w:id="2105420478">
      <w:bodyDiv w:val="1"/>
      <w:marLeft w:val="0"/>
      <w:marRight w:val="0"/>
      <w:marTop w:val="0"/>
      <w:marBottom w:val="0"/>
      <w:divBdr>
        <w:top w:val="none" w:sz="0" w:space="0" w:color="auto"/>
        <w:left w:val="none" w:sz="0" w:space="0" w:color="auto"/>
        <w:bottom w:val="none" w:sz="0" w:space="0" w:color="auto"/>
        <w:right w:val="none" w:sz="0" w:space="0" w:color="auto"/>
      </w:divBdr>
    </w:div>
    <w:div w:id="2105874819">
      <w:bodyDiv w:val="1"/>
      <w:marLeft w:val="0"/>
      <w:marRight w:val="0"/>
      <w:marTop w:val="0"/>
      <w:marBottom w:val="0"/>
      <w:divBdr>
        <w:top w:val="none" w:sz="0" w:space="0" w:color="auto"/>
        <w:left w:val="none" w:sz="0" w:space="0" w:color="auto"/>
        <w:bottom w:val="none" w:sz="0" w:space="0" w:color="auto"/>
        <w:right w:val="none" w:sz="0" w:space="0" w:color="auto"/>
      </w:divBdr>
    </w:div>
    <w:div w:id="2106924949">
      <w:bodyDiv w:val="1"/>
      <w:marLeft w:val="0"/>
      <w:marRight w:val="0"/>
      <w:marTop w:val="0"/>
      <w:marBottom w:val="0"/>
      <w:divBdr>
        <w:top w:val="none" w:sz="0" w:space="0" w:color="auto"/>
        <w:left w:val="none" w:sz="0" w:space="0" w:color="auto"/>
        <w:bottom w:val="none" w:sz="0" w:space="0" w:color="auto"/>
        <w:right w:val="none" w:sz="0" w:space="0" w:color="auto"/>
      </w:divBdr>
    </w:div>
    <w:div w:id="2107461892">
      <w:bodyDiv w:val="1"/>
      <w:marLeft w:val="0"/>
      <w:marRight w:val="0"/>
      <w:marTop w:val="0"/>
      <w:marBottom w:val="0"/>
      <w:divBdr>
        <w:top w:val="none" w:sz="0" w:space="0" w:color="auto"/>
        <w:left w:val="none" w:sz="0" w:space="0" w:color="auto"/>
        <w:bottom w:val="none" w:sz="0" w:space="0" w:color="auto"/>
        <w:right w:val="none" w:sz="0" w:space="0" w:color="auto"/>
      </w:divBdr>
    </w:div>
    <w:div w:id="2107724426">
      <w:bodyDiv w:val="1"/>
      <w:marLeft w:val="0"/>
      <w:marRight w:val="0"/>
      <w:marTop w:val="0"/>
      <w:marBottom w:val="0"/>
      <w:divBdr>
        <w:top w:val="none" w:sz="0" w:space="0" w:color="auto"/>
        <w:left w:val="none" w:sz="0" w:space="0" w:color="auto"/>
        <w:bottom w:val="none" w:sz="0" w:space="0" w:color="auto"/>
        <w:right w:val="none" w:sz="0" w:space="0" w:color="auto"/>
      </w:divBdr>
    </w:div>
    <w:div w:id="2107774388">
      <w:bodyDiv w:val="1"/>
      <w:marLeft w:val="0"/>
      <w:marRight w:val="0"/>
      <w:marTop w:val="0"/>
      <w:marBottom w:val="0"/>
      <w:divBdr>
        <w:top w:val="none" w:sz="0" w:space="0" w:color="auto"/>
        <w:left w:val="none" w:sz="0" w:space="0" w:color="auto"/>
        <w:bottom w:val="none" w:sz="0" w:space="0" w:color="auto"/>
        <w:right w:val="none" w:sz="0" w:space="0" w:color="auto"/>
      </w:divBdr>
    </w:div>
    <w:div w:id="2108844845">
      <w:bodyDiv w:val="1"/>
      <w:marLeft w:val="0"/>
      <w:marRight w:val="0"/>
      <w:marTop w:val="0"/>
      <w:marBottom w:val="0"/>
      <w:divBdr>
        <w:top w:val="none" w:sz="0" w:space="0" w:color="auto"/>
        <w:left w:val="none" w:sz="0" w:space="0" w:color="auto"/>
        <w:bottom w:val="none" w:sz="0" w:space="0" w:color="auto"/>
        <w:right w:val="none" w:sz="0" w:space="0" w:color="auto"/>
      </w:divBdr>
    </w:div>
    <w:div w:id="2108963252">
      <w:bodyDiv w:val="1"/>
      <w:marLeft w:val="0"/>
      <w:marRight w:val="0"/>
      <w:marTop w:val="0"/>
      <w:marBottom w:val="0"/>
      <w:divBdr>
        <w:top w:val="none" w:sz="0" w:space="0" w:color="auto"/>
        <w:left w:val="none" w:sz="0" w:space="0" w:color="auto"/>
        <w:bottom w:val="none" w:sz="0" w:space="0" w:color="auto"/>
        <w:right w:val="none" w:sz="0" w:space="0" w:color="auto"/>
      </w:divBdr>
    </w:div>
    <w:div w:id="2109159210">
      <w:bodyDiv w:val="1"/>
      <w:marLeft w:val="0"/>
      <w:marRight w:val="0"/>
      <w:marTop w:val="0"/>
      <w:marBottom w:val="0"/>
      <w:divBdr>
        <w:top w:val="none" w:sz="0" w:space="0" w:color="auto"/>
        <w:left w:val="none" w:sz="0" w:space="0" w:color="auto"/>
        <w:bottom w:val="none" w:sz="0" w:space="0" w:color="auto"/>
        <w:right w:val="none" w:sz="0" w:space="0" w:color="auto"/>
      </w:divBdr>
    </w:div>
    <w:div w:id="2109348885">
      <w:bodyDiv w:val="1"/>
      <w:marLeft w:val="0"/>
      <w:marRight w:val="0"/>
      <w:marTop w:val="0"/>
      <w:marBottom w:val="0"/>
      <w:divBdr>
        <w:top w:val="none" w:sz="0" w:space="0" w:color="auto"/>
        <w:left w:val="none" w:sz="0" w:space="0" w:color="auto"/>
        <w:bottom w:val="none" w:sz="0" w:space="0" w:color="auto"/>
        <w:right w:val="none" w:sz="0" w:space="0" w:color="auto"/>
      </w:divBdr>
    </w:div>
    <w:div w:id="2109429221">
      <w:bodyDiv w:val="1"/>
      <w:marLeft w:val="0"/>
      <w:marRight w:val="0"/>
      <w:marTop w:val="0"/>
      <w:marBottom w:val="0"/>
      <w:divBdr>
        <w:top w:val="none" w:sz="0" w:space="0" w:color="auto"/>
        <w:left w:val="none" w:sz="0" w:space="0" w:color="auto"/>
        <w:bottom w:val="none" w:sz="0" w:space="0" w:color="auto"/>
        <w:right w:val="none" w:sz="0" w:space="0" w:color="auto"/>
      </w:divBdr>
    </w:div>
    <w:div w:id="2109499027">
      <w:bodyDiv w:val="1"/>
      <w:marLeft w:val="0"/>
      <w:marRight w:val="0"/>
      <w:marTop w:val="0"/>
      <w:marBottom w:val="0"/>
      <w:divBdr>
        <w:top w:val="none" w:sz="0" w:space="0" w:color="auto"/>
        <w:left w:val="none" w:sz="0" w:space="0" w:color="auto"/>
        <w:bottom w:val="none" w:sz="0" w:space="0" w:color="auto"/>
        <w:right w:val="none" w:sz="0" w:space="0" w:color="auto"/>
      </w:divBdr>
    </w:div>
    <w:div w:id="2109815363">
      <w:bodyDiv w:val="1"/>
      <w:marLeft w:val="0"/>
      <w:marRight w:val="0"/>
      <w:marTop w:val="0"/>
      <w:marBottom w:val="0"/>
      <w:divBdr>
        <w:top w:val="none" w:sz="0" w:space="0" w:color="auto"/>
        <w:left w:val="none" w:sz="0" w:space="0" w:color="auto"/>
        <w:bottom w:val="none" w:sz="0" w:space="0" w:color="auto"/>
        <w:right w:val="none" w:sz="0" w:space="0" w:color="auto"/>
      </w:divBdr>
    </w:div>
    <w:div w:id="2110158887">
      <w:bodyDiv w:val="1"/>
      <w:marLeft w:val="0"/>
      <w:marRight w:val="0"/>
      <w:marTop w:val="0"/>
      <w:marBottom w:val="0"/>
      <w:divBdr>
        <w:top w:val="none" w:sz="0" w:space="0" w:color="auto"/>
        <w:left w:val="none" w:sz="0" w:space="0" w:color="auto"/>
        <w:bottom w:val="none" w:sz="0" w:space="0" w:color="auto"/>
        <w:right w:val="none" w:sz="0" w:space="0" w:color="auto"/>
      </w:divBdr>
    </w:div>
    <w:div w:id="2111123925">
      <w:bodyDiv w:val="1"/>
      <w:marLeft w:val="0"/>
      <w:marRight w:val="0"/>
      <w:marTop w:val="0"/>
      <w:marBottom w:val="0"/>
      <w:divBdr>
        <w:top w:val="none" w:sz="0" w:space="0" w:color="auto"/>
        <w:left w:val="none" w:sz="0" w:space="0" w:color="auto"/>
        <w:bottom w:val="none" w:sz="0" w:space="0" w:color="auto"/>
        <w:right w:val="none" w:sz="0" w:space="0" w:color="auto"/>
      </w:divBdr>
    </w:div>
    <w:div w:id="2111505704">
      <w:bodyDiv w:val="1"/>
      <w:marLeft w:val="0"/>
      <w:marRight w:val="0"/>
      <w:marTop w:val="0"/>
      <w:marBottom w:val="0"/>
      <w:divBdr>
        <w:top w:val="none" w:sz="0" w:space="0" w:color="auto"/>
        <w:left w:val="none" w:sz="0" w:space="0" w:color="auto"/>
        <w:bottom w:val="none" w:sz="0" w:space="0" w:color="auto"/>
        <w:right w:val="none" w:sz="0" w:space="0" w:color="auto"/>
      </w:divBdr>
    </w:div>
    <w:div w:id="2112124904">
      <w:bodyDiv w:val="1"/>
      <w:marLeft w:val="0"/>
      <w:marRight w:val="0"/>
      <w:marTop w:val="0"/>
      <w:marBottom w:val="0"/>
      <w:divBdr>
        <w:top w:val="none" w:sz="0" w:space="0" w:color="auto"/>
        <w:left w:val="none" w:sz="0" w:space="0" w:color="auto"/>
        <w:bottom w:val="none" w:sz="0" w:space="0" w:color="auto"/>
        <w:right w:val="none" w:sz="0" w:space="0" w:color="auto"/>
      </w:divBdr>
    </w:div>
    <w:div w:id="2112167802">
      <w:bodyDiv w:val="1"/>
      <w:marLeft w:val="0"/>
      <w:marRight w:val="0"/>
      <w:marTop w:val="0"/>
      <w:marBottom w:val="0"/>
      <w:divBdr>
        <w:top w:val="none" w:sz="0" w:space="0" w:color="auto"/>
        <w:left w:val="none" w:sz="0" w:space="0" w:color="auto"/>
        <w:bottom w:val="none" w:sz="0" w:space="0" w:color="auto"/>
        <w:right w:val="none" w:sz="0" w:space="0" w:color="auto"/>
      </w:divBdr>
    </w:div>
    <w:div w:id="2112235483">
      <w:bodyDiv w:val="1"/>
      <w:marLeft w:val="0"/>
      <w:marRight w:val="0"/>
      <w:marTop w:val="0"/>
      <w:marBottom w:val="0"/>
      <w:divBdr>
        <w:top w:val="none" w:sz="0" w:space="0" w:color="auto"/>
        <w:left w:val="none" w:sz="0" w:space="0" w:color="auto"/>
        <w:bottom w:val="none" w:sz="0" w:space="0" w:color="auto"/>
        <w:right w:val="none" w:sz="0" w:space="0" w:color="auto"/>
      </w:divBdr>
    </w:div>
    <w:div w:id="2112357008">
      <w:bodyDiv w:val="1"/>
      <w:marLeft w:val="0"/>
      <w:marRight w:val="0"/>
      <w:marTop w:val="0"/>
      <w:marBottom w:val="0"/>
      <w:divBdr>
        <w:top w:val="none" w:sz="0" w:space="0" w:color="auto"/>
        <w:left w:val="none" w:sz="0" w:space="0" w:color="auto"/>
        <w:bottom w:val="none" w:sz="0" w:space="0" w:color="auto"/>
        <w:right w:val="none" w:sz="0" w:space="0" w:color="auto"/>
      </w:divBdr>
    </w:div>
    <w:div w:id="2112583169">
      <w:bodyDiv w:val="1"/>
      <w:marLeft w:val="0"/>
      <w:marRight w:val="0"/>
      <w:marTop w:val="0"/>
      <w:marBottom w:val="0"/>
      <w:divBdr>
        <w:top w:val="none" w:sz="0" w:space="0" w:color="auto"/>
        <w:left w:val="none" w:sz="0" w:space="0" w:color="auto"/>
        <w:bottom w:val="none" w:sz="0" w:space="0" w:color="auto"/>
        <w:right w:val="none" w:sz="0" w:space="0" w:color="auto"/>
      </w:divBdr>
    </w:div>
    <w:div w:id="2113275931">
      <w:bodyDiv w:val="1"/>
      <w:marLeft w:val="0"/>
      <w:marRight w:val="0"/>
      <w:marTop w:val="0"/>
      <w:marBottom w:val="0"/>
      <w:divBdr>
        <w:top w:val="none" w:sz="0" w:space="0" w:color="auto"/>
        <w:left w:val="none" w:sz="0" w:space="0" w:color="auto"/>
        <w:bottom w:val="none" w:sz="0" w:space="0" w:color="auto"/>
        <w:right w:val="none" w:sz="0" w:space="0" w:color="auto"/>
      </w:divBdr>
    </w:div>
    <w:div w:id="2113277120">
      <w:bodyDiv w:val="1"/>
      <w:marLeft w:val="0"/>
      <w:marRight w:val="0"/>
      <w:marTop w:val="0"/>
      <w:marBottom w:val="0"/>
      <w:divBdr>
        <w:top w:val="none" w:sz="0" w:space="0" w:color="auto"/>
        <w:left w:val="none" w:sz="0" w:space="0" w:color="auto"/>
        <w:bottom w:val="none" w:sz="0" w:space="0" w:color="auto"/>
        <w:right w:val="none" w:sz="0" w:space="0" w:color="auto"/>
      </w:divBdr>
    </w:div>
    <w:div w:id="2114129526">
      <w:bodyDiv w:val="1"/>
      <w:marLeft w:val="0"/>
      <w:marRight w:val="0"/>
      <w:marTop w:val="0"/>
      <w:marBottom w:val="0"/>
      <w:divBdr>
        <w:top w:val="none" w:sz="0" w:space="0" w:color="auto"/>
        <w:left w:val="none" w:sz="0" w:space="0" w:color="auto"/>
        <w:bottom w:val="none" w:sz="0" w:space="0" w:color="auto"/>
        <w:right w:val="none" w:sz="0" w:space="0" w:color="auto"/>
      </w:divBdr>
    </w:div>
    <w:div w:id="2115127576">
      <w:bodyDiv w:val="1"/>
      <w:marLeft w:val="0"/>
      <w:marRight w:val="0"/>
      <w:marTop w:val="0"/>
      <w:marBottom w:val="0"/>
      <w:divBdr>
        <w:top w:val="none" w:sz="0" w:space="0" w:color="auto"/>
        <w:left w:val="none" w:sz="0" w:space="0" w:color="auto"/>
        <w:bottom w:val="none" w:sz="0" w:space="0" w:color="auto"/>
        <w:right w:val="none" w:sz="0" w:space="0" w:color="auto"/>
      </w:divBdr>
    </w:div>
    <w:div w:id="2115397930">
      <w:bodyDiv w:val="1"/>
      <w:marLeft w:val="0"/>
      <w:marRight w:val="0"/>
      <w:marTop w:val="0"/>
      <w:marBottom w:val="0"/>
      <w:divBdr>
        <w:top w:val="none" w:sz="0" w:space="0" w:color="auto"/>
        <w:left w:val="none" w:sz="0" w:space="0" w:color="auto"/>
        <w:bottom w:val="none" w:sz="0" w:space="0" w:color="auto"/>
        <w:right w:val="none" w:sz="0" w:space="0" w:color="auto"/>
      </w:divBdr>
    </w:div>
    <w:div w:id="2116896624">
      <w:bodyDiv w:val="1"/>
      <w:marLeft w:val="0"/>
      <w:marRight w:val="0"/>
      <w:marTop w:val="0"/>
      <w:marBottom w:val="0"/>
      <w:divBdr>
        <w:top w:val="none" w:sz="0" w:space="0" w:color="auto"/>
        <w:left w:val="none" w:sz="0" w:space="0" w:color="auto"/>
        <w:bottom w:val="none" w:sz="0" w:space="0" w:color="auto"/>
        <w:right w:val="none" w:sz="0" w:space="0" w:color="auto"/>
      </w:divBdr>
    </w:div>
    <w:div w:id="2116944406">
      <w:bodyDiv w:val="1"/>
      <w:marLeft w:val="0"/>
      <w:marRight w:val="0"/>
      <w:marTop w:val="0"/>
      <w:marBottom w:val="0"/>
      <w:divBdr>
        <w:top w:val="none" w:sz="0" w:space="0" w:color="auto"/>
        <w:left w:val="none" w:sz="0" w:space="0" w:color="auto"/>
        <w:bottom w:val="none" w:sz="0" w:space="0" w:color="auto"/>
        <w:right w:val="none" w:sz="0" w:space="0" w:color="auto"/>
      </w:divBdr>
    </w:div>
    <w:div w:id="2118020029">
      <w:bodyDiv w:val="1"/>
      <w:marLeft w:val="0"/>
      <w:marRight w:val="0"/>
      <w:marTop w:val="0"/>
      <w:marBottom w:val="0"/>
      <w:divBdr>
        <w:top w:val="none" w:sz="0" w:space="0" w:color="auto"/>
        <w:left w:val="none" w:sz="0" w:space="0" w:color="auto"/>
        <w:bottom w:val="none" w:sz="0" w:space="0" w:color="auto"/>
        <w:right w:val="none" w:sz="0" w:space="0" w:color="auto"/>
      </w:divBdr>
    </w:div>
    <w:div w:id="2118403039">
      <w:bodyDiv w:val="1"/>
      <w:marLeft w:val="0"/>
      <w:marRight w:val="0"/>
      <w:marTop w:val="0"/>
      <w:marBottom w:val="0"/>
      <w:divBdr>
        <w:top w:val="none" w:sz="0" w:space="0" w:color="auto"/>
        <w:left w:val="none" w:sz="0" w:space="0" w:color="auto"/>
        <w:bottom w:val="none" w:sz="0" w:space="0" w:color="auto"/>
        <w:right w:val="none" w:sz="0" w:space="0" w:color="auto"/>
      </w:divBdr>
    </w:div>
    <w:div w:id="2118525514">
      <w:bodyDiv w:val="1"/>
      <w:marLeft w:val="0"/>
      <w:marRight w:val="0"/>
      <w:marTop w:val="0"/>
      <w:marBottom w:val="0"/>
      <w:divBdr>
        <w:top w:val="none" w:sz="0" w:space="0" w:color="auto"/>
        <w:left w:val="none" w:sz="0" w:space="0" w:color="auto"/>
        <w:bottom w:val="none" w:sz="0" w:space="0" w:color="auto"/>
        <w:right w:val="none" w:sz="0" w:space="0" w:color="auto"/>
      </w:divBdr>
    </w:div>
    <w:div w:id="2120445676">
      <w:bodyDiv w:val="1"/>
      <w:marLeft w:val="0"/>
      <w:marRight w:val="0"/>
      <w:marTop w:val="0"/>
      <w:marBottom w:val="0"/>
      <w:divBdr>
        <w:top w:val="none" w:sz="0" w:space="0" w:color="auto"/>
        <w:left w:val="none" w:sz="0" w:space="0" w:color="auto"/>
        <w:bottom w:val="none" w:sz="0" w:space="0" w:color="auto"/>
        <w:right w:val="none" w:sz="0" w:space="0" w:color="auto"/>
      </w:divBdr>
    </w:div>
    <w:div w:id="2121099247">
      <w:bodyDiv w:val="1"/>
      <w:marLeft w:val="0"/>
      <w:marRight w:val="0"/>
      <w:marTop w:val="0"/>
      <w:marBottom w:val="0"/>
      <w:divBdr>
        <w:top w:val="none" w:sz="0" w:space="0" w:color="auto"/>
        <w:left w:val="none" w:sz="0" w:space="0" w:color="auto"/>
        <w:bottom w:val="none" w:sz="0" w:space="0" w:color="auto"/>
        <w:right w:val="none" w:sz="0" w:space="0" w:color="auto"/>
      </w:divBdr>
    </w:div>
    <w:div w:id="2121341406">
      <w:bodyDiv w:val="1"/>
      <w:marLeft w:val="0"/>
      <w:marRight w:val="0"/>
      <w:marTop w:val="0"/>
      <w:marBottom w:val="0"/>
      <w:divBdr>
        <w:top w:val="none" w:sz="0" w:space="0" w:color="auto"/>
        <w:left w:val="none" w:sz="0" w:space="0" w:color="auto"/>
        <w:bottom w:val="none" w:sz="0" w:space="0" w:color="auto"/>
        <w:right w:val="none" w:sz="0" w:space="0" w:color="auto"/>
      </w:divBdr>
    </w:div>
    <w:div w:id="2121410685">
      <w:bodyDiv w:val="1"/>
      <w:marLeft w:val="0"/>
      <w:marRight w:val="0"/>
      <w:marTop w:val="0"/>
      <w:marBottom w:val="0"/>
      <w:divBdr>
        <w:top w:val="none" w:sz="0" w:space="0" w:color="auto"/>
        <w:left w:val="none" w:sz="0" w:space="0" w:color="auto"/>
        <w:bottom w:val="none" w:sz="0" w:space="0" w:color="auto"/>
        <w:right w:val="none" w:sz="0" w:space="0" w:color="auto"/>
      </w:divBdr>
    </w:div>
    <w:div w:id="2123524835">
      <w:bodyDiv w:val="1"/>
      <w:marLeft w:val="0"/>
      <w:marRight w:val="0"/>
      <w:marTop w:val="0"/>
      <w:marBottom w:val="0"/>
      <w:divBdr>
        <w:top w:val="none" w:sz="0" w:space="0" w:color="auto"/>
        <w:left w:val="none" w:sz="0" w:space="0" w:color="auto"/>
        <w:bottom w:val="none" w:sz="0" w:space="0" w:color="auto"/>
        <w:right w:val="none" w:sz="0" w:space="0" w:color="auto"/>
      </w:divBdr>
    </w:div>
    <w:div w:id="2123764370">
      <w:bodyDiv w:val="1"/>
      <w:marLeft w:val="0"/>
      <w:marRight w:val="0"/>
      <w:marTop w:val="0"/>
      <w:marBottom w:val="0"/>
      <w:divBdr>
        <w:top w:val="none" w:sz="0" w:space="0" w:color="auto"/>
        <w:left w:val="none" w:sz="0" w:space="0" w:color="auto"/>
        <w:bottom w:val="none" w:sz="0" w:space="0" w:color="auto"/>
        <w:right w:val="none" w:sz="0" w:space="0" w:color="auto"/>
      </w:divBdr>
    </w:div>
    <w:div w:id="2124882390">
      <w:bodyDiv w:val="1"/>
      <w:marLeft w:val="0"/>
      <w:marRight w:val="0"/>
      <w:marTop w:val="0"/>
      <w:marBottom w:val="0"/>
      <w:divBdr>
        <w:top w:val="none" w:sz="0" w:space="0" w:color="auto"/>
        <w:left w:val="none" w:sz="0" w:space="0" w:color="auto"/>
        <w:bottom w:val="none" w:sz="0" w:space="0" w:color="auto"/>
        <w:right w:val="none" w:sz="0" w:space="0" w:color="auto"/>
      </w:divBdr>
    </w:div>
    <w:div w:id="2125071247">
      <w:bodyDiv w:val="1"/>
      <w:marLeft w:val="0"/>
      <w:marRight w:val="0"/>
      <w:marTop w:val="0"/>
      <w:marBottom w:val="0"/>
      <w:divBdr>
        <w:top w:val="none" w:sz="0" w:space="0" w:color="auto"/>
        <w:left w:val="none" w:sz="0" w:space="0" w:color="auto"/>
        <w:bottom w:val="none" w:sz="0" w:space="0" w:color="auto"/>
        <w:right w:val="none" w:sz="0" w:space="0" w:color="auto"/>
      </w:divBdr>
    </w:div>
    <w:div w:id="2126922460">
      <w:bodyDiv w:val="1"/>
      <w:marLeft w:val="0"/>
      <w:marRight w:val="0"/>
      <w:marTop w:val="0"/>
      <w:marBottom w:val="0"/>
      <w:divBdr>
        <w:top w:val="none" w:sz="0" w:space="0" w:color="auto"/>
        <w:left w:val="none" w:sz="0" w:space="0" w:color="auto"/>
        <w:bottom w:val="none" w:sz="0" w:space="0" w:color="auto"/>
        <w:right w:val="none" w:sz="0" w:space="0" w:color="auto"/>
      </w:divBdr>
    </w:div>
    <w:div w:id="2127236853">
      <w:bodyDiv w:val="1"/>
      <w:marLeft w:val="0"/>
      <w:marRight w:val="0"/>
      <w:marTop w:val="0"/>
      <w:marBottom w:val="0"/>
      <w:divBdr>
        <w:top w:val="none" w:sz="0" w:space="0" w:color="auto"/>
        <w:left w:val="none" w:sz="0" w:space="0" w:color="auto"/>
        <w:bottom w:val="none" w:sz="0" w:space="0" w:color="auto"/>
        <w:right w:val="none" w:sz="0" w:space="0" w:color="auto"/>
      </w:divBdr>
    </w:div>
    <w:div w:id="2127312336">
      <w:bodyDiv w:val="1"/>
      <w:marLeft w:val="0"/>
      <w:marRight w:val="0"/>
      <w:marTop w:val="0"/>
      <w:marBottom w:val="0"/>
      <w:divBdr>
        <w:top w:val="none" w:sz="0" w:space="0" w:color="auto"/>
        <w:left w:val="none" w:sz="0" w:space="0" w:color="auto"/>
        <w:bottom w:val="none" w:sz="0" w:space="0" w:color="auto"/>
        <w:right w:val="none" w:sz="0" w:space="0" w:color="auto"/>
      </w:divBdr>
    </w:div>
    <w:div w:id="2127842518">
      <w:bodyDiv w:val="1"/>
      <w:marLeft w:val="0"/>
      <w:marRight w:val="0"/>
      <w:marTop w:val="0"/>
      <w:marBottom w:val="0"/>
      <w:divBdr>
        <w:top w:val="none" w:sz="0" w:space="0" w:color="auto"/>
        <w:left w:val="none" w:sz="0" w:space="0" w:color="auto"/>
        <w:bottom w:val="none" w:sz="0" w:space="0" w:color="auto"/>
        <w:right w:val="none" w:sz="0" w:space="0" w:color="auto"/>
      </w:divBdr>
    </w:div>
    <w:div w:id="2127969946">
      <w:bodyDiv w:val="1"/>
      <w:marLeft w:val="0"/>
      <w:marRight w:val="0"/>
      <w:marTop w:val="0"/>
      <w:marBottom w:val="0"/>
      <w:divBdr>
        <w:top w:val="none" w:sz="0" w:space="0" w:color="auto"/>
        <w:left w:val="none" w:sz="0" w:space="0" w:color="auto"/>
        <w:bottom w:val="none" w:sz="0" w:space="0" w:color="auto"/>
        <w:right w:val="none" w:sz="0" w:space="0" w:color="auto"/>
      </w:divBdr>
    </w:div>
    <w:div w:id="2128890239">
      <w:bodyDiv w:val="1"/>
      <w:marLeft w:val="0"/>
      <w:marRight w:val="0"/>
      <w:marTop w:val="0"/>
      <w:marBottom w:val="0"/>
      <w:divBdr>
        <w:top w:val="none" w:sz="0" w:space="0" w:color="auto"/>
        <w:left w:val="none" w:sz="0" w:space="0" w:color="auto"/>
        <w:bottom w:val="none" w:sz="0" w:space="0" w:color="auto"/>
        <w:right w:val="none" w:sz="0" w:space="0" w:color="auto"/>
      </w:divBdr>
    </w:div>
    <w:div w:id="2129003417">
      <w:bodyDiv w:val="1"/>
      <w:marLeft w:val="0"/>
      <w:marRight w:val="0"/>
      <w:marTop w:val="0"/>
      <w:marBottom w:val="0"/>
      <w:divBdr>
        <w:top w:val="none" w:sz="0" w:space="0" w:color="auto"/>
        <w:left w:val="none" w:sz="0" w:space="0" w:color="auto"/>
        <w:bottom w:val="none" w:sz="0" w:space="0" w:color="auto"/>
        <w:right w:val="none" w:sz="0" w:space="0" w:color="auto"/>
      </w:divBdr>
    </w:div>
    <w:div w:id="2129620321">
      <w:bodyDiv w:val="1"/>
      <w:marLeft w:val="0"/>
      <w:marRight w:val="0"/>
      <w:marTop w:val="0"/>
      <w:marBottom w:val="0"/>
      <w:divBdr>
        <w:top w:val="none" w:sz="0" w:space="0" w:color="auto"/>
        <w:left w:val="none" w:sz="0" w:space="0" w:color="auto"/>
        <w:bottom w:val="none" w:sz="0" w:space="0" w:color="auto"/>
        <w:right w:val="none" w:sz="0" w:space="0" w:color="auto"/>
      </w:divBdr>
    </w:div>
    <w:div w:id="2129857897">
      <w:bodyDiv w:val="1"/>
      <w:marLeft w:val="0"/>
      <w:marRight w:val="0"/>
      <w:marTop w:val="0"/>
      <w:marBottom w:val="0"/>
      <w:divBdr>
        <w:top w:val="none" w:sz="0" w:space="0" w:color="auto"/>
        <w:left w:val="none" w:sz="0" w:space="0" w:color="auto"/>
        <w:bottom w:val="none" w:sz="0" w:space="0" w:color="auto"/>
        <w:right w:val="none" w:sz="0" w:space="0" w:color="auto"/>
      </w:divBdr>
    </w:div>
    <w:div w:id="2129859482">
      <w:bodyDiv w:val="1"/>
      <w:marLeft w:val="0"/>
      <w:marRight w:val="0"/>
      <w:marTop w:val="0"/>
      <w:marBottom w:val="0"/>
      <w:divBdr>
        <w:top w:val="none" w:sz="0" w:space="0" w:color="auto"/>
        <w:left w:val="none" w:sz="0" w:space="0" w:color="auto"/>
        <w:bottom w:val="none" w:sz="0" w:space="0" w:color="auto"/>
        <w:right w:val="none" w:sz="0" w:space="0" w:color="auto"/>
      </w:divBdr>
    </w:div>
    <w:div w:id="2130010612">
      <w:bodyDiv w:val="1"/>
      <w:marLeft w:val="0"/>
      <w:marRight w:val="0"/>
      <w:marTop w:val="0"/>
      <w:marBottom w:val="0"/>
      <w:divBdr>
        <w:top w:val="none" w:sz="0" w:space="0" w:color="auto"/>
        <w:left w:val="none" w:sz="0" w:space="0" w:color="auto"/>
        <w:bottom w:val="none" w:sz="0" w:space="0" w:color="auto"/>
        <w:right w:val="none" w:sz="0" w:space="0" w:color="auto"/>
      </w:divBdr>
    </w:div>
    <w:div w:id="2130319907">
      <w:bodyDiv w:val="1"/>
      <w:marLeft w:val="0"/>
      <w:marRight w:val="0"/>
      <w:marTop w:val="0"/>
      <w:marBottom w:val="0"/>
      <w:divBdr>
        <w:top w:val="none" w:sz="0" w:space="0" w:color="auto"/>
        <w:left w:val="none" w:sz="0" w:space="0" w:color="auto"/>
        <w:bottom w:val="none" w:sz="0" w:space="0" w:color="auto"/>
        <w:right w:val="none" w:sz="0" w:space="0" w:color="auto"/>
      </w:divBdr>
    </w:div>
    <w:div w:id="2130856401">
      <w:bodyDiv w:val="1"/>
      <w:marLeft w:val="0"/>
      <w:marRight w:val="0"/>
      <w:marTop w:val="0"/>
      <w:marBottom w:val="0"/>
      <w:divBdr>
        <w:top w:val="none" w:sz="0" w:space="0" w:color="auto"/>
        <w:left w:val="none" w:sz="0" w:space="0" w:color="auto"/>
        <w:bottom w:val="none" w:sz="0" w:space="0" w:color="auto"/>
        <w:right w:val="none" w:sz="0" w:space="0" w:color="auto"/>
      </w:divBdr>
    </w:div>
    <w:div w:id="2131507971">
      <w:bodyDiv w:val="1"/>
      <w:marLeft w:val="0"/>
      <w:marRight w:val="0"/>
      <w:marTop w:val="0"/>
      <w:marBottom w:val="0"/>
      <w:divBdr>
        <w:top w:val="none" w:sz="0" w:space="0" w:color="auto"/>
        <w:left w:val="none" w:sz="0" w:space="0" w:color="auto"/>
        <w:bottom w:val="none" w:sz="0" w:space="0" w:color="auto"/>
        <w:right w:val="none" w:sz="0" w:space="0" w:color="auto"/>
      </w:divBdr>
    </w:div>
    <w:div w:id="2131705712">
      <w:bodyDiv w:val="1"/>
      <w:marLeft w:val="0"/>
      <w:marRight w:val="0"/>
      <w:marTop w:val="0"/>
      <w:marBottom w:val="0"/>
      <w:divBdr>
        <w:top w:val="none" w:sz="0" w:space="0" w:color="auto"/>
        <w:left w:val="none" w:sz="0" w:space="0" w:color="auto"/>
        <w:bottom w:val="none" w:sz="0" w:space="0" w:color="auto"/>
        <w:right w:val="none" w:sz="0" w:space="0" w:color="auto"/>
      </w:divBdr>
    </w:div>
    <w:div w:id="2131778974">
      <w:bodyDiv w:val="1"/>
      <w:marLeft w:val="0"/>
      <w:marRight w:val="0"/>
      <w:marTop w:val="0"/>
      <w:marBottom w:val="0"/>
      <w:divBdr>
        <w:top w:val="none" w:sz="0" w:space="0" w:color="auto"/>
        <w:left w:val="none" w:sz="0" w:space="0" w:color="auto"/>
        <w:bottom w:val="none" w:sz="0" w:space="0" w:color="auto"/>
        <w:right w:val="none" w:sz="0" w:space="0" w:color="auto"/>
      </w:divBdr>
    </w:div>
    <w:div w:id="2132166515">
      <w:bodyDiv w:val="1"/>
      <w:marLeft w:val="0"/>
      <w:marRight w:val="0"/>
      <w:marTop w:val="0"/>
      <w:marBottom w:val="0"/>
      <w:divBdr>
        <w:top w:val="none" w:sz="0" w:space="0" w:color="auto"/>
        <w:left w:val="none" w:sz="0" w:space="0" w:color="auto"/>
        <w:bottom w:val="none" w:sz="0" w:space="0" w:color="auto"/>
        <w:right w:val="none" w:sz="0" w:space="0" w:color="auto"/>
      </w:divBdr>
    </w:div>
    <w:div w:id="2133285182">
      <w:bodyDiv w:val="1"/>
      <w:marLeft w:val="0"/>
      <w:marRight w:val="0"/>
      <w:marTop w:val="0"/>
      <w:marBottom w:val="0"/>
      <w:divBdr>
        <w:top w:val="none" w:sz="0" w:space="0" w:color="auto"/>
        <w:left w:val="none" w:sz="0" w:space="0" w:color="auto"/>
        <w:bottom w:val="none" w:sz="0" w:space="0" w:color="auto"/>
        <w:right w:val="none" w:sz="0" w:space="0" w:color="auto"/>
      </w:divBdr>
    </w:div>
    <w:div w:id="2133592880">
      <w:bodyDiv w:val="1"/>
      <w:marLeft w:val="0"/>
      <w:marRight w:val="0"/>
      <w:marTop w:val="0"/>
      <w:marBottom w:val="0"/>
      <w:divBdr>
        <w:top w:val="none" w:sz="0" w:space="0" w:color="auto"/>
        <w:left w:val="none" w:sz="0" w:space="0" w:color="auto"/>
        <w:bottom w:val="none" w:sz="0" w:space="0" w:color="auto"/>
        <w:right w:val="none" w:sz="0" w:space="0" w:color="auto"/>
      </w:divBdr>
    </w:div>
    <w:div w:id="2133789402">
      <w:bodyDiv w:val="1"/>
      <w:marLeft w:val="0"/>
      <w:marRight w:val="0"/>
      <w:marTop w:val="0"/>
      <w:marBottom w:val="0"/>
      <w:divBdr>
        <w:top w:val="none" w:sz="0" w:space="0" w:color="auto"/>
        <w:left w:val="none" w:sz="0" w:space="0" w:color="auto"/>
        <w:bottom w:val="none" w:sz="0" w:space="0" w:color="auto"/>
        <w:right w:val="none" w:sz="0" w:space="0" w:color="auto"/>
      </w:divBdr>
    </w:div>
    <w:div w:id="2133862267">
      <w:bodyDiv w:val="1"/>
      <w:marLeft w:val="0"/>
      <w:marRight w:val="0"/>
      <w:marTop w:val="0"/>
      <w:marBottom w:val="0"/>
      <w:divBdr>
        <w:top w:val="none" w:sz="0" w:space="0" w:color="auto"/>
        <w:left w:val="none" w:sz="0" w:space="0" w:color="auto"/>
        <w:bottom w:val="none" w:sz="0" w:space="0" w:color="auto"/>
        <w:right w:val="none" w:sz="0" w:space="0" w:color="auto"/>
      </w:divBdr>
    </w:div>
    <w:div w:id="2134323018">
      <w:bodyDiv w:val="1"/>
      <w:marLeft w:val="0"/>
      <w:marRight w:val="0"/>
      <w:marTop w:val="0"/>
      <w:marBottom w:val="0"/>
      <w:divBdr>
        <w:top w:val="none" w:sz="0" w:space="0" w:color="auto"/>
        <w:left w:val="none" w:sz="0" w:space="0" w:color="auto"/>
        <w:bottom w:val="none" w:sz="0" w:space="0" w:color="auto"/>
        <w:right w:val="none" w:sz="0" w:space="0" w:color="auto"/>
      </w:divBdr>
    </w:div>
    <w:div w:id="2134591871">
      <w:bodyDiv w:val="1"/>
      <w:marLeft w:val="0"/>
      <w:marRight w:val="0"/>
      <w:marTop w:val="0"/>
      <w:marBottom w:val="0"/>
      <w:divBdr>
        <w:top w:val="none" w:sz="0" w:space="0" w:color="auto"/>
        <w:left w:val="none" w:sz="0" w:space="0" w:color="auto"/>
        <w:bottom w:val="none" w:sz="0" w:space="0" w:color="auto"/>
        <w:right w:val="none" w:sz="0" w:space="0" w:color="auto"/>
      </w:divBdr>
    </w:div>
    <w:div w:id="2134669342">
      <w:bodyDiv w:val="1"/>
      <w:marLeft w:val="0"/>
      <w:marRight w:val="0"/>
      <w:marTop w:val="0"/>
      <w:marBottom w:val="0"/>
      <w:divBdr>
        <w:top w:val="none" w:sz="0" w:space="0" w:color="auto"/>
        <w:left w:val="none" w:sz="0" w:space="0" w:color="auto"/>
        <w:bottom w:val="none" w:sz="0" w:space="0" w:color="auto"/>
        <w:right w:val="none" w:sz="0" w:space="0" w:color="auto"/>
      </w:divBdr>
    </w:div>
    <w:div w:id="2134933280">
      <w:bodyDiv w:val="1"/>
      <w:marLeft w:val="0"/>
      <w:marRight w:val="0"/>
      <w:marTop w:val="0"/>
      <w:marBottom w:val="0"/>
      <w:divBdr>
        <w:top w:val="none" w:sz="0" w:space="0" w:color="auto"/>
        <w:left w:val="none" w:sz="0" w:space="0" w:color="auto"/>
        <w:bottom w:val="none" w:sz="0" w:space="0" w:color="auto"/>
        <w:right w:val="none" w:sz="0" w:space="0" w:color="auto"/>
      </w:divBdr>
    </w:div>
    <w:div w:id="2135129402">
      <w:bodyDiv w:val="1"/>
      <w:marLeft w:val="0"/>
      <w:marRight w:val="0"/>
      <w:marTop w:val="0"/>
      <w:marBottom w:val="0"/>
      <w:divBdr>
        <w:top w:val="none" w:sz="0" w:space="0" w:color="auto"/>
        <w:left w:val="none" w:sz="0" w:space="0" w:color="auto"/>
        <w:bottom w:val="none" w:sz="0" w:space="0" w:color="auto"/>
        <w:right w:val="none" w:sz="0" w:space="0" w:color="auto"/>
      </w:divBdr>
    </w:div>
    <w:div w:id="2136023377">
      <w:bodyDiv w:val="1"/>
      <w:marLeft w:val="0"/>
      <w:marRight w:val="0"/>
      <w:marTop w:val="0"/>
      <w:marBottom w:val="0"/>
      <w:divBdr>
        <w:top w:val="none" w:sz="0" w:space="0" w:color="auto"/>
        <w:left w:val="none" w:sz="0" w:space="0" w:color="auto"/>
        <w:bottom w:val="none" w:sz="0" w:space="0" w:color="auto"/>
        <w:right w:val="none" w:sz="0" w:space="0" w:color="auto"/>
      </w:divBdr>
    </w:div>
    <w:div w:id="2136826195">
      <w:bodyDiv w:val="1"/>
      <w:marLeft w:val="0"/>
      <w:marRight w:val="0"/>
      <w:marTop w:val="0"/>
      <w:marBottom w:val="0"/>
      <w:divBdr>
        <w:top w:val="none" w:sz="0" w:space="0" w:color="auto"/>
        <w:left w:val="none" w:sz="0" w:space="0" w:color="auto"/>
        <w:bottom w:val="none" w:sz="0" w:space="0" w:color="auto"/>
        <w:right w:val="none" w:sz="0" w:space="0" w:color="auto"/>
      </w:divBdr>
    </w:div>
    <w:div w:id="2139033925">
      <w:bodyDiv w:val="1"/>
      <w:marLeft w:val="0"/>
      <w:marRight w:val="0"/>
      <w:marTop w:val="0"/>
      <w:marBottom w:val="0"/>
      <w:divBdr>
        <w:top w:val="none" w:sz="0" w:space="0" w:color="auto"/>
        <w:left w:val="none" w:sz="0" w:space="0" w:color="auto"/>
        <w:bottom w:val="none" w:sz="0" w:space="0" w:color="auto"/>
        <w:right w:val="none" w:sz="0" w:space="0" w:color="auto"/>
      </w:divBdr>
    </w:div>
    <w:div w:id="2139258794">
      <w:bodyDiv w:val="1"/>
      <w:marLeft w:val="0"/>
      <w:marRight w:val="0"/>
      <w:marTop w:val="0"/>
      <w:marBottom w:val="0"/>
      <w:divBdr>
        <w:top w:val="none" w:sz="0" w:space="0" w:color="auto"/>
        <w:left w:val="none" w:sz="0" w:space="0" w:color="auto"/>
        <w:bottom w:val="none" w:sz="0" w:space="0" w:color="auto"/>
        <w:right w:val="none" w:sz="0" w:space="0" w:color="auto"/>
      </w:divBdr>
    </w:div>
    <w:div w:id="2139642885">
      <w:bodyDiv w:val="1"/>
      <w:marLeft w:val="0"/>
      <w:marRight w:val="0"/>
      <w:marTop w:val="0"/>
      <w:marBottom w:val="0"/>
      <w:divBdr>
        <w:top w:val="none" w:sz="0" w:space="0" w:color="auto"/>
        <w:left w:val="none" w:sz="0" w:space="0" w:color="auto"/>
        <w:bottom w:val="none" w:sz="0" w:space="0" w:color="auto"/>
        <w:right w:val="none" w:sz="0" w:space="0" w:color="auto"/>
      </w:divBdr>
    </w:div>
    <w:div w:id="2139643054">
      <w:bodyDiv w:val="1"/>
      <w:marLeft w:val="0"/>
      <w:marRight w:val="0"/>
      <w:marTop w:val="0"/>
      <w:marBottom w:val="0"/>
      <w:divBdr>
        <w:top w:val="none" w:sz="0" w:space="0" w:color="auto"/>
        <w:left w:val="none" w:sz="0" w:space="0" w:color="auto"/>
        <w:bottom w:val="none" w:sz="0" w:space="0" w:color="auto"/>
        <w:right w:val="none" w:sz="0" w:space="0" w:color="auto"/>
      </w:divBdr>
    </w:div>
    <w:div w:id="2139912689">
      <w:bodyDiv w:val="1"/>
      <w:marLeft w:val="0"/>
      <w:marRight w:val="0"/>
      <w:marTop w:val="0"/>
      <w:marBottom w:val="0"/>
      <w:divBdr>
        <w:top w:val="none" w:sz="0" w:space="0" w:color="auto"/>
        <w:left w:val="none" w:sz="0" w:space="0" w:color="auto"/>
        <w:bottom w:val="none" w:sz="0" w:space="0" w:color="auto"/>
        <w:right w:val="none" w:sz="0" w:space="0" w:color="auto"/>
      </w:divBdr>
    </w:div>
    <w:div w:id="2141074519">
      <w:bodyDiv w:val="1"/>
      <w:marLeft w:val="0"/>
      <w:marRight w:val="0"/>
      <w:marTop w:val="0"/>
      <w:marBottom w:val="0"/>
      <w:divBdr>
        <w:top w:val="none" w:sz="0" w:space="0" w:color="auto"/>
        <w:left w:val="none" w:sz="0" w:space="0" w:color="auto"/>
        <w:bottom w:val="none" w:sz="0" w:space="0" w:color="auto"/>
        <w:right w:val="none" w:sz="0" w:space="0" w:color="auto"/>
      </w:divBdr>
    </w:div>
    <w:div w:id="2141682632">
      <w:bodyDiv w:val="1"/>
      <w:marLeft w:val="0"/>
      <w:marRight w:val="0"/>
      <w:marTop w:val="0"/>
      <w:marBottom w:val="0"/>
      <w:divBdr>
        <w:top w:val="none" w:sz="0" w:space="0" w:color="auto"/>
        <w:left w:val="none" w:sz="0" w:space="0" w:color="auto"/>
        <w:bottom w:val="none" w:sz="0" w:space="0" w:color="auto"/>
        <w:right w:val="none" w:sz="0" w:space="0" w:color="auto"/>
      </w:divBdr>
    </w:div>
    <w:div w:id="2141996536">
      <w:bodyDiv w:val="1"/>
      <w:marLeft w:val="0"/>
      <w:marRight w:val="0"/>
      <w:marTop w:val="0"/>
      <w:marBottom w:val="0"/>
      <w:divBdr>
        <w:top w:val="none" w:sz="0" w:space="0" w:color="auto"/>
        <w:left w:val="none" w:sz="0" w:space="0" w:color="auto"/>
        <w:bottom w:val="none" w:sz="0" w:space="0" w:color="auto"/>
        <w:right w:val="none" w:sz="0" w:space="0" w:color="auto"/>
      </w:divBdr>
    </w:div>
    <w:div w:id="2142258692">
      <w:bodyDiv w:val="1"/>
      <w:marLeft w:val="0"/>
      <w:marRight w:val="0"/>
      <w:marTop w:val="0"/>
      <w:marBottom w:val="0"/>
      <w:divBdr>
        <w:top w:val="none" w:sz="0" w:space="0" w:color="auto"/>
        <w:left w:val="none" w:sz="0" w:space="0" w:color="auto"/>
        <w:bottom w:val="none" w:sz="0" w:space="0" w:color="auto"/>
        <w:right w:val="none" w:sz="0" w:space="0" w:color="auto"/>
      </w:divBdr>
    </w:div>
    <w:div w:id="2142259696">
      <w:bodyDiv w:val="1"/>
      <w:marLeft w:val="0"/>
      <w:marRight w:val="0"/>
      <w:marTop w:val="0"/>
      <w:marBottom w:val="0"/>
      <w:divBdr>
        <w:top w:val="none" w:sz="0" w:space="0" w:color="auto"/>
        <w:left w:val="none" w:sz="0" w:space="0" w:color="auto"/>
        <w:bottom w:val="none" w:sz="0" w:space="0" w:color="auto"/>
        <w:right w:val="none" w:sz="0" w:space="0" w:color="auto"/>
      </w:divBdr>
    </w:div>
    <w:div w:id="2142337719">
      <w:bodyDiv w:val="1"/>
      <w:marLeft w:val="0"/>
      <w:marRight w:val="0"/>
      <w:marTop w:val="0"/>
      <w:marBottom w:val="0"/>
      <w:divBdr>
        <w:top w:val="none" w:sz="0" w:space="0" w:color="auto"/>
        <w:left w:val="none" w:sz="0" w:space="0" w:color="auto"/>
        <w:bottom w:val="none" w:sz="0" w:space="0" w:color="auto"/>
        <w:right w:val="none" w:sz="0" w:space="0" w:color="auto"/>
      </w:divBdr>
    </w:div>
    <w:div w:id="2142570066">
      <w:bodyDiv w:val="1"/>
      <w:marLeft w:val="0"/>
      <w:marRight w:val="0"/>
      <w:marTop w:val="0"/>
      <w:marBottom w:val="0"/>
      <w:divBdr>
        <w:top w:val="none" w:sz="0" w:space="0" w:color="auto"/>
        <w:left w:val="none" w:sz="0" w:space="0" w:color="auto"/>
        <w:bottom w:val="none" w:sz="0" w:space="0" w:color="auto"/>
        <w:right w:val="none" w:sz="0" w:space="0" w:color="auto"/>
      </w:divBdr>
    </w:div>
    <w:div w:id="2144108478">
      <w:bodyDiv w:val="1"/>
      <w:marLeft w:val="0"/>
      <w:marRight w:val="0"/>
      <w:marTop w:val="0"/>
      <w:marBottom w:val="0"/>
      <w:divBdr>
        <w:top w:val="none" w:sz="0" w:space="0" w:color="auto"/>
        <w:left w:val="none" w:sz="0" w:space="0" w:color="auto"/>
        <w:bottom w:val="none" w:sz="0" w:space="0" w:color="auto"/>
        <w:right w:val="none" w:sz="0" w:space="0" w:color="auto"/>
      </w:divBdr>
    </w:div>
    <w:div w:id="2145151183">
      <w:bodyDiv w:val="1"/>
      <w:marLeft w:val="0"/>
      <w:marRight w:val="0"/>
      <w:marTop w:val="0"/>
      <w:marBottom w:val="0"/>
      <w:divBdr>
        <w:top w:val="none" w:sz="0" w:space="0" w:color="auto"/>
        <w:left w:val="none" w:sz="0" w:space="0" w:color="auto"/>
        <w:bottom w:val="none" w:sz="0" w:space="0" w:color="auto"/>
        <w:right w:val="none" w:sz="0" w:space="0" w:color="auto"/>
      </w:divBdr>
    </w:div>
    <w:div w:id="214692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header" Target="header3.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eanna.Sharratt@northants.police.uk" TargetMode="External"/><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4F089-69DB-4B32-9D5B-3F54FA5F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24325</Words>
  <Characters>138653</Characters>
  <Application>Microsoft Office Word</Application>
  <DocSecurity>4</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Northants County Council</Company>
  <LinksUpToDate>false</LinksUpToDate>
  <CharactersWithSpaces>162653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Savage</dc:creator>
  <cp:keywords/>
  <dc:description/>
  <cp:lastModifiedBy>King Helen</cp:lastModifiedBy>
  <cp:revision>2</cp:revision>
  <cp:lastPrinted>2023-06-01T10:53:00Z</cp:lastPrinted>
  <dcterms:created xsi:type="dcterms:W3CDTF">2023-06-02T08:50:00Z</dcterms:created>
  <dcterms:modified xsi:type="dcterms:W3CDTF">2023-06-02T08:50:00Z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2021-07-28T05:18:41.5773265Z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