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5F57" w14:textId="77777777" w:rsidR="003148B8" w:rsidRPr="008B0AD1" w:rsidRDefault="000A39E7" w:rsidP="004A00C1">
      <w:pPr>
        <w:jc w:val="center"/>
        <w:rPr>
          <w:rFonts w:cs="Arial"/>
          <w:b/>
          <w:sz w:val="24"/>
          <w:szCs w:val="24"/>
        </w:rPr>
      </w:pPr>
      <w:r w:rsidRPr="008B0AD1">
        <w:rPr>
          <w:rFonts w:cs="Arial"/>
          <w:b/>
          <w:sz w:val="24"/>
          <w:szCs w:val="24"/>
        </w:rPr>
        <w:t>Collaboration Agreement</w:t>
      </w:r>
      <w:r w:rsidR="0001532E" w:rsidRPr="008B0AD1">
        <w:rPr>
          <w:rFonts w:cs="Arial"/>
          <w:b/>
          <w:sz w:val="24"/>
          <w:szCs w:val="24"/>
        </w:rPr>
        <w:t xml:space="preserve"> Summary</w:t>
      </w:r>
    </w:p>
    <w:p w14:paraId="756E407E" w14:textId="016E811D" w:rsidR="000A39E7" w:rsidRPr="008B0AD1" w:rsidRDefault="00091BA2" w:rsidP="004A00C1">
      <w:pPr>
        <w:jc w:val="center"/>
        <w:rPr>
          <w:b/>
          <w:sz w:val="24"/>
          <w:szCs w:val="24"/>
        </w:rPr>
      </w:pPr>
      <w:r w:rsidRPr="008B0AD1">
        <w:rPr>
          <w:b/>
          <w:sz w:val="24"/>
          <w:szCs w:val="24"/>
        </w:rPr>
        <w:t xml:space="preserve">Communications Data </w:t>
      </w:r>
      <w:r w:rsidR="007F1DDE" w:rsidRPr="008B0AD1">
        <w:rPr>
          <w:b/>
          <w:sz w:val="24"/>
          <w:szCs w:val="24"/>
        </w:rPr>
        <w:t xml:space="preserve">Cross Border </w:t>
      </w:r>
      <w:r w:rsidRPr="008B0AD1">
        <w:rPr>
          <w:b/>
          <w:sz w:val="24"/>
          <w:szCs w:val="24"/>
        </w:rPr>
        <w:t xml:space="preserve">Collaboration </w:t>
      </w:r>
    </w:p>
    <w:p w14:paraId="21AD0697" w14:textId="31A70AAE" w:rsidR="002B4856" w:rsidRPr="008B0AD1" w:rsidRDefault="004A00C1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A collaboration agreement to support the Chief Constables</w:t>
      </w:r>
      <w:r w:rsidR="000E011D" w:rsidRPr="008B0AD1">
        <w:rPr>
          <w:sz w:val="24"/>
          <w:szCs w:val="24"/>
        </w:rPr>
        <w:t xml:space="preserve"> and </w:t>
      </w:r>
      <w:r w:rsidR="00731464" w:rsidRPr="008B0AD1">
        <w:rPr>
          <w:sz w:val="24"/>
          <w:szCs w:val="24"/>
        </w:rPr>
        <w:t xml:space="preserve">Policing Bodies </w:t>
      </w:r>
      <w:r w:rsidR="00D44E21" w:rsidRPr="008B0AD1">
        <w:rPr>
          <w:sz w:val="24"/>
          <w:szCs w:val="24"/>
        </w:rPr>
        <w:t xml:space="preserve">who are parties to the agreement </w:t>
      </w:r>
      <w:r w:rsidR="007F1DDE" w:rsidRPr="008B0AD1">
        <w:rPr>
          <w:sz w:val="24"/>
          <w:szCs w:val="24"/>
        </w:rPr>
        <w:t>to more efficiently and effectively</w:t>
      </w:r>
      <w:r w:rsidR="00D71D95" w:rsidRPr="008B0AD1">
        <w:rPr>
          <w:sz w:val="24"/>
          <w:szCs w:val="24"/>
        </w:rPr>
        <w:t xml:space="preserve"> discharge criminal investigations within </w:t>
      </w:r>
      <w:r w:rsidR="008F048B" w:rsidRPr="008B0AD1">
        <w:rPr>
          <w:sz w:val="24"/>
          <w:szCs w:val="24"/>
        </w:rPr>
        <w:t>Derbyshire,</w:t>
      </w:r>
      <w:r w:rsidR="000D5123" w:rsidRPr="008B0AD1">
        <w:rPr>
          <w:b/>
          <w:sz w:val="24"/>
          <w:szCs w:val="24"/>
        </w:rPr>
        <w:t xml:space="preserve"> </w:t>
      </w:r>
      <w:r w:rsidR="000D5123" w:rsidRPr="008B0AD1">
        <w:rPr>
          <w:sz w:val="24"/>
          <w:szCs w:val="24"/>
        </w:rPr>
        <w:t xml:space="preserve">Leicestershire, Lincolnshire, Northamptonshire, </w:t>
      </w:r>
      <w:r w:rsidR="008F048B" w:rsidRPr="008B0AD1">
        <w:rPr>
          <w:sz w:val="24"/>
          <w:szCs w:val="24"/>
        </w:rPr>
        <w:t>Nottinghamshire and South Yorkshire</w:t>
      </w:r>
      <w:r w:rsidR="00D71D95" w:rsidRPr="008B0AD1">
        <w:rPr>
          <w:sz w:val="24"/>
          <w:szCs w:val="24"/>
        </w:rPr>
        <w:t>.</w:t>
      </w:r>
    </w:p>
    <w:p w14:paraId="62D90D0F" w14:textId="5C0DFB82" w:rsidR="00066FEF" w:rsidRPr="008B0AD1" w:rsidRDefault="00B607E8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This collaboration agreement is made </w:t>
      </w:r>
      <w:r w:rsidR="00653397" w:rsidRPr="008B0AD1">
        <w:rPr>
          <w:sz w:val="24"/>
          <w:szCs w:val="24"/>
        </w:rPr>
        <w:t>for the purpose</w:t>
      </w:r>
      <w:r w:rsidR="00F15D0F" w:rsidRPr="008B0AD1">
        <w:rPr>
          <w:sz w:val="24"/>
          <w:szCs w:val="24"/>
        </w:rPr>
        <w:t>s</w:t>
      </w:r>
      <w:r w:rsidR="00653397" w:rsidRPr="008B0AD1">
        <w:rPr>
          <w:sz w:val="24"/>
          <w:szCs w:val="24"/>
        </w:rPr>
        <w:t xml:space="preserve"> of the Regulation of Investigatory Powers Act 2000</w:t>
      </w:r>
      <w:r w:rsidR="00AB4B13" w:rsidRPr="008B0AD1">
        <w:rPr>
          <w:sz w:val="24"/>
          <w:szCs w:val="24"/>
        </w:rPr>
        <w:t>,</w:t>
      </w:r>
      <w:r w:rsidR="00653397" w:rsidRPr="008B0AD1">
        <w:rPr>
          <w:sz w:val="24"/>
          <w:szCs w:val="24"/>
        </w:rPr>
        <w:t xml:space="preserve"> the Police Act 1997 </w:t>
      </w:r>
      <w:r w:rsidR="008C38C6" w:rsidRPr="008B0AD1">
        <w:rPr>
          <w:sz w:val="24"/>
          <w:szCs w:val="24"/>
        </w:rPr>
        <w:t xml:space="preserve">and the </w:t>
      </w:r>
      <w:r w:rsidR="00FA5EDB" w:rsidRPr="008B0AD1">
        <w:rPr>
          <w:sz w:val="24"/>
          <w:szCs w:val="24"/>
        </w:rPr>
        <w:t xml:space="preserve">Investigatory Powers Act 2016 to </w:t>
      </w:r>
      <w:r w:rsidR="00653397" w:rsidRPr="008B0AD1">
        <w:rPr>
          <w:sz w:val="24"/>
          <w:szCs w:val="24"/>
        </w:rPr>
        <w:t>enable</w:t>
      </w:r>
      <w:r w:rsidR="00FA5EDB" w:rsidRPr="008B0AD1">
        <w:rPr>
          <w:sz w:val="24"/>
          <w:szCs w:val="24"/>
        </w:rPr>
        <w:t xml:space="preserve"> </w:t>
      </w:r>
      <w:r w:rsidR="00637C81" w:rsidRPr="008B0AD1">
        <w:rPr>
          <w:sz w:val="24"/>
          <w:szCs w:val="24"/>
        </w:rPr>
        <w:t xml:space="preserve">cross-border </w:t>
      </w:r>
      <w:r w:rsidR="00653397" w:rsidRPr="008B0AD1">
        <w:rPr>
          <w:sz w:val="24"/>
          <w:szCs w:val="24"/>
        </w:rPr>
        <w:t xml:space="preserve">authorisations under those Acts </w:t>
      </w:r>
      <w:r w:rsidR="006F2042" w:rsidRPr="008B0AD1">
        <w:rPr>
          <w:sz w:val="24"/>
          <w:szCs w:val="24"/>
        </w:rPr>
        <w:t>in relation to the acquisition, retention and disclosure of communications data, interference</w:t>
      </w:r>
      <w:r w:rsidR="009B0293" w:rsidRPr="008B0AD1">
        <w:rPr>
          <w:sz w:val="24"/>
          <w:szCs w:val="24"/>
        </w:rPr>
        <w:t xml:space="preserve"> with property</w:t>
      </w:r>
      <w:r w:rsidR="009E0EC8" w:rsidRPr="008B0AD1">
        <w:rPr>
          <w:sz w:val="24"/>
          <w:szCs w:val="24"/>
        </w:rPr>
        <w:t>, directed surveillance</w:t>
      </w:r>
      <w:r w:rsidR="005628BA" w:rsidRPr="008B0AD1">
        <w:rPr>
          <w:sz w:val="24"/>
          <w:szCs w:val="24"/>
        </w:rPr>
        <w:t>, intrusive surveillance, targeted equipment interference warrants</w:t>
      </w:r>
      <w:r w:rsidR="009B0293" w:rsidRPr="008B0AD1">
        <w:rPr>
          <w:sz w:val="24"/>
          <w:szCs w:val="24"/>
        </w:rPr>
        <w:t xml:space="preserve"> </w:t>
      </w:r>
      <w:r w:rsidR="005628BA" w:rsidRPr="008B0AD1">
        <w:rPr>
          <w:sz w:val="24"/>
          <w:szCs w:val="24"/>
        </w:rPr>
        <w:t xml:space="preserve">and/or </w:t>
      </w:r>
      <w:r w:rsidR="00117D6B" w:rsidRPr="008B0AD1">
        <w:rPr>
          <w:sz w:val="24"/>
          <w:szCs w:val="24"/>
        </w:rPr>
        <w:t xml:space="preserve">targeted authorisations for obtaining data acquisition or </w:t>
      </w:r>
      <w:r w:rsidR="008B0AD1" w:rsidRPr="008B0AD1">
        <w:rPr>
          <w:sz w:val="24"/>
          <w:szCs w:val="24"/>
        </w:rPr>
        <w:t>disclosure</w:t>
      </w:r>
      <w:r w:rsidR="00117D6B" w:rsidRPr="008B0AD1">
        <w:rPr>
          <w:sz w:val="24"/>
          <w:szCs w:val="24"/>
        </w:rPr>
        <w:t xml:space="preserve"> of communications data.  Such applications may be made </w:t>
      </w:r>
      <w:r w:rsidR="00653397" w:rsidRPr="008B0AD1">
        <w:rPr>
          <w:sz w:val="24"/>
          <w:szCs w:val="24"/>
        </w:rPr>
        <w:t xml:space="preserve">by members of </w:t>
      </w:r>
      <w:r w:rsidR="008D325C" w:rsidRPr="008B0AD1">
        <w:rPr>
          <w:sz w:val="24"/>
          <w:szCs w:val="24"/>
        </w:rPr>
        <w:t>their own</w:t>
      </w:r>
      <w:r w:rsidR="00653397" w:rsidRPr="008B0AD1">
        <w:rPr>
          <w:sz w:val="24"/>
          <w:szCs w:val="24"/>
        </w:rPr>
        <w:t xml:space="preserve"> force </w:t>
      </w:r>
      <w:r w:rsidR="008D325C" w:rsidRPr="008B0AD1">
        <w:rPr>
          <w:sz w:val="24"/>
          <w:szCs w:val="24"/>
        </w:rPr>
        <w:t xml:space="preserve">and in relation to their own force area </w:t>
      </w:r>
      <w:r w:rsidR="00653397" w:rsidRPr="008B0AD1">
        <w:rPr>
          <w:sz w:val="24"/>
          <w:szCs w:val="24"/>
        </w:rPr>
        <w:t xml:space="preserve">as well </w:t>
      </w:r>
      <w:r w:rsidR="008D325C" w:rsidRPr="008B0AD1">
        <w:rPr>
          <w:sz w:val="24"/>
          <w:szCs w:val="24"/>
        </w:rPr>
        <w:t xml:space="preserve">as upon application by </w:t>
      </w:r>
      <w:r w:rsidR="00653397" w:rsidRPr="008B0AD1">
        <w:rPr>
          <w:sz w:val="24"/>
          <w:szCs w:val="24"/>
        </w:rPr>
        <w:t xml:space="preserve">members of </w:t>
      </w:r>
      <w:r w:rsidR="008D325C" w:rsidRPr="008B0AD1">
        <w:rPr>
          <w:sz w:val="24"/>
          <w:szCs w:val="24"/>
        </w:rPr>
        <w:t xml:space="preserve">another </w:t>
      </w:r>
      <w:r w:rsidR="00653397" w:rsidRPr="008B0AD1">
        <w:rPr>
          <w:sz w:val="24"/>
          <w:szCs w:val="24"/>
        </w:rPr>
        <w:t>force</w:t>
      </w:r>
      <w:r w:rsidR="008D325C" w:rsidRPr="008B0AD1">
        <w:rPr>
          <w:sz w:val="24"/>
          <w:szCs w:val="24"/>
        </w:rPr>
        <w:t xml:space="preserve"> or in relation to another force area</w:t>
      </w:r>
      <w:r w:rsidR="00653397" w:rsidRPr="008B0AD1">
        <w:rPr>
          <w:sz w:val="24"/>
          <w:szCs w:val="24"/>
        </w:rPr>
        <w:t>.</w:t>
      </w:r>
    </w:p>
    <w:p w14:paraId="3E9B4C89" w14:textId="77777777" w:rsidR="00066FEF" w:rsidRPr="008B0AD1" w:rsidRDefault="00066FEF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In accordance with Section 23E o</w:t>
      </w:r>
      <w:r w:rsidR="008A0875" w:rsidRPr="008B0AD1">
        <w:rPr>
          <w:sz w:val="24"/>
          <w:szCs w:val="24"/>
        </w:rPr>
        <w:t>f the Police Act 1996, this summary was</w:t>
      </w:r>
      <w:r w:rsidRPr="008B0AD1">
        <w:rPr>
          <w:sz w:val="24"/>
          <w:szCs w:val="24"/>
        </w:rPr>
        <w:t xml:space="preserve"> prepared for publication on behalf of the Parties and contains summarised provisions in relation to scope and purpose, </w:t>
      </w:r>
      <w:r w:rsidR="008A0875" w:rsidRPr="008B0AD1">
        <w:rPr>
          <w:sz w:val="24"/>
          <w:szCs w:val="24"/>
        </w:rPr>
        <w:t>term, termination, direction and c</w:t>
      </w:r>
      <w:r w:rsidRPr="008B0AD1">
        <w:rPr>
          <w:sz w:val="24"/>
          <w:szCs w:val="24"/>
        </w:rPr>
        <w:t>o</w:t>
      </w:r>
      <w:r w:rsidR="008A0875" w:rsidRPr="008B0AD1">
        <w:rPr>
          <w:sz w:val="24"/>
          <w:szCs w:val="24"/>
        </w:rPr>
        <w:t>ntrol and g</w:t>
      </w:r>
      <w:r w:rsidRPr="008B0AD1">
        <w:rPr>
          <w:sz w:val="24"/>
          <w:szCs w:val="24"/>
        </w:rPr>
        <w:t>overnance as deemed appropriate.</w:t>
      </w:r>
    </w:p>
    <w:p w14:paraId="6A4B42A8" w14:textId="77777777" w:rsidR="004A00C1" w:rsidRPr="008B0AD1" w:rsidRDefault="004A00C1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Parties to this agreement are:</w:t>
      </w:r>
    </w:p>
    <w:p w14:paraId="64491998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Police and Crime Commissioner for Derbyshire</w:t>
      </w:r>
    </w:p>
    <w:p w14:paraId="6367D201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Police and Crime Commissioner for Leicestershire</w:t>
      </w:r>
    </w:p>
    <w:p w14:paraId="20F05EE2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The Police and Crime Commissioner for Lincolnshire </w:t>
      </w:r>
    </w:p>
    <w:p w14:paraId="4074DADE" w14:textId="742617A1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Police</w:t>
      </w:r>
      <w:r w:rsidR="008F0BDB">
        <w:rPr>
          <w:sz w:val="24"/>
          <w:szCs w:val="24"/>
        </w:rPr>
        <w:t>, Fire</w:t>
      </w:r>
      <w:r w:rsidRPr="008B0AD1">
        <w:rPr>
          <w:sz w:val="24"/>
          <w:szCs w:val="24"/>
        </w:rPr>
        <w:t xml:space="preserve"> and Crime Commissioner for Northamptonshire </w:t>
      </w:r>
    </w:p>
    <w:p w14:paraId="5DFD5D86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The Police and Crime Commissioner for Nottinghamshire </w:t>
      </w:r>
    </w:p>
    <w:p w14:paraId="5BF9C694" w14:textId="6C178621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South Yorkshire</w:t>
      </w:r>
      <w:r w:rsidR="00CD56C0">
        <w:rPr>
          <w:sz w:val="24"/>
          <w:szCs w:val="24"/>
        </w:rPr>
        <w:t xml:space="preserve"> Mayoral Combined Authority</w:t>
      </w:r>
    </w:p>
    <w:p w14:paraId="184400FF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Chief Constable of Derbyshire Constabulary</w:t>
      </w:r>
    </w:p>
    <w:p w14:paraId="03E6F954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Chief Constable of Leicestershire Constabulary</w:t>
      </w:r>
    </w:p>
    <w:p w14:paraId="4EF7B1F4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Chief Constable of Lincolnshire Constabulary</w:t>
      </w:r>
    </w:p>
    <w:p w14:paraId="0F72BE74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Chief Constable of Northamptonshire Police</w:t>
      </w:r>
    </w:p>
    <w:p w14:paraId="40010F54" w14:textId="77777777" w:rsidR="000D5123" w:rsidRPr="008B0AD1" w:rsidRDefault="000D5123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Chief Constable of Nottinghamshire Police.</w:t>
      </w:r>
    </w:p>
    <w:p w14:paraId="03B5E349" w14:textId="77777777" w:rsidR="008F048B" w:rsidRPr="008B0AD1" w:rsidRDefault="008F048B" w:rsidP="003148B8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The Chief Constable of South Yorkshire Police</w:t>
      </w:r>
    </w:p>
    <w:p w14:paraId="021CD470" w14:textId="497F500D" w:rsidR="00EB26C2" w:rsidRPr="008B0AD1" w:rsidRDefault="00EB26C2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This agreement shall take effect from </w:t>
      </w:r>
      <w:r w:rsidR="00C226B4">
        <w:rPr>
          <w:sz w:val="24"/>
          <w:szCs w:val="24"/>
        </w:rPr>
        <w:t>25</w:t>
      </w:r>
      <w:r w:rsidR="00C226B4">
        <w:rPr>
          <w:sz w:val="24"/>
          <w:szCs w:val="24"/>
          <w:vertAlign w:val="superscript"/>
        </w:rPr>
        <w:t xml:space="preserve"> </w:t>
      </w:r>
      <w:r w:rsidR="00C226B4">
        <w:rPr>
          <w:sz w:val="24"/>
          <w:szCs w:val="24"/>
        </w:rPr>
        <w:t xml:space="preserve">April 2024 </w:t>
      </w:r>
      <w:r w:rsidR="009256C2" w:rsidRPr="008B0AD1">
        <w:rPr>
          <w:sz w:val="24"/>
          <w:szCs w:val="24"/>
        </w:rPr>
        <w:t xml:space="preserve">and </w:t>
      </w:r>
      <w:r w:rsidR="00066FEF" w:rsidRPr="008B0AD1">
        <w:rPr>
          <w:sz w:val="24"/>
          <w:szCs w:val="24"/>
        </w:rPr>
        <w:t xml:space="preserve">shall continue until </w:t>
      </w:r>
      <w:r w:rsidR="000D5123" w:rsidRPr="008B0AD1">
        <w:rPr>
          <w:sz w:val="24"/>
          <w:szCs w:val="24"/>
        </w:rPr>
        <w:t xml:space="preserve">such time as </w:t>
      </w:r>
      <w:r w:rsidR="008F048B" w:rsidRPr="008B0AD1">
        <w:rPr>
          <w:sz w:val="24"/>
          <w:szCs w:val="24"/>
        </w:rPr>
        <w:t xml:space="preserve">it is </w:t>
      </w:r>
      <w:r w:rsidR="00066FEF" w:rsidRPr="008B0AD1">
        <w:rPr>
          <w:sz w:val="24"/>
          <w:szCs w:val="24"/>
        </w:rPr>
        <w:t>terminated by operation of law or statute or by the express written agreement of the Parties.</w:t>
      </w:r>
    </w:p>
    <w:p w14:paraId="708BB19F" w14:textId="1B5C5242" w:rsidR="0001532E" w:rsidRPr="008B0AD1" w:rsidRDefault="008C4B78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Nothing in this agreement is intended to seek to reduce or otherwise affect the direction or control that each </w:t>
      </w:r>
      <w:r w:rsidR="00424C23">
        <w:rPr>
          <w:sz w:val="24"/>
          <w:szCs w:val="24"/>
        </w:rPr>
        <w:t>Chief Constable</w:t>
      </w:r>
      <w:r w:rsidRPr="008B0AD1">
        <w:rPr>
          <w:sz w:val="24"/>
          <w:szCs w:val="24"/>
        </w:rPr>
        <w:t xml:space="preserve"> has over the officers and staff of their police force.</w:t>
      </w:r>
    </w:p>
    <w:p w14:paraId="7BF4E445" w14:textId="222789C2" w:rsidR="00D5075F" w:rsidRPr="008B0AD1" w:rsidRDefault="00377FFD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Where the Agreement is terminated and not replaced within three months by a new collaboration agreement, </w:t>
      </w:r>
      <w:r w:rsidR="00814C0F" w:rsidRPr="008B0AD1">
        <w:rPr>
          <w:sz w:val="24"/>
          <w:szCs w:val="24"/>
        </w:rPr>
        <w:t>t</w:t>
      </w:r>
      <w:r w:rsidRPr="008B0AD1">
        <w:rPr>
          <w:sz w:val="24"/>
          <w:szCs w:val="24"/>
        </w:rPr>
        <w:t>he responsibility for any ongoing or outsta</w:t>
      </w:r>
      <w:r w:rsidR="00643289" w:rsidRPr="008B0AD1">
        <w:rPr>
          <w:sz w:val="24"/>
          <w:szCs w:val="24"/>
        </w:rPr>
        <w:t>nd</w:t>
      </w:r>
      <w:r w:rsidRPr="008B0AD1">
        <w:rPr>
          <w:sz w:val="24"/>
          <w:szCs w:val="24"/>
        </w:rPr>
        <w:t>ing police operation, investigation or prosecution</w:t>
      </w:r>
      <w:r w:rsidR="00814C0F" w:rsidRPr="008B0AD1">
        <w:rPr>
          <w:sz w:val="24"/>
          <w:szCs w:val="24"/>
        </w:rPr>
        <w:t xml:space="preserve"> including any associated costs and liabilities</w:t>
      </w:r>
      <w:r w:rsidRPr="008B0AD1">
        <w:rPr>
          <w:sz w:val="24"/>
          <w:szCs w:val="24"/>
        </w:rPr>
        <w:t xml:space="preserve"> will transfer to the </w:t>
      </w:r>
      <w:r w:rsidR="00424C23">
        <w:rPr>
          <w:sz w:val="24"/>
          <w:szCs w:val="24"/>
        </w:rPr>
        <w:t>Chief Constable</w:t>
      </w:r>
      <w:r w:rsidRPr="008B0AD1">
        <w:rPr>
          <w:sz w:val="24"/>
          <w:szCs w:val="24"/>
        </w:rPr>
        <w:t xml:space="preserve"> o</w:t>
      </w:r>
      <w:r w:rsidR="00A05096" w:rsidRPr="008B0AD1">
        <w:rPr>
          <w:sz w:val="24"/>
          <w:szCs w:val="24"/>
        </w:rPr>
        <w:t>f</w:t>
      </w:r>
      <w:r w:rsidRPr="008B0AD1">
        <w:rPr>
          <w:sz w:val="24"/>
          <w:szCs w:val="24"/>
        </w:rPr>
        <w:t xml:space="preserve"> the force area where the operation, </w:t>
      </w:r>
      <w:r w:rsidRPr="008B0AD1">
        <w:rPr>
          <w:sz w:val="24"/>
          <w:szCs w:val="24"/>
        </w:rPr>
        <w:lastRenderedPageBreak/>
        <w:t>investigation or prosecution is primarily based.</w:t>
      </w:r>
      <w:r w:rsidR="00814C0F" w:rsidRPr="008B0AD1">
        <w:rPr>
          <w:sz w:val="24"/>
          <w:szCs w:val="24"/>
        </w:rPr>
        <w:t xml:space="preserve"> All Chief </w:t>
      </w:r>
      <w:r w:rsidR="00424C23">
        <w:rPr>
          <w:sz w:val="24"/>
          <w:szCs w:val="24"/>
        </w:rPr>
        <w:t xml:space="preserve">Constables </w:t>
      </w:r>
      <w:r w:rsidR="000D5123" w:rsidRPr="008B0AD1">
        <w:rPr>
          <w:sz w:val="24"/>
          <w:szCs w:val="24"/>
        </w:rPr>
        <w:t xml:space="preserve">and </w:t>
      </w:r>
      <w:r w:rsidR="00424C23">
        <w:rPr>
          <w:sz w:val="24"/>
          <w:szCs w:val="24"/>
        </w:rPr>
        <w:t xml:space="preserve">Policing Bodies </w:t>
      </w:r>
      <w:r w:rsidR="00814C0F" w:rsidRPr="008B0AD1">
        <w:rPr>
          <w:sz w:val="24"/>
          <w:szCs w:val="24"/>
        </w:rPr>
        <w:t xml:space="preserve">will seek to minimise the effect </w:t>
      </w:r>
      <w:r w:rsidR="00B94846" w:rsidRPr="008B0AD1">
        <w:rPr>
          <w:sz w:val="24"/>
          <w:szCs w:val="24"/>
        </w:rPr>
        <w:t xml:space="preserve">of termination </w:t>
      </w:r>
      <w:r w:rsidR="00814C0F" w:rsidRPr="008B0AD1">
        <w:rPr>
          <w:sz w:val="24"/>
          <w:szCs w:val="24"/>
        </w:rPr>
        <w:t xml:space="preserve">on any such ongoing operation, investigation or prosecution by providing reasonable and proportionate assistance to the Chief </w:t>
      </w:r>
      <w:r w:rsidR="00424C23">
        <w:rPr>
          <w:sz w:val="24"/>
          <w:szCs w:val="24"/>
        </w:rPr>
        <w:t xml:space="preserve">Constable </w:t>
      </w:r>
      <w:r w:rsidR="00814C0F" w:rsidRPr="008B0AD1">
        <w:rPr>
          <w:sz w:val="24"/>
          <w:szCs w:val="24"/>
        </w:rPr>
        <w:t>assuming responsibility.</w:t>
      </w:r>
    </w:p>
    <w:p w14:paraId="270DD142" w14:textId="3A7CB26E" w:rsidR="000D5123" w:rsidRPr="008B0AD1" w:rsidRDefault="000D5123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The </w:t>
      </w:r>
      <w:r w:rsidR="00410BCA">
        <w:rPr>
          <w:sz w:val="24"/>
          <w:szCs w:val="24"/>
        </w:rPr>
        <w:t>Policing Body</w:t>
      </w:r>
      <w:r w:rsidRPr="008B0AD1">
        <w:rPr>
          <w:sz w:val="24"/>
          <w:szCs w:val="24"/>
        </w:rPr>
        <w:t xml:space="preserve"> for each force shall be responsible for the governance of this collaboration and for the holding to account the relevant </w:t>
      </w:r>
      <w:r w:rsidR="00424C23">
        <w:rPr>
          <w:sz w:val="24"/>
          <w:szCs w:val="24"/>
        </w:rPr>
        <w:t>Chief Constable</w:t>
      </w:r>
      <w:r w:rsidRPr="008B0AD1">
        <w:rPr>
          <w:sz w:val="24"/>
          <w:szCs w:val="24"/>
        </w:rPr>
        <w:t xml:space="preserve"> for the discharge of functions by anyone who is acting under the terms of this collaboration agreement.</w:t>
      </w:r>
    </w:p>
    <w:p w14:paraId="5DF2FDD3" w14:textId="1D4E2903" w:rsidR="0042534F" w:rsidRPr="008B0AD1" w:rsidRDefault="0042534F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 xml:space="preserve">The </w:t>
      </w:r>
      <w:r w:rsidR="0001532E" w:rsidRPr="008B0AD1">
        <w:rPr>
          <w:sz w:val="24"/>
          <w:szCs w:val="24"/>
        </w:rPr>
        <w:t xml:space="preserve">provisions </w:t>
      </w:r>
      <w:r w:rsidR="00066FEF" w:rsidRPr="008B0AD1">
        <w:rPr>
          <w:sz w:val="24"/>
          <w:szCs w:val="24"/>
        </w:rPr>
        <w:t xml:space="preserve">listed </w:t>
      </w:r>
      <w:r w:rsidR="004C3BEE" w:rsidRPr="008B0AD1">
        <w:rPr>
          <w:sz w:val="24"/>
          <w:szCs w:val="24"/>
        </w:rPr>
        <w:t>in</w:t>
      </w:r>
      <w:r w:rsidR="00066FEF" w:rsidRPr="008B0AD1">
        <w:rPr>
          <w:sz w:val="24"/>
          <w:szCs w:val="24"/>
        </w:rPr>
        <w:t xml:space="preserve"> paragraph 1</w:t>
      </w:r>
      <w:r w:rsidR="00FB3F2E">
        <w:rPr>
          <w:sz w:val="24"/>
          <w:szCs w:val="24"/>
        </w:rPr>
        <w:t>0</w:t>
      </w:r>
      <w:r w:rsidR="00066FEF" w:rsidRPr="008B0AD1">
        <w:rPr>
          <w:sz w:val="24"/>
          <w:szCs w:val="24"/>
        </w:rPr>
        <w:t xml:space="preserve"> </w:t>
      </w:r>
      <w:r w:rsidRPr="008B0AD1">
        <w:rPr>
          <w:sz w:val="24"/>
          <w:szCs w:val="24"/>
        </w:rPr>
        <w:t xml:space="preserve">are </w:t>
      </w:r>
      <w:r w:rsidR="0001532E" w:rsidRPr="008B0AD1">
        <w:rPr>
          <w:sz w:val="24"/>
          <w:szCs w:val="24"/>
        </w:rPr>
        <w:t>contained within</w:t>
      </w:r>
      <w:r w:rsidR="009007E6" w:rsidRPr="008B0AD1">
        <w:rPr>
          <w:sz w:val="24"/>
          <w:szCs w:val="24"/>
        </w:rPr>
        <w:t xml:space="preserve"> </w:t>
      </w:r>
      <w:r w:rsidR="008F048B" w:rsidRPr="008B0AD1">
        <w:rPr>
          <w:sz w:val="24"/>
          <w:szCs w:val="24"/>
        </w:rPr>
        <w:t xml:space="preserve">this agreement </w:t>
      </w:r>
      <w:r w:rsidR="005508ED" w:rsidRPr="008B0AD1">
        <w:rPr>
          <w:sz w:val="24"/>
          <w:szCs w:val="24"/>
        </w:rPr>
        <w:t>but</w:t>
      </w:r>
      <w:r w:rsidRPr="008B0AD1">
        <w:rPr>
          <w:sz w:val="24"/>
          <w:szCs w:val="24"/>
        </w:rPr>
        <w:t xml:space="preserve"> their </w:t>
      </w:r>
      <w:r w:rsidR="00066FEF" w:rsidRPr="008B0AD1">
        <w:rPr>
          <w:sz w:val="24"/>
          <w:szCs w:val="24"/>
        </w:rPr>
        <w:t xml:space="preserve">detailed </w:t>
      </w:r>
      <w:r w:rsidR="00D24A44" w:rsidRPr="008B0AD1">
        <w:rPr>
          <w:sz w:val="24"/>
          <w:szCs w:val="24"/>
        </w:rPr>
        <w:t>publication</w:t>
      </w:r>
      <w:r w:rsidR="00066FEF" w:rsidRPr="008B0AD1">
        <w:rPr>
          <w:sz w:val="24"/>
          <w:szCs w:val="24"/>
        </w:rPr>
        <w:t xml:space="preserve"> i</w:t>
      </w:r>
      <w:r w:rsidRPr="008B0AD1">
        <w:rPr>
          <w:sz w:val="24"/>
          <w:szCs w:val="24"/>
        </w:rPr>
        <w:t>s not deemed appropriate as</w:t>
      </w:r>
      <w:r w:rsidR="00D24A44" w:rsidRPr="008B0AD1">
        <w:rPr>
          <w:sz w:val="24"/>
          <w:szCs w:val="24"/>
        </w:rPr>
        <w:t xml:space="preserve"> </w:t>
      </w:r>
      <w:r w:rsidR="004C3BEE" w:rsidRPr="008B0AD1">
        <w:rPr>
          <w:sz w:val="24"/>
          <w:szCs w:val="24"/>
        </w:rPr>
        <w:t>either:</w:t>
      </w:r>
    </w:p>
    <w:p w14:paraId="4E007A71" w14:textId="77777777" w:rsidR="00066FEF" w:rsidRPr="008B0AD1" w:rsidRDefault="004C3BEE" w:rsidP="003148B8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</w:t>
      </w:r>
      <w:r w:rsidR="00066FEF" w:rsidRPr="008B0AD1">
        <w:rPr>
          <w:sz w:val="24"/>
          <w:szCs w:val="24"/>
        </w:rPr>
        <w:t>hey are merely standard boiler plate clauses and are not considered controversial in any way</w:t>
      </w:r>
      <w:r w:rsidRPr="008B0AD1">
        <w:rPr>
          <w:sz w:val="24"/>
          <w:szCs w:val="24"/>
        </w:rPr>
        <w:t>; or</w:t>
      </w:r>
    </w:p>
    <w:p w14:paraId="03662562" w14:textId="77777777" w:rsidR="00066FEF" w:rsidRPr="008B0AD1" w:rsidRDefault="004C3BEE" w:rsidP="003148B8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t</w:t>
      </w:r>
      <w:r w:rsidR="00066FEF" w:rsidRPr="008B0AD1">
        <w:rPr>
          <w:sz w:val="24"/>
          <w:szCs w:val="24"/>
        </w:rPr>
        <w:t xml:space="preserve">hey contain sensitive operational or commercial information which it is not considered in </w:t>
      </w:r>
      <w:r w:rsidRPr="008B0AD1">
        <w:rPr>
          <w:sz w:val="24"/>
          <w:szCs w:val="24"/>
        </w:rPr>
        <w:t>the public interest to disclose.</w:t>
      </w:r>
    </w:p>
    <w:p w14:paraId="3577E695" w14:textId="77777777" w:rsidR="009007E6" w:rsidRPr="008B0AD1" w:rsidRDefault="004C3BEE" w:rsidP="003148B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8B0AD1">
        <w:rPr>
          <w:sz w:val="24"/>
          <w:szCs w:val="24"/>
        </w:rPr>
        <w:t>List of other provisions: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066"/>
      </w:tblGrid>
      <w:tr w:rsidR="00A033BA" w:rsidRPr="008B0AD1" w14:paraId="433EAD33" w14:textId="77777777" w:rsidTr="0006669E">
        <w:tc>
          <w:tcPr>
            <w:tcW w:w="4369" w:type="dxa"/>
          </w:tcPr>
          <w:p w14:paraId="53D5BE71" w14:textId="77777777" w:rsidR="00A033BA" w:rsidRPr="008B0AD1" w:rsidRDefault="00A033BA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Introduction and Legal Context</w:t>
            </w:r>
          </w:p>
        </w:tc>
        <w:tc>
          <w:tcPr>
            <w:tcW w:w="4153" w:type="dxa"/>
          </w:tcPr>
          <w:p w14:paraId="49F7D1F6" w14:textId="5A96B87A" w:rsidR="00A033BA" w:rsidRPr="008B0AD1" w:rsidRDefault="00A033BA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 xml:space="preserve">Binding </w:t>
            </w:r>
            <w:r w:rsidR="00D4135E">
              <w:rPr>
                <w:sz w:val="24"/>
                <w:szCs w:val="24"/>
              </w:rPr>
              <w:t>N</w:t>
            </w:r>
            <w:r w:rsidRPr="008B0AD1">
              <w:rPr>
                <w:sz w:val="24"/>
                <w:szCs w:val="24"/>
              </w:rPr>
              <w:t>ature of this Agreement</w:t>
            </w:r>
          </w:p>
        </w:tc>
      </w:tr>
      <w:tr w:rsidR="00A033BA" w:rsidRPr="008B0AD1" w14:paraId="762470F7" w14:textId="77777777" w:rsidTr="0006669E">
        <w:tc>
          <w:tcPr>
            <w:tcW w:w="4369" w:type="dxa"/>
          </w:tcPr>
          <w:p w14:paraId="56874768" w14:textId="77777777" w:rsidR="00A033BA" w:rsidRPr="008B0AD1" w:rsidRDefault="00A033BA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Definitions and Interpretations</w:t>
            </w:r>
          </w:p>
        </w:tc>
        <w:tc>
          <w:tcPr>
            <w:tcW w:w="4153" w:type="dxa"/>
          </w:tcPr>
          <w:p w14:paraId="1ECB3E5E" w14:textId="41F7215C" w:rsidR="00A033BA" w:rsidRPr="008B0AD1" w:rsidRDefault="00A033BA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Illegal/</w:t>
            </w:r>
            <w:r w:rsidR="0046496C">
              <w:rPr>
                <w:sz w:val="24"/>
                <w:szCs w:val="24"/>
              </w:rPr>
              <w:t>U</w:t>
            </w:r>
            <w:r w:rsidRPr="008B0AD1">
              <w:rPr>
                <w:sz w:val="24"/>
                <w:szCs w:val="24"/>
              </w:rPr>
              <w:t xml:space="preserve">nenforceable </w:t>
            </w:r>
            <w:r w:rsidR="0046496C">
              <w:rPr>
                <w:sz w:val="24"/>
                <w:szCs w:val="24"/>
              </w:rPr>
              <w:t>P</w:t>
            </w:r>
            <w:r w:rsidRPr="008B0AD1">
              <w:rPr>
                <w:sz w:val="24"/>
                <w:szCs w:val="24"/>
              </w:rPr>
              <w:t>rovisions</w:t>
            </w:r>
          </w:p>
        </w:tc>
      </w:tr>
      <w:tr w:rsidR="00A033BA" w:rsidRPr="008B0AD1" w14:paraId="5FA213E6" w14:textId="77777777" w:rsidTr="0006669E">
        <w:tc>
          <w:tcPr>
            <w:tcW w:w="4369" w:type="dxa"/>
          </w:tcPr>
          <w:p w14:paraId="6F0EA53F" w14:textId="2943EEA1" w:rsidR="00A033BA" w:rsidRPr="008B0AD1" w:rsidRDefault="00424C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Constable</w:t>
            </w:r>
            <w:r w:rsidR="00FB3F2E">
              <w:rPr>
                <w:sz w:val="24"/>
                <w:szCs w:val="24"/>
              </w:rPr>
              <w:t>’</w:t>
            </w:r>
            <w:r w:rsidR="00A033BA" w:rsidRPr="008B0AD1">
              <w:rPr>
                <w:sz w:val="24"/>
                <w:szCs w:val="24"/>
              </w:rPr>
              <w:t>s Responsibilities</w:t>
            </w:r>
          </w:p>
        </w:tc>
        <w:tc>
          <w:tcPr>
            <w:tcW w:w="4153" w:type="dxa"/>
          </w:tcPr>
          <w:p w14:paraId="1FE642EC" w14:textId="020E5DF2" w:rsidR="00A033BA" w:rsidRPr="008B0AD1" w:rsidRDefault="00A033BA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 xml:space="preserve">Waiver of </w:t>
            </w:r>
            <w:r w:rsidR="00D4135E">
              <w:rPr>
                <w:sz w:val="24"/>
                <w:szCs w:val="24"/>
              </w:rPr>
              <w:t>R</w:t>
            </w:r>
            <w:r w:rsidRPr="008B0AD1">
              <w:rPr>
                <w:sz w:val="24"/>
                <w:szCs w:val="24"/>
              </w:rPr>
              <w:t>ights</w:t>
            </w:r>
          </w:p>
        </w:tc>
      </w:tr>
      <w:tr w:rsidR="00A033BA" w:rsidRPr="008B0AD1" w14:paraId="112FFB2E" w14:textId="77777777" w:rsidTr="0006669E">
        <w:tc>
          <w:tcPr>
            <w:tcW w:w="4369" w:type="dxa"/>
          </w:tcPr>
          <w:p w14:paraId="67E25949" w14:textId="77777777" w:rsidR="00A033BA" w:rsidRPr="008B0AD1" w:rsidRDefault="00A033BA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Disputes and Arbitration</w:t>
            </w:r>
          </w:p>
        </w:tc>
        <w:tc>
          <w:tcPr>
            <w:tcW w:w="4153" w:type="dxa"/>
          </w:tcPr>
          <w:p w14:paraId="71883396" w14:textId="77777777" w:rsidR="00A033BA" w:rsidRPr="008B0AD1" w:rsidRDefault="000D51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 xml:space="preserve">Further Assurance </w:t>
            </w:r>
          </w:p>
        </w:tc>
      </w:tr>
      <w:tr w:rsidR="00A033BA" w:rsidRPr="008B0AD1" w14:paraId="4C371296" w14:textId="77777777" w:rsidTr="0006669E">
        <w:tc>
          <w:tcPr>
            <w:tcW w:w="4369" w:type="dxa"/>
          </w:tcPr>
          <w:p w14:paraId="78C3C696" w14:textId="77777777" w:rsidR="00A033BA" w:rsidRPr="008B0AD1" w:rsidRDefault="00A033BA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 xml:space="preserve">Information </w:t>
            </w:r>
            <w:r w:rsidR="000D5123" w:rsidRPr="008B0AD1">
              <w:rPr>
                <w:sz w:val="24"/>
                <w:szCs w:val="24"/>
              </w:rPr>
              <w:t>Assurance</w:t>
            </w:r>
          </w:p>
        </w:tc>
        <w:tc>
          <w:tcPr>
            <w:tcW w:w="4153" w:type="dxa"/>
          </w:tcPr>
          <w:p w14:paraId="09A64F26" w14:textId="77777777" w:rsidR="00A033BA" w:rsidRPr="008B0AD1" w:rsidRDefault="000D51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Counterparts</w:t>
            </w:r>
          </w:p>
        </w:tc>
      </w:tr>
      <w:tr w:rsidR="000D5123" w:rsidRPr="008B0AD1" w14:paraId="46E925AC" w14:textId="77777777" w:rsidTr="0006669E">
        <w:tc>
          <w:tcPr>
            <w:tcW w:w="4369" w:type="dxa"/>
          </w:tcPr>
          <w:p w14:paraId="7B9A7593" w14:textId="77777777" w:rsidR="00D20720" w:rsidRDefault="00D20720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</w:p>
          <w:p w14:paraId="77D0DDA7" w14:textId="70CCCB26" w:rsidR="000D5123" w:rsidRPr="008B0AD1" w:rsidRDefault="000D51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Liabilities</w:t>
            </w:r>
          </w:p>
        </w:tc>
        <w:tc>
          <w:tcPr>
            <w:tcW w:w="4153" w:type="dxa"/>
          </w:tcPr>
          <w:p w14:paraId="42BA02CF" w14:textId="77777777" w:rsidR="0033666C" w:rsidRDefault="000D51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Publicity</w:t>
            </w:r>
            <w:r w:rsidR="0033666C" w:rsidRPr="008B0AD1">
              <w:rPr>
                <w:sz w:val="24"/>
                <w:szCs w:val="24"/>
              </w:rPr>
              <w:t xml:space="preserve"> </w:t>
            </w:r>
          </w:p>
          <w:p w14:paraId="22D455B7" w14:textId="61ACF182" w:rsidR="000D5123" w:rsidRPr="008B0AD1" w:rsidRDefault="0033666C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 xml:space="preserve">Third </w:t>
            </w:r>
            <w:r>
              <w:rPr>
                <w:sz w:val="24"/>
                <w:szCs w:val="24"/>
              </w:rPr>
              <w:t>P</w:t>
            </w:r>
            <w:r w:rsidRPr="008B0AD1">
              <w:rPr>
                <w:sz w:val="24"/>
                <w:szCs w:val="24"/>
              </w:rPr>
              <w:t>arties</w:t>
            </w:r>
          </w:p>
        </w:tc>
      </w:tr>
      <w:tr w:rsidR="000D5123" w:rsidRPr="008B0AD1" w14:paraId="577A2BD1" w14:textId="77777777" w:rsidTr="0006669E">
        <w:tc>
          <w:tcPr>
            <w:tcW w:w="4369" w:type="dxa"/>
          </w:tcPr>
          <w:p w14:paraId="7957094E" w14:textId="77777777" w:rsidR="000D5123" w:rsidRPr="008B0AD1" w:rsidRDefault="000D51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Notices</w:t>
            </w:r>
          </w:p>
        </w:tc>
        <w:tc>
          <w:tcPr>
            <w:tcW w:w="4153" w:type="dxa"/>
          </w:tcPr>
          <w:p w14:paraId="1B0CDCAA" w14:textId="2F2D5766" w:rsidR="000D5123" w:rsidRPr="008B0AD1" w:rsidRDefault="0033666C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Governing Law</w:t>
            </w:r>
          </w:p>
        </w:tc>
      </w:tr>
      <w:tr w:rsidR="000D5123" w:rsidRPr="008B0AD1" w14:paraId="3DA84C0F" w14:textId="77777777" w:rsidTr="0006669E">
        <w:tc>
          <w:tcPr>
            <w:tcW w:w="4369" w:type="dxa"/>
          </w:tcPr>
          <w:p w14:paraId="04EFC466" w14:textId="77777777" w:rsidR="000D5123" w:rsidRPr="008B0AD1" w:rsidRDefault="000D51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B0AD1">
              <w:rPr>
                <w:sz w:val="24"/>
                <w:szCs w:val="24"/>
              </w:rPr>
              <w:t>Assignment</w:t>
            </w:r>
          </w:p>
        </w:tc>
        <w:tc>
          <w:tcPr>
            <w:tcW w:w="4153" w:type="dxa"/>
          </w:tcPr>
          <w:p w14:paraId="7D4E3DDD" w14:textId="7EC38E0C" w:rsidR="000D5123" w:rsidRPr="008B0AD1" w:rsidRDefault="000D5123" w:rsidP="003148B8">
            <w:pPr>
              <w:pStyle w:val="ListParagraph"/>
              <w:spacing w:after="120"/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14:paraId="7C7AB031" w14:textId="77777777" w:rsidR="0006669E" w:rsidRPr="008B0AD1" w:rsidRDefault="0006669E" w:rsidP="003148B8">
      <w:pPr>
        <w:spacing w:after="120" w:line="240" w:lineRule="auto"/>
        <w:jc w:val="both"/>
        <w:rPr>
          <w:sz w:val="24"/>
          <w:szCs w:val="24"/>
        </w:rPr>
      </w:pPr>
    </w:p>
    <w:sectPr w:rsidR="0006669E" w:rsidRPr="008B0AD1" w:rsidSect="003148B8">
      <w:headerReference w:type="first" r:id="rId8"/>
      <w:pgSz w:w="11906" w:h="16838"/>
      <w:pgMar w:top="993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9E5D" w14:textId="77777777" w:rsidR="0050632D" w:rsidRDefault="0050632D" w:rsidP="001C61E3">
      <w:pPr>
        <w:spacing w:after="0" w:line="240" w:lineRule="auto"/>
      </w:pPr>
      <w:r>
        <w:separator/>
      </w:r>
    </w:p>
  </w:endnote>
  <w:endnote w:type="continuationSeparator" w:id="0">
    <w:p w14:paraId="0114C1C7" w14:textId="77777777" w:rsidR="0050632D" w:rsidRDefault="0050632D" w:rsidP="001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345C" w14:textId="77777777" w:rsidR="0050632D" w:rsidRDefault="0050632D" w:rsidP="001C61E3">
      <w:pPr>
        <w:spacing w:after="0" w:line="240" w:lineRule="auto"/>
      </w:pPr>
      <w:r>
        <w:separator/>
      </w:r>
    </w:p>
  </w:footnote>
  <w:footnote w:type="continuationSeparator" w:id="0">
    <w:p w14:paraId="5749710C" w14:textId="77777777" w:rsidR="0050632D" w:rsidRDefault="0050632D" w:rsidP="001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6A83" w14:textId="4EDEF4E5" w:rsidR="00A96932" w:rsidRPr="003148B8" w:rsidRDefault="003148B8">
    <w:pPr>
      <w:pStyle w:val="Header"/>
      <w:rPr>
        <w:sz w:val="16"/>
        <w:szCs w:val="16"/>
      </w:rPr>
    </w:pPr>
    <w:r w:rsidRPr="003148B8">
      <w:rPr>
        <w:sz w:val="16"/>
        <w:szCs w:val="16"/>
      </w:rPr>
      <w:t xml:space="preserve">Communications Data Cross Border (East Midlands and South Yorkshire) summary </w:t>
    </w:r>
    <w:r w:rsidR="00076C25">
      <w:rPr>
        <w:sz w:val="16"/>
        <w:szCs w:val="16"/>
      </w:rPr>
      <w:t>final 3 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531"/>
    <w:multiLevelType w:val="hybridMultilevel"/>
    <w:tmpl w:val="8FCACC9E"/>
    <w:lvl w:ilvl="0" w:tplc="0809001B">
      <w:start w:val="1"/>
      <w:numFmt w:val="lowerRoman"/>
      <w:lvlText w:val="%1."/>
      <w:lvlJc w:val="righ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105828F3"/>
    <w:multiLevelType w:val="hybridMultilevel"/>
    <w:tmpl w:val="39D2778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760E9"/>
    <w:multiLevelType w:val="hybridMultilevel"/>
    <w:tmpl w:val="1CA8C36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C6107"/>
    <w:multiLevelType w:val="hybridMultilevel"/>
    <w:tmpl w:val="84148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0F750C"/>
    <w:multiLevelType w:val="hybridMultilevel"/>
    <w:tmpl w:val="91525D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0FA7"/>
    <w:multiLevelType w:val="hybridMultilevel"/>
    <w:tmpl w:val="703C0D8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129370">
    <w:abstractNumId w:val="5"/>
  </w:num>
  <w:num w:numId="2" w16cid:durableId="1151100933">
    <w:abstractNumId w:val="4"/>
  </w:num>
  <w:num w:numId="3" w16cid:durableId="917445697">
    <w:abstractNumId w:val="1"/>
  </w:num>
  <w:num w:numId="4" w16cid:durableId="545337852">
    <w:abstractNumId w:val="3"/>
  </w:num>
  <w:num w:numId="5" w16cid:durableId="726027649">
    <w:abstractNumId w:val="0"/>
  </w:num>
  <w:num w:numId="6" w16cid:durableId="306936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E7"/>
    <w:rsid w:val="0001532E"/>
    <w:rsid w:val="00016EC2"/>
    <w:rsid w:val="00047EA0"/>
    <w:rsid w:val="00061C17"/>
    <w:rsid w:val="0006669E"/>
    <w:rsid w:val="00066FEF"/>
    <w:rsid w:val="000712E7"/>
    <w:rsid w:val="000741BD"/>
    <w:rsid w:val="00076C25"/>
    <w:rsid w:val="00091BA2"/>
    <w:rsid w:val="000A39E7"/>
    <w:rsid w:val="000D275F"/>
    <w:rsid w:val="000D5123"/>
    <w:rsid w:val="000E011D"/>
    <w:rsid w:val="00117D6B"/>
    <w:rsid w:val="00133CE6"/>
    <w:rsid w:val="00163007"/>
    <w:rsid w:val="001C61E3"/>
    <w:rsid w:val="001D67E8"/>
    <w:rsid w:val="00216B2A"/>
    <w:rsid w:val="00240E0E"/>
    <w:rsid w:val="00275617"/>
    <w:rsid w:val="00292AA0"/>
    <w:rsid w:val="002A1211"/>
    <w:rsid w:val="002B33EF"/>
    <w:rsid w:val="002B4856"/>
    <w:rsid w:val="003148B8"/>
    <w:rsid w:val="0033666C"/>
    <w:rsid w:val="003655CA"/>
    <w:rsid w:val="00377FFD"/>
    <w:rsid w:val="00384936"/>
    <w:rsid w:val="003F004F"/>
    <w:rsid w:val="003F2A50"/>
    <w:rsid w:val="00410BCA"/>
    <w:rsid w:val="00424C23"/>
    <w:rsid w:val="0042534F"/>
    <w:rsid w:val="0046496C"/>
    <w:rsid w:val="0048063B"/>
    <w:rsid w:val="004A00C1"/>
    <w:rsid w:val="004C3BEE"/>
    <w:rsid w:val="0050632D"/>
    <w:rsid w:val="005405A9"/>
    <w:rsid w:val="005508ED"/>
    <w:rsid w:val="005628BA"/>
    <w:rsid w:val="005E1292"/>
    <w:rsid w:val="00611E63"/>
    <w:rsid w:val="00624453"/>
    <w:rsid w:val="00637C81"/>
    <w:rsid w:val="00643289"/>
    <w:rsid w:val="00653397"/>
    <w:rsid w:val="00672AEB"/>
    <w:rsid w:val="006732B4"/>
    <w:rsid w:val="00675CB0"/>
    <w:rsid w:val="006957C1"/>
    <w:rsid w:val="006E5A83"/>
    <w:rsid w:val="006F2042"/>
    <w:rsid w:val="00731464"/>
    <w:rsid w:val="007E3247"/>
    <w:rsid w:val="007F1DDE"/>
    <w:rsid w:val="00814C0F"/>
    <w:rsid w:val="008367CC"/>
    <w:rsid w:val="008A0875"/>
    <w:rsid w:val="008A7077"/>
    <w:rsid w:val="008B0AD1"/>
    <w:rsid w:val="008C38C6"/>
    <w:rsid w:val="008C4B78"/>
    <w:rsid w:val="008D325C"/>
    <w:rsid w:val="008F048B"/>
    <w:rsid w:val="008F0BDB"/>
    <w:rsid w:val="009007E6"/>
    <w:rsid w:val="009256C2"/>
    <w:rsid w:val="00935291"/>
    <w:rsid w:val="00943391"/>
    <w:rsid w:val="00943EDA"/>
    <w:rsid w:val="009947FF"/>
    <w:rsid w:val="009B0293"/>
    <w:rsid w:val="009B364E"/>
    <w:rsid w:val="009D6506"/>
    <w:rsid w:val="009E0EC8"/>
    <w:rsid w:val="00A033BA"/>
    <w:rsid w:val="00A05096"/>
    <w:rsid w:val="00A13CD4"/>
    <w:rsid w:val="00A358B1"/>
    <w:rsid w:val="00A36EA8"/>
    <w:rsid w:val="00A55A2E"/>
    <w:rsid w:val="00A96932"/>
    <w:rsid w:val="00AA4A03"/>
    <w:rsid w:val="00AB4B13"/>
    <w:rsid w:val="00AE47CD"/>
    <w:rsid w:val="00B0312C"/>
    <w:rsid w:val="00B33011"/>
    <w:rsid w:val="00B607E8"/>
    <w:rsid w:val="00B8621E"/>
    <w:rsid w:val="00B94846"/>
    <w:rsid w:val="00BA2E81"/>
    <w:rsid w:val="00BC3216"/>
    <w:rsid w:val="00C226B4"/>
    <w:rsid w:val="00C67ABA"/>
    <w:rsid w:val="00C72C8D"/>
    <w:rsid w:val="00CA5635"/>
    <w:rsid w:val="00CC4504"/>
    <w:rsid w:val="00CD56C0"/>
    <w:rsid w:val="00CF6804"/>
    <w:rsid w:val="00D14A97"/>
    <w:rsid w:val="00D20720"/>
    <w:rsid w:val="00D24A44"/>
    <w:rsid w:val="00D3715D"/>
    <w:rsid w:val="00D4135E"/>
    <w:rsid w:val="00D44E21"/>
    <w:rsid w:val="00D5075F"/>
    <w:rsid w:val="00D554A0"/>
    <w:rsid w:val="00D71D95"/>
    <w:rsid w:val="00E233C8"/>
    <w:rsid w:val="00E46822"/>
    <w:rsid w:val="00EB26C2"/>
    <w:rsid w:val="00EE44F0"/>
    <w:rsid w:val="00F15D0F"/>
    <w:rsid w:val="00F32806"/>
    <w:rsid w:val="00F81895"/>
    <w:rsid w:val="00FA5EDB"/>
    <w:rsid w:val="00FB3F2E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1E3E7"/>
  <w15:docId w15:val="{35A7FCB7-435F-4ACF-A7E0-C7C7E34F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1E3"/>
  </w:style>
  <w:style w:type="paragraph" w:styleId="Footer">
    <w:name w:val="footer"/>
    <w:basedOn w:val="Normal"/>
    <w:link w:val="FooterChar"/>
    <w:uiPriority w:val="99"/>
    <w:unhideWhenUsed/>
    <w:rsid w:val="001C6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1E3"/>
  </w:style>
  <w:style w:type="table" w:styleId="TableGrid">
    <w:name w:val="Table Grid"/>
    <w:basedOn w:val="TableNormal"/>
    <w:uiPriority w:val="59"/>
    <w:rsid w:val="00A0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A71F-AD52-4EEC-A1E6-800E2FD6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Constabulary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6902</dc:creator>
  <cp:lastModifiedBy>Osborne Kate</cp:lastModifiedBy>
  <cp:revision>2</cp:revision>
  <dcterms:created xsi:type="dcterms:W3CDTF">2024-12-04T09:37:00Z</dcterms:created>
  <dcterms:modified xsi:type="dcterms:W3CDTF">2024-12-04T09:37:00Z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3e9faa-a556-4117-b0fa-d55c05913a89_Enabled">
    <vt:lpwstr>true</vt:lpwstr>
  </property>
  <property fmtid="{D5CDD505-2E9C-101B-9397-08002B2CF9AE}" pid="3" name="MSIP_Label_073e9faa-a556-4117-b0fa-d55c05913a89_SetDate">
    <vt:lpwstr>2024-10-01T12:11:23Z</vt:lpwstr>
  </property>
  <property fmtid="{D5CDD505-2E9C-101B-9397-08002B2CF9AE}" pid="4" name="MSIP_Label_073e9faa-a556-4117-b0fa-d55c05913a89_Method">
    <vt:lpwstr>Standard</vt:lpwstr>
  </property>
  <property fmtid="{D5CDD505-2E9C-101B-9397-08002B2CF9AE}" pid="5" name="MSIP_Label_073e9faa-a556-4117-b0fa-d55c05913a89_Name">
    <vt:lpwstr>OFFICIAL</vt:lpwstr>
  </property>
  <property fmtid="{D5CDD505-2E9C-101B-9397-08002B2CF9AE}" pid="6" name="MSIP_Label_073e9faa-a556-4117-b0fa-d55c05913a89_SiteId">
    <vt:lpwstr>ae0a022d-630d-4396-b8fb-58db3061b91b</vt:lpwstr>
  </property>
  <property fmtid="{D5CDD505-2E9C-101B-9397-08002B2CF9AE}" pid="7" name="MSIP_Label_073e9faa-a556-4117-b0fa-d55c05913a89_ActionId">
    <vt:lpwstr>a7d4aaa5-8d34-45c5-9efe-90e788ab649f</vt:lpwstr>
  </property>
  <property fmtid="{D5CDD505-2E9C-101B-9397-08002B2CF9AE}" pid="8" name="MSIP_Label_073e9faa-a556-4117-b0fa-d55c05913a89_ContentBits">
    <vt:lpwstr>0</vt:lpwstr>
  </property>
  <property fmtid="{D5CDD505-2E9C-101B-9397-08002B2CF9AE}" pid="9" name="MSIP_Label_d9cd4a6a-7014-48d6-b119-9b8b87129a7e_Enabled">
    <vt:lpwstr>true</vt:lpwstr>
  </property>
  <property fmtid="{D5CDD505-2E9C-101B-9397-08002B2CF9AE}" pid="10" name="MSIP_Label_d9cd4a6a-7014-48d6-b119-9b8b87129a7e_SetDate">
    <vt:lpwstr>2024-12-04T09:37:22Z</vt:lpwstr>
  </property>
  <property fmtid="{D5CDD505-2E9C-101B-9397-08002B2CF9AE}" pid="11" name="MSIP_Label_d9cd4a6a-7014-48d6-b119-9b8b87129a7e_Method">
    <vt:lpwstr>Standard</vt:lpwstr>
  </property>
  <property fmtid="{D5CDD505-2E9C-101B-9397-08002B2CF9AE}" pid="12" name="MSIP_Label_d9cd4a6a-7014-48d6-b119-9b8b87129a7e_Name">
    <vt:lpwstr>d9cd4a6a-7014-48d6-b119-9b8b87129a7e</vt:lpwstr>
  </property>
  <property fmtid="{D5CDD505-2E9C-101B-9397-08002B2CF9AE}" pid="13" name="MSIP_Label_d9cd4a6a-7014-48d6-b119-9b8b87129a7e_SiteId">
    <vt:lpwstr>bf91f36f-ab89-4503-8c3f-04a029f837d3</vt:lpwstr>
  </property>
  <property fmtid="{D5CDD505-2E9C-101B-9397-08002B2CF9AE}" pid="14" name="MSIP_Label_d9cd4a6a-7014-48d6-b119-9b8b87129a7e_ActionId">
    <vt:lpwstr>e06344aa-4222-4ebb-891b-c062829ff9ac</vt:lpwstr>
  </property>
  <property fmtid="{D5CDD505-2E9C-101B-9397-08002B2CF9AE}" pid="15" name="MSIP_Label_d9cd4a6a-7014-48d6-b119-9b8b87129a7e_ContentBits">
    <vt:lpwstr>0</vt:lpwstr>
  </property>
</Properties>
</file>