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886C2" w14:textId="612984DD" w:rsidR="00BB04C7" w:rsidRDefault="00085EFA" w:rsidP="00A01E9B">
      <w:pPr>
        <w:jc w:val="center"/>
        <w:rPr>
          <w:rFonts w:ascii="Arial" w:hAnsi="Arial" w:cs="Arial"/>
          <w:b/>
          <w:sz w:val="24"/>
          <w:szCs w:val="24"/>
        </w:rPr>
      </w:pPr>
      <w:r>
        <w:rPr>
          <w:noProof/>
        </w:rPr>
        <w:drawing>
          <wp:inline distT="0" distB="0" distL="0" distR="0" wp14:anchorId="032F4D4C" wp14:editId="7A21EBAB">
            <wp:extent cx="1769110" cy="17691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9110" cy="1769110"/>
                    </a:xfrm>
                    <a:prstGeom prst="rect">
                      <a:avLst/>
                    </a:prstGeom>
                    <a:noFill/>
                    <a:ln>
                      <a:noFill/>
                    </a:ln>
                  </pic:spPr>
                </pic:pic>
              </a:graphicData>
            </a:graphic>
          </wp:inline>
        </w:drawing>
      </w:r>
    </w:p>
    <w:p w14:paraId="3F24DF7D" w14:textId="43768D47" w:rsidR="00A01E9B" w:rsidRPr="00BF592B" w:rsidRDefault="00A01E9B" w:rsidP="00A01E9B">
      <w:pPr>
        <w:jc w:val="center"/>
        <w:rPr>
          <w:rFonts w:asciiTheme="minorHAnsi" w:hAnsiTheme="minorHAnsi" w:cstheme="minorHAnsi"/>
          <w:b/>
          <w:sz w:val="24"/>
          <w:szCs w:val="24"/>
        </w:rPr>
      </w:pPr>
      <w:r w:rsidRPr="00BF592B">
        <w:rPr>
          <w:rFonts w:asciiTheme="minorHAnsi" w:hAnsiTheme="minorHAnsi" w:cstheme="minorHAnsi"/>
          <w:b/>
          <w:sz w:val="24"/>
          <w:szCs w:val="24"/>
        </w:rPr>
        <w:t>NORTHAMPTONSHIRE POLICE, FIRE &amp; CRIME PANEL</w:t>
      </w:r>
    </w:p>
    <w:p w14:paraId="049E988E" w14:textId="44191985" w:rsidR="00A01E9B" w:rsidRPr="00BF592B" w:rsidRDefault="00095FC7" w:rsidP="00A01E9B">
      <w:pPr>
        <w:jc w:val="center"/>
        <w:rPr>
          <w:rFonts w:asciiTheme="minorHAnsi" w:hAnsiTheme="minorHAnsi" w:cstheme="minorHAnsi"/>
          <w:b/>
          <w:sz w:val="24"/>
          <w:szCs w:val="24"/>
        </w:rPr>
      </w:pPr>
      <w:r>
        <w:rPr>
          <w:rFonts w:asciiTheme="minorHAnsi" w:hAnsiTheme="minorHAnsi" w:cstheme="minorHAnsi"/>
          <w:b/>
          <w:sz w:val="24"/>
          <w:szCs w:val="24"/>
        </w:rPr>
        <w:t>6</w:t>
      </w:r>
      <w:r w:rsidR="00A01E9B" w:rsidRPr="00BF592B">
        <w:rPr>
          <w:rFonts w:asciiTheme="minorHAnsi" w:hAnsiTheme="minorHAnsi" w:cstheme="minorHAnsi"/>
          <w:b/>
          <w:sz w:val="24"/>
          <w:szCs w:val="24"/>
        </w:rPr>
        <w:t xml:space="preserve"> February 20</w:t>
      </w:r>
      <w:r w:rsidR="004862CF" w:rsidRPr="00BF592B">
        <w:rPr>
          <w:rFonts w:asciiTheme="minorHAnsi" w:hAnsiTheme="minorHAnsi" w:cstheme="minorHAnsi"/>
          <w:b/>
          <w:sz w:val="24"/>
          <w:szCs w:val="24"/>
        </w:rPr>
        <w:t>2</w:t>
      </w:r>
      <w:r>
        <w:rPr>
          <w:rFonts w:asciiTheme="minorHAnsi" w:hAnsiTheme="minorHAnsi" w:cstheme="minorHAnsi"/>
          <w:b/>
          <w:sz w:val="24"/>
          <w:szCs w:val="24"/>
        </w:rPr>
        <w:t>4</w:t>
      </w:r>
    </w:p>
    <w:p w14:paraId="28F8233A" w14:textId="77777777" w:rsidR="00095FC7" w:rsidRDefault="00A01E9B" w:rsidP="00A01E9B">
      <w:pPr>
        <w:jc w:val="center"/>
        <w:rPr>
          <w:rFonts w:asciiTheme="minorHAnsi" w:hAnsiTheme="minorHAnsi" w:cstheme="minorHAnsi"/>
          <w:b/>
          <w:sz w:val="24"/>
          <w:szCs w:val="24"/>
        </w:rPr>
      </w:pPr>
      <w:r w:rsidRPr="00BF592B">
        <w:rPr>
          <w:rFonts w:asciiTheme="minorHAnsi" w:hAnsiTheme="minorHAnsi" w:cstheme="minorHAnsi"/>
          <w:b/>
          <w:sz w:val="24"/>
          <w:szCs w:val="24"/>
        </w:rPr>
        <w:t>REPORT</w:t>
      </w:r>
      <w:r w:rsidRPr="00BF592B">
        <w:rPr>
          <w:rFonts w:asciiTheme="minorHAnsi" w:hAnsiTheme="minorHAnsi" w:cstheme="minorHAnsi"/>
          <w:sz w:val="24"/>
          <w:szCs w:val="24"/>
        </w:rPr>
        <w:t xml:space="preserve"> </w:t>
      </w:r>
      <w:r w:rsidRPr="00BF592B">
        <w:rPr>
          <w:rFonts w:asciiTheme="minorHAnsi" w:hAnsiTheme="minorHAnsi" w:cstheme="minorHAnsi"/>
          <w:b/>
          <w:sz w:val="24"/>
          <w:szCs w:val="24"/>
        </w:rPr>
        <w:t>BY THE POLICE, FIRE AND CRIME COMMISSIONER (PFCC)</w:t>
      </w:r>
    </w:p>
    <w:p w14:paraId="534F2067" w14:textId="775F9586" w:rsidR="00A01E9B" w:rsidRPr="00BF592B" w:rsidRDefault="00A01E9B" w:rsidP="00A01E9B">
      <w:pPr>
        <w:jc w:val="center"/>
        <w:rPr>
          <w:rFonts w:asciiTheme="minorHAnsi" w:hAnsiTheme="minorHAnsi" w:cstheme="minorHAnsi"/>
          <w:b/>
          <w:sz w:val="24"/>
          <w:szCs w:val="24"/>
        </w:rPr>
      </w:pPr>
      <w:r w:rsidRPr="00BF592B">
        <w:rPr>
          <w:rFonts w:asciiTheme="minorHAnsi" w:hAnsiTheme="minorHAnsi" w:cstheme="minorHAnsi"/>
          <w:b/>
          <w:sz w:val="24"/>
          <w:szCs w:val="24"/>
        </w:rPr>
        <w:t>AND THE CHIEF FINANCE OFFICER</w:t>
      </w:r>
    </w:p>
    <w:p w14:paraId="4354FDDF" w14:textId="77F4CFE9" w:rsidR="006C5D8B" w:rsidRPr="00BF592B" w:rsidRDefault="00A01E9B" w:rsidP="006C5D8B">
      <w:pPr>
        <w:jc w:val="center"/>
        <w:rPr>
          <w:rFonts w:asciiTheme="minorHAnsi" w:hAnsiTheme="minorHAnsi" w:cstheme="minorHAnsi"/>
          <w:b/>
          <w:sz w:val="24"/>
          <w:szCs w:val="24"/>
        </w:rPr>
      </w:pPr>
      <w:r w:rsidRPr="00BF592B">
        <w:rPr>
          <w:rFonts w:asciiTheme="minorHAnsi" w:hAnsiTheme="minorHAnsi" w:cstheme="minorHAnsi"/>
          <w:b/>
          <w:sz w:val="24"/>
          <w:szCs w:val="24"/>
        </w:rPr>
        <w:t xml:space="preserve">PFCC PROPOSED </w:t>
      </w:r>
      <w:r w:rsidR="00C93BF6" w:rsidRPr="00BF592B">
        <w:rPr>
          <w:rFonts w:asciiTheme="minorHAnsi" w:hAnsiTheme="minorHAnsi" w:cstheme="minorHAnsi"/>
          <w:b/>
          <w:sz w:val="24"/>
          <w:szCs w:val="24"/>
        </w:rPr>
        <w:t xml:space="preserve">FIRE </w:t>
      </w:r>
      <w:r w:rsidRPr="00BF592B">
        <w:rPr>
          <w:rFonts w:asciiTheme="minorHAnsi" w:hAnsiTheme="minorHAnsi" w:cstheme="minorHAnsi"/>
          <w:b/>
          <w:sz w:val="24"/>
          <w:szCs w:val="24"/>
        </w:rPr>
        <w:t xml:space="preserve">PRECEPT </w:t>
      </w:r>
      <w:r w:rsidR="008C38F1">
        <w:rPr>
          <w:rFonts w:asciiTheme="minorHAnsi" w:hAnsiTheme="minorHAnsi" w:cstheme="minorHAnsi"/>
          <w:b/>
          <w:sz w:val="24"/>
          <w:szCs w:val="24"/>
        </w:rPr>
        <w:t>202</w:t>
      </w:r>
      <w:r w:rsidR="00E4122B">
        <w:rPr>
          <w:rFonts w:asciiTheme="minorHAnsi" w:hAnsiTheme="minorHAnsi" w:cstheme="minorHAnsi"/>
          <w:b/>
          <w:sz w:val="24"/>
          <w:szCs w:val="24"/>
        </w:rPr>
        <w:t>4</w:t>
      </w:r>
      <w:r w:rsidR="008C38F1">
        <w:rPr>
          <w:rFonts w:asciiTheme="minorHAnsi" w:hAnsiTheme="minorHAnsi" w:cstheme="minorHAnsi"/>
          <w:b/>
          <w:sz w:val="24"/>
          <w:szCs w:val="24"/>
        </w:rPr>
        <w:t>/2</w:t>
      </w:r>
      <w:r w:rsidR="00E4122B">
        <w:rPr>
          <w:rFonts w:asciiTheme="minorHAnsi" w:hAnsiTheme="minorHAnsi" w:cstheme="minorHAnsi"/>
          <w:b/>
          <w:sz w:val="24"/>
          <w:szCs w:val="24"/>
        </w:rPr>
        <w:t>5</w:t>
      </w:r>
    </w:p>
    <w:p w14:paraId="7793B86C" w14:textId="40E8B9BD" w:rsidR="005D2DA4" w:rsidRPr="008C38F1" w:rsidRDefault="005D2DA4" w:rsidP="00095FC7">
      <w:pPr>
        <w:pStyle w:val="PanelHeading"/>
      </w:pPr>
      <w:r w:rsidRPr="008C38F1">
        <w:t>Purpose of the Report</w:t>
      </w:r>
    </w:p>
    <w:p w14:paraId="6B18F8CE" w14:textId="0F7E047D" w:rsidR="00900E93" w:rsidRPr="00095FC7" w:rsidRDefault="005D2DA4" w:rsidP="00FC067A">
      <w:pPr>
        <w:pStyle w:val="PanelPara"/>
      </w:pPr>
      <w:r w:rsidRPr="00095FC7">
        <w:t>To pr</w:t>
      </w:r>
      <w:r w:rsidR="00085EFA" w:rsidRPr="00095FC7">
        <w:t>opose</w:t>
      </w:r>
      <w:r w:rsidRPr="00095FC7">
        <w:t xml:space="preserve"> the </w:t>
      </w:r>
      <w:r w:rsidR="008C38F1" w:rsidRPr="00095FC7">
        <w:t>202</w:t>
      </w:r>
      <w:r w:rsidR="00095FC7" w:rsidRPr="00095FC7">
        <w:t>4</w:t>
      </w:r>
      <w:r w:rsidR="008C38F1" w:rsidRPr="00095FC7">
        <w:t>/2</w:t>
      </w:r>
      <w:r w:rsidR="00095FC7" w:rsidRPr="00095FC7">
        <w:t>5</w:t>
      </w:r>
      <w:r w:rsidRPr="00095FC7">
        <w:t xml:space="preserve"> </w:t>
      </w:r>
      <w:r w:rsidR="006660EE" w:rsidRPr="00095FC7">
        <w:t>Council Tax Precept for Northamptonshire Commissioner Fire and Rescue Authority (NCFRA)</w:t>
      </w:r>
      <w:r w:rsidR="00095FC7" w:rsidRPr="00095FC7">
        <w:t>.</w:t>
      </w:r>
    </w:p>
    <w:p w14:paraId="520E47AE" w14:textId="13F0AA9C" w:rsidR="000C2930" w:rsidRPr="00E4122B" w:rsidRDefault="006660EE" w:rsidP="00E4122B">
      <w:pPr>
        <w:pStyle w:val="PanelPara"/>
      </w:pPr>
      <w:r w:rsidRPr="00095FC7">
        <w:t xml:space="preserve">To provide information in respect of the </w:t>
      </w:r>
      <w:r w:rsidR="00900E93" w:rsidRPr="00095FC7">
        <w:t xml:space="preserve">revenue budget, </w:t>
      </w:r>
      <w:r w:rsidR="00F671CE" w:rsidRPr="00095FC7">
        <w:t>capital programme</w:t>
      </w:r>
      <w:r w:rsidR="00900E93" w:rsidRPr="00095FC7">
        <w:t xml:space="preserve">, </w:t>
      </w:r>
      <w:r w:rsidR="0081263C" w:rsidRPr="00095FC7">
        <w:t>reserve</w:t>
      </w:r>
      <w:r w:rsidR="00900E93" w:rsidRPr="00095FC7">
        <w:t xml:space="preserve">s and </w:t>
      </w:r>
      <w:r w:rsidR="009331D9" w:rsidRPr="00095FC7">
        <w:t>medium-term</w:t>
      </w:r>
      <w:r w:rsidR="00900E93" w:rsidRPr="00095FC7">
        <w:t xml:space="preserve"> </w:t>
      </w:r>
      <w:r w:rsidR="00F671CE" w:rsidRPr="00095FC7">
        <w:t xml:space="preserve">financial </w:t>
      </w:r>
      <w:r w:rsidR="00900E93" w:rsidRPr="00095FC7">
        <w:t xml:space="preserve">plan </w:t>
      </w:r>
      <w:r w:rsidR="00F671CE" w:rsidRPr="00095FC7">
        <w:t xml:space="preserve">(MTFP) </w:t>
      </w:r>
      <w:r w:rsidR="00900E93" w:rsidRPr="00095FC7">
        <w:t>to provide context for the precept proposal.</w:t>
      </w:r>
    </w:p>
    <w:p w14:paraId="57D8B347" w14:textId="7CDC6534" w:rsidR="00900E93" w:rsidRPr="00095FC7" w:rsidRDefault="005D2DA4" w:rsidP="00095FC7">
      <w:pPr>
        <w:pStyle w:val="PanelHeading"/>
      </w:pPr>
      <w:r w:rsidRPr="00095FC7">
        <w:t>Recommendation</w:t>
      </w:r>
    </w:p>
    <w:p w14:paraId="55A88052" w14:textId="0282543E" w:rsidR="008C6DF5" w:rsidRPr="00FC067A" w:rsidRDefault="005D2DA4" w:rsidP="00FC067A">
      <w:pPr>
        <w:pStyle w:val="PanelPara"/>
      </w:pPr>
      <w:r w:rsidRPr="00095FC7">
        <w:t xml:space="preserve">The </w:t>
      </w:r>
      <w:r w:rsidR="00A01E9B" w:rsidRPr="00095FC7">
        <w:t>Police, Fire and Crime Panel</w:t>
      </w:r>
      <w:r w:rsidR="00184BF7" w:rsidRPr="00095FC7">
        <w:t xml:space="preserve"> is </w:t>
      </w:r>
      <w:r w:rsidR="00184BF7" w:rsidRPr="00095FC7">
        <w:rPr>
          <w:b/>
        </w:rPr>
        <w:t>RECOMMENDED</w:t>
      </w:r>
      <w:r w:rsidR="00184BF7" w:rsidRPr="00095FC7">
        <w:t xml:space="preserve"> </w:t>
      </w:r>
      <w:r w:rsidRPr="00095FC7">
        <w:t>to</w:t>
      </w:r>
      <w:r w:rsidR="008C6DF5" w:rsidRPr="00095FC7">
        <w:t xml:space="preserve"> endorse:</w:t>
      </w:r>
    </w:p>
    <w:p w14:paraId="15035673" w14:textId="3889C503" w:rsidR="00900E93" w:rsidRPr="00FC067A" w:rsidRDefault="004B580C" w:rsidP="000C2930">
      <w:pPr>
        <w:spacing w:after="0" w:line="240" w:lineRule="auto"/>
        <w:ind w:left="567"/>
        <w:jc w:val="both"/>
        <w:rPr>
          <w:rFonts w:asciiTheme="minorHAnsi" w:hAnsiTheme="minorHAnsi" w:cstheme="minorHAnsi"/>
          <w:b/>
          <w:bCs/>
          <w:sz w:val="24"/>
          <w:szCs w:val="24"/>
        </w:rPr>
      </w:pPr>
      <w:r w:rsidRPr="00FC067A">
        <w:rPr>
          <w:rFonts w:asciiTheme="minorHAnsi" w:hAnsiTheme="minorHAnsi" w:cstheme="minorHAnsi"/>
          <w:b/>
          <w:bCs/>
          <w:sz w:val="24"/>
          <w:szCs w:val="24"/>
        </w:rPr>
        <w:t>T</w:t>
      </w:r>
      <w:r w:rsidR="00BA2259" w:rsidRPr="00FC067A">
        <w:rPr>
          <w:rFonts w:asciiTheme="minorHAnsi" w:hAnsiTheme="minorHAnsi" w:cstheme="minorHAnsi"/>
          <w:b/>
          <w:bCs/>
          <w:sz w:val="24"/>
          <w:szCs w:val="24"/>
        </w:rPr>
        <w:t xml:space="preserve">he </w:t>
      </w:r>
      <w:r w:rsidR="006C6ED6" w:rsidRPr="00FC067A">
        <w:rPr>
          <w:rFonts w:asciiTheme="minorHAnsi" w:hAnsiTheme="minorHAnsi" w:cstheme="minorHAnsi"/>
          <w:b/>
          <w:bCs/>
          <w:sz w:val="24"/>
          <w:szCs w:val="24"/>
        </w:rPr>
        <w:t xml:space="preserve">proposal to increase the </w:t>
      </w:r>
      <w:r w:rsidR="00E170A1" w:rsidRPr="00FC067A">
        <w:rPr>
          <w:rFonts w:asciiTheme="minorHAnsi" w:hAnsiTheme="minorHAnsi" w:cstheme="minorHAnsi"/>
          <w:b/>
          <w:bCs/>
          <w:sz w:val="24"/>
          <w:szCs w:val="24"/>
        </w:rPr>
        <w:t>202</w:t>
      </w:r>
      <w:r w:rsidR="00095FC7" w:rsidRPr="00FC067A">
        <w:rPr>
          <w:rFonts w:asciiTheme="minorHAnsi" w:hAnsiTheme="minorHAnsi" w:cstheme="minorHAnsi"/>
          <w:b/>
          <w:bCs/>
          <w:sz w:val="24"/>
          <w:szCs w:val="24"/>
        </w:rPr>
        <w:t>4</w:t>
      </w:r>
      <w:r w:rsidR="00E170A1" w:rsidRPr="00FC067A">
        <w:rPr>
          <w:rFonts w:asciiTheme="minorHAnsi" w:hAnsiTheme="minorHAnsi" w:cstheme="minorHAnsi"/>
          <w:b/>
          <w:bCs/>
          <w:sz w:val="24"/>
          <w:szCs w:val="24"/>
        </w:rPr>
        <w:t>/2</w:t>
      </w:r>
      <w:r w:rsidR="00095FC7" w:rsidRPr="00FC067A">
        <w:rPr>
          <w:rFonts w:asciiTheme="minorHAnsi" w:hAnsiTheme="minorHAnsi" w:cstheme="minorHAnsi"/>
          <w:b/>
          <w:bCs/>
          <w:sz w:val="24"/>
          <w:szCs w:val="24"/>
        </w:rPr>
        <w:t>5</w:t>
      </w:r>
      <w:r w:rsidR="00E170A1" w:rsidRPr="00FC067A">
        <w:rPr>
          <w:rFonts w:asciiTheme="minorHAnsi" w:hAnsiTheme="minorHAnsi" w:cstheme="minorHAnsi"/>
          <w:b/>
          <w:bCs/>
          <w:sz w:val="24"/>
          <w:szCs w:val="24"/>
        </w:rPr>
        <w:t xml:space="preserve"> </w:t>
      </w:r>
      <w:r w:rsidR="004862CF" w:rsidRPr="00FC067A">
        <w:rPr>
          <w:rFonts w:asciiTheme="minorHAnsi" w:hAnsiTheme="minorHAnsi" w:cstheme="minorHAnsi"/>
          <w:b/>
          <w:bCs/>
          <w:sz w:val="24"/>
          <w:szCs w:val="24"/>
        </w:rPr>
        <w:t xml:space="preserve">Fire Precept </w:t>
      </w:r>
      <w:r w:rsidR="006C6ED6" w:rsidRPr="00FC067A">
        <w:rPr>
          <w:rFonts w:asciiTheme="minorHAnsi" w:hAnsiTheme="minorHAnsi" w:cstheme="minorHAnsi"/>
          <w:b/>
          <w:bCs/>
          <w:sz w:val="24"/>
          <w:szCs w:val="24"/>
        </w:rPr>
        <w:t xml:space="preserve">by </w:t>
      </w:r>
      <w:r w:rsidR="00095FC7" w:rsidRPr="00FC067A">
        <w:rPr>
          <w:rFonts w:asciiTheme="minorHAnsi" w:hAnsiTheme="minorHAnsi" w:cstheme="minorHAnsi"/>
          <w:b/>
          <w:bCs/>
          <w:sz w:val="24"/>
          <w:szCs w:val="24"/>
        </w:rPr>
        <w:t>2.99%</w:t>
      </w:r>
      <w:r w:rsidR="00CE1A52" w:rsidRPr="00FC067A">
        <w:rPr>
          <w:rFonts w:asciiTheme="minorHAnsi" w:hAnsiTheme="minorHAnsi" w:cstheme="minorHAnsi"/>
          <w:b/>
          <w:bCs/>
          <w:sz w:val="24"/>
          <w:szCs w:val="24"/>
        </w:rPr>
        <w:t xml:space="preserve"> </w:t>
      </w:r>
      <w:r w:rsidR="006C6ED6" w:rsidRPr="00FC067A">
        <w:rPr>
          <w:rFonts w:asciiTheme="minorHAnsi" w:hAnsiTheme="minorHAnsi" w:cstheme="minorHAnsi"/>
          <w:b/>
          <w:bCs/>
          <w:sz w:val="24"/>
          <w:szCs w:val="24"/>
        </w:rPr>
        <w:t xml:space="preserve">per annum </w:t>
      </w:r>
      <w:r w:rsidR="00BA2259" w:rsidRPr="00FC067A">
        <w:rPr>
          <w:rFonts w:asciiTheme="minorHAnsi" w:hAnsiTheme="minorHAnsi" w:cstheme="minorHAnsi"/>
          <w:b/>
          <w:bCs/>
          <w:sz w:val="24"/>
          <w:szCs w:val="24"/>
        </w:rPr>
        <w:t xml:space="preserve">to </w:t>
      </w:r>
      <w:r w:rsidR="00480243" w:rsidRPr="00FC067A">
        <w:rPr>
          <w:rFonts w:asciiTheme="minorHAnsi" w:hAnsiTheme="minorHAnsi" w:cstheme="minorHAnsi"/>
          <w:b/>
          <w:bCs/>
          <w:sz w:val="24"/>
          <w:szCs w:val="24"/>
        </w:rPr>
        <w:t>£</w:t>
      </w:r>
      <w:r w:rsidR="008C38F1" w:rsidRPr="00FC067A">
        <w:rPr>
          <w:rFonts w:asciiTheme="minorHAnsi" w:hAnsiTheme="minorHAnsi" w:cstheme="minorHAnsi"/>
          <w:b/>
          <w:bCs/>
          <w:sz w:val="24"/>
          <w:szCs w:val="24"/>
        </w:rPr>
        <w:t>7</w:t>
      </w:r>
      <w:r w:rsidR="00D4681B" w:rsidRPr="00FC067A">
        <w:rPr>
          <w:rFonts w:asciiTheme="minorHAnsi" w:hAnsiTheme="minorHAnsi" w:cstheme="minorHAnsi"/>
          <w:b/>
          <w:bCs/>
          <w:sz w:val="24"/>
          <w:szCs w:val="24"/>
        </w:rPr>
        <w:t>5</w:t>
      </w:r>
      <w:r w:rsidR="00900E93" w:rsidRPr="00FC067A">
        <w:rPr>
          <w:rFonts w:asciiTheme="minorHAnsi" w:hAnsiTheme="minorHAnsi" w:cstheme="minorHAnsi"/>
          <w:b/>
          <w:bCs/>
          <w:sz w:val="24"/>
          <w:szCs w:val="24"/>
        </w:rPr>
        <w:t>.</w:t>
      </w:r>
      <w:r w:rsidR="00D4681B" w:rsidRPr="00FC067A">
        <w:rPr>
          <w:rFonts w:asciiTheme="minorHAnsi" w:hAnsiTheme="minorHAnsi" w:cstheme="minorHAnsi"/>
          <w:b/>
          <w:bCs/>
          <w:sz w:val="24"/>
          <w:szCs w:val="24"/>
        </w:rPr>
        <w:t>39</w:t>
      </w:r>
      <w:r w:rsidR="00085EFA" w:rsidRPr="00FC067A">
        <w:rPr>
          <w:rFonts w:asciiTheme="minorHAnsi" w:hAnsiTheme="minorHAnsi" w:cstheme="minorHAnsi"/>
          <w:b/>
          <w:bCs/>
          <w:sz w:val="24"/>
          <w:szCs w:val="24"/>
        </w:rPr>
        <w:t xml:space="preserve"> </w:t>
      </w:r>
      <w:r w:rsidR="00FC067A" w:rsidRPr="00FC067A">
        <w:rPr>
          <w:rFonts w:asciiTheme="minorHAnsi" w:hAnsiTheme="minorHAnsi" w:cstheme="minorHAnsi"/>
          <w:b/>
          <w:bCs/>
          <w:sz w:val="24"/>
          <w:szCs w:val="24"/>
        </w:rPr>
        <w:t xml:space="preserve">for Band D Council Tax </w:t>
      </w:r>
      <w:r w:rsidR="00085EFA" w:rsidRPr="00FC067A">
        <w:rPr>
          <w:rFonts w:asciiTheme="minorHAnsi" w:hAnsiTheme="minorHAnsi" w:cstheme="minorHAnsi"/>
          <w:b/>
          <w:bCs/>
          <w:sz w:val="24"/>
          <w:szCs w:val="24"/>
        </w:rPr>
        <w:t>(</w:t>
      </w:r>
      <w:r w:rsidR="00F4100B" w:rsidRPr="00FC067A">
        <w:rPr>
          <w:rFonts w:asciiTheme="minorHAnsi" w:hAnsiTheme="minorHAnsi" w:cstheme="minorHAnsi"/>
          <w:b/>
          <w:bCs/>
          <w:sz w:val="24"/>
          <w:szCs w:val="24"/>
        </w:rPr>
        <w:t xml:space="preserve">from </w:t>
      </w:r>
      <w:r w:rsidR="00085EFA" w:rsidRPr="00FC067A">
        <w:rPr>
          <w:rFonts w:asciiTheme="minorHAnsi" w:hAnsiTheme="minorHAnsi" w:cstheme="minorHAnsi"/>
          <w:b/>
          <w:bCs/>
          <w:sz w:val="24"/>
          <w:szCs w:val="24"/>
        </w:rPr>
        <w:t>£</w:t>
      </w:r>
      <w:r w:rsidR="00095FC7" w:rsidRPr="00FC067A">
        <w:rPr>
          <w:rFonts w:asciiTheme="minorHAnsi" w:hAnsiTheme="minorHAnsi" w:cstheme="minorHAnsi"/>
          <w:b/>
          <w:bCs/>
          <w:sz w:val="24"/>
          <w:szCs w:val="24"/>
        </w:rPr>
        <w:t>73.20</w:t>
      </w:r>
      <w:r w:rsidR="00085EFA" w:rsidRPr="00FC067A">
        <w:rPr>
          <w:rFonts w:asciiTheme="minorHAnsi" w:hAnsiTheme="minorHAnsi" w:cstheme="minorHAnsi"/>
          <w:b/>
          <w:bCs/>
          <w:sz w:val="24"/>
          <w:szCs w:val="24"/>
        </w:rPr>
        <w:t xml:space="preserve"> in </w:t>
      </w:r>
      <w:r w:rsidR="008C38F1" w:rsidRPr="00FC067A">
        <w:rPr>
          <w:rFonts w:asciiTheme="minorHAnsi" w:hAnsiTheme="minorHAnsi" w:cstheme="minorHAnsi"/>
          <w:b/>
          <w:bCs/>
          <w:sz w:val="24"/>
          <w:szCs w:val="24"/>
        </w:rPr>
        <w:t>202</w:t>
      </w:r>
      <w:r w:rsidR="00095FC7" w:rsidRPr="00FC067A">
        <w:rPr>
          <w:rFonts w:asciiTheme="minorHAnsi" w:hAnsiTheme="minorHAnsi" w:cstheme="minorHAnsi"/>
          <w:b/>
          <w:bCs/>
          <w:sz w:val="24"/>
          <w:szCs w:val="24"/>
        </w:rPr>
        <w:t>3</w:t>
      </w:r>
      <w:r w:rsidR="008C38F1" w:rsidRPr="00FC067A">
        <w:rPr>
          <w:rFonts w:asciiTheme="minorHAnsi" w:hAnsiTheme="minorHAnsi" w:cstheme="minorHAnsi"/>
          <w:b/>
          <w:bCs/>
          <w:sz w:val="24"/>
          <w:szCs w:val="24"/>
        </w:rPr>
        <w:t>/2</w:t>
      </w:r>
      <w:r w:rsidR="00095FC7" w:rsidRPr="00FC067A">
        <w:rPr>
          <w:rFonts w:asciiTheme="minorHAnsi" w:hAnsiTheme="minorHAnsi" w:cstheme="minorHAnsi"/>
          <w:b/>
          <w:bCs/>
          <w:sz w:val="24"/>
          <w:szCs w:val="24"/>
        </w:rPr>
        <w:t>4</w:t>
      </w:r>
      <w:r w:rsidR="00085EFA" w:rsidRPr="00FC067A">
        <w:rPr>
          <w:rFonts w:asciiTheme="minorHAnsi" w:hAnsiTheme="minorHAnsi" w:cstheme="minorHAnsi"/>
          <w:b/>
          <w:bCs/>
          <w:sz w:val="24"/>
          <w:szCs w:val="24"/>
        </w:rPr>
        <w:t>)</w:t>
      </w:r>
      <w:r w:rsidR="00114269" w:rsidRPr="00FC067A">
        <w:rPr>
          <w:rFonts w:asciiTheme="minorHAnsi" w:hAnsiTheme="minorHAnsi" w:cstheme="minorHAnsi"/>
          <w:b/>
          <w:bCs/>
          <w:sz w:val="24"/>
          <w:szCs w:val="24"/>
        </w:rPr>
        <w:t xml:space="preserve">. </w:t>
      </w:r>
      <w:r w:rsidR="00095FC7" w:rsidRPr="00FC067A">
        <w:rPr>
          <w:rFonts w:asciiTheme="minorHAnsi" w:hAnsiTheme="minorHAnsi" w:cstheme="minorHAnsi"/>
          <w:b/>
          <w:bCs/>
          <w:sz w:val="24"/>
          <w:szCs w:val="24"/>
        </w:rPr>
        <w:t xml:space="preserve"> </w:t>
      </w:r>
      <w:r w:rsidR="00114269" w:rsidRPr="00FC067A">
        <w:rPr>
          <w:rFonts w:asciiTheme="minorHAnsi" w:hAnsiTheme="minorHAnsi" w:cstheme="minorHAnsi"/>
          <w:b/>
          <w:bCs/>
          <w:sz w:val="24"/>
          <w:szCs w:val="24"/>
        </w:rPr>
        <w:t xml:space="preserve">This </w:t>
      </w:r>
      <w:r w:rsidR="00FC067A" w:rsidRPr="00FC067A">
        <w:rPr>
          <w:rFonts w:asciiTheme="minorHAnsi" w:hAnsiTheme="minorHAnsi" w:cstheme="minorHAnsi"/>
          <w:b/>
          <w:bCs/>
          <w:sz w:val="24"/>
          <w:szCs w:val="24"/>
        </w:rPr>
        <w:t xml:space="preserve">£2.19 annual increase </w:t>
      </w:r>
      <w:r w:rsidR="00114269" w:rsidRPr="00FC067A">
        <w:rPr>
          <w:rFonts w:asciiTheme="minorHAnsi" w:hAnsiTheme="minorHAnsi" w:cstheme="minorHAnsi"/>
          <w:b/>
          <w:bCs/>
          <w:sz w:val="24"/>
          <w:szCs w:val="24"/>
        </w:rPr>
        <w:t xml:space="preserve">equates to </w:t>
      </w:r>
      <w:r w:rsidR="00FC067A" w:rsidRPr="00FC067A">
        <w:rPr>
          <w:rFonts w:asciiTheme="minorHAnsi" w:hAnsiTheme="minorHAnsi" w:cstheme="minorHAnsi"/>
          <w:b/>
          <w:bCs/>
          <w:sz w:val="24"/>
          <w:szCs w:val="24"/>
        </w:rPr>
        <w:t>around 4</w:t>
      </w:r>
      <w:r w:rsidR="00F4100B" w:rsidRPr="00FC067A">
        <w:rPr>
          <w:rFonts w:asciiTheme="minorHAnsi" w:hAnsiTheme="minorHAnsi" w:cstheme="minorHAnsi"/>
          <w:b/>
          <w:bCs/>
          <w:sz w:val="24"/>
          <w:szCs w:val="24"/>
        </w:rPr>
        <w:t xml:space="preserve"> pence per week</w:t>
      </w:r>
      <w:r w:rsidR="00114269" w:rsidRPr="00FC067A">
        <w:rPr>
          <w:rFonts w:asciiTheme="minorHAnsi" w:hAnsiTheme="minorHAnsi" w:cstheme="minorHAnsi"/>
          <w:b/>
          <w:bCs/>
          <w:sz w:val="24"/>
          <w:szCs w:val="24"/>
        </w:rPr>
        <w:t>.</w:t>
      </w:r>
    </w:p>
    <w:p w14:paraId="07D4998C" w14:textId="77777777" w:rsidR="00900E93" w:rsidRPr="00FC067A" w:rsidRDefault="00900E93" w:rsidP="000C2930">
      <w:pPr>
        <w:pStyle w:val="ListParagraph"/>
        <w:spacing w:after="0" w:line="240" w:lineRule="auto"/>
        <w:ind w:left="567" w:hanging="567"/>
        <w:jc w:val="both"/>
        <w:rPr>
          <w:rFonts w:asciiTheme="minorHAnsi" w:hAnsiTheme="minorHAnsi" w:cstheme="minorHAnsi"/>
          <w:sz w:val="24"/>
          <w:szCs w:val="24"/>
        </w:rPr>
      </w:pPr>
    </w:p>
    <w:p w14:paraId="7232250E" w14:textId="6485A6B5" w:rsidR="00062F65" w:rsidRPr="00FC067A" w:rsidRDefault="008C6DF5" w:rsidP="00FC067A">
      <w:pPr>
        <w:pStyle w:val="PanelPara"/>
      </w:pPr>
      <w:r w:rsidRPr="00FC067A">
        <w:t xml:space="preserve">Note </w:t>
      </w:r>
      <w:r w:rsidR="005D2DA4" w:rsidRPr="00FC067A">
        <w:t>the information presented in this report, including</w:t>
      </w:r>
      <w:r w:rsidR="00062F65" w:rsidRPr="00FC067A">
        <w:t>:</w:t>
      </w:r>
    </w:p>
    <w:p w14:paraId="7C3AE2C8" w14:textId="7C8B14E8" w:rsidR="00FC067A" w:rsidRPr="00E4122B" w:rsidRDefault="00184BF7" w:rsidP="00FC067A">
      <w:pPr>
        <w:pStyle w:val="PanelPara2"/>
      </w:pPr>
      <w:r w:rsidRPr="00FC067A">
        <w:t xml:space="preserve">The </w:t>
      </w:r>
      <w:r w:rsidR="00A51E08" w:rsidRPr="00FC067A">
        <w:t xml:space="preserve">statement </w:t>
      </w:r>
      <w:r w:rsidRPr="00FC067A">
        <w:t xml:space="preserve">of the </w:t>
      </w:r>
      <w:r w:rsidR="00F4100B" w:rsidRPr="00FC067A">
        <w:t xml:space="preserve">Section 151, </w:t>
      </w:r>
      <w:r w:rsidRPr="00FC067A">
        <w:t xml:space="preserve">Chief Finance Officer as required by </w:t>
      </w:r>
      <w:r w:rsidR="00F4100B" w:rsidRPr="00FC067A">
        <w:t>S</w:t>
      </w:r>
      <w:r w:rsidRPr="00FC067A">
        <w:t xml:space="preserve">ection 25 of the Local Government Act 2003 regarding the robustness of the </w:t>
      </w:r>
      <w:r w:rsidR="004F4763">
        <w:t>b</w:t>
      </w:r>
      <w:r w:rsidRPr="00FC067A">
        <w:t xml:space="preserve">udget, the </w:t>
      </w:r>
      <w:r w:rsidR="00114269" w:rsidRPr="00FC067A">
        <w:t>medium-term</w:t>
      </w:r>
      <w:r w:rsidR="00300676" w:rsidRPr="00FC067A">
        <w:t xml:space="preserve"> </w:t>
      </w:r>
      <w:r w:rsidR="00114269" w:rsidRPr="00E4122B">
        <w:t xml:space="preserve">financial plan (MTFP) </w:t>
      </w:r>
      <w:r w:rsidRPr="00E4122B">
        <w:t xml:space="preserve">and the adequacy of financial </w:t>
      </w:r>
      <w:r w:rsidR="0081263C" w:rsidRPr="00E4122B">
        <w:t>reserve</w:t>
      </w:r>
      <w:r w:rsidRPr="00E4122B">
        <w:t>s</w:t>
      </w:r>
      <w:r w:rsidR="00375414" w:rsidRPr="00E4122B">
        <w:t xml:space="preserve"> (A</w:t>
      </w:r>
      <w:r w:rsidR="000F4427">
        <w:t>ppendix C</w:t>
      </w:r>
      <w:r w:rsidR="00375414" w:rsidRPr="00E4122B">
        <w:t>)</w:t>
      </w:r>
      <w:r w:rsidR="00725432" w:rsidRPr="00E4122B">
        <w:t>.</w:t>
      </w:r>
    </w:p>
    <w:p w14:paraId="22133576" w14:textId="37A09D1B" w:rsidR="00062F65" w:rsidRPr="00E4122B" w:rsidRDefault="00E844FD" w:rsidP="00FC067A">
      <w:pPr>
        <w:pStyle w:val="PanelPara2"/>
      </w:pPr>
      <w:r w:rsidRPr="00E4122B">
        <w:t>A</w:t>
      </w:r>
      <w:r w:rsidR="00C24A75" w:rsidRPr="00E4122B">
        <w:t xml:space="preserve"> </w:t>
      </w:r>
      <w:r w:rsidR="00FC067A" w:rsidRPr="00E4122B">
        <w:t>2.99%</w:t>
      </w:r>
      <w:r w:rsidRPr="00E4122B">
        <w:t xml:space="preserve"> precept </w:t>
      </w:r>
      <w:r w:rsidR="006660EE" w:rsidRPr="00E4122B">
        <w:t>increase</w:t>
      </w:r>
      <w:r w:rsidRPr="00E4122B">
        <w:t xml:space="preserve"> gives a </w:t>
      </w:r>
      <w:r w:rsidR="0083163E" w:rsidRPr="00E4122B">
        <w:t xml:space="preserve">total </w:t>
      </w:r>
      <w:r w:rsidR="008C38F1" w:rsidRPr="00E4122B">
        <w:t>202</w:t>
      </w:r>
      <w:r w:rsidR="00FC067A" w:rsidRPr="00E4122B">
        <w:t>4</w:t>
      </w:r>
      <w:r w:rsidR="008C38F1" w:rsidRPr="00E4122B">
        <w:t>/2</w:t>
      </w:r>
      <w:r w:rsidR="00FC067A" w:rsidRPr="00E4122B">
        <w:t>5</w:t>
      </w:r>
      <w:r w:rsidR="005D2DA4" w:rsidRPr="00E4122B">
        <w:t xml:space="preserve"> </w:t>
      </w:r>
      <w:r w:rsidR="00080E5A" w:rsidRPr="00E4122B">
        <w:t xml:space="preserve">net </w:t>
      </w:r>
      <w:r w:rsidR="005D2DA4" w:rsidRPr="00E4122B">
        <w:t xml:space="preserve">budget </w:t>
      </w:r>
      <w:r w:rsidR="004F4763">
        <w:t>envelope</w:t>
      </w:r>
      <w:r w:rsidR="005D2DA4" w:rsidRPr="00E4122B">
        <w:t xml:space="preserve"> of </w:t>
      </w:r>
      <w:r w:rsidR="005D2DA4" w:rsidRPr="00E4122B">
        <w:rPr>
          <w:b/>
        </w:rPr>
        <w:t>£</w:t>
      </w:r>
      <w:r w:rsidR="00CF0BBA" w:rsidRPr="00E4122B">
        <w:rPr>
          <w:b/>
        </w:rPr>
        <w:t>31</w:t>
      </w:r>
      <w:r w:rsidR="008C38F1" w:rsidRPr="00E4122B">
        <w:rPr>
          <w:b/>
        </w:rPr>
        <w:t>.</w:t>
      </w:r>
      <w:r w:rsidR="00CF0BBA" w:rsidRPr="00E4122B">
        <w:rPr>
          <w:b/>
        </w:rPr>
        <w:t>43</w:t>
      </w:r>
      <w:r w:rsidR="00E4122B" w:rsidRPr="00E4122B">
        <w:rPr>
          <w:b/>
        </w:rPr>
        <w:t>4</w:t>
      </w:r>
      <w:r w:rsidR="008A64C8" w:rsidRPr="00E4122B">
        <w:rPr>
          <w:b/>
        </w:rPr>
        <w:t>m</w:t>
      </w:r>
      <w:r w:rsidR="00CE1A52" w:rsidRPr="00E4122B">
        <w:rPr>
          <w:b/>
        </w:rPr>
        <w:t xml:space="preserve">, </w:t>
      </w:r>
      <w:r w:rsidR="004F4763">
        <w:t>taking into account</w:t>
      </w:r>
      <w:r w:rsidR="00CE1A52" w:rsidRPr="00E4122B">
        <w:t>:</w:t>
      </w:r>
    </w:p>
    <w:p w14:paraId="6AFD7C5A" w14:textId="520C53AB" w:rsidR="00FC067A" w:rsidRPr="00E4122B" w:rsidRDefault="00C36B7A" w:rsidP="008C66D2">
      <w:pPr>
        <w:pStyle w:val="PanelBullet"/>
      </w:pPr>
      <w:r w:rsidRPr="00E4122B">
        <w:lastRenderedPageBreak/>
        <w:t>T</w:t>
      </w:r>
      <w:r w:rsidR="00492E61" w:rsidRPr="00E4122B">
        <w:t xml:space="preserve">he intention of the </w:t>
      </w:r>
      <w:r w:rsidR="00A01E9B" w:rsidRPr="00E4122B">
        <w:t>PFCC</w:t>
      </w:r>
      <w:r w:rsidR="00492E61" w:rsidRPr="00E4122B">
        <w:t xml:space="preserve"> to set </w:t>
      </w:r>
      <w:r w:rsidR="00A01E9B" w:rsidRPr="00E4122B">
        <w:t xml:space="preserve">the </w:t>
      </w:r>
      <w:r w:rsidR="00475162">
        <w:t xml:space="preserve">Band D </w:t>
      </w:r>
      <w:r w:rsidR="006E0068" w:rsidRPr="00E4122B">
        <w:t>Council Tax</w:t>
      </w:r>
      <w:r w:rsidR="00492E61" w:rsidRPr="00E4122B">
        <w:t xml:space="preserve"> Precept </w:t>
      </w:r>
      <w:r w:rsidR="004F4763">
        <w:t xml:space="preserve">which provides </w:t>
      </w:r>
      <w:r w:rsidR="004F4763" w:rsidRPr="00E4122B">
        <w:rPr>
          <w:b/>
        </w:rPr>
        <w:t>£19.489m</w:t>
      </w:r>
      <w:r w:rsidR="004F4763" w:rsidRPr="00E4122B">
        <w:t xml:space="preserve"> </w:t>
      </w:r>
      <w:r w:rsidR="005D2DA4" w:rsidRPr="00E4122B">
        <w:t xml:space="preserve">for </w:t>
      </w:r>
      <w:r w:rsidR="00A01E9B" w:rsidRPr="00E4122B">
        <w:t xml:space="preserve">Northamptonshire Commissioner, Fire and Rescue Authority </w:t>
      </w:r>
      <w:r w:rsidR="004F4763">
        <w:t>in</w:t>
      </w:r>
      <w:r w:rsidR="00A01E9B" w:rsidRPr="00E4122B">
        <w:t xml:space="preserve"> </w:t>
      </w:r>
      <w:r w:rsidR="008C38F1" w:rsidRPr="00E4122B">
        <w:t>202</w:t>
      </w:r>
      <w:r w:rsidR="00FC067A" w:rsidRPr="00E4122B">
        <w:t>4</w:t>
      </w:r>
      <w:r w:rsidR="008C38F1" w:rsidRPr="00E4122B">
        <w:t>/2</w:t>
      </w:r>
      <w:r w:rsidR="00FC067A" w:rsidRPr="00E4122B">
        <w:t>5</w:t>
      </w:r>
      <w:r w:rsidR="00725432" w:rsidRPr="00E4122B">
        <w:t>.</w:t>
      </w:r>
    </w:p>
    <w:p w14:paraId="42E23206" w14:textId="77777777" w:rsidR="00CF0BBA" w:rsidRPr="00CF0BBA" w:rsidRDefault="008C6DF5" w:rsidP="008C66D2">
      <w:pPr>
        <w:pStyle w:val="PanelBullet"/>
      </w:pPr>
      <w:r w:rsidRPr="00CF0BBA">
        <w:t>T</w:t>
      </w:r>
      <w:r w:rsidR="005D2DA4" w:rsidRPr="00CF0BBA">
        <w:t xml:space="preserve">he </w:t>
      </w:r>
      <w:r w:rsidR="00CE1A52" w:rsidRPr="00CF0BBA">
        <w:t xml:space="preserve">current and </w:t>
      </w:r>
      <w:r w:rsidR="00080E5A" w:rsidRPr="00CF0BBA">
        <w:t>future risks, challenges</w:t>
      </w:r>
      <w:r w:rsidR="008A64C8" w:rsidRPr="00CF0BBA">
        <w:t>,</w:t>
      </w:r>
      <w:r w:rsidR="00080E5A" w:rsidRPr="00CF0BBA">
        <w:t xml:space="preserve"> uncertainties and opportunities </w:t>
      </w:r>
      <w:r w:rsidR="005D2DA4" w:rsidRPr="00CF0BBA">
        <w:t>i</w:t>
      </w:r>
      <w:r w:rsidR="00080E5A" w:rsidRPr="00CF0BBA">
        <w:t>ncluded in the precept proposal, together with the financial and operational mitigations and addit</w:t>
      </w:r>
      <w:r w:rsidR="00725432" w:rsidRPr="00CF0BBA">
        <w:t>ional considerations identified.</w:t>
      </w:r>
    </w:p>
    <w:p w14:paraId="08AF95BE" w14:textId="77777777" w:rsidR="00CF0BBA" w:rsidRPr="00CF0BBA" w:rsidRDefault="008C6DF5" w:rsidP="008C66D2">
      <w:pPr>
        <w:pStyle w:val="PanelBullet"/>
      </w:pPr>
      <w:r w:rsidRPr="00CF0BBA">
        <w:t>T</w:t>
      </w:r>
      <w:r w:rsidR="005D2DA4" w:rsidRPr="00CF0BBA">
        <w:t xml:space="preserve">hat any </w:t>
      </w:r>
      <w:r w:rsidR="005D2DA4" w:rsidRPr="008C66D2">
        <w:t>changes</w:t>
      </w:r>
      <w:r w:rsidR="005D2DA4" w:rsidRPr="00CF0BBA">
        <w:t xml:space="preserve"> required</w:t>
      </w:r>
      <w:r w:rsidR="0083163E" w:rsidRPr="00CF0BBA">
        <w:t>,</w:t>
      </w:r>
      <w:r w:rsidR="00BB23D8" w:rsidRPr="00CF0BBA">
        <w:t xml:space="preserve"> </w:t>
      </w:r>
      <w:r w:rsidR="005D2DA4" w:rsidRPr="00CF0BBA">
        <w:t>either by Government grant alterations notified through the final settlement</w:t>
      </w:r>
      <w:r w:rsidR="00A01E9B" w:rsidRPr="00CF0BBA">
        <w:t xml:space="preserve">, </w:t>
      </w:r>
      <w:r w:rsidR="00F80F47" w:rsidRPr="00CF0BBA">
        <w:t xml:space="preserve">amended </w:t>
      </w:r>
      <w:r w:rsidR="00A327CE" w:rsidRPr="00CF0BBA">
        <w:t>c</w:t>
      </w:r>
      <w:r w:rsidR="006E0068" w:rsidRPr="00CF0BBA">
        <w:t xml:space="preserve">ouncil </w:t>
      </w:r>
      <w:r w:rsidR="00A327CE" w:rsidRPr="00CF0BBA">
        <w:t>t</w:t>
      </w:r>
      <w:r w:rsidR="006E0068" w:rsidRPr="00CF0BBA">
        <w:t>ax</w:t>
      </w:r>
      <w:r w:rsidR="005D2DA4" w:rsidRPr="00CF0BBA">
        <w:t xml:space="preserve"> base and surplus/deficit notifications received from the collecting authorities,</w:t>
      </w:r>
      <w:r w:rsidR="00A01E9B" w:rsidRPr="00CF0BBA">
        <w:t xml:space="preserve"> </w:t>
      </w:r>
      <w:r w:rsidR="00F4100B" w:rsidRPr="00CF0BBA">
        <w:t xml:space="preserve">after the precept has been set, </w:t>
      </w:r>
      <w:r w:rsidR="00EE6D37" w:rsidRPr="00CF0BBA">
        <w:t xml:space="preserve">may be balanced by </w:t>
      </w:r>
      <w:r w:rsidR="00A01E9B" w:rsidRPr="00CF0BBA">
        <w:t xml:space="preserve">efficiency savings </w:t>
      </w:r>
      <w:r w:rsidR="004837A4" w:rsidRPr="00CF0BBA">
        <w:t xml:space="preserve">or </w:t>
      </w:r>
      <w:r w:rsidR="005D2DA4" w:rsidRPr="00CF0BBA">
        <w:t>through a transfer to</w:t>
      </w:r>
      <w:r w:rsidR="00184BF7" w:rsidRPr="00CF0BBA">
        <w:t xml:space="preserve"> or from </w:t>
      </w:r>
      <w:r w:rsidR="0081263C" w:rsidRPr="00CF0BBA">
        <w:t>reserve</w:t>
      </w:r>
      <w:r w:rsidR="00725432" w:rsidRPr="00CF0BBA">
        <w:t>s.</w:t>
      </w:r>
    </w:p>
    <w:p w14:paraId="669B7ECC" w14:textId="77777777" w:rsidR="00CF0BBA" w:rsidRPr="00CF0BBA" w:rsidRDefault="00B57A23" w:rsidP="008C66D2">
      <w:pPr>
        <w:pStyle w:val="PanelBullet"/>
      </w:pPr>
      <w:r w:rsidRPr="00CF0BBA">
        <w:t xml:space="preserve">That when received, any variations from business rates notified by the </w:t>
      </w:r>
      <w:r w:rsidR="00E84EA9" w:rsidRPr="00CF0BBA">
        <w:t>unitary authorities</w:t>
      </w:r>
      <w:r w:rsidRPr="00CF0BBA">
        <w:t xml:space="preserve"> will be balanced by the smoothing </w:t>
      </w:r>
      <w:r w:rsidR="0081263C" w:rsidRPr="00CF0BBA">
        <w:t>reserve</w:t>
      </w:r>
      <w:r w:rsidRPr="00CF0BBA">
        <w:t>.</w:t>
      </w:r>
    </w:p>
    <w:p w14:paraId="5A33A929" w14:textId="77777777" w:rsidR="00CF0BBA" w:rsidRPr="00CF0BBA" w:rsidRDefault="008C6DF5" w:rsidP="008C66D2">
      <w:pPr>
        <w:pStyle w:val="PanelBullet"/>
      </w:pPr>
      <w:r w:rsidRPr="00CF0BBA">
        <w:t>T</w:t>
      </w:r>
      <w:r w:rsidR="005D2DA4" w:rsidRPr="00CF0BBA">
        <w:t xml:space="preserve">he </w:t>
      </w:r>
      <w:r w:rsidR="00080E5A" w:rsidRPr="00CF0BBA">
        <w:t>current MTF</w:t>
      </w:r>
      <w:r w:rsidR="00876802" w:rsidRPr="00CF0BBA">
        <w:t>P</w:t>
      </w:r>
      <w:r w:rsidR="00C36B7A" w:rsidRPr="00CF0BBA">
        <w:t xml:space="preserve"> and </w:t>
      </w:r>
      <w:r w:rsidR="005D2DA4" w:rsidRPr="00CF0BBA">
        <w:t>the</w:t>
      </w:r>
      <w:r w:rsidR="00F80F47" w:rsidRPr="00CF0BBA">
        <w:t xml:space="preserve"> anticipated </w:t>
      </w:r>
      <w:r w:rsidR="005D2DA4" w:rsidRPr="00CF0BBA">
        <w:t xml:space="preserve">savings </w:t>
      </w:r>
      <w:r w:rsidR="00C36B7A" w:rsidRPr="00CF0BBA">
        <w:t>required</w:t>
      </w:r>
      <w:r w:rsidR="00725432" w:rsidRPr="00CF0BBA">
        <w:t>.</w:t>
      </w:r>
    </w:p>
    <w:p w14:paraId="0F50DDEF" w14:textId="332B307D" w:rsidR="00F671CE" w:rsidRPr="00CF0BBA" w:rsidRDefault="003C582D" w:rsidP="008C66D2">
      <w:pPr>
        <w:pStyle w:val="PanelBullet"/>
      </w:pPr>
      <w:r w:rsidRPr="00CF0BBA">
        <w:t xml:space="preserve">The </w:t>
      </w:r>
      <w:r w:rsidR="00F671CE" w:rsidRPr="00CF0BBA">
        <w:t xml:space="preserve">capital programme and </w:t>
      </w:r>
      <w:r w:rsidR="0081263C" w:rsidRPr="00CF0BBA">
        <w:t>reserve</w:t>
      </w:r>
      <w:r w:rsidR="00F671CE" w:rsidRPr="00CF0BBA">
        <w:t>s strategy.</w:t>
      </w:r>
    </w:p>
    <w:p w14:paraId="723BBAE1" w14:textId="1AA2989D" w:rsidR="003B2C75" w:rsidRPr="00CF0BBA" w:rsidRDefault="003B2C75" w:rsidP="00CF0BBA">
      <w:pPr>
        <w:pStyle w:val="PanelHeading"/>
      </w:pPr>
      <w:r w:rsidRPr="00CF0BBA">
        <w:t>Executive Summary</w:t>
      </w:r>
    </w:p>
    <w:p w14:paraId="7817A50D" w14:textId="0748494F" w:rsidR="00A01E9B" w:rsidRPr="00CF0BBA" w:rsidRDefault="005011AD" w:rsidP="00CF0BBA">
      <w:pPr>
        <w:pStyle w:val="PanelPara"/>
      </w:pPr>
      <w:r w:rsidRPr="00CF0BBA">
        <w:t>This report</w:t>
      </w:r>
      <w:r w:rsidR="003B2C75" w:rsidRPr="00CF0BBA">
        <w:t xml:space="preserve"> </w:t>
      </w:r>
      <w:r w:rsidR="002336B4" w:rsidRPr="00CF0BBA">
        <w:t xml:space="preserve">details </w:t>
      </w:r>
      <w:r w:rsidR="003B2C75" w:rsidRPr="00CF0BBA">
        <w:t xml:space="preserve">the </w:t>
      </w:r>
      <w:r w:rsidR="00CF0BBA" w:rsidRPr="00CF0BBA">
        <w:t>2024/25</w:t>
      </w:r>
      <w:r w:rsidR="00A01E9B" w:rsidRPr="00CF0BBA">
        <w:t xml:space="preserve"> precept proposal for the Northamptonshire Commissioner Fire and Rescue Authority (NCFRA) which was established on 1 January 2019.</w:t>
      </w:r>
    </w:p>
    <w:p w14:paraId="192C9FBE" w14:textId="1C898EFD" w:rsidR="00A04688" w:rsidRPr="00CF0BBA" w:rsidRDefault="00A01E9B" w:rsidP="00CF0BBA">
      <w:pPr>
        <w:pStyle w:val="PanelPara"/>
      </w:pPr>
      <w:r w:rsidRPr="00CF0BBA">
        <w:t xml:space="preserve">The report </w:t>
      </w:r>
      <w:r w:rsidR="00CF3E62" w:rsidRPr="00CF0BBA">
        <w:t xml:space="preserve">and proposal </w:t>
      </w:r>
      <w:r w:rsidR="00CF0BBA" w:rsidRPr="00CF0BBA">
        <w:t>are</w:t>
      </w:r>
      <w:r w:rsidRPr="00CF0BBA">
        <w:t xml:space="preserve"> the </w:t>
      </w:r>
      <w:r w:rsidR="003B2C75" w:rsidRPr="00CF0BBA">
        <w:t xml:space="preserve">culmination of several months’ work </w:t>
      </w:r>
      <w:r w:rsidR="008A64C8" w:rsidRPr="00CF0BBA">
        <w:t>by</w:t>
      </w:r>
      <w:r w:rsidR="007A67E5" w:rsidRPr="00CF0BBA">
        <w:t xml:space="preserve"> the Office of the </w:t>
      </w:r>
      <w:r w:rsidRPr="00CF0BBA">
        <w:t>Police, Fire and Crime Commissioner</w:t>
      </w:r>
      <w:r w:rsidR="007A67E5" w:rsidRPr="00CF0BBA">
        <w:t xml:space="preserve"> (O</w:t>
      </w:r>
      <w:r w:rsidRPr="00CF0BBA">
        <w:t>PFCC</w:t>
      </w:r>
      <w:r w:rsidR="007A67E5" w:rsidRPr="00CF0BBA">
        <w:t>)</w:t>
      </w:r>
      <w:r w:rsidR="003B2C75" w:rsidRPr="00CF0BBA">
        <w:t xml:space="preserve">, </w:t>
      </w:r>
      <w:r w:rsidR="00707BE4" w:rsidRPr="00CF0BBA">
        <w:t xml:space="preserve">the Joint Finance Team and </w:t>
      </w:r>
      <w:r w:rsidR="007A67E5" w:rsidRPr="00CF0BBA">
        <w:t>F</w:t>
      </w:r>
      <w:r w:rsidRPr="00CF0BBA">
        <w:t>ire</w:t>
      </w:r>
      <w:r w:rsidR="003B2C75" w:rsidRPr="00CF0BBA">
        <w:t xml:space="preserve"> colleague</w:t>
      </w:r>
      <w:r w:rsidR="00D67AA7" w:rsidRPr="00CF0BBA">
        <w:t>s</w:t>
      </w:r>
      <w:r w:rsidR="00B82C60" w:rsidRPr="00CF0BBA">
        <w:t>.</w:t>
      </w:r>
      <w:r w:rsidR="00CF0BBA" w:rsidRPr="00CF0BBA">
        <w:t xml:space="preserve"> </w:t>
      </w:r>
      <w:r w:rsidR="00B82C60" w:rsidRPr="00CF0BBA">
        <w:t xml:space="preserve"> It also</w:t>
      </w:r>
      <w:r w:rsidR="00F671CE" w:rsidRPr="00CF0BBA">
        <w:t xml:space="preserve"> </w:t>
      </w:r>
      <w:r w:rsidR="009331D9" w:rsidRPr="00CF0BBA">
        <w:t>includes information</w:t>
      </w:r>
      <w:r w:rsidR="00A04688" w:rsidRPr="00CF0BBA">
        <w:t xml:space="preserve"> provided by</w:t>
      </w:r>
      <w:r w:rsidR="00B82C60" w:rsidRPr="00CF0BBA">
        <w:t xml:space="preserve"> the two</w:t>
      </w:r>
      <w:r w:rsidR="00A04688" w:rsidRPr="00CF0BBA">
        <w:t xml:space="preserve"> </w:t>
      </w:r>
      <w:r w:rsidR="00E84EA9" w:rsidRPr="00CF0BBA">
        <w:t>unitary authorities</w:t>
      </w:r>
      <w:r w:rsidR="00A04688" w:rsidRPr="00CF0BBA">
        <w:t xml:space="preserve"> </w:t>
      </w:r>
      <w:r w:rsidR="003B2C75" w:rsidRPr="00CF0BBA">
        <w:t>and tak</w:t>
      </w:r>
      <w:r w:rsidR="00F671CE" w:rsidRPr="00CF0BBA">
        <w:t>es</w:t>
      </w:r>
      <w:r w:rsidR="003B2C75" w:rsidRPr="00CF0BBA">
        <w:t xml:space="preserve"> account of </w:t>
      </w:r>
      <w:r w:rsidR="00F80F47" w:rsidRPr="00CF0BBA">
        <w:t xml:space="preserve">public and stakeholder consultation and </w:t>
      </w:r>
      <w:r w:rsidR="003B2C75" w:rsidRPr="00CF0BBA">
        <w:t xml:space="preserve">key government </w:t>
      </w:r>
      <w:r w:rsidR="00F671CE" w:rsidRPr="00CF0BBA">
        <w:t>expectations</w:t>
      </w:r>
      <w:r w:rsidR="003B2C75" w:rsidRPr="00CF0BBA">
        <w:t xml:space="preserve">. </w:t>
      </w:r>
    </w:p>
    <w:p w14:paraId="0B05BEA0" w14:textId="1353DF0D" w:rsidR="002B586C" w:rsidRPr="00CF0BBA" w:rsidRDefault="00CF0BBA" w:rsidP="00CF0BBA">
      <w:pPr>
        <w:pStyle w:val="PanelPara"/>
      </w:pPr>
      <w:r w:rsidRPr="00CF0BBA">
        <w:t xml:space="preserve">The </w:t>
      </w:r>
      <w:r w:rsidR="00004738" w:rsidRPr="00CF0BBA">
        <w:t xml:space="preserve">Northamptonshire Commissioner Fire and Rescue Authority (NCFRA) </w:t>
      </w:r>
      <w:r w:rsidR="003B2C75" w:rsidRPr="00CF0BBA">
        <w:t xml:space="preserve">has considered </w:t>
      </w:r>
      <w:r w:rsidR="00F671CE" w:rsidRPr="00CF0BBA">
        <w:t xml:space="preserve">the local government </w:t>
      </w:r>
      <w:r w:rsidR="00E84EA9" w:rsidRPr="00CF0BBA">
        <w:t>provisional settlement</w:t>
      </w:r>
      <w:r w:rsidR="00F671CE" w:rsidRPr="00CF0BBA">
        <w:t xml:space="preserve"> which set out government expectations, </w:t>
      </w:r>
      <w:r w:rsidR="003B2C75" w:rsidRPr="00CF0BBA">
        <w:t xml:space="preserve">current and future funding levels, </w:t>
      </w:r>
      <w:r w:rsidR="003A432E" w:rsidRPr="00CF0BBA">
        <w:t xml:space="preserve">the </w:t>
      </w:r>
      <w:r w:rsidR="002C0234" w:rsidRPr="00CF0BBA">
        <w:t>pre</w:t>
      </w:r>
      <w:r w:rsidR="00A04688" w:rsidRPr="00CF0BBA">
        <w:t>-</w:t>
      </w:r>
      <w:r w:rsidR="002C0234" w:rsidRPr="00CF0BBA">
        <w:t>budget engagement</w:t>
      </w:r>
      <w:r w:rsidR="00F671CE" w:rsidRPr="00CF0BBA">
        <w:t xml:space="preserve"> and the</w:t>
      </w:r>
      <w:r w:rsidR="002C0234" w:rsidRPr="00CF0BBA">
        <w:t xml:space="preserve"> </w:t>
      </w:r>
      <w:r w:rsidR="00145044" w:rsidRPr="00CF0BBA">
        <w:t xml:space="preserve">outcome of the public </w:t>
      </w:r>
      <w:r w:rsidR="00F47639">
        <w:t>survey</w:t>
      </w:r>
      <w:r w:rsidR="00145044" w:rsidRPr="00CF0BBA">
        <w:t xml:space="preserve"> </w:t>
      </w:r>
      <w:r w:rsidR="00F671CE" w:rsidRPr="00CF0BBA">
        <w:t xml:space="preserve">together with </w:t>
      </w:r>
      <w:r w:rsidR="00062F65" w:rsidRPr="00CF0BBA">
        <w:t xml:space="preserve">the </w:t>
      </w:r>
      <w:r w:rsidR="002C0234" w:rsidRPr="00CF0BBA">
        <w:t>Autumn Statement 202</w:t>
      </w:r>
      <w:r w:rsidRPr="00CF0BBA">
        <w:t>3</w:t>
      </w:r>
      <w:r w:rsidR="00F671CE" w:rsidRPr="00CF0BBA">
        <w:t>.</w:t>
      </w:r>
    </w:p>
    <w:p w14:paraId="61C11705" w14:textId="1E041ADE" w:rsidR="003B2C75" w:rsidRPr="00CF0BBA" w:rsidRDefault="002B586C" w:rsidP="00CF0BBA">
      <w:pPr>
        <w:pStyle w:val="PanelPara"/>
        <w:rPr>
          <w:bCs/>
        </w:rPr>
      </w:pPr>
      <w:r w:rsidRPr="00CF0BBA">
        <w:rPr>
          <w:bCs/>
        </w:rPr>
        <w:t>The PFCC and the S151 Officer are very appreciative of the updates provided by colleagues in the unitary authorities in respect of the impact on the taxbase and the council tax collection fund receipts for 202</w:t>
      </w:r>
      <w:r w:rsidR="00CF0BBA" w:rsidRPr="00CF0BBA">
        <w:rPr>
          <w:bCs/>
        </w:rPr>
        <w:t>4</w:t>
      </w:r>
      <w:r w:rsidRPr="00CF0BBA">
        <w:rPr>
          <w:bCs/>
        </w:rPr>
        <w:t>/2</w:t>
      </w:r>
      <w:r w:rsidR="00CF0BBA" w:rsidRPr="00CF0BBA">
        <w:rPr>
          <w:bCs/>
        </w:rPr>
        <w:t>5</w:t>
      </w:r>
      <w:r w:rsidRPr="00CF0BBA">
        <w:rPr>
          <w:bCs/>
        </w:rPr>
        <w:t xml:space="preserve"> and future years.  Furthermore, the PFCC is appreciative of the hard work by unitary staff in achieving a positive level of collection rates. </w:t>
      </w:r>
    </w:p>
    <w:p w14:paraId="7A0CA413" w14:textId="47A057A0" w:rsidR="00A04688" w:rsidRPr="00CF0BBA" w:rsidRDefault="00A04688" w:rsidP="00CF0BBA">
      <w:pPr>
        <w:pStyle w:val="PanelPara"/>
      </w:pPr>
      <w:r w:rsidRPr="00CF0BBA">
        <w:t>The proposals are set in a context of high inflation levels and the Autumn 202</w:t>
      </w:r>
      <w:r w:rsidR="00CF0BBA" w:rsidRPr="00CF0BBA">
        <w:t>3</w:t>
      </w:r>
      <w:r w:rsidRPr="00CF0BBA">
        <w:t xml:space="preserve"> statement</w:t>
      </w:r>
      <w:r w:rsidR="00F671CE" w:rsidRPr="00CF0BBA">
        <w:t xml:space="preserve">. </w:t>
      </w:r>
    </w:p>
    <w:p w14:paraId="465B0844" w14:textId="5033C660" w:rsidR="00CF0BBA" w:rsidRDefault="00A04688" w:rsidP="00CF0BBA">
      <w:pPr>
        <w:pStyle w:val="PanelPara"/>
      </w:pPr>
      <w:r w:rsidRPr="00CF0BBA">
        <w:t>Despite these challenges, the budget is balanced for 202</w:t>
      </w:r>
      <w:r w:rsidR="00CF0BBA" w:rsidRPr="00CF0BBA">
        <w:t>4</w:t>
      </w:r>
      <w:r w:rsidRPr="00CF0BBA">
        <w:t>/2</w:t>
      </w:r>
      <w:r w:rsidR="00CF0BBA" w:rsidRPr="00CF0BBA">
        <w:t>5</w:t>
      </w:r>
      <w:r w:rsidRPr="00CF0BBA">
        <w:t xml:space="preserve"> with a funded </w:t>
      </w:r>
      <w:r w:rsidR="00F671CE" w:rsidRPr="00CF0BBA">
        <w:t>capital programme</w:t>
      </w:r>
      <w:r w:rsidRPr="00CF0BBA">
        <w:t xml:space="preserve"> and </w:t>
      </w:r>
      <w:r w:rsidR="00CF0BBA">
        <w:t>an</w:t>
      </w:r>
      <w:r w:rsidR="00F671CE" w:rsidRPr="00CF0BBA">
        <w:t xml:space="preserve"> </w:t>
      </w:r>
      <w:r w:rsidRPr="00CF0BBA">
        <w:t xml:space="preserve">adequate level of </w:t>
      </w:r>
      <w:r w:rsidR="0081263C" w:rsidRPr="00CF0BBA">
        <w:t>reserve</w:t>
      </w:r>
      <w:r w:rsidRPr="00CF0BBA">
        <w:t>s in place.</w:t>
      </w:r>
    </w:p>
    <w:p w14:paraId="0CDE6CB8" w14:textId="61CDB30A" w:rsidR="00CF0BBA" w:rsidRPr="008C66D2" w:rsidRDefault="00A04688" w:rsidP="00CF0BBA">
      <w:pPr>
        <w:pStyle w:val="PanelPara"/>
      </w:pPr>
      <w:r w:rsidRPr="008C66D2">
        <w:lastRenderedPageBreak/>
        <w:t xml:space="preserve">The </w:t>
      </w:r>
      <w:r w:rsidR="005416FC" w:rsidRPr="008C66D2">
        <w:t xml:space="preserve">budget includes </w:t>
      </w:r>
      <w:r w:rsidRPr="008C66D2">
        <w:t>the</w:t>
      </w:r>
      <w:r w:rsidR="00F47639">
        <w:t xml:space="preserve"> progress </w:t>
      </w:r>
      <w:r w:rsidR="003E384A" w:rsidRPr="003E384A">
        <w:rPr>
          <w:vertAlign w:val="subscript"/>
        </w:rPr>
        <w:softHyphen/>
      </w:r>
      <w:r w:rsidRPr="008C66D2">
        <w:t>made in the service since the governance transfer</w:t>
      </w:r>
      <w:r w:rsidR="00F671CE" w:rsidRPr="008C66D2">
        <w:t xml:space="preserve"> of increased firefighters and investment in essential </w:t>
      </w:r>
      <w:r w:rsidR="00CF3E62" w:rsidRPr="008C66D2">
        <w:t>f</w:t>
      </w:r>
      <w:r w:rsidR="00F671CE" w:rsidRPr="008C66D2">
        <w:t xml:space="preserve">ire equipment and appliances, together with </w:t>
      </w:r>
      <w:r w:rsidRPr="008C66D2">
        <w:t xml:space="preserve">additional investments </w:t>
      </w:r>
      <w:r w:rsidR="00B57A23" w:rsidRPr="008C66D2">
        <w:t>which include</w:t>
      </w:r>
      <w:r w:rsidR="00F671CE" w:rsidRPr="008C66D2">
        <w:t>:</w:t>
      </w:r>
    </w:p>
    <w:p w14:paraId="3A793957" w14:textId="610A7C23" w:rsidR="00CF0BBA" w:rsidRPr="008C66D2" w:rsidRDefault="006660EE" w:rsidP="00CF0BBA">
      <w:pPr>
        <w:pStyle w:val="PanelPara2"/>
      </w:pPr>
      <w:r w:rsidRPr="008C66D2">
        <w:t>T</w:t>
      </w:r>
      <w:r w:rsidR="00F671CE" w:rsidRPr="008C66D2">
        <w:t>ransferring</w:t>
      </w:r>
      <w:r w:rsidR="00A04688" w:rsidRPr="008C66D2">
        <w:t xml:space="preserve"> Fire onto joint shared </w:t>
      </w:r>
      <w:r w:rsidR="00B8333B" w:rsidRPr="008C66D2">
        <w:t>HR and Payroll</w:t>
      </w:r>
      <w:r w:rsidR="00F671CE" w:rsidRPr="008C66D2">
        <w:t xml:space="preserve"> </w:t>
      </w:r>
      <w:r w:rsidR="00A04688" w:rsidRPr="008C66D2">
        <w:t>systems with the Police</w:t>
      </w:r>
      <w:r w:rsidR="00F671CE" w:rsidRPr="008C66D2">
        <w:t xml:space="preserve"> and realising the vision set out in the governance transfer </w:t>
      </w:r>
      <w:r w:rsidR="00B82C60" w:rsidRPr="008C66D2">
        <w:t>b</w:t>
      </w:r>
      <w:r w:rsidR="00F671CE" w:rsidRPr="008C66D2">
        <w:t>usiness case</w:t>
      </w:r>
      <w:r w:rsidR="00CF0BBA" w:rsidRPr="008C66D2">
        <w:t>.</w:t>
      </w:r>
    </w:p>
    <w:p w14:paraId="752037F5" w14:textId="063D3EB3" w:rsidR="00B8333B" w:rsidRPr="00CF0BBA" w:rsidRDefault="00B8333B" w:rsidP="00CF0BBA">
      <w:pPr>
        <w:pStyle w:val="PanelPara2"/>
      </w:pPr>
      <w:r w:rsidRPr="008C66D2">
        <w:t xml:space="preserve">Adding </w:t>
      </w:r>
      <w:r w:rsidR="008C66D2">
        <w:t xml:space="preserve">good-value </w:t>
      </w:r>
      <w:r w:rsidRPr="008C66D2">
        <w:t>capability by tapping into shared police resources for Culture, Data Security,</w:t>
      </w:r>
      <w:r>
        <w:t xml:space="preserve"> Performance, Insight and Demand.</w:t>
      </w:r>
    </w:p>
    <w:p w14:paraId="43680B3A" w14:textId="6D5C8489" w:rsidR="00CF0BBA" w:rsidRPr="00CF0BBA" w:rsidRDefault="00B8333B" w:rsidP="00CF0BBA">
      <w:pPr>
        <w:pStyle w:val="PanelPara2"/>
      </w:pPr>
      <w:r>
        <w:t>Baselining the piloted Youth Engagement Officer post.</w:t>
      </w:r>
    </w:p>
    <w:p w14:paraId="284CA66C" w14:textId="54D29BA2" w:rsidR="00A04688" w:rsidRPr="00CF0BBA" w:rsidRDefault="008C66D2" w:rsidP="00CF0BBA">
      <w:pPr>
        <w:pStyle w:val="PanelPara2"/>
      </w:pPr>
      <w:r>
        <w:t>Continuation of funding for enhanced home fire safety visits</w:t>
      </w:r>
      <w:r w:rsidR="00CF0BBA">
        <w:t>.</w:t>
      </w:r>
    </w:p>
    <w:p w14:paraId="51CD068B" w14:textId="12DB84B7" w:rsidR="002B586C" w:rsidRPr="008C66D2" w:rsidRDefault="00B57A23" w:rsidP="00477074">
      <w:pPr>
        <w:pStyle w:val="PanelPara"/>
      </w:pPr>
      <w:r w:rsidRPr="00477074">
        <w:t>Whilst the 202</w:t>
      </w:r>
      <w:r w:rsidR="00CF0BBA" w:rsidRPr="00477074">
        <w:t>4</w:t>
      </w:r>
      <w:r w:rsidRPr="00477074">
        <w:t>/2</w:t>
      </w:r>
      <w:r w:rsidR="00CF0BBA" w:rsidRPr="00477074">
        <w:t>5</w:t>
      </w:r>
      <w:r w:rsidRPr="00477074">
        <w:t xml:space="preserve"> budget is balanced, </w:t>
      </w:r>
      <w:r w:rsidR="00A04688" w:rsidRPr="00477074">
        <w:t xml:space="preserve">given the national cost of living challenges and inflation at levels significantly higher than previously assumed, balancing the budget across the medium term will be more challenging. </w:t>
      </w:r>
      <w:r w:rsidR="00477074" w:rsidRPr="00477074">
        <w:t xml:space="preserve"> </w:t>
      </w:r>
      <w:r w:rsidR="00A04688" w:rsidRPr="00477074">
        <w:t xml:space="preserve">Prudent assumptions of future income streams </w:t>
      </w:r>
      <w:r w:rsidR="00A04688" w:rsidRPr="008C66D2">
        <w:t xml:space="preserve">have been used </w:t>
      </w:r>
      <w:r w:rsidRPr="008C66D2">
        <w:t xml:space="preserve">which identify the </w:t>
      </w:r>
      <w:r w:rsidR="00A04688" w:rsidRPr="008C66D2">
        <w:t xml:space="preserve">need for future efficiencies.    </w:t>
      </w:r>
    </w:p>
    <w:p w14:paraId="2A2987A5" w14:textId="77777777" w:rsidR="00477074" w:rsidRPr="008C66D2" w:rsidRDefault="004C6A8C" w:rsidP="00477074">
      <w:pPr>
        <w:pStyle w:val="PanelPara"/>
      </w:pPr>
      <w:r w:rsidRPr="008C66D2">
        <w:t xml:space="preserve">The </w:t>
      </w:r>
      <w:r w:rsidR="00477074" w:rsidRPr="008C66D2">
        <w:t>service had previously</w:t>
      </w:r>
      <w:r w:rsidRPr="008C66D2">
        <w:t xml:space="preserve"> reviewed the findings of the Grenfell </w:t>
      </w:r>
      <w:r w:rsidR="006660EE" w:rsidRPr="008C66D2">
        <w:t>i</w:t>
      </w:r>
      <w:r w:rsidRPr="008C66D2">
        <w:t xml:space="preserve">nquiry and investment requirements and priorities </w:t>
      </w:r>
      <w:r w:rsidR="00B57A23" w:rsidRPr="008C66D2">
        <w:t xml:space="preserve">will </w:t>
      </w:r>
      <w:r w:rsidR="00324B40" w:rsidRPr="008C66D2">
        <w:t xml:space="preserve">continue to be </w:t>
      </w:r>
      <w:r w:rsidRPr="008C66D2">
        <w:t xml:space="preserve">considered as part of the </w:t>
      </w:r>
      <w:r w:rsidR="00F671CE" w:rsidRPr="008C66D2">
        <w:t>capital programme</w:t>
      </w:r>
      <w:r w:rsidRPr="008C66D2">
        <w:t xml:space="preserve"> and essential investment requirements.</w:t>
      </w:r>
    </w:p>
    <w:p w14:paraId="32DAC884" w14:textId="7D76AE15" w:rsidR="00080D8C" w:rsidRPr="00477074" w:rsidRDefault="00F80F47" w:rsidP="00477074">
      <w:pPr>
        <w:pStyle w:val="PanelPara"/>
      </w:pPr>
      <w:r w:rsidRPr="00477074">
        <w:t>T</w:t>
      </w:r>
      <w:r w:rsidR="00211F1A" w:rsidRPr="00477074">
        <w:t xml:space="preserve">he </w:t>
      </w:r>
      <w:r w:rsidR="00A11E47" w:rsidRPr="00477074">
        <w:t xml:space="preserve">S151 officer </w:t>
      </w:r>
      <w:r w:rsidR="00211F1A" w:rsidRPr="00477074">
        <w:t xml:space="preserve">has reviewed the adequacy and level of </w:t>
      </w:r>
      <w:r w:rsidR="0081263C" w:rsidRPr="00477074">
        <w:t>reserve</w:t>
      </w:r>
      <w:r w:rsidR="002336B4" w:rsidRPr="00477074">
        <w:t xml:space="preserve">s </w:t>
      </w:r>
      <w:r w:rsidR="003C582D" w:rsidRPr="00477074">
        <w:t xml:space="preserve">following the work undertaken </w:t>
      </w:r>
      <w:r w:rsidR="00176903" w:rsidRPr="00477074">
        <w:t xml:space="preserve">since the governance transfer and has concluded that </w:t>
      </w:r>
      <w:r w:rsidR="005416FC" w:rsidRPr="00477074">
        <w:t xml:space="preserve">at the current time, </w:t>
      </w:r>
      <w:r w:rsidR="0081263C" w:rsidRPr="00477074">
        <w:t>reserve</w:t>
      </w:r>
      <w:r w:rsidR="00176903" w:rsidRPr="00477074">
        <w:t xml:space="preserve">s are currently </w:t>
      </w:r>
      <w:r w:rsidR="00A11E47" w:rsidRPr="00477074">
        <w:t>at a</w:t>
      </w:r>
      <w:r w:rsidR="00F4100B" w:rsidRPr="00477074">
        <w:t>n</w:t>
      </w:r>
      <w:r w:rsidR="00A11E47" w:rsidRPr="00477074">
        <w:t xml:space="preserve"> </w:t>
      </w:r>
      <w:r w:rsidR="00F4100B" w:rsidRPr="00477074">
        <w:t>adequate</w:t>
      </w:r>
      <w:r w:rsidR="00A11E47" w:rsidRPr="00477074">
        <w:t xml:space="preserve"> level</w:t>
      </w:r>
      <w:r w:rsidR="00176903" w:rsidRPr="00477074">
        <w:t xml:space="preserve"> to manage risk.</w:t>
      </w:r>
      <w:r w:rsidR="00B57A23" w:rsidRPr="00477074">
        <w:t xml:space="preserve"> </w:t>
      </w:r>
      <w:r w:rsidR="00477074" w:rsidRPr="00477074">
        <w:t xml:space="preserve"> </w:t>
      </w:r>
      <w:r w:rsidR="00B57A23" w:rsidRPr="00477074">
        <w:t xml:space="preserve">If future inflation levels and/or costs are higher than forecast and </w:t>
      </w:r>
      <w:r w:rsidR="0081263C" w:rsidRPr="00477074">
        <w:t>reserve</w:t>
      </w:r>
      <w:r w:rsidR="00B57A23" w:rsidRPr="00477074">
        <w:t xml:space="preserve">s are </w:t>
      </w:r>
      <w:r w:rsidR="00477074" w:rsidRPr="00477074">
        <w:t>required,</w:t>
      </w:r>
      <w:r w:rsidR="00B57A23" w:rsidRPr="00477074">
        <w:t xml:space="preserve"> then there will be a need to rebuild them </w:t>
      </w:r>
      <w:r w:rsidR="00477074" w:rsidRPr="00477074">
        <w:t>in the future.</w:t>
      </w:r>
    </w:p>
    <w:p w14:paraId="49579D87" w14:textId="77777777" w:rsidR="00477074" w:rsidRPr="008C66D2" w:rsidRDefault="00477074" w:rsidP="00477074">
      <w:pPr>
        <w:pStyle w:val="PanelPara"/>
      </w:pPr>
      <w:r>
        <w:t>T</w:t>
      </w:r>
      <w:r w:rsidRPr="00477074">
        <w:t xml:space="preserve">he sum of £1m is ring-fenced </w:t>
      </w:r>
      <w:r>
        <w:t>in reserves t</w:t>
      </w:r>
      <w:r w:rsidR="00176903" w:rsidRPr="00477074">
        <w:t xml:space="preserve">o enable </w:t>
      </w:r>
      <w:r>
        <w:t xml:space="preserve">the Chief Fire Officer to facilitate </w:t>
      </w:r>
      <w:r w:rsidR="00176903" w:rsidRPr="00477074">
        <w:t xml:space="preserve">future </w:t>
      </w:r>
      <w:r w:rsidRPr="00477074">
        <w:t>transformation</w:t>
      </w:r>
      <w:r>
        <w:t xml:space="preserve"> </w:t>
      </w:r>
      <w:r w:rsidRPr="008C66D2">
        <w:t>and innovation.</w:t>
      </w:r>
    </w:p>
    <w:p w14:paraId="6F0F77C7" w14:textId="378F4F7E" w:rsidR="00477074" w:rsidRPr="008C66D2" w:rsidRDefault="005416FC" w:rsidP="00477074">
      <w:pPr>
        <w:pStyle w:val="PanelPara"/>
      </w:pPr>
      <w:r w:rsidRPr="008C66D2">
        <w:t xml:space="preserve">Given the legacy </w:t>
      </w:r>
      <w:r w:rsidR="00477074" w:rsidRPr="008C66D2">
        <w:t>of under-investment prior to 2019</w:t>
      </w:r>
      <w:r w:rsidRPr="008C66D2">
        <w:t xml:space="preserve">, the </w:t>
      </w:r>
      <w:r w:rsidR="00F671CE" w:rsidRPr="008C66D2">
        <w:t>capital programme</w:t>
      </w:r>
      <w:r w:rsidRPr="008C66D2">
        <w:t xml:space="preserve"> investment requirements are significant. </w:t>
      </w:r>
      <w:r w:rsidR="00477074" w:rsidRPr="008C66D2">
        <w:t xml:space="preserve"> </w:t>
      </w:r>
      <w:r w:rsidRPr="008C66D2">
        <w:t xml:space="preserve">With </w:t>
      </w:r>
      <w:r w:rsidR="00B57A23" w:rsidRPr="008C66D2">
        <w:t>the current cost of borrowing,</w:t>
      </w:r>
      <w:r w:rsidRPr="008C66D2">
        <w:t xml:space="preserve"> £300k to support the </w:t>
      </w:r>
      <w:r w:rsidR="00F671CE" w:rsidRPr="008C66D2">
        <w:t>capital programme</w:t>
      </w:r>
      <w:r w:rsidRPr="008C66D2">
        <w:t xml:space="preserve"> has been </w:t>
      </w:r>
      <w:r w:rsidR="008C66D2" w:rsidRPr="008C66D2">
        <w:t>allocated annually to</w:t>
      </w:r>
      <w:r w:rsidRPr="008C66D2">
        <w:t xml:space="preserve"> support funding the investment in the </w:t>
      </w:r>
      <w:r w:rsidR="00B57A23" w:rsidRPr="008C66D2">
        <w:t xml:space="preserve">shorter life assets in the </w:t>
      </w:r>
      <w:r w:rsidR="00F671CE" w:rsidRPr="008C66D2">
        <w:t>capital programme</w:t>
      </w:r>
      <w:r w:rsidRPr="008C66D2">
        <w:t xml:space="preserve"> and minimise the impact of capital financing costs on the revenue budget. </w:t>
      </w:r>
    </w:p>
    <w:p w14:paraId="4B864A20" w14:textId="77777777" w:rsidR="00477074" w:rsidRPr="00A5441B" w:rsidRDefault="00F85DB4" w:rsidP="00477074">
      <w:pPr>
        <w:pStyle w:val="PanelPara"/>
      </w:pPr>
      <w:r w:rsidRPr="00477074">
        <w:t>In considering the Fire bud</w:t>
      </w:r>
      <w:r w:rsidR="00BA2259" w:rsidRPr="00477074">
        <w:t xml:space="preserve">get and proposed precept for </w:t>
      </w:r>
      <w:r w:rsidR="008C38F1" w:rsidRPr="00477074">
        <w:t>202</w:t>
      </w:r>
      <w:r w:rsidR="00477074" w:rsidRPr="00477074">
        <w:t>4</w:t>
      </w:r>
      <w:r w:rsidR="008C38F1" w:rsidRPr="00477074">
        <w:t>/2</w:t>
      </w:r>
      <w:r w:rsidR="00477074" w:rsidRPr="00477074">
        <w:t>5</w:t>
      </w:r>
      <w:r w:rsidRPr="00477074">
        <w:t xml:space="preserve">, the PFCC considered the </w:t>
      </w:r>
      <w:r w:rsidR="005347E5" w:rsidRPr="00477074">
        <w:t>national context and NCFRA</w:t>
      </w:r>
      <w:r w:rsidR="007D1EA0" w:rsidRPr="00477074">
        <w:t>’</w:t>
      </w:r>
      <w:r w:rsidR="005347E5" w:rsidRPr="00477074">
        <w:t xml:space="preserve">s lower </w:t>
      </w:r>
      <w:r w:rsidR="002F40BD" w:rsidRPr="00477074">
        <w:t xml:space="preserve">precept, core spending power </w:t>
      </w:r>
      <w:r w:rsidR="005347E5" w:rsidRPr="00477074">
        <w:t xml:space="preserve">and </w:t>
      </w:r>
      <w:r w:rsidR="0081263C" w:rsidRPr="00477074">
        <w:t>reserve</w:t>
      </w:r>
      <w:r w:rsidR="005347E5" w:rsidRPr="00477074">
        <w:t xml:space="preserve">s position </w:t>
      </w:r>
      <w:r w:rsidR="005347E5" w:rsidRPr="00A5441B">
        <w:t>relative to other Fire and Rescue Authorities.</w:t>
      </w:r>
    </w:p>
    <w:p w14:paraId="271F936C" w14:textId="5E519570" w:rsidR="00477074" w:rsidRPr="00A5441B" w:rsidRDefault="00B51651" w:rsidP="00477074">
      <w:pPr>
        <w:pStyle w:val="PanelPara"/>
      </w:pPr>
      <w:r w:rsidRPr="00A5441B">
        <w:t>Furthermore</w:t>
      </w:r>
      <w:r w:rsidR="0021623B" w:rsidRPr="00A5441B">
        <w:t>, t</w:t>
      </w:r>
      <w:r w:rsidR="009E6BBB" w:rsidRPr="00A5441B">
        <w:t xml:space="preserve">he </w:t>
      </w:r>
      <w:r w:rsidR="00A01E9B" w:rsidRPr="00A5441B">
        <w:t>PFCC</w:t>
      </w:r>
      <w:r w:rsidR="003B2C75" w:rsidRPr="00A5441B">
        <w:t xml:space="preserve"> has conducted</w:t>
      </w:r>
      <w:r w:rsidR="00F47639">
        <w:t>,</w:t>
      </w:r>
      <w:r w:rsidR="00B96947" w:rsidRPr="00A5441B">
        <w:t xml:space="preserve"> and been informed by</w:t>
      </w:r>
      <w:r w:rsidR="00F47639">
        <w:t>,</w:t>
      </w:r>
      <w:r w:rsidR="00B96947" w:rsidRPr="00A5441B">
        <w:t xml:space="preserve"> </w:t>
      </w:r>
      <w:r w:rsidR="003B2C75" w:rsidRPr="00A5441B">
        <w:t xml:space="preserve">a </w:t>
      </w:r>
      <w:r w:rsidR="00F47639">
        <w:t>survey</w:t>
      </w:r>
      <w:r w:rsidR="00256682" w:rsidRPr="00A5441B">
        <w:t xml:space="preserve"> </w:t>
      </w:r>
      <w:r w:rsidR="00B96947" w:rsidRPr="00A5441B">
        <w:t xml:space="preserve">of </w:t>
      </w:r>
      <w:r w:rsidR="0024161B" w:rsidRPr="00A5441B">
        <w:t>Northamptonshire</w:t>
      </w:r>
      <w:r w:rsidR="00A5441B" w:rsidRPr="00A5441B">
        <w:t xml:space="preserve"> residents</w:t>
      </w:r>
      <w:r w:rsidR="005416FC" w:rsidRPr="00A5441B">
        <w:t>, of whom 1,</w:t>
      </w:r>
      <w:r w:rsidR="00A5441B" w:rsidRPr="00A5441B">
        <w:t>997</w:t>
      </w:r>
      <w:r w:rsidR="005416FC" w:rsidRPr="00A5441B">
        <w:t xml:space="preserve"> responded</w:t>
      </w:r>
      <w:r w:rsidR="00B96947" w:rsidRPr="00A5441B">
        <w:t xml:space="preserve">. </w:t>
      </w:r>
      <w:r w:rsidR="00477074" w:rsidRPr="00A5441B">
        <w:t xml:space="preserve"> </w:t>
      </w:r>
      <w:r w:rsidR="002336B4" w:rsidRPr="00A5441B">
        <w:t>The results of the survey</w:t>
      </w:r>
      <w:r w:rsidR="009064C8" w:rsidRPr="00A5441B">
        <w:t>s</w:t>
      </w:r>
      <w:r w:rsidR="002336B4" w:rsidRPr="00A5441B">
        <w:t xml:space="preserve"> are summarised in this report and </w:t>
      </w:r>
      <w:r w:rsidR="002B12B4" w:rsidRPr="00A5441B">
        <w:t xml:space="preserve">will be </w:t>
      </w:r>
      <w:r w:rsidR="002336B4" w:rsidRPr="00A5441B">
        <w:t xml:space="preserve">available on the PFCC website </w:t>
      </w:r>
      <w:r w:rsidR="002B12B4" w:rsidRPr="00A5441B">
        <w:t>in due course.</w:t>
      </w:r>
    </w:p>
    <w:p w14:paraId="4278F3F8" w14:textId="28037167" w:rsidR="005416FC" w:rsidRPr="00477074" w:rsidRDefault="00477074" w:rsidP="00477074">
      <w:pPr>
        <w:pStyle w:val="PanelPara"/>
      </w:pPr>
      <w:bookmarkStart w:id="0" w:name="_Hlk156379175"/>
      <w:r w:rsidRPr="00477074">
        <w:lastRenderedPageBreak/>
        <w:t>T</w:t>
      </w:r>
      <w:r w:rsidR="002336B4" w:rsidRPr="00477074">
        <w:t xml:space="preserve">he budget and precept </w:t>
      </w:r>
      <w:r w:rsidR="001171A6" w:rsidRPr="00477074">
        <w:t>recognise</w:t>
      </w:r>
      <w:r w:rsidR="00034EB5" w:rsidRPr="00477074">
        <w:t xml:space="preserve"> the importance of collaborative working with Police</w:t>
      </w:r>
      <w:r w:rsidR="00176903" w:rsidRPr="00477074">
        <w:t xml:space="preserve"> and the OPFCC</w:t>
      </w:r>
      <w:r w:rsidR="00B82C60" w:rsidRPr="00477074">
        <w:t xml:space="preserve">, </w:t>
      </w:r>
      <w:r w:rsidRPr="00477074">
        <w:t>with</w:t>
      </w:r>
      <w:r w:rsidR="005416FC" w:rsidRPr="00477074">
        <w:t xml:space="preserve"> enabling services support areas </w:t>
      </w:r>
      <w:r w:rsidR="00176903" w:rsidRPr="00477074">
        <w:t>embedded</w:t>
      </w:r>
      <w:r w:rsidR="0030759E" w:rsidRPr="00477074">
        <w:t xml:space="preserve"> across Fire and Policing</w:t>
      </w:r>
      <w:r w:rsidR="005416FC" w:rsidRPr="00477074">
        <w:t xml:space="preserve"> under the leadership and direction of the Joint Assistant Chief Officer for Enabling Services.</w:t>
      </w:r>
    </w:p>
    <w:bookmarkEnd w:id="0"/>
    <w:p w14:paraId="37229B1D" w14:textId="77777777" w:rsidR="00EC6FB2" w:rsidRPr="00EC6FB2" w:rsidRDefault="00EC6FB2" w:rsidP="00EC6FB2">
      <w:pPr>
        <w:pStyle w:val="PanelPara"/>
      </w:pPr>
      <w:r w:rsidRPr="00EC6FB2">
        <w:t xml:space="preserve">The PFCC requires both services to actively seek opportunities to work together to deliver more efficient and effective public services and in 2024/25 it is intended that opportunities bring together further support services teams will be explored and progressed, and that existing shared arrangements are regularly reviewed and optimised. </w:t>
      </w:r>
    </w:p>
    <w:p w14:paraId="55951669" w14:textId="53AE696F" w:rsidR="007D1EA0" w:rsidRPr="00EC6FB2" w:rsidRDefault="00CF3E62" w:rsidP="00477074">
      <w:pPr>
        <w:pStyle w:val="PanelPara"/>
      </w:pPr>
      <w:r w:rsidRPr="00EC6FB2">
        <w:t xml:space="preserve">The fire budget and precept also take forward the statutory duty for emergency services to collaborate which means the services should be actively seeking opportunities to work together to deliver more efficient and effective public services. </w:t>
      </w:r>
      <w:r w:rsidR="00477074" w:rsidRPr="00EC6FB2">
        <w:t xml:space="preserve"> </w:t>
      </w:r>
      <w:r w:rsidRPr="00EC6FB2">
        <w:t>As such, b</w:t>
      </w:r>
      <w:r w:rsidR="00C93BF6" w:rsidRPr="00EC6FB2">
        <w:t>oth Fire and Police Budget agreements</w:t>
      </w:r>
      <w:r w:rsidR="002336B4" w:rsidRPr="00EC6FB2">
        <w:t xml:space="preserve"> for </w:t>
      </w:r>
      <w:r w:rsidR="008C38F1" w:rsidRPr="00EC6FB2">
        <w:t>202</w:t>
      </w:r>
      <w:r w:rsidR="00477074" w:rsidRPr="00EC6FB2">
        <w:t>4</w:t>
      </w:r>
      <w:r w:rsidR="008C38F1" w:rsidRPr="00EC6FB2">
        <w:t>/2</w:t>
      </w:r>
      <w:r w:rsidR="00477074" w:rsidRPr="00EC6FB2">
        <w:t>5</w:t>
      </w:r>
      <w:r w:rsidR="002336B4" w:rsidRPr="00EC6FB2">
        <w:t xml:space="preserve"> </w:t>
      </w:r>
      <w:r w:rsidR="00C93BF6" w:rsidRPr="00EC6FB2">
        <w:t xml:space="preserve">will </w:t>
      </w:r>
      <w:r w:rsidRPr="00EC6FB2">
        <w:t>again</w:t>
      </w:r>
      <w:r w:rsidR="00477074" w:rsidRPr="00EC6FB2">
        <w:t xml:space="preserve"> </w:t>
      </w:r>
      <w:r w:rsidR="00316B97" w:rsidRPr="00EC6FB2">
        <w:t>d</w:t>
      </w:r>
      <w:r w:rsidR="002336B4" w:rsidRPr="00EC6FB2">
        <w:t xml:space="preserve">emonstrate the PFCC commitment to collaboration, </w:t>
      </w:r>
      <w:r w:rsidRPr="00EC6FB2">
        <w:t>including</w:t>
      </w:r>
      <w:r w:rsidR="00B82C60" w:rsidRPr="00EC6FB2">
        <w:t xml:space="preserve"> </w:t>
      </w:r>
      <w:r w:rsidR="002336B4" w:rsidRPr="00EC6FB2">
        <w:t xml:space="preserve">greater integration between police and fire and rescue to </w:t>
      </w:r>
      <w:r w:rsidR="00B57A23" w:rsidRPr="00EC6FB2">
        <w:t xml:space="preserve">enable </w:t>
      </w:r>
      <w:r w:rsidR="009331D9" w:rsidRPr="00EC6FB2">
        <w:t>reinvestment in</w:t>
      </w:r>
      <w:r w:rsidR="002336B4" w:rsidRPr="00EC6FB2">
        <w:t xml:space="preserve"> frontline services.</w:t>
      </w:r>
      <w:r w:rsidR="00477074" w:rsidRPr="00EC6FB2">
        <w:t xml:space="preserve"> </w:t>
      </w:r>
      <w:r w:rsidR="002336B4" w:rsidRPr="00EC6FB2">
        <w:t xml:space="preserve"> </w:t>
      </w:r>
      <w:r w:rsidRPr="00EC6FB2">
        <w:t>It is</w:t>
      </w:r>
      <w:r w:rsidR="00034EB5" w:rsidRPr="00EC6FB2">
        <w:t xml:space="preserve"> </w:t>
      </w:r>
      <w:r w:rsidR="002336B4" w:rsidRPr="00EC6FB2">
        <w:t>the PFCC’s expectation that, over time, the following areas will be delivered:</w:t>
      </w:r>
    </w:p>
    <w:p w14:paraId="3C082DB8" w14:textId="77777777" w:rsidR="00EC6FB2" w:rsidRPr="008C66D2" w:rsidRDefault="002336B4" w:rsidP="008C66D2">
      <w:pPr>
        <w:pStyle w:val="PanelBullet"/>
      </w:pPr>
      <w:r w:rsidRPr="008C66D2">
        <w:t>Shared Services</w:t>
      </w:r>
    </w:p>
    <w:p w14:paraId="765195E3" w14:textId="77777777" w:rsidR="00EC6FB2" w:rsidRPr="008C66D2" w:rsidRDefault="002336B4" w:rsidP="008C66D2">
      <w:pPr>
        <w:pStyle w:val="PanelBullet"/>
      </w:pPr>
      <w:r w:rsidRPr="008C66D2">
        <w:t xml:space="preserve">Shared </w:t>
      </w:r>
      <w:r w:rsidR="00481E66" w:rsidRPr="008C66D2">
        <w:t>e</w:t>
      </w:r>
      <w:r w:rsidRPr="008C66D2">
        <w:t xml:space="preserve">states </w:t>
      </w:r>
      <w:r w:rsidR="00CF3E62" w:rsidRPr="008C66D2">
        <w:t>s</w:t>
      </w:r>
      <w:r w:rsidRPr="008C66D2">
        <w:t>trategy</w:t>
      </w:r>
    </w:p>
    <w:p w14:paraId="2080E33A" w14:textId="77777777" w:rsidR="00EC6FB2" w:rsidRPr="008C66D2" w:rsidRDefault="002336B4" w:rsidP="008C66D2">
      <w:pPr>
        <w:pStyle w:val="PanelBullet"/>
      </w:pPr>
      <w:r w:rsidRPr="008C66D2">
        <w:t xml:space="preserve">Shared </w:t>
      </w:r>
      <w:r w:rsidR="00CF3E62" w:rsidRPr="008C66D2">
        <w:t>p</w:t>
      </w:r>
      <w:r w:rsidRPr="008C66D2">
        <w:t xml:space="preserve">revention </w:t>
      </w:r>
      <w:r w:rsidR="00CF3E62" w:rsidRPr="008C66D2">
        <w:t>a</w:t>
      </w:r>
      <w:r w:rsidRPr="008C66D2">
        <w:t>pproaches</w:t>
      </w:r>
    </w:p>
    <w:p w14:paraId="0D6246DC" w14:textId="77777777" w:rsidR="00EC6FB2" w:rsidRPr="008C66D2" w:rsidRDefault="00CF3E62" w:rsidP="008C66D2">
      <w:pPr>
        <w:pStyle w:val="PanelBullet"/>
      </w:pPr>
      <w:r w:rsidRPr="008C66D2">
        <w:t>Operational i</w:t>
      </w:r>
      <w:r w:rsidR="002336B4" w:rsidRPr="008C66D2">
        <w:t>nteroperability</w:t>
      </w:r>
    </w:p>
    <w:p w14:paraId="1E4AA5A3" w14:textId="07D1C158" w:rsidR="00263E8C" w:rsidRPr="008C66D2" w:rsidRDefault="006C6ED6" w:rsidP="008C66D2">
      <w:pPr>
        <w:pStyle w:val="PanelBullet"/>
      </w:pPr>
      <w:r w:rsidRPr="008C66D2">
        <w:t xml:space="preserve">Control </w:t>
      </w:r>
      <w:r w:rsidR="00CF3E62" w:rsidRPr="008C66D2">
        <w:t>r</w:t>
      </w:r>
      <w:r w:rsidRPr="008C66D2">
        <w:t>oom</w:t>
      </w:r>
      <w:r w:rsidR="00CF3E62" w:rsidRPr="008C66D2">
        <w:t>s</w:t>
      </w:r>
    </w:p>
    <w:p w14:paraId="6D1B3DC3" w14:textId="77777777" w:rsidR="00EC6FB2" w:rsidRPr="00EC6FB2" w:rsidRDefault="00EC6FB2" w:rsidP="00EC6FB2">
      <w:pPr>
        <w:pStyle w:val="PanelPara"/>
      </w:pPr>
      <w:r w:rsidRPr="00EC6FB2">
        <w:t>As there is</w:t>
      </w:r>
      <w:r w:rsidR="00480243" w:rsidRPr="00EC6FB2">
        <w:t xml:space="preserve"> only a one year settlement and </w:t>
      </w:r>
      <w:r w:rsidR="005416FC" w:rsidRPr="00EC6FB2">
        <w:t>minimal</w:t>
      </w:r>
      <w:r w:rsidR="00480243" w:rsidRPr="00EC6FB2">
        <w:t xml:space="preserve"> indication of future funding for F</w:t>
      </w:r>
      <w:r w:rsidR="00203AAF" w:rsidRPr="00EC6FB2">
        <w:t>ire and Rescue Authorities</w:t>
      </w:r>
      <w:r w:rsidR="00480243" w:rsidRPr="00EC6FB2">
        <w:t>, t</w:t>
      </w:r>
      <w:r w:rsidR="00C270EC" w:rsidRPr="00EC6FB2">
        <w:t xml:space="preserve">he </w:t>
      </w:r>
      <w:r w:rsidR="008844B8" w:rsidRPr="00EC6FB2">
        <w:t xml:space="preserve">MTFP </w:t>
      </w:r>
      <w:r w:rsidR="00A14F12" w:rsidRPr="00EC6FB2">
        <w:t xml:space="preserve">has been prepared on prudent funding assumptions and </w:t>
      </w:r>
      <w:r w:rsidR="002336B4" w:rsidRPr="00EC6FB2">
        <w:t>shows that</w:t>
      </w:r>
      <w:r w:rsidR="00847633" w:rsidRPr="00EC6FB2">
        <w:t xml:space="preserve"> even with a </w:t>
      </w:r>
      <w:r w:rsidRPr="00EC6FB2">
        <w:t>2.99%</w:t>
      </w:r>
      <w:r w:rsidR="00847633" w:rsidRPr="00EC6FB2">
        <w:t xml:space="preserve"> precept increase</w:t>
      </w:r>
      <w:r w:rsidR="002336B4" w:rsidRPr="00EC6FB2">
        <w:t xml:space="preserve"> there are</w:t>
      </w:r>
      <w:r w:rsidR="00BA2259" w:rsidRPr="00EC6FB2">
        <w:t xml:space="preserve"> </w:t>
      </w:r>
      <w:r w:rsidR="002336B4" w:rsidRPr="00EC6FB2">
        <w:t>financial challenges</w:t>
      </w:r>
      <w:r w:rsidR="00480243" w:rsidRPr="00EC6FB2">
        <w:t xml:space="preserve"> ahead</w:t>
      </w:r>
      <w:r w:rsidR="00F4100B" w:rsidRPr="00EC6FB2">
        <w:t xml:space="preserve"> in future years.</w:t>
      </w:r>
      <w:r w:rsidRPr="00EC6FB2">
        <w:t xml:space="preserve">  </w:t>
      </w:r>
      <w:r w:rsidR="004B580C" w:rsidRPr="00EC6FB2">
        <w:t xml:space="preserve">The Chief Fire Officer </w:t>
      </w:r>
      <w:r w:rsidR="005416FC" w:rsidRPr="00EC6FB2">
        <w:t xml:space="preserve">will continue to work </w:t>
      </w:r>
      <w:r w:rsidR="00B57A23" w:rsidRPr="00EC6FB2">
        <w:t xml:space="preserve">with the PFCC </w:t>
      </w:r>
      <w:r w:rsidR="005416FC" w:rsidRPr="00EC6FB2">
        <w:t>on</w:t>
      </w:r>
      <w:r w:rsidR="004B580C" w:rsidRPr="00EC6FB2">
        <w:t xml:space="preserve"> plans to meet these shortfalls.</w:t>
      </w:r>
    </w:p>
    <w:p w14:paraId="1B68EFA4" w14:textId="77777777" w:rsidR="00EC6FB2" w:rsidRPr="00EC6FB2" w:rsidRDefault="007D1EA0" w:rsidP="00EC6FB2">
      <w:pPr>
        <w:pStyle w:val="PanelPara"/>
      </w:pPr>
      <w:r w:rsidRPr="00EC6FB2">
        <w:rPr>
          <w:bCs/>
        </w:rPr>
        <w:t>After careful consideration of the factors included within this report, the PFCC is very much aware of the financial impact on households in the current time</w:t>
      </w:r>
      <w:r w:rsidR="00B03FEA" w:rsidRPr="00EC6FB2">
        <w:rPr>
          <w:bCs/>
        </w:rPr>
        <w:t>.</w:t>
      </w:r>
      <w:r w:rsidR="00EC6FB2" w:rsidRPr="00EC6FB2">
        <w:rPr>
          <w:bCs/>
        </w:rPr>
        <w:t xml:space="preserve"> </w:t>
      </w:r>
      <w:r w:rsidR="00B03FEA" w:rsidRPr="00EC6FB2">
        <w:rPr>
          <w:bCs/>
        </w:rPr>
        <w:t xml:space="preserve"> However, </w:t>
      </w:r>
      <w:r w:rsidR="002F40BD" w:rsidRPr="00EC6FB2">
        <w:rPr>
          <w:bCs/>
        </w:rPr>
        <w:t xml:space="preserve">he </w:t>
      </w:r>
      <w:r w:rsidR="00E525A0" w:rsidRPr="00EC6FB2">
        <w:rPr>
          <w:bCs/>
        </w:rPr>
        <w:t>is extremely grateful for the support Northamptonshire residents have demonstrated for these proposals.</w:t>
      </w:r>
    </w:p>
    <w:p w14:paraId="7595B864" w14:textId="169D658B" w:rsidR="00EC6FB2" w:rsidRPr="00EC6FB2" w:rsidRDefault="00E525A0" w:rsidP="00EC6FB2">
      <w:pPr>
        <w:pStyle w:val="PanelPara"/>
        <w:numPr>
          <w:ilvl w:val="0"/>
          <w:numId w:val="0"/>
        </w:numPr>
        <w:ind w:left="567"/>
        <w:rPr>
          <w:b/>
        </w:rPr>
      </w:pPr>
      <w:r w:rsidRPr="00EC6FB2">
        <w:rPr>
          <w:b/>
        </w:rPr>
        <w:t xml:space="preserve">As such, given the </w:t>
      </w:r>
      <w:r w:rsidR="005416FC" w:rsidRPr="00EC6FB2">
        <w:rPr>
          <w:b/>
        </w:rPr>
        <w:t xml:space="preserve">current and future </w:t>
      </w:r>
      <w:r w:rsidR="007D1EA0" w:rsidRPr="00EC6FB2">
        <w:rPr>
          <w:b/>
        </w:rPr>
        <w:t>financial challenges</w:t>
      </w:r>
      <w:r w:rsidR="005416FC" w:rsidRPr="00EC6FB2">
        <w:rPr>
          <w:b/>
        </w:rPr>
        <w:t xml:space="preserve"> and uncertainties</w:t>
      </w:r>
      <w:r w:rsidRPr="00EC6FB2">
        <w:rPr>
          <w:b/>
        </w:rPr>
        <w:t xml:space="preserve">, this </w:t>
      </w:r>
      <w:r w:rsidR="00B03FEA" w:rsidRPr="00EC6FB2">
        <w:rPr>
          <w:b/>
        </w:rPr>
        <w:t>require</w:t>
      </w:r>
      <w:r w:rsidRPr="00EC6FB2">
        <w:rPr>
          <w:b/>
        </w:rPr>
        <w:t>s</w:t>
      </w:r>
      <w:r w:rsidR="00B03FEA" w:rsidRPr="00EC6FB2">
        <w:rPr>
          <w:b/>
        </w:rPr>
        <w:t xml:space="preserve"> </w:t>
      </w:r>
      <w:r w:rsidR="00CF3E62" w:rsidRPr="00EC6FB2">
        <w:rPr>
          <w:b/>
        </w:rPr>
        <w:t xml:space="preserve">the PFCC </w:t>
      </w:r>
      <w:r w:rsidR="00B03FEA" w:rsidRPr="00EC6FB2">
        <w:rPr>
          <w:b/>
        </w:rPr>
        <w:t xml:space="preserve">to </w:t>
      </w:r>
      <w:r w:rsidR="007D1EA0" w:rsidRPr="00EC6FB2">
        <w:rPr>
          <w:b/>
        </w:rPr>
        <w:t>propos</w:t>
      </w:r>
      <w:r w:rsidR="00B03FEA" w:rsidRPr="00EC6FB2">
        <w:rPr>
          <w:b/>
        </w:rPr>
        <w:t>e</w:t>
      </w:r>
      <w:r w:rsidR="007D1EA0" w:rsidRPr="00EC6FB2">
        <w:rPr>
          <w:b/>
        </w:rPr>
        <w:t xml:space="preserve"> a </w:t>
      </w:r>
      <w:r w:rsidR="00CF3E62" w:rsidRPr="00EC6FB2">
        <w:rPr>
          <w:b/>
        </w:rPr>
        <w:t xml:space="preserve">Fire </w:t>
      </w:r>
      <w:r w:rsidR="007D1EA0" w:rsidRPr="00EC6FB2">
        <w:rPr>
          <w:b/>
        </w:rPr>
        <w:t xml:space="preserve">precept </w:t>
      </w:r>
      <w:r w:rsidR="009866D8" w:rsidRPr="00EC6FB2">
        <w:rPr>
          <w:b/>
        </w:rPr>
        <w:t xml:space="preserve">increase </w:t>
      </w:r>
      <w:r w:rsidR="007D1EA0" w:rsidRPr="00EC6FB2">
        <w:rPr>
          <w:b/>
        </w:rPr>
        <w:t xml:space="preserve">of </w:t>
      </w:r>
      <w:r w:rsidR="00EC6FB2" w:rsidRPr="00EC6FB2">
        <w:rPr>
          <w:b/>
        </w:rPr>
        <w:t>2.99%/£2.19</w:t>
      </w:r>
      <w:r w:rsidR="007D1EA0" w:rsidRPr="00EC6FB2">
        <w:rPr>
          <w:b/>
        </w:rPr>
        <w:t xml:space="preserve"> (</w:t>
      </w:r>
      <w:r w:rsidR="00EC6FB2" w:rsidRPr="00EC6FB2">
        <w:rPr>
          <w:b/>
        </w:rPr>
        <w:t>4</w:t>
      </w:r>
      <w:r w:rsidR="007D1EA0" w:rsidRPr="00EC6FB2">
        <w:rPr>
          <w:b/>
        </w:rPr>
        <w:t xml:space="preserve"> pence per week)</w:t>
      </w:r>
      <w:r w:rsidR="009866D8" w:rsidRPr="00EC6FB2">
        <w:rPr>
          <w:b/>
        </w:rPr>
        <w:t xml:space="preserve"> for a Band D property.</w:t>
      </w:r>
    </w:p>
    <w:p w14:paraId="52D3AA31" w14:textId="77579255" w:rsidR="007D1EA0" w:rsidRPr="00EC6FB2" w:rsidRDefault="0030759E" w:rsidP="00EC6FB2">
      <w:pPr>
        <w:pStyle w:val="PanelPara"/>
        <w:numPr>
          <w:ilvl w:val="0"/>
          <w:numId w:val="0"/>
        </w:numPr>
        <w:ind w:left="567"/>
      </w:pPr>
      <w:r w:rsidRPr="00EC6FB2">
        <w:rPr>
          <w:b/>
        </w:rPr>
        <w:t xml:space="preserve">This will </w:t>
      </w:r>
      <w:r w:rsidR="007D1EA0" w:rsidRPr="00EC6FB2">
        <w:rPr>
          <w:b/>
        </w:rPr>
        <w:t xml:space="preserve">enable </w:t>
      </w:r>
      <w:r w:rsidR="00E525A0" w:rsidRPr="00EC6FB2">
        <w:rPr>
          <w:b/>
        </w:rPr>
        <w:t xml:space="preserve">Fire to have </w:t>
      </w:r>
      <w:r w:rsidR="007D1EA0" w:rsidRPr="00EC6FB2">
        <w:rPr>
          <w:b/>
        </w:rPr>
        <w:t>a sustainable base budget</w:t>
      </w:r>
      <w:r w:rsidRPr="00EC6FB2">
        <w:rPr>
          <w:b/>
        </w:rPr>
        <w:t>, maintain a</w:t>
      </w:r>
      <w:r w:rsidR="002F40BD" w:rsidRPr="00EC6FB2">
        <w:rPr>
          <w:b/>
        </w:rPr>
        <w:t>n adequate</w:t>
      </w:r>
      <w:r w:rsidRPr="00EC6FB2">
        <w:rPr>
          <w:b/>
        </w:rPr>
        <w:t xml:space="preserve"> level of </w:t>
      </w:r>
      <w:r w:rsidR="0081263C" w:rsidRPr="00EC6FB2">
        <w:rPr>
          <w:b/>
        </w:rPr>
        <w:t>reserve</w:t>
      </w:r>
      <w:r w:rsidRPr="00EC6FB2">
        <w:rPr>
          <w:b/>
        </w:rPr>
        <w:t xml:space="preserve">s </w:t>
      </w:r>
      <w:r w:rsidR="00C242D6" w:rsidRPr="00EC6FB2">
        <w:rPr>
          <w:b/>
        </w:rPr>
        <w:t xml:space="preserve">and </w:t>
      </w:r>
      <w:r w:rsidR="006660EE" w:rsidRPr="00EC6FB2">
        <w:rPr>
          <w:b/>
        </w:rPr>
        <w:t xml:space="preserve">will go some way to maintain and safeguard </w:t>
      </w:r>
      <w:r w:rsidR="007D1EA0" w:rsidRPr="00EC6FB2">
        <w:rPr>
          <w:b/>
        </w:rPr>
        <w:t xml:space="preserve">Fire and Rescue Services in Northamptonshire. </w:t>
      </w:r>
    </w:p>
    <w:p w14:paraId="53DAF88B" w14:textId="77777777" w:rsidR="00BB04C7" w:rsidRPr="00EC6FB2" w:rsidRDefault="00BB04C7" w:rsidP="00EC6FB2">
      <w:pPr>
        <w:spacing w:after="0" w:line="240" w:lineRule="auto"/>
        <w:jc w:val="both"/>
        <w:rPr>
          <w:rFonts w:asciiTheme="minorHAnsi" w:hAnsiTheme="minorHAnsi" w:cstheme="minorHAnsi"/>
          <w:bCs/>
          <w:sz w:val="24"/>
          <w:szCs w:val="24"/>
        </w:rPr>
      </w:pPr>
    </w:p>
    <w:p w14:paraId="6EEF738E" w14:textId="77777777" w:rsidR="008C66D2" w:rsidRDefault="008C66D2">
      <w:pPr>
        <w:spacing w:after="0" w:line="240" w:lineRule="auto"/>
        <w:rPr>
          <w:rFonts w:asciiTheme="minorHAnsi" w:hAnsiTheme="minorHAnsi" w:cstheme="minorHAnsi"/>
          <w:b/>
          <w:sz w:val="24"/>
          <w:szCs w:val="24"/>
        </w:rPr>
      </w:pPr>
      <w:r>
        <w:br w:type="page"/>
      </w:r>
    </w:p>
    <w:p w14:paraId="24C8528B" w14:textId="3FF9D865" w:rsidR="0058465D" w:rsidRPr="00EC6FB2" w:rsidRDefault="0058465D" w:rsidP="00EC6FB2">
      <w:pPr>
        <w:pStyle w:val="PanelHeading"/>
      </w:pPr>
      <w:r w:rsidRPr="00EC6FB2">
        <w:lastRenderedPageBreak/>
        <w:t>National Context</w:t>
      </w:r>
    </w:p>
    <w:p w14:paraId="1CEA738F" w14:textId="016BA54E" w:rsidR="00EC6FB2" w:rsidRDefault="005416FC" w:rsidP="00EC6FB2">
      <w:pPr>
        <w:pStyle w:val="PanelPara"/>
      </w:pPr>
      <w:r w:rsidRPr="00EC6FB2">
        <w:t xml:space="preserve">Fire </w:t>
      </w:r>
      <w:r w:rsidR="00CF3E62" w:rsidRPr="00EC6FB2">
        <w:t>g</w:t>
      </w:r>
      <w:r w:rsidRPr="00EC6FB2">
        <w:t xml:space="preserve">overnance transferred to the Northamptonshire PFCC on the 1 </w:t>
      </w:r>
      <w:r w:rsidR="00C242D6" w:rsidRPr="00EC6FB2">
        <w:t xml:space="preserve">January </w:t>
      </w:r>
      <w:r w:rsidRPr="00EC6FB2">
        <w:t>2019.</w:t>
      </w:r>
      <w:r w:rsidR="00EC6FB2">
        <w:t xml:space="preserve"> </w:t>
      </w:r>
      <w:r w:rsidRPr="00EC6FB2">
        <w:t xml:space="preserve"> The PFCC is </w:t>
      </w:r>
      <w:r w:rsidR="00C242D6" w:rsidRPr="00EC6FB2">
        <w:t xml:space="preserve">currently </w:t>
      </w:r>
      <w:r w:rsidRPr="00EC6FB2">
        <w:t>one</w:t>
      </w:r>
      <w:r w:rsidR="00AD4A51" w:rsidRPr="00EC6FB2">
        <w:t xml:space="preserve"> </w:t>
      </w:r>
      <w:r w:rsidRPr="00EC6FB2">
        <w:t xml:space="preserve">of </w:t>
      </w:r>
      <w:r w:rsidR="00EC6FB2">
        <w:t>five</w:t>
      </w:r>
      <w:r w:rsidRPr="00EC6FB2">
        <w:t xml:space="preserve"> in the country and </w:t>
      </w:r>
      <w:r w:rsidR="00EC6FB2">
        <w:t>is now one of</w:t>
      </w:r>
      <w:r w:rsidRPr="00EC6FB2">
        <w:t xml:space="preserve"> only </w:t>
      </w:r>
      <w:r w:rsidR="00EC6FB2">
        <w:t xml:space="preserve">two to </w:t>
      </w:r>
      <w:r w:rsidRPr="00EC6FB2">
        <w:t>transfer</w:t>
      </w:r>
      <w:r w:rsidR="00EC6FB2">
        <w:t xml:space="preserve"> governance</w:t>
      </w:r>
      <w:r w:rsidRPr="00EC6FB2">
        <w:t xml:space="preserve"> from </w:t>
      </w:r>
      <w:r w:rsidR="00B82C60" w:rsidRPr="00EC6FB2">
        <w:t>a county council</w:t>
      </w:r>
      <w:r w:rsidR="00AD4A51" w:rsidRPr="00EC6FB2">
        <w:t>.</w:t>
      </w:r>
      <w:r w:rsidRPr="00EC6FB2">
        <w:t xml:space="preserve"> </w:t>
      </w:r>
      <w:r w:rsidR="00EC6FB2">
        <w:t xml:space="preserve"> This follows the </w:t>
      </w:r>
      <w:r w:rsidR="00EC6FB2" w:rsidRPr="00EC6FB2">
        <w:t>second County Council transfer</w:t>
      </w:r>
      <w:r w:rsidR="00EC6FB2">
        <w:t xml:space="preserve"> of</w:t>
      </w:r>
      <w:r w:rsidR="00E84EA9" w:rsidRPr="00EC6FB2">
        <w:t xml:space="preserve"> Cumbria </w:t>
      </w:r>
      <w:r w:rsidR="00EC6FB2">
        <w:t>in April 2023</w:t>
      </w:r>
      <w:r w:rsidR="00E84EA9" w:rsidRPr="00EC6FB2">
        <w:t>.</w:t>
      </w:r>
    </w:p>
    <w:p w14:paraId="73B9E4EE" w14:textId="2F098DE2" w:rsidR="00A31120" w:rsidRPr="00EC6FB2" w:rsidRDefault="005D7E8E" w:rsidP="00EC6FB2">
      <w:pPr>
        <w:pStyle w:val="PanelPara"/>
      </w:pPr>
      <w:r w:rsidRPr="00EC6FB2">
        <w:rPr>
          <w:bCs/>
        </w:rPr>
        <w:t xml:space="preserve">The Fire Governance Business Case was predicated on a three year financial stability plan to establish a sustainable revenue budget, develop an affordable </w:t>
      </w:r>
      <w:r w:rsidR="00F671CE" w:rsidRPr="00EC6FB2">
        <w:rPr>
          <w:bCs/>
        </w:rPr>
        <w:t>capital programme</w:t>
      </w:r>
      <w:r w:rsidRPr="00EC6FB2">
        <w:rPr>
          <w:bCs/>
        </w:rPr>
        <w:t xml:space="preserve"> and build </w:t>
      </w:r>
      <w:r w:rsidR="0081263C" w:rsidRPr="00EC6FB2">
        <w:rPr>
          <w:bCs/>
        </w:rPr>
        <w:t>reserve</w:t>
      </w:r>
      <w:r w:rsidRPr="00EC6FB2">
        <w:rPr>
          <w:bCs/>
        </w:rPr>
        <w:t>s to a</w:t>
      </w:r>
      <w:r w:rsidR="006E12D0" w:rsidRPr="00EC6FB2">
        <w:rPr>
          <w:bCs/>
        </w:rPr>
        <w:t xml:space="preserve">n adequate and </w:t>
      </w:r>
      <w:r w:rsidRPr="00EC6FB2">
        <w:rPr>
          <w:bCs/>
        </w:rPr>
        <w:t>resilient level.</w:t>
      </w:r>
      <w:r w:rsidR="00AD4A51" w:rsidRPr="00EC6FB2">
        <w:rPr>
          <w:bCs/>
        </w:rPr>
        <w:t xml:space="preserve"> </w:t>
      </w:r>
      <w:r w:rsidR="00EC6FB2" w:rsidRPr="00EC6FB2">
        <w:rPr>
          <w:bCs/>
        </w:rPr>
        <w:t xml:space="preserve"> </w:t>
      </w:r>
      <w:r w:rsidR="00AD4A51" w:rsidRPr="00EC6FB2">
        <w:rPr>
          <w:bCs/>
        </w:rPr>
        <w:t xml:space="preserve">Whilst COVID-19 impacted adversely on the financial environment facing the new Authority, these plans </w:t>
      </w:r>
      <w:r w:rsidR="00EC6FB2" w:rsidRPr="00EC6FB2">
        <w:rPr>
          <w:bCs/>
        </w:rPr>
        <w:t>were</w:t>
      </w:r>
      <w:r w:rsidR="00B82C60" w:rsidRPr="00EC6FB2">
        <w:rPr>
          <w:bCs/>
        </w:rPr>
        <w:t xml:space="preserve"> </w:t>
      </w:r>
      <w:r w:rsidR="00AD4A51" w:rsidRPr="00EC6FB2">
        <w:rPr>
          <w:bCs/>
        </w:rPr>
        <w:t>achieved.</w:t>
      </w:r>
    </w:p>
    <w:p w14:paraId="29BAA3C7" w14:textId="0FE96939" w:rsidR="00B57A23" w:rsidRDefault="006F03BB" w:rsidP="006F03BB">
      <w:pPr>
        <w:pStyle w:val="PanelPara"/>
      </w:pPr>
      <w:r>
        <w:rPr>
          <w:bCs/>
        </w:rPr>
        <w:t xml:space="preserve">No additional funding or precept flexibility has been afforded to Northamptonshire or the other lowest funded Authorities which makes balancing budgets more </w:t>
      </w:r>
      <w:r w:rsidRPr="00E235A6">
        <w:rPr>
          <w:bCs/>
        </w:rPr>
        <w:t>challenging.  A</w:t>
      </w:r>
      <w:r w:rsidR="00A31120" w:rsidRPr="00E235A6">
        <w:t xml:space="preserve">s evidenced in the MTFP, </w:t>
      </w:r>
      <w:r w:rsidR="006C5D8B" w:rsidRPr="00E235A6">
        <w:t xml:space="preserve">there is still a need for some </w:t>
      </w:r>
      <w:r w:rsidR="00C242D6" w:rsidRPr="00E235A6">
        <w:t>efficiencies</w:t>
      </w:r>
      <w:r w:rsidR="006C5D8B" w:rsidRPr="00E235A6">
        <w:t xml:space="preserve"> over the medium</w:t>
      </w:r>
      <w:r w:rsidR="006C5D8B" w:rsidRPr="006F03BB">
        <w:t xml:space="preserve"> term. </w:t>
      </w:r>
    </w:p>
    <w:p w14:paraId="08765806" w14:textId="4C6B0280" w:rsidR="00D92C2F" w:rsidRPr="006F03BB" w:rsidRDefault="00D92C2F" w:rsidP="006F03BB">
      <w:pPr>
        <w:pStyle w:val="PanelPara"/>
      </w:pPr>
      <w:r>
        <w:t>The PFCC has continued to lobby central government and has spoken to the Minister in person to voice his concerns.</w:t>
      </w:r>
    </w:p>
    <w:p w14:paraId="3F4FC25F" w14:textId="5EA8A898" w:rsidR="006C5D8B" w:rsidRPr="006F03BB" w:rsidRDefault="006C5D8B" w:rsidP="006F03BB">
      <w:pPr>
        <w:pStyle w:val="PanelHeading"/>
      </w:pPr>
      <w:r w:rsidRPr="006F03BB">
        <w:t>Provisional Local Government Finance Settlement</w:t>
      </w:r>
    </w:p>
    <w:p w14:paraId="6C506AE8" w14:textId="77777777" w:rsidR="00E73100" w:rsidRPr="00E73100" w:rsidRDefault="006C5D8B" w:rsidP="00E73100">
      <w:pPr>
        <w:pStyle w:val="PanelPara"/>
      </w:pPr>
      <w:r w:rsidRPr="00E73100">
        <w:t xml:space="preserve">The </w:t>
      </w:r>
      <w:r w:rsidR="00E84EA9" w:rsidRPr="00E73100">
        <w:t>p</w:t>
      </w:r>
      <w:r w:rsidRPr="00E73100">
        <w:t xml:space="preserve">rovisional Local Government Finance Settlement was announced by the Secretary of State for </w:t>
      </w:r>
      <w:r w:rsidR="003204A0" w:rsidRPr="00E73100">
        <w:t xml:space="preserve">Levelling Up, Housing and Communities, Michael Gove MP </w:t>
      </w:r>
      <w:r w:rsidRPr="00E73100">
        <w:t xml:space="preserve">in a written ministerial statement on </w:t>
      </w:r>
      <w:r w:rsidR="002C0234" w:rsidRPr="00E73100">
        <w:t>1</w:t>
      </w:r>
      <w:r w:rsidR="00E73100" w:rsidRPr="00E73100">
        <w:t>8</w:t>
      </w:r>
      <w:r w:rsidR="002C0234" w:rsidRPr="00E73100">
        <w:t xml:space="preserve"> </w:t>
      </w:r>
      <w:r w:rsidRPr="00E73100">
        <w:t>December 20</w:t>
      </w:r>
      <w:r w:rsidR="002C0234" w:rsidRPr="00E73100">
        <w:t>2</w:t>
      </w:r>
      <w:r w:rsidR="00E73100" w:rsidRPr="00E73100">
        <w:t>3</w:t>
      </w:r>
      <w:r w:rsidRPr="00E73100">
        <w:t xml:space="preserve">. </w:t>
      </w:r>
      <w:r w:rsidR="00E73100" w:rsidRPr="00E73100">
        <w:t xml:space="preserve"> </w:t>
      </w:r>
      <w:r w:rsidRPr="00E73100">
        <w:t xml:space="preserve">The announcement set out provisional allocations for </w:t>
      </w:r>
      <w:r w:rsidR="008C38F1" w:rsidRPr="00E73100">
        <w:t>202</w:t>
      </w:r>
      <w:r w:rsidR="00E73100" w:rsidRPr="00E73100">
        <w:t>4</w:t>
      </w:r>
      <w:r w:rsidR="008C38F1" w:rsidRPr="00E73100">
        <w:t>/2</w:t>
      </w:r>
      <w:r w:rsidR="00E73100" w:rsidRPr="00E73100">
        <w:t>5</w:t>
      </w:r>
      <w:r w:rsidRPr="00E73100">
        <w:t xml:space="preserve">. </w:t>
      </w:r>
    </w:p>
    <w:p w14:paraId="164C97EB" w14:textId="53C75FFA" w:rsidR="006C5D8B" w:rsidRPr="00E73100" w:rsidRDefault="006C5D8B" w:rsidP="00E73100">
      <w:pPr>
        <w:pStyle w:val="PanelPara"/>
      </w:pPr>
      <w:r w:rsidRPr="00E73100">
        <w:t xml:space="preserve">The </w:t>
      </w:r>
      <w:r w:rsidR="00E84EA9" w:rsidRPr="00E73100">
        <w:t>provisional settlement</w:t>
      </w:r>
      <w:r w:rsidRPr="00E73100">
        <w:t xml:space="preserve"> publication </w:t>
      </w:r>
      <w:r w:rsidR="00B82C60" w:rsidRPr="00E73100">
        <w:t xml:space="preserve">marked </w:t>
      </w:r>
      <w:r w:rsidRPr="00E73100">
        <w:t xml:space="preserve">the start of </w:t>
      </w:r>
      <w:r w:rsidR="00B82C60" w:rsidRPr="00E73100">
        <w:t xml:space="preserve">a </w:t>
      </w:r>
      <w:r w:rsidRPr="00E73100">
        <w:t>four-week consultation which close</w:t>
      </w:r>
      <w:r w:rsidR="006E12D0" w:rsidRPr="00E73100">
        <w:t>d</w:t>
      </w:r>
      <w:r w:rsidRPr="00E73100">
        <w:t xml:space="preserve"> on 1</w:t>
      </w:r>
      <w:r w:rsidR="00E73100" w:rsidRPr="00E73100">
        <w:t>5</w:t>
      </w:r>
      <w:r w:rsidRPr="00E73100">
        <w:t xml:space="preserve"> January 202</w:t>
      </w:r>
      <w:r w:rsidR="00E73100" w:rsidRPr="00E73100">
        <w:t>4</w:t>
      </w:r>
      <w:r w:rsidRPr="00E73100">
        <w:t>.</w:t>
      </w:r>
      <w:r w:rsidR="002F40BD" w:rsidRPr="00E73100">
        <w:t xml:space="preserve"> </w:t>
      </w:r>
      <w:r w:rsidR="00E73100" w:rsidRPr="00E73100">
        <w:t xml:space="preserve"> </w:t>
      </w:r>
      <w:r w:rsidR="002F40BD" w:rsidRPr="00E73100">
        <w:t xml:space="preserve">At the time of writing, the date of the final settlement is </w:t>
      </w:r>
      <w:r w:rsidR="006E12D0" w:rsidRPr="00E73100">
        <w:t>unknown</w:t>
      </w:r>
      <w:r w:rsidR="002F40BD" w:rsidRPr="00E73100">
        <w:t>.</w:t>
      </w:r>
    </w:p>
    <w:p w14:paraId="72172BFE" w14:textId="7DFFA069" w:rsidR="00E73100" w:rsidRPr="001E6880" w:rsidRDefault="002C0234" w:rsidP="00E73100">
      <w:pPr>
        <w:pStyle w:val="PanelPara"/>
      </w:pPr>
      <w:r w:rsidRPr="001E6880">
        <w:t xml:space="preserve">In early December, civil servants from </w:t>
      </w:r>
      <w:r w:rsidR="00412A1A" w:rsidRPr="001E6880">
        <w:t>the Department of Levelling Up Housing and Communities (</w:t>
      </w:r>
      <w:r w:rsidRPr="001E6880">
        <w:t>DLUH</w:t>
      </w:r>
      <w:r w:rsidR="004C3815" w:rsidRPr="001E6880">
        <w:t>C</w:t>
      </w:r>
      <w:r w:rsidR="00412A1A" w:rsidRPr="001E6880">
        <w:t>)</w:t>
      </w:r>
      <w:r w:rsidRPr="001E6880">
        <w:t xml:space="preserve"> shared a “policy statement</w:t>
      </w:r>
      <w:r w:rsidR="004C3815" w:rsidRPr="001E6880">
        <w:t>”</w:t>
      </w:r>
      <w:r w:rsidRPr="001E6880">
        <w:t xml:space="preserve"> which contained some indications of the provisional local government funding settlement, but not enough information </w:t>
      </w:r>
      <w:r w:rsidR="00B82C60" w:rsidRPr="001E6880">
        <w:t>was included to provide us with</w:t>
      </w:r>
      <w:r w:rsidRPr="001E6880">
        <w:t xml:space="preserve"> a </w:t>
      </w:r>
      <w:r w:rsidR="00E84EA9" w:rsidRPr="001E6880">
        <w:t>provisional settlement</w:t>
      </w:r>
      <w:r w:rsidRPr="001E6880">
        <w:t xml:space="preserve"> figure. </w:t>
      </w:r>
    </w:p>
    <w:p w14:paraId="4E7ECC8C" w14:textId="0D53C39B" w:rsidR="006C5D8B" w:rsidRDefault="006C5D8B" w:rsidP="00E73100">
      <w:pPr>
        <w:pStyle w:val="PanelPara"/>
      </w:pPr>
      <w:r w:rsidRPr="001E6880">
        <w:t xml:space="preserve">The national Technical </w:t>
      </w:r>
      <w:r w:rsidR="00E73100" w:rsidRPr="001E6880">
        <w:t xml:space="preserve">Support </w:t>
      </w:r>
      <w:r w:rsidRPr="001E6880">
        <w:t>Team undertook an analysis of the day’s main announcements</w:t>
      </w:r>
      <w:r w:rsidR="002C0234" w:rsidRPr="001E6880">
        <w:t xml:space="preserve"> and </w:t>
      </w:r>
      <w:r w:rsidR="001E6880" w:rsidRPr="001E6880">
        <w:t>provided a</w:t>
      </w:r>
      <w:r w:rsidR="00F01470">
        <w:t>n ‘on the day’</w:t>
      </w:r>
      <w:r w:rsidR="001E6880" w:rsidRPr="001E6880">
        <w:t xml:space="preserve"> briefing including the following</w:t>
      </w:r>
      <w:r w:rsidRPr="001E6880">
        <w:t>:</w:t>
      </w:r>
    </w:p>
    <w:p w14:paraId="0BAAC7E1" w14:textId="4F0115AC" w:rsidR="001E6880" w:rsidRPr="0040314A" w:rsidRDefault="001E6880" w:rsidP="001E6880">
      <w:pPr>
        <w:pStyle w:val="PanelPara2"/>
        <w:rPr>
          <w:i/>
          <w:iCs/>
        </w:rPr>
      </w:pPr>
      <w:r w:rsidRPr="0040314A">
        <w:rPr>
          <w:i/>
          <w:iCs/>
        </w:rPr>
        <w:t>Fire and Rescue Authorities’ precept flexibility remains at 3%.</w:t>
      </w:r>
    </w:p>
    <w:p w14:paraId="6B613FC5" w14:textId="67FEFFAA" w:rsidR="001E6880" w:rsidRPr="0040314A" w:rsidRDefault="0040314A" w:rsidP="001E6880">
      <w:pPr>
        <w:pStyle w:val="PanelPara2"/>
        <w:rPr>
          <w:i/>
          <w:iCs/>
        </w:rPr>
      </w:pPr>
      <w:r w:rsidRPr="0040314A">
        <w:rPr>
          <w:i/>
          <w:iCs/>
        </w:rPr>
        <w:t>On average Core Spending Power</w:t>
      </w:r>
      <w:r>
        <w:rPr>
          <w:i/>
          <w:iCs/>
        </w:rPr>
        <w:t xml:space="preserve"> [across all local government]</w:t>
      </w:r>
      <w:r w:rsidRPr="0040314A">
        <w:rPr>
          <w:i/>
          <w:iCs/>
        </w:rPr>
        <w:t xml:space="preserve"> is increasing by 6.5% (almost £4bn), for FRAs (second table below) the change is 4.6%, £85m. </w:t>
      </w:r>
      <w:r>
        <w:rPr>
          <w:i/>
          <w:iCs/>
        </w:rPr>
        <w:t xml:space="preserve"> </w:t>
      </w:r>
      <w:r w:rsidRPr="0040314A">
        <w:rPr>
          <w:i/>
          <w:iCs/>
        </w:rPr>
        <w:t>The increase in CSP has come from £1.825bn of additional grant and £2.078bn in additional council tax (assuming all LAs levy the maximum precept allowed).</w:t>
      </w:r>
      <w:r>
        <w:rPr>
          <w:i/>
          <w:iCs/>
        </w:rPr>
        <w:t xml:space="preserve">  </w:t>
      </w:r>
      <w:r w:rsidR="001E6880" w:rsidRPr="0040314A">
        <w:rPr>
          <w:i/>
          <w:iCs/>
        </w:rPr>
        <w:t xml:space="preserve">Standalone FRAs see smallest </w:t>
      </w:r>
      <w:r>
        <w:rPr>
          <w:i/>
          <w:iCs/>
        </w:rPr>
        <w:t>Core Spending Power</w:t>
      </w:r>
      <w:r w:rsidR="001E6880" w:rsidRPr="0040314A">
        <w:rPr>
          <w:i/>
          <w:iCs/>
        </w:rPr>
        <w:t xml:space="preserve"> increase of all classes – 4.6%. </w:t>
      </w:r>
      <w:r w:rsidRPr="0040314A">
        <w:rPr>
          <w:i/>
          <w:iCs/>
        </w:rPr>
        <w:t xml:space="preserve"> </w:t>
      </w:r>
      <w:r w:rsidR="001E6880" w:rsidRPr="0040314A">
        <w:rPr>
          <w:i/>
          <w:iCs/>
        </w:rPr>
        <w:t>This is due to the roll in of the Fire Pensions Grant which is flat cash for 2024-25, lower council tax flexibilities and a focus on social care.</w:t>
      </w:r>
    </w:p>
    <w:p w14:paraId="62F18B23" w14:textId="606919A0" w:rsidR="001E6880" w:rsidRDefault="001E6880" w:rsidP="001E6880">
      <w:pPr>
        <w:pStyle w:val="PanelPara2"/>
      </w:pPr>
      <w:r w:rsidRPr="0040314A">
        <w:rPr>
          <w:i/>
          <w:iCs/>
        </w:rPr>
        <w:lastRenderedPageBreak/>
        <w:t>3% Funding Guarantee continues in 2024-25 - ensures councils get at least 3% increase in CSP, before council tax or decisions on use of reserves.</w:t>
      </w:r>
      <w:r w:rsidR="0040314A" w:rsidRPr="0040314A">
        <w:rPr>
          <w:i/>
          <w:iCs/>
        </w:rPr>
        <w:t xml:space="preserve"> </w:t>
      </w:r>
      <w:r w:rsidRPr="0040314A">
        <w:rPr>
          <w:i/>
          <w:iCs/>
        </w:rPr>
        <w:t xml:space="preserve"> 31 out of the 44 FRAs hit the Funding Guarantee threshold for 2024-25</w:t>
      </w:r>
      <w:r w:rsidR="0040314A" w:rsidRPr="0040314A">
        <w:rPr>
          <w:i/>
          <w:iCs/>
        </w:rPr>
        <w:t>.</w:t>
      </w:r>
      <w:r w:rsidR="0040314A">
        <w:t xml:space="preserve">  </w:t>
      </w:r>
      <w:r w:rsidR="0040314A" w:rsidRPr="0040314A">
        <w:rPr>
          <w:b/>
          <w:bCs/>
        </w:rPr>
        <w:t xml:space="preserve">This includes </w:t>
      </w:r>
      <w:r w:rsidR="00D54E6F">
        <w:rPr>
          <w:b/>
          <w:bCs/>
        </w:rPr>
        <w:t>NCFRA</w:t>
      </w:r>
      <w:r w:rsidR="0040314A" w:rsidRPr="0040314A">
        <w:rPr>
          <w:b/>
          <w:bCs/>
        </w:rPr>
        <w:t xml:space="preserve"> at £0.231m.</w:t>
      </w:r>
    </w:p>
    <w:p w14:paraId="49C2EC5B" w14:textId="70795F5D" w:rsidR="001E6880" w:rsidRPr="00D54E6F" w:rsidRDefault="001E6880" w:rsidP="001E6880">
      <w:pPr>
        <w:pStyle w:val="PanelPara2"/>
      </w:pPr>
      <w:r w:rsidRPr="0040314A">
        <w:rPr>
          <w:i/>
          <w:iCs/>
        </w:rPr>
        <w:t>Fire and Rescue Pensions Grant (£115m) now included within Core Spending Power.</w:t>
      </w:r>
      <w:r w:rsidR="0040314A" w:rsidRPr="0040314A">
        <w:rPr>
          <w:i/>
          <w:iCs/>
        </w:rPr>
        <w:t xml:space="preserve">  </w:t>
      </w:r>
      <w:r w:rsidR="0040314A" w:rsidRPr="0040314A">
        <w:rPr>
          <w:b/>
          <w:bCs/>
        </w:rPr>
        <w:t xml:space="preserve">This was £1.186m for </w:t>
      </w:r>
      <w:r w:rsidR="00D54E6F">
        <w:rPr>
          <w:b/>
          <w:bCs/>
        </w:rPr>
        <w:t>NCFRA</w:t>
      </w:r>
      <w:r w:rsidR="0040314A" w:rsidRPr="0040314A">
        <w:rPr>
          <w:b/>
          <w:bCs/>
        </w:rPr>
        <w:t>.</w:t>
      </w:r>
    </w:p>
    <w:p w14:paraId="27DFC59C" w14:textId="53C34ACF" w:rsidR="003204A0" w:rsidRPr="006376AD" w:rsidRDefault="00D54E6F" w:rsidP="006376AD">
      <w:pPr>
        <w:pStyle w:val="PanelPara2"/>
        <w:rPr>
          <w:b/>
          <w:bCs/>
        </w:rPr>
      </w:pPr>
      <w:r w:rsidRPr="00D54E6F">
        <w:rPr>
          <w:i/>
          <w:iCs/>
        </w:rPr>
        <w:t>Last year’s Services Grant was described as “one off” but is continuing in today’s announcement. In 2022-23 the Services Grant was £822m and in 2023-24 it was £483m. Today</w:t>
      </w:r>
      <w:r>
        <w:rPr>
          <w:i/>
          <w:iCs/>
        </w:rPr>
        <w:t>’</w:t>
      </w:r>
      <w:r w:rsidRPr="00D54E6F">
        <w:rPr>
          <w:i/>
          <w:iCs/>
        </w:rPr>
        <w:t>s 2024-25 provisional settlement announcement indicates the grant is falling further to just £77m – a reduction of £406m.</w:t>
      </w:r>
      <w:r>
        <w:rPr>
          <w:i/>
          <w:iCs/>
        </w:rPr>
        <w:t xml:space="preserve">  </w:t>
      </w:r>
      <w:r w:rsidRPr="00D54E6F">
        <w:rPr>
          <w:b/>
          <w:bCs/>
        </w:rPr>
        <w:t>The impact on NCFRA is a fall from £0.210m in 2023/24 to £0.034m in 2024/25.</w:t>
      </w:r>
    </w:p>
    <w:p w14:paraId="1549C9E2" w14:textId="031BD96B" w:rsidR="00190B72" w:rsidRPr="00025636" w:rsidRDefault="003204A0" w:rsidP="006376AD">
      <w:pPr>
        <w:pStyle w:val="PanelPara"/>
      </w:pPr>
      <w:r w:rsidRPr="006376AD">
        <w:t xml:space="preserve">Northamptonshire have responded to the </w:t>
      </w:r>
      <w:r w:rsidR="00E84EA9" w:rsidRPr="006376AD">
        <w:t>provisional settlement</w:t>
      </w:r>
      <w:r w:rsidR="006C5D8B" w:rsidRPr="006376AD">
        <w:t xml:space="preserve"> consultation,</w:t>
      </w:r>
      <w:r w:rsidR="008A0357" w:rsidRPr="006376AD">
        <w:t xml:space="preserve"> welcoming the settlement, </w:t>
      </w:r>
      <w:r w:rsidR="006376AD" w:rsidRPr="006376AD">
        <w:t>but highlighting the lack of precept flexibility</w:t>
      </w:r>
      <w:r w:rsidR="006C5D8B" w:rsidRPr="006376AD">
        <w:t xml:space="preserve"> </w:t>
      </w:r>
      <w:r w:rsidR="008A0357" w:rsidRPr="006376AD">
        <w:t xml:space="preserve">and requesting </w:t>
      </w:r>
      <w:r w:rsidR="00190B72" w:rsidRPr="006376AD">
        <w:t>consideration of a capital grant, longer term financial settlements</w:t>
      </w:r>
      <w:r w:rsidR="00E84EA9" w:rsidRPr="006376AD">
        <w:t xml:space="preserve">, consideration of the population demographic </w:t>
      </w:r>
      <w:r w:rsidR="00E84EA9" w:rsidRPr="00025636">
        <w:t>profile affecting FRAs</w:t>
      </w:r>
      <w:r w:rsidR="00190B72" w:rsidRPr="00025636">
        <w:t xml:space="preserve"> and recognition of future inflation in future settlements.</w:t>
      </w:r>
    </w:p>
    <w:p w14:paraId="754A02F6" w14:textId="3D3C61D6" w:rsidR="005A451A" w:rsidRPr="00A30345" w:rsidRDefault="006C5D8B" w:rsidP="00025636">
      <w:pPr>
        <w:pStyle w:val="PanelPara"/>
      </w:pPr>
      <w:r w:rsidRPr="00025636">
        <w:t xml:space="preserve">A summary of the </w:t>
      </w:r>
      <w:r w:rsidR="00E84EA9" w:rsidRPr="00025636">
        <w:t>provisional settlement</w:t>
      </w:r>
      <w:r w:rsidRPr="00025636">
        <w:t xml:space="preserve"> for Fire</w:t>
      </w:r>
      <w:r w:rsidR="00F82D97" w:rsidRPr="00025636">
        <w:t xml:space="preserve"> </w:t>
      </w:r>
      <w:r w:rsidR="00405417" w:rsidRPr="00025636">
        <w:t>in the ta</w:t>
      </w:r>
      <w:r w:rsidR="00263E8C" w:rsidRPr="00025636">
        <w:t>b</w:t>
      </w:r>
      <w:r w:rsidR="00405417" w:rsidRPr="00025636">
        <w:t xml:space="preserve">le </w:t>
      </w:r>
      <w:r w:rsidR="00F82D97" w:rsidRPr="00025636">
        <w:t xml:space="preserve">demonstrates that </w:t>
      </w:r>
      <w:r w:rsidR="00797F7F" w:rsidRPr="00025636">
        <w:t xml:space="preserve">funding has </w:t>
      </w:r>
      <w:r w:rsidR="00797F7F" w:rsidRPr="00A30345">
        <w:t xml:space="preserve">increased </w:t>
      </w:r>
      <w:r w:rsidR="005A451A" w:rsidRPr="00A30345">
        <w:t>£</w:t>
      </w:r>
      <w:r w:rsidR="00E235A6" w:rsidRPr="00A30345">
        <w:t>1</w:t>
      </w:r>
      <w:r w:rsidR="005A451A" w:rsidRPr="00A30345">
        <w:t>.</w:t>
      </w:r>
      <w:r w:rsidR="00E235A6" w:rsidRPr="00A30345">
        <w:t>876</w:t>
      </w:r>
      <w:r w:rsidR="005A451A" w:rsidRPr="00A30345">
        <w:t>m</w:t>
      </w:r>
      <w:r w:rsidR="00797F7F" w:rsidRPr="00A30345">
        <w:t xml:space="preserve"> </w:t>
      </w:r>
      <w:r w:rsidR="00F82D97" w:rsidRPr="00A30345">
        <w:t>(</w:t>
      </w:r>
      <w:r w:rsidR="00025636" w:rsidRPr="00A30345">
        <w:t>6.3</w:t>
      </w:r>
      <w:r w:rsidR="00F82D97" w:rsidRPr="00A30345">
        <w:t xml:space="preserve">%) </w:t>
      </w:r>
      <w:r w:rsidR="00797F7F" w:rsidRPr="00A30345">
        <w:t xml:space="preserve">from </w:t>
      </w:r>
      <w:r w:rsidR="008C38F1" w:rsidRPr="00A30345">
        <w:t>202</w:t>
      </w:r>
      <w:r w:rsidR="00025636" w:rsidRPr="00A30345">
        <w:t>3</w:t>
      </w:r>
      <w:r w:rsidR="008C38F1" w:rsidRPr="00A30345">
        <w:t>/2</w:t>
      </w:r>
      <w:r w:rsidR="00025636" w:rsidRPr="00A30345">
        <w:t>4</w:t>
      </w:r>
      <w:r w:rsidR="00405417" w:rsidRPr="00A30345">
        <w:t>.</w:t>
      </w:r>
    </w:p>
    <w:p w14:paraId="13C77DD6" w14:textId="78093D39" w:rsidR="00481E66" w:rsidRPr="00DC67A1" w:rsidRDefault="00481E66" w:rsidP="00DC67A1">
      <w:pPr>
        <w:pStyle w:val="PanelPara"/>
      </w:pPr>
      <w:r w:rsidRPr="00A30345">
        <w:t>The 202</w:t>
      </w:r>
      <w:r w:rsidR="00025636" w:rsidRPr="00A30345">
        <w:t>4</w:t>
      </w:r>
      <w:r w:rsidRPr="00A30345">
        <w:t>/2</w:t>
      </w:r>
      <w:r w:rsidR="00025636" w:rsidRPr="00A30345">
        <w:t>5</w:t>
      </w:r>
      <w:r w:rsidRPr="00A30345">
        <w:t xml:space="preserve"> budget will be </w:t>
      </w:r>
      <w:r w:rsidR="00A30345" w:rsidRPr="00A30345">
        <w:t>around</w:t>
      </w:r>
      <w:r w:rsidRPr="00A30345">
        <w:t xml:space="preserve"> £</w:t>
      </w:r>
      <w:r w:rsidR="00A30345" w:rsidRPr="00A30345">
        <w:t>8.8</w:t>
      </w:r>
      <w:r w:rsidRPr="00A30345">
        <w:t xml:space="preserve">m more than the budget transferred as part of the governance arrangements. </w:t>
      </w:r>
      <w:r w:rsidR="00025636" w:rsidRPr="00A30345">
        <w:t xml:space="preserve"> </w:t>
      </w:r>
      <w:r w:rsidRPr="00A30345">
        <w:t>This equates to a revenue budget increase of over 3</w:t>
      </w:r>
      <w:r w:rsidR="00A30345" w:rsidRPr="00A30345">
        <w:t>9</w:t>
      </w:r>
      <w:r w:rsidRPr="00A30345">
        <w:t xml:space="preserve">% since 2018/19. </w:t>
      </w:r>
      <w:r w:rsidR="00025636" w:rsidRPr="00A30345">
        <w:t xml:space="preserve"> </w:t>
      </w:r>
      <w:r w:rsidRPr="00A30345">
        <w:t>Whilst future savings are still required, the NCFRA revenue budget and the service are on a much more resilient footing.</w:t>
      </w:r>
    </w:p>
    <w:tbl>
      <w:tblPr>
        <w:tblW w:w="6240" w:type="dxa"/>
        <w:tblInd w:w="562" w:type="dxa"/>
        <w:tblLook w:val="04A0" w:firstRow="1" w:lastRow="0" w:firstColumn="1" w:lastColumn="0" w:noHBand="0" w:noVBand="1"/>
      </w:tblPr>
      <w:tblGrid>
        <w:gridCol w:w="1260"/>
        <w:gridCol w:w="3720"/>
        <w:gridCol w:w="1260"/>
      </w:tblGrid>
      <w:tr w:rsidR="00E235A6" w:rsidRPr="00E235A6" w14:paraId="15E4E984" w14:textId="77777777" w:rsidTr="00A30345">
        <w:trPr>
          <w:trHeight w:val="630"/>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42255E" w14:textId="77777777" w:rsidR="00E235A6" w:rsidRPr="00E235A6" w:rsidRDefault="00E235A6" w:rsidP="00E235A6">
            <w:pPr>
              <w:spacing w:after="0" w:line="240" w:lineRule="auto"/>
              <w:jc w:val="center"/>
              <w:rPr>
                <w:rFonts w:eastAsia="Times New Roman" w:cs="Calibri"/>
                <w:b/>
                <w:bCs/>
                <w:color w:val="000000"/>
                <w:sz w:val="24"/>
                <w:szCs w:val="24"/>
                <w:lang w:eastAsia="en-GB"/>
              </w:rPr>
            </w:pPr>
            <w:r w:rsidRPr="00E235A6">
              <w:rPr>
                <w:rFonts w:eastAsia="Times New Roman" w:cs="Calibri"/>
                <w:b/>
                <w:bCs/>
                <w:color w:val="000000"/>
                <w:sz w:val="24"/>
                <w:szCs w:val="24"/>
                <w:lang w:eastAsia="en-GB"/>
              </w:rPr>
              <w:t>2023/24</w:t>
            </w:r>
            <w:r w:rsidRPr="00E235A6">
              <w:rPr>
                <w:rFonts w:eastAsia="Times New Roman" w:cs="Calibri"/>
                <w:b/>
                <w:bCs/>
                <w:color w:val="000000"/>
                <w:sz w:val="24"/>
                <w:szCs w:val="24"/>
                <w:lang w:eastAsia="en-GB"/>
              </w:rPr>
              <w:br/>
              <w:t>£m</w:t>
            </w:r>
          </w:p>
        </w:tc>
        <w:tc>
          <w:tcPr>
            <w:tcW w:w="3720" w:type="dxa"/>
            <w:tcBorders>
              <w:top w:val="single" w:sz="4" w:space="0" w:color="auto"/>
              <w:left w:val="nil"/>
              <w:bottom w:val="single" w:sz="4" w:space="0" w:color="auto"/>
              <w:right w:val="single" w:sz="4" w:space="0" w:color="auto"/>
            </w:tcBorders>
            <w:shd w:val="clear" w:color="000000" w:fill="FFFFFF"/>
            <w:noWrap/>
            <w:vAlign w:val="center"/>
            <w:hideMark/>
          </w:tcPr>
          <w:p w14:paraId="1CA087E1" w14:textId="77777777" w:rsidR="00E235A6" w:rsidRPr="00E235A6" w:rsidRDefault="00E235A6" w:rsidP="00E235A6">
            <w:pPr>
              <w:spacing w:after="0" w:line="240" w:lineRule="auto"/>
              <w:rPr>
                <w:rFonts w:eastAsia="Times New Roman" w:cs="Calibri"/>
                <w:b/>
                <w:bCs/>
                <w:color w:val="000000"/>
                <w:sz w:val="24"/>
                <w:szCs w:val="24"/>
                <w:lang w:eastAsia="en-GB"/>
              </w:rPr>
            </w:pPr>
            <w:r w:rsidRPr="00E235A6">
              <w:rPr>
                <w:rFonts w:eastAsia="Times New Roman" w:cs="Calibri"/>
                <w:b/>
                <w:bCs/>
                <w:color w:val="000000"/>
                <w:sz w:val="24"/>
                <w:szCs w:val="24"/>
                <w:lang w:eastAsia="en-GB"/>
              </w:rPr>
              <w:t>Funding</w:t>
            </w:r>
          </w:p>
        </w:tc>
        <w:tc>
          <w:tcPr>
            <w:tcW w:w="1260" w:type="dxa"/>
            <w:tcBorders>
              <w:top w:val="single" w:sz="4" w:space="0" w:color="auto"/>
              <w:left w:val="nil"/>
              <w:bottom w:val="single" w:sz="4" w:space="0" w:color="auto"/>
              <w:right w:val="single" w:sz="4" w:space="0" w:color="auto"/>
            </w:tcBorders>
            <w:shd w:val="clear" w:color="000000" w:fill="FFDDDD"/>
            <w:vAlign w:val="center"/>
            <w:hideMark/>
          </w:tcPr>
          <w:p w14:paraId="5589789C" w14:textId="77777777" w:rsidR="00E235A6" w:rsidRPr="00E235A6" w:rsidRDefault="00E235A6" w:rsidP="00E235A6">
            <w:pPr>
              <w:spacing w:after="0" w:line="240" w:lineRule="auto"/>
              <w:jc w:val="center"/>
              <w:rPr>
                <w:rFonts w:eastAsia="Times New Roman" w:cs="Calibri"/>
                <w:b/>
                <w:bCs/>
                <w:color w:val="000000"/>
                <w:sz w:val="24"/>
                <w:szCs w:val="24"/>
                <w:lang w:eastAsia="en-GB"/>
              </w:rPr>
            </w:pPr>
            <w:r w:rsidRPr="00E235A6">
              <w:rPr>
                <w:rFonts w:eastAsia="Times New Roman" w:cs="Calibri"/>
                <w:b/>
                <w:bCs/>
                <w:color w:val="000000"/>
                <w:sz w:val="24"/>
                <w:szCs w:val="24"/>
                <w:lang w:eastAsia="en-GB"/>
              </w:rPr>
              <w:t>2024/25</w:t>
            </w:r>
            <w:r w:rsidRPr="00E235A6">
              <w:rPr>
                <w:rFonts w:eastAsia="Times New Roman" w:cs="Calibri"/>
                <w:b/>
                <w:bCs/>
                <w:color w:val="000000"/>
                <w:sz w:val="24"/>
                <w:szCs w:val="24"/>
                <w:lang w:eastAsia="en-GB"/>
              </w:rPr>
              <w:br/>
              <w:t>£m</w:t>
            </w:r>
          </w:p>
        </w:tc>
      </w:tr>
      <w:tr w:rsidR="00E235A6" w:rsidRPr="00E235A6" w14:paraId="5D9926ED" w14:textId="77777777" w:rsidTr="00A30345">
        <w:trPr>
          <w:trHeight w:val="315"/>
        </w:trPr>
        <w:tc>
          <w:tcPr>
            <w:tcW w:w="1260" w:type="dxa"/>
            <w:tcBorders>
              <w:top w:val="nil"/>
              <w:left w:val="single" w:sz="4" w:space="0" w:color="auto"/>
              <w:bottom w:val="nil"/>
              <w:right w:val="single" w:sz="4" w:space="0" w:color="auto"/>
            </w:tcBorders>
            <w:shd w:val="clear" w:color="000000" w:fill="FFFFFF"/>
            <w:noWrap/>
            <w:vAlign w:val="bottom"/>
            <w:hideMark/>
          </w:tcPr>
          <w:p w14:paraId="09DF3590" w14:textId="77777777" w:rsidR="00E235A6" w:rsidRPr="00E235A6" w:rsidRDefault="00E235A6" w:rsidP="00E235A6">
            <w:pPr>
              <w:spacing w:after="0" w:line="240" w:lineRule="auto"/>
              <w:jc w:val="right"/>
              <w:rPr>
                <w:rFonts w:eastAsia="Times New Roman" w:cs="Calibri"/>
                <w:color w:val="000000"/>
                <w:sz w:val="24"/>
                <w:szCs w:val="24"/>
                <w:lang w:eastAsia="en-GB"/>
              </w:rPr>
            </w:pPr>
            <w:r w:rsidRPr="00E235A6">
              <w:rPr>
                <w:rFonts w:eastAsia="Times New Roman" w:cs="Calibri"/>
                <w:color w:val="000000"/>
                <w:sz w:val="24"/>
                <w:szCs w:val="24"/>
                <w:lang w:eastAsia="en-GB"/>
              </w:rPr>
              <w:t>2.587</w:t>
            </w:r>
          </w:p>
        </w:tc>
        <w:tc>
          <w:tcPr>
            <w:tcW w:w="3720" w:type="dxa"/>
            <w:tcBorders>
              <w:top w:val="nil"/>
              <w:left w:val="nil"/>
              <w:bottom w:val="nil"/>
              <w:right w:val="single" w:sz="4" w:space="0" w:color="auto"/>
            </w:tcBorders>
            <w:shd w:val="clear" w:color="000000" w:fill="FFFFFF"/>
            <w:noWrap/>
            <w:vAlign w:val="bottom"/>
            <w:hideMark/>
          </w:tcPr>
          <w:p w14:paraId="53168929" w14:textId="77777777" w:rsidR="00E235A6" w:rsidRPr="00E235A6" w:rsidRDefault="00E235A6" w:rsidP="00E235A6">
            <w:pPr>
              <w:spacing w:after="0" w:line="240" w:lineRule="auto"/>
              <w:rPr>
                <w:rFonts w:eastAsia="Times New Roman" w:cs="Calibri"/>
                <w:color w:val="000000"/>
                <w:sz w:val="24"/>
                <w:szCs w:val="24"/>
                <w:lang w:eastAsia="en-GB"/>
              </w:rPr>
            </w:pPr>
            <w:r w:rsidRPr="00E235A6">
              <w:rPr>
                <w:rFonts w:eastAsia="Times New Roman" w:cs="Calibri"/>
                <w:color w:val="000000"/>
                <w:sz w:val="24"/>
                <w:szCs w:val="24"/>
                <w:lang w:eastAsia="en-GB"/>
              </w:rPr>
              <w:t>Revenue Support Grant</w:t>
            </w:r>
          </w:p>
        </w:tc>
        <w:tc>
          <w:tcPr>
            <w:tcW w:w="1260" w:type="dxa"/>
            <w:tcBorders>
              <w:top w:val="nil"/>
              <w:left w:val="nil"/>
              <w:bottom w:val="nil"/>
              <w:right w:val="single" w:sz="4" w:space="0" w:color="auto"/>
            </w:tcBorders>
            <w:shd w:val="clear" w:color="000000" w:fill="FFDDDD"/>
            <w:noWrap/>
            <w:vAlign w:val="bottom"/>
            <w:hideMark/>
          </w:tcPr>
          <w:p w14:paraId="2298DE69" w14:textId="77777777" w:rsidR="00E235A6" w:rsidRPr="00E235A6" w:rsidRDefault="00E235A6" w:rsidP="00E235A6">
            <w:pPr>
              <w:spacing w:after="0" w:line="240" w:lineRule="auto"/>
              <w:jc w:val="right"/>
              <w:rPr>
                <w:rFonts w:eastAsia="Times New Roman" w:cs="Calibri"/>
                <w:color w:val="000000"/>
                <w:sz w:val="24"/>
                <w:szCs w:val="24"/>
                <w:lang w:eastAsia="en-GB"/>
              </w:rPr>
            </w:pPr>
            <w:r w:rsidRPr="00E235A6">
              <w:rPr>
                <w:rFonts w:eastAsia="Times New Roman" w:cs="Calibri"/>
                <w:color w:val="000000"/>
                <w:sz w:val="24"/>
                <w:szCs w:val="24"/>
                <w:lang w:eastAsia="en-GB"/>
              </w:rPr>
              <w:t>3.944</w:t>
            </w:r>
          </w:p>
        </w:tc>
      </w:tr>
      <w:tr w:rsidR="00E235A6" w:rsidRPr="00E235A6" w14:paraId="088444C0" w14:textId="77777777" w:rsidTr="00A30345">
        <w:trPr>
          <w:trHeight w:val="315"/>
        </w:trPr>
        <w:tc>
          <w:tcPr>
            <w:tcW w:w="1260" w:type="dxa"/>
            <w:tcBorders>
              <w:top w:val="nil"/>
              <w:left w:val="single" w:sz="4" w:space="0" w:color="auto"/>
              <w:bottom w:val="nil"/>
              <w:right w:val="single" w:sz="4" w:space="0" w:color="auto"/>
            </w:tcBorders>
            <w:shd w:val="clear" w:color="000000" w:fill="FFFFFF"/>
            <w:noWrap/>
            <w:vAlign w:val="bottom"/>
            <w:hideMark/>
          </w:tcPr>
          <w:p w14:paraId="5777488F" w14:textId="77777777" w:rsidR="00E235A6" w:rsidRPr="00E235A6" w:rsidRDefault="00E235A6" w:rsidP="00E235A6">
            <w:pPr>
              <w:spacing w:after="0" w:line="240" w:lineRule="auto"/>
              <w:jc w:val="right"/>
              <w:rPr>
                <w:rFonts w:eastAsia="Times New Roman" w:cs="Calibri"/>
                <w:color w:val="000000"/>
                <w:sz w:val="24"/>
                <w:szCs w:val="24"/>
                <w:lang w:eastAsia="en-GB"/>
              </w:rPr>
            </w:pPr>
            <w:r w:rsidRPr="00E235A6">
              <w:rPr>
                <w:rFonts w:eastAsia="Times New Roman" w:cs="Calibri"/>
                <w:color w:val="000000"/>
                <w:sz w:val="24"/>
                <w:szCs w:val="24"/>
                <w:lang w:eastAsia="en-GB"/>
              </w:rPr>
              <w:t>1.186</w:t>
            </w:r>
          </w:p>
        </w:tc>
        <w:tc>
          <w:tcPr>
            <w:tcW w:w="3720" w:type="dxa"/>
            <w:tcBorders>
              <w:top w:val="nil"/>
              <w:left w:val="nil"/>
              <w:bottom w:val="nil"/>
              <w:right w:val="single" w:sz="4" w:space="0" w:color="auto"/>
            </w:tcBorders>
            <w:shd w:val="clear" w:color="000000" w:fill="FFFFFF"/>
            <w:noWrap/>
            <w:vAlign w:val="bottom"/>
            <w:hideMark/>
          </w:tcPr>
          <w:p w14:paraId="16277676" w14:textId="77777777" w:rsidR="00E235A6" w:rsidRPr="00E235A6" w:rsidRDefault="00E235A6" w:rsidP="00E235A6">
            <w:pPr>
              <w:spacing w:after="0" w:line="240" w:lineRule="auto"/>
              <w:rPr>
                <w:rFonts w:eastAsia="Times New Roman" w:cs="Calibri"/>
                <w:color w:val="000000"/>
                <w:sz w:val="24"/>
                <w:szCs w:val="24"/>
                <w:lang w:eastAsia="en-GB"/>
              </w:rPr>
            </w:pPr>
            <w:r w:rsidRPr="00E235A6">
              <w:rPr>
                <w:rFonts w:eastAsia="Times New Roman" w:cs="Calibri"/>
                <w:color w:val="000000"/>
                <w:sz w:val="24"/>
                <w:szCs w:val="24"/>
                <w:lang w:eastAsia="en-GB"/>
              </w:rPr>
              <w:t>Pensions Grant</w:t>
            </w:r>
          </w:p>
        </w:tc>
        <w:tc>
          <w:tcPr>
            <w:tcW w:w="1260" w:type="dxa"/>
            <w:tcBorders>
              <w:top w:val="nil"/>
              <w:left w:val="nil"/>
              <w:bottom w:val="nil"/>
              <w:right w:val="single" w:sz="4" w:space="0" w:color="auto"/>
            </w:tcBorders>
            <w:shd w:val="clear" w:color="000000" w:fill="FFDDDD"/>
            <w:noWrap/>
            <w:vAlign w:val="bottom"/>
            <w:hideMark/>
          </w:tcPr>
          <w:p w14:paraId="02F83E8C" w14:textId="77777777" w:rsidR="00E235A6" w:rsidRPr="00E235A6" w:rsidRDefault="00E235A6" w:rsidP="00E235A6">
            <w:pPr>
              <w:spacing w:after="0" w:line="240" w:lineRule="auto"/>
              <w:jc w:val="right"/>
              <w:rPr>
                <w:rFonts w:eastAsia="Times New Roman" w:cs="Calibri"/>
                <w:color w:val="000000"/>
                <w:sz w:val="24"/>
                <w:szCs w:val="24"/>
                <w:lang w:eastAsia="en-GB"/>
              </w:rPr>
            </w:pPr>
            <w:r w:rsidRPr="00E235A6">
              <w:rPr>
                <w:rFonts w:eastAsia="Times New Roman" w:cs="Calibri"/>
                <w:color w:val="000000"/>
                <w:sz w:val="24"/>
                <w:szCs w:val="24"/>
                <w:lang w:eastAsia="en-GB"/>
              </w:rPr>
              <w:t>-</w:t>
            </w:r>
          </w:p>
        </w:tc>
      </w:tr>
      <w:tr w:rsidR="00E235A6" w:rsidRPr="00E235A6" w14:paraId="6750FBF6" w14:textId="77777777" w:rsidTr="00A30345">
        <w:trPr>
          <w:trHeight w:val="315"/>
        </w:trPr>
        <w:tc>
          <w:tcPr>
            <w:tcW w:w="1260" w:type="dxa"/>
            <w:tcBorders>
              <w:top w:val="nil"/>
              <w:left w:val="single" w:sz="4" w:space="0" w:color="auto"/>
              <w:bottom w:val="nil"/>
              <w:right w:val="single" w:sz="4" w:space="0" w:color="auto"/>
            </w:tcBorders>
            <w:shd w:val="clear" w:color="000000" w:fill="FFFFFF"/>
            <w:noWrap/>
            <w:vAlign w:val="bottom"/>
            <w:hideMark/>
          </w:tcPr>
          <w:p w14:paraId="554E1C98" w14:textId="77777777" w:rsidR="00E235A6" w:rsidRPr="00E235A6" w:rsidRDefault="00E235A6" w:rsidP="00E235A6">
            <w:pPr>
              <w:spacing w:after="0" w:line="240" w:lineRule="auto"/>
              <w:jc w:val="right"/>
              <w:rPr>
                <w:rFonts w:eastAsia="Times New Roman" w:cs="Calibri"/>
                <w:color w:val="000000"/>
                <w:sz w:val="24"/>
                <w:szCs w:val="24"/>
                <w:lang w:eastAsia="en-GB"/>
              </w:rPr>
            </w:pPr>
            <w:r w:rsidRPr="00E235A6">
              <w:rPr>
                <w:rFonts w:eastAsia="Times New Roman" w:cs="Calibri"/>
                <w:color w:val="000000"/>
                <w:sz w:val="24"/>
                <w:szCs w:val="24"/>
                <w:lang w:eastAsia="en-GB"/>
              </w:rPr>
              <w:t>2.563</w:t>
            </w:r>
          </w:p>
        </w:tc>
        <w:tc>
          <w:tcPr>
            <w:tcW w:w="3720" w:type="dxa"/>
            <w:tcBorders>
              <w:top w:val="nil"/>
              <w:left w:val="nil"/>
              <w:bottom w:val="nil"/>
              <w:right w:val="single" w:sz="4" w:space="0" w:color="auto"/>
            </w:tcBorders>
            <w:shd w:val="clear" w:color="000000" w:fill="FFFFFF"/>
            <w:noWrap/>
            <w:vAlign w:val="bottom"/>
            <w:hideMark/>
          </w:tcPr>
          <w:p w14:paraId="30ABCF73" w14:textId="77777777" w:rsidR="00E235A6" w:rsidRPr="00E235A6" w:rsidRDefault="00E235A6" w:rsidP="00E235A6">
            <w:pPr>
              <w:spacing w:after="0" w:line="240" w:lineRule="auto"/>
              <w:rPr>
                <w:rFonts w:eastAsia="Times New Roman" w:cs="Calibri"/>
                <w:color w:val="000000"/>
                <w:sz w:val="24"/>
                <w:szCs w:val="24"/>
                <w:lang w:eastAsia="en-GB"/>
              </w:rPr>
            </w:pPr>
            <w:r w:rsidRPr="00E235A6">
              <w:rPr>
                <w:rFonts w:eastAsia="Times New Roman" w:cs="Calibri"/>
                <w:color w:val="000000"/>
                <w:sz w:val="24"/>
                <w:szCs w:val="24"/>
                <w:lang w:eastAsia="en-GB"/>
              </w:rPr>
              <w:t>Top Up Grant</w:t>
            </w:r>
          </w:p>
        </w:tc>
        <w:tc>
          <w:tcPr>
            <w:tcW w:w="1260" w:type="dxa"/>
            <w:tcBorders>
              <w:top w:val="nil"/>
              <w:left w:val="nil"/>
              <w:bottom w:val="nil"/>
              <w:right w:val="single" w:sz="4" w:space="0" w:color="auto"/>
            </w:tcBorders>
            <w:shd w:val="clear" w:color="000000" w:fill="FFDDDD"/>
            <w:noWrap/>
            <w:vAlign w:val="bottom"/>
            <w:hideMark/>
          </w:tcPr>
          <w:p w14:paraId="4A4229F8" w14:textId="77777777" w:rsidR="00E235A6" w:rsidRPr="00E235A6" w:rsidRDefault="00E235A6" w:rsidP="00E235A6">
            <w:pPr>
              <w:spacing w:after="0" w:line="240" w:lineRule="auto"/>
              <w:jc w:val="right"/>
              <w:rPr>
                <w:rFonts w:eastAsia="Times New Roman" w:cs="Calibri"/>
                <w:color w:val="000000"/>
                <w:sz w:val="24"/>
                <w:szCs w:val="24"/>
                <w:lang w:eastAsia="en-GB"/>
              </w:rPr>
            </w:pPr>
            <w:r w:rsidRPr="00E235A6">
              <w:rPr>
                <w:rFonts w:eastAsia="Times New Roman" w:cs="Calibri"/>
                <w:color w:val="000000"/>
                <w:sz w:val="24"/>
                <w:szCs w:val="24"/>
                <w:lang w:eastAsia="en-GB"/>
              </w:rPr>
              <w:t>2.665</w:t>
            </w:r>
          </w:p>
        </w:tc>
      </w:tr>
      <w:tr w:rsidR="00E235A6" w:rsidRPr="00E235A6" w14:paraId="1810528C" w14:textId="77777777" w:rsidTr="00A30345">
        <w:trPr>
          <w:trHeight w:val="315"/>
        </w:trPr>
        <w:tc>
          <w:tcPr>
            <w:tcW w:w="1260" w:type="dxa"/>
            <w:tcBorders>
              <w:top w:val="nil"/>
              <w:left w:val="single" w:sz="4" w:space="0" w:color="auto"/>
              <w:bottom w:val="nil"/>
              <w:right w:val="single" w:sz="4" w:space="0" w:color="auto"/>
            </w:tcBorders>
            <w:shd w:val="clear" w:color="000000" w:fill="FFFFFF"/>
            <w:noWrap/>
            <w:vAlign w:val="bottom"/>
            <w:hideMark/>
          </w:tcPr>
          <w:p w14:paraId="28DF09A6" w14:textId="77777777" w:rsidR="00E235A6" w:rsidRPr="00E235A6" w:rsidRDefault="00E235A6" w:rsidP="00E235A6">
            <w:pPr>
              <w:spacing w:after="0" w:line="240" w:lineRule="auto"/>
              <w:jc w:val="right"/>
              <w:rPr>
                <w:rFonts w:eastAsia="Times New Roman" w:cs="Calibri"/>
                <w:color w:val="000000"/>
                <w:sz w:val="24"/>
                <w:szCs w:val="24"/>
                <w:lang w:eastAsia="en-GB"/>
              </w:rPr>
            </w:pPr>
            <w:r w:rsidRPr="00E235A6">
              <w:rPr>
                <w:rFonts w:eastAsia="Times New Roman" w:cs="Calibri"/>
                <w:color w:val="000000"/>
                <w:sz w:val="24"/>
                <w:szCs w:val="24"/>
                <w:lang w:eastAsia="en-GB"/>
              </w:rPr>
              <w:t>0.210</w:t>
            </w:r>
          </w:p>
        </w:tc>
        <w:tc>
          <w:tcPr>
            <w:tcW w:w="3720" w:type="dxa"/>
            <w:tcBorders>
              <w:top w:val="nil"/>
              <w:left w:val="nil"/>
              <w:bottom w:val="nil"/>
              <w:right w:val="single" w:sz="4" w:space="0" w:color="auto"/>
            </w:tcBorders>
            <w:shd w:val="clear" w:color="000000" w:fill="FFFFFF"/>
            <w:noWrap/>
            <w:vAlign w:val="bottom"/>
            <w:hideMark/>
          </w:tcPr>
          <w:p w14:paraId="0F81F3C2" w14:textId="77777777" w:rsidR="00E235A6" w:rsidRPr="00E235A6" w:rsidRDefault="00E235A6" w:rsidP="00E235A6">
            <w:pPr>
              <w:spacing w:after="0" w:line="240" w:lineRule="auto"/>
              <w:rPr>
                <w:rFonts w:eastAsia="Times New Roman" w:cs="Calibri"/>
                <w:color w:val="000000"/>
                <w:sz w:val="24"/>
                <w:szCs w:val="24"/>
                <w:lang w:eastAsia="en-GB"/>
              </w:rPr>
            </w:pPr>
            <w:r w:rsidRPr="00E235A6">
              <w:rPr>
                <w:rFonts w:eastAsia="Times New Roman" w:cs="Calibri"/>
                <w:color w:val="000000"/>
                <w:sz w:val="24"/>
                <w:szCs w:val="24"/>
                <w:lang w:eastAsia="en-GB"/>
              </w:rPr>
              <w:t>Services Grant</w:t>
            </w:r>
          </w:p>
        </w:tc>
        <w:tc>
          <w:tcPr>
            <w:tcW w:w="1260" w:type="dxa"/>
            <w:tcBorders>
              <w:top w:val="nil"/>
              <w:left w:val="nil"/>
              <w:bottom w:val="nil"/>
              <w:right w:val="single" w:sz="4" w:space="0" w:color="auto"/>
            </w:tcBorders>
            <w:shd w:val="clear" w:color="000000" w:fill="FFDDDD"/>
            <w:noWrap/>
            <w:vAlign w:val="bottom"/>
            <w:hideMark/>
          </w:tcPr>
          <w:p w14:paraId="077113C6" w14:textId="77777777" w:rsidR="00E235A6" w:rsidRPr="00E235A6" w:rsidRDefault="00E235A6" w:rsidP="00E235A6">
            <w:pPr>
              <w:spacing w:after="0" w:line="240" w:lineRule="auto"/>
              <w:jc w:val="right"/>
              <w:rPr>
                <w:rFonts w:eastAsia="Times New Roman" w:cs="Calibri"/>
                <w:color w:val="000000"/>
                <w:sz w:val="24"/>
                <w:szCs w:val="24"/>
                <w:lang w:eastAsia="en-GB"/>
              </w:rPr>
            </w:pPr>
            <w:r w:rsidRPr="00E235A6">
              <w:rPr>
                <w:rFonts w:eastAsia="Times New Roman" w:cs="Calibri"/>
                <w:color w:val="000000"/>
                <w:sz w:val="24"/>
                <w:szCs w:val="24"/>
                <w:lang w:eastAsia="en-GB"/>
              </w:rPr>
              <w:t>0.034</w:t>
            </w:r>
          </w:p>
        </w:tc>
      </w:tr>
      <w:tr w:rsidR="00E235A6" w:rsidRPr="00E235A6" w14:paraId="44B9EB62" w14:textId="77777777" w:rsidTr="00A30345">
        <w:trPr>
          <w:trHeight w:val="315"/>
        </w:trPr>
        <w:tc>
          <w:tcPr>
            <w:tcW w:w="1260" w:type="dxa"/>
            <w:tcBorders>
              <w:top w:val="nil"/>
              <w:left w:val="single" w:sz="4" w:space="0" w:color="auto"/>
              <w:bottom w:val="nil"/>
              <w:right w:val="single" w:sz="4" w:space="0" w:color="auto"/>
            </w:tcBorders>
            <w:shd w:val="clear" w:color="000000" w:fill="FFFFFF"/>
            <w:noWrap/>
            <w:vAlign w:val="bottom"/>
            <w:hideMark/>
          </w:tcPr>
          <w:p w14:paraId="453B8081" w14:textId="77777777" w:rsidR="00E235A6" w:rsidRPr="00E235A6" w:rsidRDefault="00E235A6" w:rsidP="00E235A6">
            <w:pPr>
              <w:spacing w:after="0" w:line="240" w:lineRule="auto"/>
              <w:jc w:val="right"/>
              <w:rPr>
                <w:rFonts w:eastAsia="Times New Roman" w:cs="Calibri"/>
                <w:color w:val="000000"/>
                <w:sz w:val="24"/>
                <w:szCs w:val="24"/>
                <w:lang w:eastAsia="en-GB"/>
              </w:rPr>
            </w:pPr>
            <w:r w:rsidRPr="00E235A6">
              <w:rPr>
                <w:rFonts w:eastAsia="Times New Roman" w:cs="Calibri"/>
                <w:color w:val="000000"/>
                <w:sz w:val="24"/>
                <w:szCs w:val="24"/>
                <w:lang w:eastAsia="en-GB"/>
              </w:rPr>
              <w:t>-</w:t>
            </w:r>
          </w:p>
        </w:tc>
        <w:tc>
          <w:tcPr>
            <w:tcW w:w="3720" w:type="dxa"/>
            <w:tcBorders>
              <w:top w:val="nil"/>
              <w:left w:val="nil"/>
              <w:bottom w:val="nil"/>
              <w:right w:val="single" w:sz="4" w:space="0" w:color="auto"/>
            </w:tcBorders>
            <w:shd w:val="clear" w:color="000000" w:fill="FFFFFF"/>
            <w:noWrap/>
            <w:vAlign w:val="bottom"/>
            <w:hideMark/>
          </w:tcPr>
          <w:p w14:paraId="16BD9ED2" w14:textId="77777777" w:rsidR="00E235A6" w:rsidRPr="00E235A6" w:rsidRDefault="00E235A6" w:rsidP="00E235A6">
            <w:pPr>
              <w:spacing w:after="0" w:line="240" w:lineRule="auto"/>
              <w:rPr>
                <w:rFonts w:eastAsia="Times New Roman" w:cs="Calibri"/>
                <w:color w:val="000000"/>
                <w:sz w:val="24"/>
                <w:szCs w:val="24"/>
                <w:lang w:eastAsia="en-GB"/>
              </w:rPr>
            </w:pPr>
            <w:r w:rsidRPr="00E235A6">
              <w:rPr>
                <w:rFonts w:eastAsia="Times New Roman" w:cs="Calibri"/>
                <w:color w:val="000000"/>
                <w:sz w:val="24"/>
                <w:szCs w:val="24"/>
                <w:lang w:eastAsia="en-GB"/>
              </w:rPr>
              <w:t>Funding Guarantee</w:t>
            </w:r>
          </w:p>
        </w:tc>
        <w:tc>
          <w:tcPr>
            <w:tcW w:w="1260" w:type="dxa"/>
            <w:tcBorders>
              <w:top w:val="nil"/>
              <w:left w:val="nil"/>
              <w:bottom w:val="nil"/>
              <w:right w:val="single" w:sz="4" w:space="0" w:color="auto"/>
            </w:tcBorders>
            <w:shd w:val="clear" w:color="000000" w:fill="FFDDDD"/>
            <w:noWrap/>
            <w:vAlign w:val="bottom"/>
            <w:hideMark/>
          </w:tcPr>
          <w:p w14:paraId="03829C7C" w14:textId="77777777" w:rsidR="00E235A6" w:rsidRPr="00E235A6" w:rsidRDefault="00E235A6" w:rsidP="00E235A6">
            <w:pPr>
              <w:spacing w:after="0" w:line="240" w:lineRule="auto"/>
              <w:jc w:val="right"/>
              <w:rPr>
                <w:rFonts w:eastAsia="Times New Roman" w:cs="Calibri"/>
                <w:color w:val="000000"/>
                <w:sz w:val="24"/>
                <w:szCs w:val="24"/>
                <w:lang w:eastAsia="en-GB"/>
              </w:rPr>
            </w:pPr>
            <w:r w:rsidRPr="00E235A6">
              <w:rPr>
                <w:rFonts w:eastAsia="Times New Roman" w:cs="Calibri"/>
                <w:color w:val="000000"/>
                <w:sz w:val="24"/>
                <w:szCs w:val="24"/>
                <w:lang w:eastAsia="en-GB"/>
              </w:rPr>
              <w:t>0.231</w:t>
            </w:r>
          </w:p>
        </w:tc>
      </w:tr>
      <w:tr w:rsidR="00E235A6" w:rsidRPr="00E235A6" w14:paraId="48A03714" w14:textId="77777777" w:rsidTr="00A30345">
        <w:trPr>
          <w:trHeight w:val="315"/>
        </w:trPr>
        <w:tc>
          <w:tcPr>
            <w:tcW w:w="1260" w:type="dxa"/>
            <w:tcBorders>
              <w:top w:val="nil"/>
              <w:left w:val="single" w:sz="4" w:space="0" w:color="auto"/>
              <w:bottom w:val="nil"/>
              <w:right w:val="single" w:sz="4" w:space="0" w:color="auto"/>
            </w:tcBorders>
            <w:shd w:val="clear" w:color="000000" w:fill="FFFFFF"/>
            <w:noWrap/>
            <w:vAlign w:val="bottom"/>
            <w:hideMark/>
          </w:tcPr>
          <w:p w14:paraId="2B87DA21" w14:textId="77777777" w:rsidR="00E235A6" w:rsidRPr="00E235A6" w:rsidRDefault="00E235A6" w:rsidP="00E235A6">
            <w:pPr>
              <w:spacing w:after="0" w:line="240" w:lineRule="auto"/>
              <w:jc w:val="right"/>
              <w:rPr>
                <w:rFonts w:eastAsia="Times New Roman" w:cs="Calibri"/>
                <w:color w:val="000000"/>
                <w:sz w:val="24"/>
                <w:szCs w:val="24"/>
                <w:lang w:eastAsia="en-GB"/>
              </w:rPr>
            </w:pPr>
            <w:r w:rsidRPr="00E235A6">
              <w:rPr>
                <w:rFonts w:eastAsia="Times New Roman" w:cs="Calibri"/>
                <w:color w:val="000000"/>
                <w:sz w:val="24"/>
                <w:szCs w:val="24"/>
                <w:lang w:eastAsia="en-GB"/>
              </w:rPr>
              <w:t>0.954</w:t>
            </w:r>
          </w:p>
        </w:tc>
        <w:tc>
          <w:tcPr>
            <w:tcW w:w="3720" w:type="dxa"/>
            <w:tcBorders>
              <w:top w:val="nil"/>
              <w:left w:val="nil"/>
              <w:bottom w:val="nil"/>
              <w:right w:val="single" w:sz="4" w:space="0" w:color="auto"/>
            </w:tcBorders>
            <w:shd w:val="clear" w:color="000000" w:fill="FFFFFF"/>
            <w:noWrap/>
            <w:vAlign w:val="bottom"/>
            <w:hideMark/>
          </w:tcPr>
          <w:p w14:paraId="15C8016D" w14:textId="77777777" w:rsidR="00E235A6" w:rsidRPr="00E235A6" w:rsidRDefault="00E235A6" w:rsidP="00E235A6">
            <w:pPr>
              <w:spacing w:after="0" w:line="240" w:lineRule="auto"/>
              <w:rPr>
                <w:rFonts w:eastAsia="Times New Roman" w:cs="Calibri"/>
                <w:color w:val="000000"/>
                <w:sz w:val="24"/>
                <w:szCs w:val="24"/>
                <w:lang w:eastAsia="en-GB"/>
              </w:rPr>
            </w:pPr>
            <w:r w:rsidRPr="00E235A6">
              <w:rPr>
                <w:rFonts w:eastAsia="Times New Roman" w:cs="Calibri"/>
                <w:color w:val="000000"/>
                <w:sz w:val="24"/>
                <w:szCs w:val="24"/>
                <w:lang w:eastAsia="en-GB"/>
              </w:rPr>
              <w:t>S31 Grant</w:t>
            </w:r>
          </w:p>
        </w:tc>
        <w:tc>
          <w:tcPr>
            <w:tcW w:w="1260" w:type="dxa"/>
            <w:tcBorders>
              <w:top w:val="nil"/>
              <w:left w:val="nil"/>
              <w:bottom w:val="nil"/>
              <w:right w:val="single" w:sz="4" w:space="0" w:color="auto"/>
            </w:tcBorders>
            <w:shd w:val="clear" w:color="000000" w:fill="FFDDDD"/>
            <w:noWrap/>
            <w:vAlign w:val="bottom"/>
            <w:hideMark/>
          </w:tcPr>
          <w:p w14:paraId="34EB797B" w14:textId="77777777" w:rsidR="00E235A6" w:rsidRPr="00E235A6" w:rsidRDefault="00E235A6" w:rsidP="00E235A6">
            <w:pPr>
              <w:spacing w:after="0" w:line="240" w:lineRule="auto"/>
              <w:jc w:val="right"/>
              <w:rPr>
                <w:rFonts w:eastAsia="Times New Roman" w:cs="Calibri"/>
                <w:color w:val="000000"/>
                <w:sz w:val="24"/>
                <w:szCs w:val="24"/>
                <w:lang w:eastAsia="en-GB"/>
              </w:rPr>
            </w:pPr>
            <w:r w:rsidRPr="00E235A6">
              <w:rPr>
                <w:rFonts w:eastAsia="Times New Roman" w:cs="Calibri"/>
                <w:color w:val="000000"/>
                <w:sz w:val="24"/>
                <w:szCs w:val="24"/>
                <w:lang w:eastAsia="en-GB"/>
              </w:rPr>
              <w:t>1.089</w:t>
            </w:r>
          </w:p>
        </w:tc>
      </w:tr>
      <w:tr w:rsidR="00E235A6" w:rsidRPr="00E235A6" w14:paraId="2D9F195D" w14:textId="77777777" w:rsidTr="00A30345">
        <w:trPr>
          <w:trHeight w:val="315"/>
        </w:trPr>
        <w:tc>
          <w:tcPr>
            <w:tcW w:w="1260" w:type="dxa"/>
            <w:tcBorders>
              <w:top w:val="nil"/>
              <w:left w:val="single" w:sz="4" w:space="0" w:color="auto"/>
              <w:bottom w:val="nil"/>
              <w:right w:val="single" w:sz="4" w:space="0" w:color="auto"/>
            </w:tcBorders>
            <w:shd w:val="clear" w:color="000000" w:fill="FFFFFF"/>
            <w:noWrap/>
            <w:vAlign w:val="bottom"/>
            <w:hideMark/>
          </w:tcPr>
          <w:p w14:paraId="456DDA79" w14:textId="77777777" w:rsidR="00E235A6" w:rsidRPr="00E235A6" w:rsidRDefault="00E235A6" w:rsidP="00E235A6">
            <w:pPr>
              <w:spacing w:after="0" w:line="240" w:lineRule="auto"/>
              <w:jc w:val="right"/>
              <w:rPr>
                <w:rFonts w:eastAsia="Times New Roman" w:cs="Calibri"/>
                <w:color w:val="000000"/>
                <w:sz w:val="24"/>
                <w:szCs w:val="24"/>
                <w:lang w:eastAsia="en-GB"/>
              </w:rPr>
            </w:pPr>
            <w:r w:rsidRPr="00E235A6">
              <w:rPr>
                <w:rFonts w:eastAsia="Times New Roman" w:cs="Calibri"/>
                <w:color w:val="000000"/>
                <w:sz w:val="24"/>
                <w:szCs w:val="24"/>
                <w:lang w:eastAsia="en-GB"/>
              </w:rPr>
              <w:t>3.039</w:t>
            </w:r>
          </w:p>
        </w:tc>
        <w:tc>
          <w:tcPr>
            <w:tcW w:w="3720" w:type="dxa"/>
            <w:tcBorders>
              <w:top w:val="nil"/>
              <w:left w:val="nil"/>
              <w:bottom w:val="nil"/>
              <w:right w:val="single" w:sz="4" w:space="0" w:color="auto"/>
            </w:tcBorders>
            <w:shd w:val="clear" w:color="000000" w:fill="FFFFFF"/>
            <w:noWrap/>
            <w:vAlign w:val="bottom"/>
            <w:hideMark/>
          </w:tcPr>
          <w:p w14:paraId="2263367D" w14:textId="77777777" w:rsidR="00E235A6" w:rsidRPr="00E235A6" w:rsidRDefault="00E235A6" w:rsidP="00E235A6">
            <w:pPr>
              <w:spacing w:after="0" w:line="240" w:lineRule="auto"/>
              <w:rPr>
                <w:rFonts w:eastAsia="Times New Roman" w:cs="Calibri"/>
                <w:color w:val="000000"/>
                <w:sz w:val="24"/>
                <w:szCs w:val="24"/>
                <w:lang w:eastAsia="en-GB"/>
              </w:rPr>
            </w:pPr>
            <w:r w:rsidRPr="00E235A6">
              <w:rPr>
                <w:rFonts w:eastAsia="Times New Roman" w:cs="Calibri"/>
                <w:color w:val="000000"/>
                <w:sz w:val="24"/>
                <w:szCs w:val="24"/>
                <w:lang w:eastAsia="en-GB"/>
              </w:rPr>
              <w:t>Business Rates</w:t>
            </w:r>
          </w:p>
        </w:tc>
        <w:tc>
          <w:tcPr>
            <w:tcW w:w="1260" w:type="dxa"/>
            <w:tcBorders>
              <w:top w:val="nil"/>
              <w:left w:val="nil"/>
              <w:bottom w:val="nil"/>
              <w:right w:val="single" w:sz="4" w:space="0" w:color="auto"/>
            </w:tcBorders>
            <w:shd w:val="clear" w:color="000000" w:fill="FFDDDD"/>
            <w:noWrap/>
            <w:vAlign w:val="bottom"/>
            <w:hideMark/>
          </w:tcPr>
          <w:p w14:paraId="532E2DC7" w14:textId="77777777" w:rsidR="00E235A6" w:rsidRPr="00E235A6" w:rsidRDefault="00E235A6" w:rsidP="00E235A6">
            <w:pPr>
              <w:spacing w:after="0" w:line="240" w:lineRule="auto"/>
              <w:jc w:val="right"/>
              <w:rPr>
                <w:rFonts w:eastAsia="Times New Roman" w:cs="Calibri"/>
                <w:color w:val="000000"/>
                <w:sz w:val="24"/>
                <w:szCs w:val="24"/>
                <w:lang w:eastAsia="en-GB"/>
              </w:rPr>
            </w:pPr>
            <w:r w:rsidRPr="00E235A6">
              <w:rPr>
                <w:rFonts w:eastAsia="Times New Roman" w:cs="Calibri"/>
                <w:color w:val="000000"/>
                <w:sz w:val="24"/>
                <w:szCs w:val="24"/>
                <w:lang w:eastAsia="en-GB"/>
              </w:rPr>
              <w:t>3.686</w:t>
            </w:r>
          </w:p>
        </w:tc>
      </w:tr>
      <w:tr w:rsidR="00E235A6" w:rsidRPr="00E235A6" w14:paraId="3D1B5316" w14:textId="77777777" w:rsidTr="00A30345">
        <w:trPr>
          <w:trHeight w:val="315"/>
        </w:trPr>
        <w:tc>
          <w:tcPr>
            <w:tcW w:w="1260" w:type="dxa"/>
            <w:tcBorders>
              <w:top w:val="single" w:sz="4" w:space="0" w:color="auto"/>
              <w:left w:val="single" w:sz="4" w:space="0" w:color="auto"/>
              <w:bottom w:val="nil"/>
              <w:right w:val="single" w:sz="4" w:space="0" w:color="auto"/>
            </w:tcBorders>
            <w:shd w:val="clear" w:color="000000" w:fill="FFFFFF"/>
            <w:noWrap/>
            <w:vAlign w:val="bottom"/>
            <w:hideMark/>
          </w:tcPr>
          <w:p w14:paraId="4B9CD81B" w14:textId="77777777" w:rsidR="00E235A6" w:rsidRPr="00E235A6" w:rsidRDefault="00E235A6" w:rsidP="00E235A6">
            <w:pPr>
              <w:spacing w:after="0" w:line="240" w:lineRule="auto"/>
              <w:jc w:val="right"/>
              <w:rPr>
                <w:rFonts w:eastAsia="Times New Roman" w:cs="Calibri"/>
                <w:b/>
                <w:bCs/>
                <w:color w:val="000000"/>
                <w:sz w:val="24"/>
                <w:szCs w:val="24"/>
                <w:lang w:eastAsia="en-GB"/>
              </w:rPr>
            </w:pPr>
            <w:r w:rsidRPr="00E235A6">
              <w:rPr>
                <w:rFonts w:eastAsia="Times New Roman" w:cs="Calibri"/>
                <w:b/>
                <w:bCs/>
                <w:color w:val="000000"/>
                <w:sz w:val="24"/>
                <w:szCs w:val="24"/>
                <w:lang w:eastAsia="en-GB"/>
              </w:rPr>
              <w:t>10.539</w:t>
            </w:r>
          </w:p>
        </w:tc>
        <w:tc>
          <w:tcPr>
            <w:tcW w:w="3720" w:type="dxa"/>
            <w:tcBorders>
              <w:top w:val="single" w:sz="4" w:space="0" w:color="auto"/>
              <w:left w:val="nil"/>
              <w:bottom w:val="nil"/>
              <w:right w:val="single" w:sz="4" w:space="0" w:color="auto"/>
            </w:tcBorders>
            <w:shd w:val="clear" w:color="000000" w:fill="FFFFFF"/>
            <w:noWrap/>
            <w:vAlign w:val="bottom"/>
            <w:hideMark/>
          </w:tcPr>
          <w:p w14:paraId="5B1B5D0C" w14:textId="77777777" w:rsidR="00E235A6" w:rsidRPr="00E235A6" w:rsidRDefault="00E235A6" w:rsidP="00E235A6">
            <w:pPr>
              <w:spacing w:after="0" w:line="240" w:lineRule="auto"/>
              <w:rPr>
                <w:rFonts w:eastAsia="Times New Roman" w:cs="Calibri"/>
                <w:b/>
                <w:bCs/>
                <w:color w:val="000000"/>
                <w:sz w:val="24"/>
                <w:szCs w:val="24"/>
                <w:lang w:eastAsia="en-GB"/>
              </w:rPr>
            </w:pPr>
            <w:r w:rsidRPr="00E235A6">
              <w:rPr>
                <w:rFonts w:eastAsia="Times New Roman" w:cs="Calibri"/>
                <w:b/>
                <w:bCs/>
                <w:color w:val="000000"/>
                <w:sz w:val="24"/>
                <w:szCs w:val="24"/>
                <w:lang w:eastAsia="en-GB"/>
              </w:rPr>
              <w:t>Total Grant Funding</w:t>
            </w:r>
          </w:p>
        </w:tc>
        <w:tc>
          <w:tcPr>
            <w:tcW w:w="1260" w:type="dxa"/>
            <w:tcBorders>
              <w:top w:val="single" w:sz="4" w:space="0" w:color="auto"/>
              <w:left w:val="nil"/>
              <w:bottom w:val="nil"/>
              <w:right w:val="single" w:sz="4" w:space="0" w:color="auto"/>
            </w:tcBorders>
            <w:shd w:val="clear" w:color="000000" w:fill="FFDDDD"/>
            <w:noWrap/>
            <w:vAlign w:val="bottom"/>
            <w:hideMark/>
          </w:tcPr>
          <w:p w14:paraId="43CD7C03" w14:textId="77777777" w:rsidR="00E235A6" w:rsidRPr="00E235A6" w:rsidRDefault="00E235A6" w:rsidP="00E235A6">
            <w:pPr>
              <w:spacing w:after="0" w:line="240" w:lineRule="auto"/>
              <w:jc w:val="right"/>
              <w:rPr>
                <w:rFonts w:eastAsia="Times New Roman" w:cs="Calibri"/>
                <w:b/>
                <w:bCs/>
                <w:color w:val="000000"/>
                <w:sz w:val="24"/>
                <w:szCs w:val="24"/>
                <w:lang w:eastAsia="en-GB"/>
              </w:rPr>
            </w:pPr>
            <w:r w:rsidRPr="00E235A6">
              <w:rPr>
                <w:rFonts w:eastAsia="Times New Roman" w:cs="Calibri"/>
                <w:b/>
                <w:bCs/>
                <w:color w:val="000000"/>
                <w:sz w:val="24"/>
                <w:szCs w:val="24"/>
                <w:lang w:eastAsia="en-GB"/>
              </w:rPr>
              <w:t>11.649</w:t>
            </w:r>
          </w:p>
        </w:tc>
      </w:tr>
      <w:tr w:rsidR="00E235A6" w:rsidRPr="00E235A6" w14:paraId="642E0C38" w14:textId="77777777" w:rsidTr="00A30345">
        <w:trPr>
          <w:trHeight w:val="315"/>
        </w:trPr>
        <w:tc>
          <w:tcPr>
            <w:tcW w:w="1260" w:type="dxa"/>
            <w:tcBorders>
              <w:top w:val="nil"/>
              <w:left w:val="single" w:sz="4" w:space="0" w:color="auto"/>
              <w:bottom w:val="nil"/>
              <w:right w:val="single" w:sz="4" w:space="0" w:color="auto"/>
            </w:tcBorders>
            <w:shd w:val="clear" w:color="auto" w:fill="auto"/>
            <w:noWrap/>
            <w:vAlign w:val="bottom"/>
            <w:hideMark/>
          </w:tcPr>
          <w:p w14:paraId="5C4F3E38" w14:textId="77777777" w:rsidR="00E235A6" w:rsidRPr="00E235A6" w:rsidRDefault="00E235A6" w:rsidP="00E235A6">
            <w:pPr>
              <w:spacing w:after="0" w:line="240" w:lineRule="auto"/>
              <w:rPr>
                <w:rFonts w:eastAsia="Times New Roman" w:cs="Calibri"/>
                <w:color w:val="000000"/>
                <w:sz w:val="24"/>
                <w:szCs w:val="24"/>
                <w:lang w:eastAsia="en-GB"/>
              </w:rPr>
            </w:pPr>
            <w:r w:rsidRPr="00E235A6">
              <w:rPr>
                <w:rFonts w:eastAsia="Times New Roman" w:cs="Calibri"/>
                <w:color w:val="000000"/>
                <w:sz w:val="24"/>
                <w:szCs w:val="24"/>
                <w:lang w:eastAsia="en-GB"/>
              </w:rPr>
              <w:t> </w:t>
            </w:r>
          </w:p>
        </w:tc>
        <w:tc>
          <w:tcPr>
            <w:tcW w:w="3720" w:type="dxa"/>
            <w:tcBorders>
              <w:top w:val="nil"/>
              <w:left w:val="nil"/>
              <w:bottom w:val="nil"/>
              <w:right w:val="single" w:sz="4" w:space="0" w:color="auto"/>
            </w:tcBorders>
            <w:shd w:val="clear" w:color="auto" w:fill="auto"/>
            <w:noWrap/>
            <w:vAlign w:val="bottom"/>
            <w:hideMark/>
          </w:tcPr>
          <w:p w14:paraId="6712D244" w14:textId="77777777" w:rsidR="00E235A6" w:rsidRPr="00E235A6" w:rsidRDefault="00E235A6" w:rsidP="00E235A6">
            <w:pPr>
              <w:spacing w:after="0" w:line="240" w:lineRule="auto"/>
              <w:rPr>
                <w:rFonts w:eastAsia="Times New Roman" w:cs="Calibri"/>
                <w:color w:val="000000"/>
                <w:sz w:val="24"/>
                <w:szCs w:val="24"/>
                <w:lang w:eastAsia="en-GB"/>
              </w:rPr>
            </w:pPr>
            <w:r w:rsidRPr="00E235A6">
              <w:rPr>
                <w:rFonts w:eastAsia="Times New Roman" w:cs="Calibri"/>
                <w:color w:val="000000"/>
                <w:sz w:val="24"/>
                <w:szCs w:val="24"/>
                <w:lang w:eastAsia="en-GB"/>
              </w:rPr>
              <w:t> </w:t>
            </w:r>
          </w:p>
        </w:tc>
        <w:tc>
          <w:tcPr>
            <w:tcW w:w="1260" w:type="dxa"/>
            <w:tcBorders>
              <w:top w:val="nil"/>
              <w:left w:val="nil"/>
              <w:bottom w:val="nil"/>
              <w:right w:val="single" w:sz="4" w:space="0" w:color="auto"/>
            </w:tcBorders>
            <w:shd w:val="clear" w:color="000000" w:fill="FFDDDD"/>
            <w:noWrap/>
            <w:vAlign w:val="bottom"/>
            <w:hideMark/>
          </w:tcPr>
          <w:p w14:paraId="5819786F" w14:textId="77777777" w:rsidR="00E235A6" w:rsidRPr="00E235A6" w:rsidRDefault="00E235A6" w:rsidP="00E235A6">
            <w:pPr>
              <w:spacing w:after="0" w:line="240" w:lineRule="auto"/>
              <w:rPr>
                <w:rFonts w:eastAsia="Times New Roman" w:cs="Calibri"/>
                <w:color w:val="000000"/>
                <w:sz w:val="24"/>
                <w:szCs w:val="24"/>
                <w:lang w:eastAsia="en-GB"/>
              </w:rPr>
            </w:pPr>
            <w:r w:rsidRPr="00E235A6">
              <w:rPr>
                <w:rFonts w:eastAsia="Times New Roman" w:cs="Calibri"/>
                <w:color w:val="000000"/>
                <w:sz w:val="24"/>
                <w:szCs w:val="24"/>
                <w:lang w:eastAsia="en-GB"/>
              </w:rPr>
              <w:t> </w:t>
            </w:r>
          </w:p>
        </w:tc>
      </w:tr>
      <w:tr w:rsidR="00E235A6" w:rsidRPr="00E235A6" w14:paraId="3FB67DE0" w14:textId="77777777" w:rsidTr="00A30345">
        <w:trPr>
          <w:trHeight w:val="315"/>
        </w:trPr>
        <w:tc>
          <w:tcPr>
            <w:tcW w:w="1260" w:type="dxa"/>
            <w:tcBorders>
              <w:top w:val="nil"/>
              <w:left w:val="single" w:sz="4" w:space="0" w:color="auto"/>
              <w:bottom w:val="nil"/>
              <w:right w:val="single" w:sz="4" w:space="0" w:color="auto"/>
            </w:tcBorders>
            <w:shd w:val="clear" w:color="000000" w:fill="FFFFFF"/>
            <w:noWrap/>
            <w:vAlign w:val="bottom"/>
            <w:hideMark/>
          </w:tcPr>
          <w:p w14:paraId="5597AEA3" w14:textId="77777777" w:rsidR="00E235A6" w:rsidRPr="00E235A6" w:rsidRDefault="00E235A6" w:rsidP="00E235A6">
            <w:pPr>
              <w:spacing w:after="0" w:line="240" w:lineRule="auto"/>
              <w:jc w:val="right"/>
              <w:rPr>
                <w:rFonts w:eastAsia="Times New Roman" w:cs="Calibri"/>
                <w:color w:val="000000"/>
                <w:sz w:val="24"/>
                <w:szCs w:val="24"/>
                <w:lang w:eastAsia="en-GB"/>
              </w:rPr>
            </w:pPr>
            <w:r w:rsidRPr="00E235A6">
              <w:rPr>
                <w:rFonts w:eastAsia="Times New Roman" w:cs="Calibri"/>
                <w:color w:val="000000"/>
                <w:sz w:val="24"/>
                <w:szCs w:val="24"/>
                <w:lang w:eastAsia="en-GB"/>
              </w:rPr>
              <w:t>18.764</w:t>
            </w:r>
          </w:p>
        </w:tc>
        <w:tc>
          <w:tcPr>
            <w:tcW w:w="3720" w:type="dxa"/>
            <w:tcBorders>
              <w:top w:val="nil"/>
              <w:left w:val="nil"/>
              <w:bottom w:val="nil"/>
              <w:right w:val="single" w:sz="4" w:space="0" w:color="auto"/>
            </w:tcBorders>
            <w:shd w:val="clear" w:color="000000" w:fill="FFFFFF"/>
            <w:noWrap/>
            <w:vAlign w:val="bottom"/>
            <w:hideMark/>
          </w:tcPr>
          <w:p w14:paraId="37138B71" w14:textId="77777777" w:rsidR="00E235A6" w:rsidRPr="00E235A6" w:rsidRDefault="00E235A6" w:rsidP="00E235A6">
            <w:pPr>
              <w:spacing w:after="0" w:line="240" w:lineRule="auto"/>
              <w:rPr>
                <w:rFonts w:eastAsia="Times New Roman" w:cs="Calibri"/>
                <w:color w:val="000000"/>
                <w:sz w:val="24"/>
                <w:szCs w:val="24"/>
                <w:lang w:eastAsia="en-GB"/>
              </w:rPr>
            </w:pPr>
            <w:r w:rsidRPr="00E235A6">
              <w:rPr>
                <w:rFonts w:eastAsia="Times New Roman" w:cs="Calibri"/>
                <w:color w:val="000000"/>
                <w:sz w:val="24"/>
                <w:szCs w:val="24"/>
                <w:lang w:eastAsia="en-GB"/>
              </w:rPr>
              <w:t>Precept</w:t>
            </w:r>
          </w:p>
        </w:tc>
        <w:tc>
          <w:tcPr>
            <w:tcW w:w="1260" w:type="dxa"/>
            <w:tcBorders>
              <w:top w:val="nil"/>
              <w:left w:val="nil"/>
              <w:bottom w:val="nil"/>
              <w:right w:val="single" w:sz="4" w:space="0" w:color="auto"/>
            </w:tcBorders>
            <w:shd w:val="clear" w:color="000000" w:fill="FFDDDD"/>
            <w:noWrap/>
            <w:vAlign w:val="bottom"/>
            <w:hideMark/>
          </w:tcPr>
          <w:p w14:paraId="03D93AEE" w14:textId="77777777" w:rsidR="00E235A6" w:rsidRPr="00E235A6" w:rsidRDefault="00E235A6" w:rsidP="00E235A6">
            <w:pPr>
              <w:spacing w:after="0" w:line="240" w:lineRule="auto"/>
              <w:jc w:val="right"/>
              <w:rPr>
                <w:rFonts w:eastAsia="Times New Roman" w:cs="Calibri"/>
                <w:color w:val="000000"/>
                <w:sz w:val="24"/>
                <w:szCs w:val="24"/>
                <w:lang w:eastAsia="en-GB"/>
              </w:rPr>
            </w:pPr>
            <w:r w:rsidRPr="00E235A6">
              <w:rPr>
                <w:rFonts w:eastAsia="Times New Roman" w:cs="Calibri"/>
                <w:color w:val="000000"/>
                <w:sz w:val="24"/>
                <w:szCs w:val="24"/>
                <w:lang w:eastAsia="en-GB"/>
              </w:rPr>
              <w:t>19.489</w:t>
            </w:r>
          </w:p>
        </w:tc>
      </w:tr>
      <w:tr w:rsidR="00E235A6" w:rsidRPr="00E235A6" w14:paraId="522BBC45" w14:textId="77777777" w:rsidTr="00A30345">
        <w:trPr>
          <w:trHeight w:val="315"/>
        </w:trPr>
        <w:tc>
          <w:tcPr>
            <w:tcW w:w="1260" w:type="dxa"/>
            <w:tcBorders>
              <w:top w:val="nil"/>
              <w:left w:val="single" w:sz="4" w:space="0" w:color="auto"/>
              <w:bottom w:val="nil"/>
              <w:right w:val="single" w:sz="4" w:space="0" w:color="auto"/>
            </w:tcBorders>
            <w:shd w:val="clear" w:color="000000" w:fill="FFFFFF"/>
            <w:noWrap/>
            <w:vAlign w:val="bottom"/>
            <w:hideMark/>
          </w:tcPr>
          <w:p w14:paraId="5707C3CE" w14:textId="77777777" w:rsidR="00E235A6" w:rsidRPr="00E235A6" w:rsidRDefault="00E235A6" w:rsidP="00E235A6">
            <w:pPr>
              <w:spacing w:after="0" w:line="240" w:lineRule="auto"/>
              <w:jc w:val="right"/>
              <w:rPr>
                <w:rFonts w:eastAsia="Times New Roman" w:cs="Calibri"/>
                <w:color w:val="000000"/>
                <w:sz w:val="24"/>
                <w:szCs w:val="24"/>
                <w:lang w:eastAsia="en-GB"/>
              </w:rPr>
            </w:pPr>
            <w:r w:rsidRPr="00E235A6">
              <w:rPr>
                <w:rFonts w:eastAsia="Times New Roman" w:cs="Calibri"/>
                <w:color w:val="000000"/>
                <w:sz w:val="24"/>
                <w:szCs w:val="24"/>
                <w:lang w:eastAsia="en-GB"/>
              </w:rPr>
              <w:t>0.255</w:t>
            </w:r>
          </w:p>
        </w:tc>
        <w:tc>
          <w:tcPr>
            <w:tcW w:w="3720" w:type="dxa"/>
            <w:tcBorders>
              <w:top w:val="nil"/>
              <w:left w:val="nil"/>
              <w:bottom w:val="nil"/>
              <w:right w:val="single" w:sz="4" w:space="0" w:color="auto"/>
            </w:tcBorders>
            <w:shd w:val="clear" w:color="000000" w:fill="FFFFFF"/>
            <w:noWrap/>
            <w:vAlign w:val="bottom"/>
            <w:hideMark/>
          </w:tcPr>
          <w:p w14:paraId="5FEF8FF9" w14:textId="77777777" w:rsidR="00E235A6" w:rsidRPr="00E235A6" w:rsidRDefault="00E235A6" w:rsidP="00E235A6">
            <w:pPr>
              <w:spacing w:after="0" w:line="240" w:lineRule="auto"/>
              <w:rPr>
                <w:rFonts w:eastAsia="Times New Roman" w:cs="Calibri"/>
                <w:color w:val="000000"/>
                <w:sz w:val="24"/>
                <w:szCs w:val="24"/>
                <w:lang w:eastAsia="en-GB"/>
              </w:rPr>
            </w:pPr>
            <w:r w:rsidRPr="00E235A6">
              <w:rPr>
                <w:rFonts w:eastAsia="Times New Roman" w:cs="Calibri"/>
                <w:color w:val="000000"/>
                <w:sz w:val="24"/>
                <w:szCs w:val="24"/>
                <w:lang w:eastAsia="en-GB"/>
              </w:rPr>
              <w:t>Collection Fund Surplus</w:t>
            </w:r>
          </w:p>
        </w:tc>
        <w:tc>
          <w:tcPr>
            <w:tcW w:w="1260" w:type="dxa"/>
            <w:tcBorders>
              <w:top w:val="nil"/>
              <w:left w:val="nil"/>
              <w:bottom w:val="nil"/>
              <w:right w:val="single" w:sz="4" w:space="0" w:color="auto"/>
            </w:tcBorders>
            <w:shd w:val="clear" w:color="000000" w:fill="FFDDDD"/>
            <w:noWrap/>
            <w:vAlign w:val="bottom"/>
            <w:hideMark/>
          </w:tcPr>
          <w:p w14:paraId="04733102" w14:textId="77777777" w:rsidR="00E235A6" w:rsidRPr="00E235A6" w:rsidRDefault="00E235A6" w:rsidP="00E235A6">
            <w:pPr>
              <w:spacing w:after="0" w:line="240" w:lineRule="auto"/>
              <w:jc w:val="right"/>
              <w:rPr>
                <w:rFonts w:eastAsia="Times New Roman" w:cs="Calibri"/>
                <w:color w:val="000000"/>
                <w:sz w:val="24"/>
                <w:szCs w:val="24"/>
                <w:lang w:eastAsia="en-GB"/>
              </w:rPr>
            </w:pPr>
            <w:r w:rsidRPr="00E235A6">
              <w:rPr>
                <w:rFonts w:eastAsia="Times New Roman" w:cs="Calibri"/>
                <w:color w:val="000000"/>
                <w:sz w:val="24"/>
                <w:szCs w:val="24"/>
                <w:lang w:eastAsia="en-GB"/>
              </w:rPr>
              <w:t>0.296</w:t>
            </w:r>
          </w:p>
        </w:tc>
      </w:tr>
      <w:tr w:rsidR="00E235A6" w:rsidRPr="00E235A6" w14:paraId="1C2B80B5" w14:textId="77777777" w:rsidTr="00A30345">
        <w:trPr>
          <w:trHeight w:val="315"/>
        </w:trPr>
        <w:tc>
          <w:tcPr>
            <w:tcW w:w="1260" w:type="dxa"/>
            <w:tcBorders>
              <w:top w:val="single" w:sz="4" w:space="0" w:color="auto"/>
              <w:left w:val="single" w:sz="4" w:space="0" w:color="auto"/>
              <w:bottom w:val="nil"/>
              <w:right w:val="single" w:sz="4" w:space="0" w:color="auto"/>
            </w:tcBorders>
            <w:shd w:val="clear" w:color="000000" w:fill="FFFFFF"/>
            <w:noWrap/>
            <w:vAlign w:val="bottom"/>
            <w:hideMark/>
          </w:tcPr>
          <w:p w14:paraId="72E272CA" w14:textId="77777777" w:rsidR="00E235A6" w:rsidRPr="00E235A6" w:rsidRDefault="00E235A6" w:rsidP="00E235A6">
            <w:pPr>
              <w:spacing w:after="0" w:line="240" w:lineRule="auto"/>
              <w:jc w:val="right"/>
              <w:rPr>
                <w:rFonts w:eastAsia="Times New Roman" w:cs="Calibri"/>
                <w:b/>
                <w:bCs/>
                <w:color w:val="000000"/>
                <w:sz w:val="24"/>
                <w:szCs w:val="24"/>
                <w:lang w:eastAsia="en-GB"/>
              </w:rPr>
            </w:pPr>
            <w:r w:rsidRPr="00E235A6">
              <w:rPr>
                <w:rFonts w:eastAsia="Times New Roman" w:cs="Calibri"/>
                <w:b/>
                <w:bCs/>
                <w:color w:val="000000"/>
                <w:sz w:val="24"/>
                <w:szCs w:val="24"/>
                <w:lang w:eastAsia="en-GB"/>
              </w:rPr>
              <w:t>19.019</w:t>
            </w:r>
          </w:p>
        </w:tc>
        <w:tc>
          <w:tcPr>
            <w:tcW w:w="3720" w:type="dxa"/>
            <w:tcBorders>
              <w:top w:val="single" w:sz="4" w:space="0" w:color="auto"/>
              <w:left w:val="nil"/>
              <w:bottom w:val="nil"/>
              <w:right w:val="single" w:sz="4" w:space="0" w:color="auto"/>
            </w:tcBorders>
            <w:shd w:val="clear" w:color="000000" w:fill="FFFFFF"/>
            <w:noWrap/>
            <w:vAlign w:val="bottom"/>
            <w:hideMark/>
          </w:tcPr>
          <w:p w14:paraId="745A9369" w14:textId="77777777" w:rsidR="00E235A6" w:rsidRPr="00E235A6" w:rsidRDefault="00E235A6" w:rsidP="00E235A6">
            <w:pPr>
              <w:spacing w:after="0" w:line="240" w:lineRule="auto"/>
              <w:rPr>
                <w:rFonts w:eastAsia="Times New Roman" w:cs="Calibri"/>
                <w:b/>
                <w:bCs/>
                <w:color w:val="000000"/>
                <w:sz w:val="24"/>
                <w:szCs w:val="24"/>
                <w:lang w:eastAsia="en-GB"/>
              </w:rPr>
            </w:pPr>
            <w:r w:rsidRPr="00E235A6">
              <w:rPr>
                <w:rFonts w:eastAsia="Times New Roman" w:cs="Calibri"/>
                <w:b/>
                <w:bCs/>
                <w:color w:val="000000"/>
                <w:sz w:val="24"/>
                <w:szCs w:val="24"/>
                <w:lang w:eastAsia="en-GB"/>
              </w:rPr>
              <w:t>Total Precept and Collection Fund</w:t>
            </w:r>
          </w:p>
        </w:tc>
        <w:tc>
          <w:tcPr>
            <w:tcW w:w="1260" w:type="dxa"/>
            <w:tcBorders>
              <w:top w:val="single" w:sz="4" w:space="0" w:color="auto"/>
              <w:left w:val="nil"/>
              <w:bottom w:val="nil"/>
              <w:right w:val="single" w:sz="4" w:space="0" w:color="auto"/>
            </w:tcBorders>
            <w:shd w:val="clear" w:color="000000" w:fill="FFDDDD"/>
            <w:noWrap/>
            <w:vAlign w:val="bottom"/>
            <w:hideMark/>
          </w:tcPr>
          <w:p w14:paraId="51D60FDD" w14:textId="77777777" w:rsidR="00E235A6" w:rsidRPr="00E235A6" w:rsidRDefault="00E235A6" w:rsidP="00E235A6">
            <w:pPr>
              <w:spacing w:after="0" w:line="240" w:lineRule="auto"/>
              <w:jc w:val="right"/>
              <w:rPr>
                <w:rFonts w:eastAsia="Times New Roman" w:cs="Calibri"/>
                <w:b/>
                <w:bCs/>
                <w:color w:val="000000"/>
                <w:sz w:val="24"/>
                <w:szCs w:val="24"/>
                <w:lang w:eastAsia="en-GB"/>
              </w:rPr>
            </w:pPr>
            <w:r w:rsidRPr="00E235A6">
              <w:rPr>
                <w:rFonts w:eastAsia="Times New Roman" w:cs="Calibri"/>
                <w:b/>
                <w:bCs/>
                <w:color w:val="000000"/>
                <w:sz w:val="24"/>
                <w:szCs w:val="24"/>
                <w:lang w:eastAsia="en-GB"/>
              </w:rPr>
              <w:t>19.785</w:t>
            </w:r>
          </w:p>
        </w:tc>
      </w:tr>
      <w:tr w:rsidR="00E235A6" w:rsidRPr="00E235A6" w14:paraId="00D2EE19" w14:textId="77777777" w:rsidTr="00A30345">
        <w:trPr>
          <w:trHeight w:val="315"/>
        </w:trPr>
        <w:tc>
          <w:tcPr>
            <w:tcW w:w="1260" w:type="dxa"/>
            <w:tcBorders>
              <w:top w:val="nil"/>
              <w:left w:val="single" w:sz="4" w:space="0" w:color="auto"/>
              <w:bottom w:val="nil"/>
              <w:right w:val="single" w:sz="4" w:space="0" w:color="auto"/>
            </w:tcBorders>
            <w:shd w:val="clear" w:color="000000" w:fill="FFFFFF"/>
            <w:noWrap/>
            <w:vAlign w:val="bottom"/>
            <w:hideMark/>
          </w:tcPr>
          <w:p w14:paraId="4BF5570D" w14:textId="77777777" w:rsidR="00E235A6" w:rsidRPr="00E235A6" w:rsidRDefault="00E235A6" w:rsidP="00E235A6">
            <w:pPr>
              <w:spacing w:after="0" w:line="240" w:lineRule="auto"/>
              <w:rPr>
                <w:rFonts w:eastAsia="Times New Roman" w:cs="Calibri"/>
                <w:color w:val="000000"/>
                <w:sz w:val="24"/>
                <w:szCs w:val="24"/>
                <w:lang w:eastAsia="en-GB"/>
              </w:rPr>
            </w:pPr>
            <w:r w:rsidRPr="00E235A6">
              <w:rPr>
                <w:rFonts w:eastAsia="Times New Roman" w:cs="Calibri"/>
                <w:color w:val="000000"/>
                <w:sz w:val="24"/>
                <w:szCs w:val="24"/>
                <w:lang w:eastAsia="en-GB"/>
              </w:rPr>
              <w:t> </w:t>
            </w:r>
          </w:p>
        </w:tc>
        <w:tc>
          <w:tcPr>
            <w:tcW w:w="3720" w:type="dxa"/>
            <w:tcBorders>
              <w:top w:val="nil"/>
              <w:left w:val="nil"/>
              <w:bottom w:val="nil"/>
              <w:right w:val="single" w:sz="4" w:space="0" w:color="auto"/>
            </w:tcBorders>
            <w:shd w:val="clear" w:color="000000" w:fill="FFFFFF"/>
            <w:noWrap/>
            <w:vAlign w:val="bottom"/>
            <w:hideMark/>
          </w:tcPr>
          <w:p w14:paraId="1E196983" w14:textId="77777777" w:rsidR="00E235A6" w:rsidRPr="00E235A6" w:rsidRDefault="00E235A6" w:rsidP="00E235A6">
            <w:pPr>
              <w:spacing w:after="0" w:line="240" w:lineRule="auto"/>
              <w:rPr>
                <w:rFonts w:eastAsia="Times New Roman" w:cs="Calibri"/>
                <w:color w:val="000000"/>
                <w:sz w:val="24"/>
                <w:szCs w:val="24"/>
                <w:lang w:eastAsia="en-GB"/>
              </w:rPr>
            </w:pPr>
            <w:r w:rsidRPr="00E235A6">
              <w:rPr>
                <w:rFonts w:eastAsia="Times New Roman" w:cs="Calibri"/>
                <w:color w:val="000000"/>
                <w:sz w:val="24"/>
                <w:szCs w:val="24"/>
                <w:lang w:eastAsia="en-GB"/>
              </w:rPr>
              <w:t> </w:t>
            </w:r>
          </w:p>
        </w:tc>
        <w:tc>
          <w:tcPr>
            <w:tcW w:w="1260" w:type="dxa"/>
            <w:tcBorders>
              <w:top w:val="nil"/>
              <w:left w:val="nil"/>
              <w:bottom w:val="nil"/>
              <w:right w:val="single" w:sz="4" w:space="0" w:color="auto"/>
            </w:tcBorders>
            <w:shd w:val="clear" w:color="000000" w:fill="FFDDDD"/>
            <w:noWrap/>
            <w:vAlign w:val="bottom"/>
            <w:hideMark/>
          </w:tcPr>
          <w:p w14:paraId="4FF18D9F" w14:textId="77777777" w:rsidR="00E235A6" w:rsidRPr="00E235A6" w:rsidRDefault="00E235A6" w:rsidP="00E235A6">
            <w:pPr>
              <w:spacing w:after="0" w:line="240" w:lineRule="auto"/>
              <w:rPr>
                <w:rFonts w:eastAsia="Times New Roman" w:cs="Calibri"/>
                <w:color w:val="000000"/>
                <w:sz w:val="24"/>
                <w:szCs w:val="24"/>
                <w:lang w:eastAsia="en-GB"/>
              </w:rPr>
            </w:pPr>
            <w:r w:rsidRPr="00E235A6">
              <w:rPr>
                <w:rFonts w:eastAsia="Times New Roman" w:cs="Calibri"/>
                <w:color w:val="000000"/>
                <w:sz w:val="24"/>
                <w:szCs w:val="24"/>
                <w:lang w:eastAsia="en-GB"/>
              </w:rPr>
              <w:t> </w:t>
            </w:r>
          </w:p>
        </w:tc>
      </w:tr>
      <w:tr w:rsidR="00E235A6" w:rsidRPr="00E235A6" w14:paraId="50167589" w14:textId="77777777" w:rsidTr="00A30345">
        <w:trPr>
          <w:trHeight w:val="315"/>
        </w:trPr>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04E6AF" w14:textId="77777777" w:rsidR="00E235A6" w:rsidRPr="00E235A6" w:rsidRDefault="00E235A6" w:rsidP="00E235A6">
            <w:pPr>
              <w:spacing w:after="0" w:line="240" w:lineRule="auto"/>
              <w:jc w:val="right"/>
              <w:rPr>
                <w:rFonts w:eastAsia="Times New Roman" w:cs="Calibri"/>
                <w:b/>
                <w:bCs/>
                <w:color w:val="000000"/>
                <w:sz w:val="24"/>
                <w:szCs w:val="24"/>
                <w:lang w:eastAsia="en-GB"/>
              </w:rPr>
            </w:pPr>
            <w:r w:rsidRPr="00E235A6">
              <w:rPr>
                <w:rFonts w:eastAsia="Times New Roman" w:cs="Calibri"/>
                <w:b/>
                <w:bCs/>
                <w:color w:val="000000"/>
                <w:sz w:val="24"/>
                <w:szCs w:val="24"/>
                <w:lang w:eastAsia="en-GB"/>
              </w:rPr>
              <w:t>29.558</w:t>
            </w:r>
          </w:p>
        </w:tc>
        <w:tc>
          <w:tcPr>
            <w:tcW w:w="3720" w:type="dxa"/>
            <w:tcBorders>
              <w:top w:val="single" w:sz="4" w:space="0" w:color="auto"/>
              <w:left w:val="nil"/>
              <w:bottom w:val="single" w:sz="4" w:space="0" w:color="auto"/>
              <w:right w:val="single" w:sz="4" w:space="0" w:color="auto"/>
            </w:tcBorders>
            <w:shd w:val="clear" w:color="000000" w:fill="FFFFFF"/>
            <w:noWrap/>
            <w:vAlign w:val="bottom"/>
            <w:hideMark/>
          </w:tcPr>
          <w:p w14:paraId="5212AADB" w14:textId="77777777" w:rsidR="00E235A6" w:rsidRPr="00E235A6" w:rsidRDefault="00E235A6" w:rsidP="00E235A6">
            <w:pPr>
              <w:spacing w:after="0" w:line="240" w:lineRule="auto"/>
              <w:rPr>
                <w:rFonts w:eastAsia="Times New Roman" w:cs="Calibri"/>
                <w:b/>
                <w:bCs/>
                <w:color w:val="000000"/>
                <w:sz w:val="24"/>
                <w:szCs w:val="24"/>
                <w:lang w:eastAsia="en-GB"/>
              </w:rPr>
            </w:pPr>
            <w:r w:rsidRPr="00E235A6">
              <w:rPr>
                <w:rFonts w:eastAsia="Times New Roman" w:cs="Calibri"/>
                <w:b/>
                <w:bCs/>
                <w:color w:val="000000"/>
                <w:sz w:val="24"/>
                <w:szCs w:val="24"/>
                <w:lang w:eastAsia="en-GB"/>
              </w:rPr>
              <w:t>TOTAL FUNDING</w:t>
            </w:r>
          </w:p>
        </w:tc>
        <w:tc>
          <w:tcPr>
            <w:tcW w:w="1260" w:type="dxa"/>
            <w:tcBorders>
              <w:top w:val="single" w:sz="4" w:space="0" w:color="auto"/>
              <w:left w:val="nil"/>
              <w:bottom w:val="single" w:sz="4" w:space="0" w:color="auto"/>
              <w:right w:val="single" w:sz="4" w:space="0" w:color="auto"/>
            </w:tcBorders>
            <w:shd w:val="clear" w:color="000000" w:fill="FFDDDD"/>
            <w:noWrap/>
            <w:vAlign w:val="bottom"/>
            <w:hideMark/>
          </w:tcPr>
          <w:p w14:paraId="31316C5A" w14:textId="77777777" w:rsidR="00E235A6" w:rsidRPr="00E235A6" w:rsidRDefault="00E235A6" w:rsidP="00E235A6">
            <w:pPr>
              <w:spacing w:after="0" w:line="240" w:lineRule="auto"/>
              <w:jc w:val="right"/>
              <w:rPr>
                <w:rFonts w:eastAsia="Times New Roman" w:cs="Calibri"/>
                <w:b/>
                <w:bCs/>
                <w:color w:val="000000"/>
                <w:sz w:val="24"/>
                <w:szCs w:val="24"/>
                <w:lang w:eastAsia="en-GB"/>
              </w:rPr>
            </w:pPr>
            <w:r w:rsidRPr="00E235A6">
              <w:rPr>
                <w:rFonts w:eastAsia="Times New Roman" w:cs="Calibri"/>
                <w:b/>
                <w:bCs/>
                <w:color w:val="000000"/>
                <w:sz w:val="24"/>
                <w:szCs w:val="24"/>
                <w:lang w:eastAsia="en-GB"/>
              </w:rPr>
              <w:t>31.434</w:t>
            </w:r>
          </w:p>
        </w:tc>
      </w:tr>
    </w:tbl>
    <w:p w14:paraId="74BB57CE" w14:textId="09260448" w:rsidR="00B63BCB" w:rsidRPr="00A30345" w:rsidRDefault="00B63BCB" w:rsidP="00B63BCB">
      <w:pPr>
        <w:pStyle w:val="ListParagraph"/>
        <w:spacing w:after="0" w:line="240" w:lineRule="auto"/>
        <w:ind w:left="567"/>
        <w:rPr>
          <w:i/>
          <w:iCs/>
          <w:noProof/>
        </w:rPr>
      </w:pPr>
      <w:r w:rsidRPr="00A30345">
        <w:rPr>
          <w:i/>
          <w:iCs/>
        </w:rPr>
        <w:t xml:space="preserve">NB: Estimated Business Rates – </w:t>
      </w:r>
      <w:r w:rsidR="00A04688" w:rsidRPr="00A30345">
        <w:rPr>
          <w:i/>
          <w:iCs/>
        </w:rPr>
        <w:t>At the time of writing, s</w:t>
      </w:r>
      <w:r w:rsidRPr="00A30345">
        <w:rPr>
          <w:i/>
          <w:iCs/>
        </w:rPr>
        <w:t>tatutory deadlines are not yet due.</w:t>
      </w:r>
    </w:p>
    <w:p w14:paraId="50A0C0FA" w14:textId="77777777" w:rsidR="00B51651" w:rsidRPr="00095FC7" w:rsidRDefault="00B51651" w:rsidP="000C2930">
      <w:pPr>
        <w:pStyle w:val="ListParagraph"/>
        <w:spacing w:after="0" w:line="240" w:lineRule="auto"/>
        <w:ind w:left="1440"/>
        <w:jc w:val="both"/>
        <w:rPr>
          <w:rFonts w:asciiTheme="minorHAnsi" w:hAnsiTheme="minorHAnsi" w:cstheme="minorHAnsi"/>
          <w:highlight w:val="yellow"/>
          <w:lang w:eastAsia="en-GB"/>
        </w:rPr>
      </w:pPr>
    </w:p>
    <w:p w14:paraId="5026D6C8" w14:textId="20AF2BBC" w:rsidR="009333A1" w:rsidRPr="00DC67A1" w:rsidRDefault="00F45FFF" w:rsidP="00DC67A1">
      <w:pPr>
        <w:pStyle w:val="PanelPara"/>
      </w:pPr>
      <w:r w:rsidRPr="00DC67A1">
        <w:t xml:space="preserve">A review of other Fire and Rescue Authorities </w:t>
      </w:r>
      <w:r w:rsidR="00030825" w:rsidRPr="00DC67A1">
        <w:t xml:space="preserve">has highlighted </w:t>
      </w:r>
      <w:r w:rsidR="00057EAA" w:rsidRPr="00DC67A1">
        <w:t xml:space="preserve">the following: </w:t>
      </w:r>
    </w:p>
    <w:p w14:paraId="03C30631" w14:textId="6FDE49D2" w:rsidR="00D50510" w:rsidRPr="00025636" w:rsidRDefault="003A55F5" w:rsidP="00025636">
      <w:pPr>
        <w:pStyle w:val="PanelHeading"/>
      </w:pPr>
      <w:r w:rsidRPr="00025636">
        <w:t>Comparative Council Tax Levels</w:t>
      </w:r>
    </w:p>
    <w:p w14:paraId="7559AF39" w14:textId="4D4318F8" w:rsidR="00BF592B" w:rsidRPr="00DC67A1" w:rsidRDefault="002E509C" w:rsidP="00DC67A1">
      <w:pPr>
        <w:pStyle w:val="PanelPara"/>
      </w:pPr>
      <w:r w:rsidRPr="00DC67A1">
        <w:t xml:space="preserve">If all take up the precept flexibility, </w:t>
      </w:r>
      <w:r w:rsidR="006E0068" w:rsidRPr="00DC67A1">
        <w:t>Band D Council Tax</w:t>
      </w:r>
      <w:r w:rsidR="002E592E" w:rsidRPr="00DC67A1">
        <w:t xml:space="preserve"> levels for Fire and Rescue Authorities </w:t>
      </w:r>
      <w:r w:rsidRPr="00DC67A1">
        <w:t>will range between £</w:t>
      </w:r>
      <w:r w:rsidR="00B63BCB" w:rsidRPr="00DC67A1">
        <w:t>7</w:t>
      </w:r>
      <w:r w:rsidR="00DC67A1" w:rsidRPr="00DC67A1">
        <w:t>5</w:t>
      </w:r>
      <w:r w:rsidR="00B63BCB" w:rsidRPr="00DC67A1">
        <w:t>.</w:t>
      </w:r>
      <w:r w:rsidR="00DC67A1" w:rsidRPr="00DC67A1">
        <w:t>20</w:t>
      </w:r>
      <w:r w:rsidRPr="00DC67A1">
        <w:t xml:space="preserve"> in the West Midlands and £1</w:t>
      </w:r>
      <w:r w:rsidR="00B63BCB" w:rsidRPr="00DC67A1">
        <w:t>1</w:t>
      </w:r>
      <w:r w:rsidR="00DC67A1" w:rsidRPr="00DC67A1">
        <w:t>8</w:t>
      </w:r>
      <w:r w:rsidR="00B63BCB" w:rsidRPr="00DC67A1">
        <w:t>.</w:t>
      </w:r>
      <w:r w:rsidR="00DC67A1" w:rsidRPr="00DC67A1">
        <w:t>12</w:t>
      </w:r>
      <w:r w:rsidRPr="00DC67A1">
        <w:t xml:space="preserve"> in Durham</w:t>
      </w:r>
      <w:r w:rsidR="002F25D8" w:rsidRPr="00DC67A1">
        <w:t>, with an average of £</w:t>
      </w:r>
      <w:r w:rsidR="00DC67A1" w:rsidRPr="00DC67A1">
        <w:t>90.32</w:t>
      </w:r>
      <w:r w:rsidR="002F25D8" w:rsidRPr="00DC67A1">
        <w:t xml:space="preserve"> per </w:t>
      </w:r>
      <w:r w:rsidR="00B63BCB" w:rsidRPr="00DC67A1">
        <w:t xml:space="preserve">standalone </w:t>
      </w:r>
      <w:r w:rsidR="002F25D8" w:rsidRPr="00DC67A1">
        <w:t>Band D property (as compared to £8</w:t>
      </w:r>
      <w:r w:rsidR="00DC67A1" w:rsidRPr="00DC67A1">
        <w:t>7</w:t>
      </w:r>
      <w:r w:rsidR="00B63BCB" w:rsidRPr="00DC67A1">
        <w:t>.66</w:t>
      </w:r>
      <w:r w:rsidR="004636B5" w:rsidRPr="00DC67A1">
        <w:t xml:space="preserve"> i</w:t>
      </w:r>
      <w:r w:rsidR="002F25D8" w:rsidRPr="00DC67A1">
        <w:t xml:space="preserve">n </w:t>
      </w:r>
      <w:r w:rsidR="008C38F1" w:rsidRPr="00DC67A1">
        <w:t>202</w:t>
      </w:r>
      <w:r w:rsidR="00DC67A1" w:rsidRPr="00DC67A1">
        <w:t>3</w:t>
      </w:r>
      <w:r w:rsidR="008C38F1" w:rsidRPr="00DC67A1">
        <w:t>/2</w:t>
      </w:r>
      <w:r w:rsidR="00DC67A1" w:rsidRPr="00DC67A1">
        <w:t>4</w:t>
      </w:r>
      <w:r w:rsidR="00B63BCB" w:rsidRPr="00DC67A1">
        <w:t>)</w:t>
      </w:r>
      <w:r w:rsidR="002F25D8" w:rsidRPr="00DC67A1">
        <w:t>.</w:t>
      </w:r>
      <w:r w:rsidR="00BF592B" w:rsidRPr="00DC67A1">
        <w:t xml:space="preserve"> </w:t>
      </w:r>
    </w:p>
    <w:p w14:paraId="6668026E" w14:textId="5F6CDFCD" w:rsidR="009333A1" w:rsidRPr="00095FC7" w:rsidRDefault="00DC67A1" w:rsidP="00DC67A1">
      <w:pPr>
        <w:pStyle w:val="PanelPara"/>
        <w:numPr>
          <w:ilvl w:val="0"/>
          <w:numId w:val="0"/>
        </w:numPr>
        <w:ind w:left="567"/>
        <w:rPr>
          <w:highlight w:val="yellow"/>
        </w:rPr>
      </w:pPr>
      <w:r>
        <w:rPr>
          <w:noProof/>
        </w:rPr>
        <w:drawing>
          <wp:inline distT="0" distB="0" distL="0" distR="0" wp14:anchorId="3BC179FD" wp14:editId="15906B16">
            <wp:extent cx="5791203" cy="2967038"/>
            <wp:effectExtent l="0" t="0" r="0" b="5080"/>
            <wp:docPr id="4" name="Chart 4">
              <a:extLst xmlns:a="http://schemas.openxmlformats.org/drawingml/2006/main">
                <a:ext uri="{FF2B5EF4-FFF2-40B4-BE49-F238E27FC236}">
                  <a16:creationId xmlns:a16="http://schemas.microsoft.com/office/drawing/2014/main" id="{BB499BC0-6BD9-19F8-F27C-9ED1530649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B58F10B" w14:textId="2C4CB389" w:rsidR="00A825E7" w:rsidRPr="00DC67A1" w:rsidRDefault="00707614" w:rsidP="00DC67A1">
      <w:pPr>
        <w:pStyle w:val="PanelPara"/>
      </w:pPr>
      <w:r w:rsidRPr="00DC67A1">
        <w:t>A</w:t>
      </w:r>
      <w:r w:rsidR="002F25D8" w:rsidRPr="00DC67A1">
        <w:t>t £</w:t>
      </w:r>
      <w:r w:rsidR="005321BC" w:rsidRPr="00DC67A1">
        <w:t>7</w:t>
      </w:r>
      <w:r w:rsidR="00D91FF6" w:rsidRPr="00DC67A1">
        <w:t>5.39</w:t>
      </w:r>
      <w:r w:rsidR="002F25D8" w:rsidRPr="00DC67A1">
        <w:t xml:space="preserve"> </w:t>
      </w:r>
      <w:r w:rsidR="002E509C" w:rsidRPr="00DC67A1">
        <w:t xml:space="preserve">Northamptonshire will still be the second lowest </w:t>
      </w:r>
      <w:r w:rsidR="004636B5" w:rsidRPr="00DC67A1">
        <w:t xml:space="preserve">Fire </w:t>
      </w:r>
      <w:r w:rsidR="002E509C" w:rsidRPr="00DC67A1">
        <w:t>precepto</w:t>
      </w:r>
      <w:r w:rsidR="002F25D8" w:rsidRPr="00DC67A1">
        <w:t xml:space="preserve">r in </w:t>
      </w:r>
      <w:r w:rsidR="008C38F1" w:rsidRPr="00DC67A1">
        <w:t>202</w:t>
      </w:r>
      <w:r w:rsidR="00D91FF6" w:rsidRPr="00DC67A1">
        <w:t>4</w:t>
      </w:r>
      <w:r w:rsidR="008C38F1" w:rsidRPr="00DC67A1">
        <w:t>/2</w:t>
      </w:r>
      <w:r w:rsidR="00D91FF6" w:rsidRPr="00DC67A1">
        <w:t>5</w:t>
      </w:r>
      <w:r w:rsidR="002F25D8" w:rsidRPr="00DC67A1">
        <w:t xml:space="preserve"> and will be 17% below the average precept in England and Wales. </w:t>
      </w:r>
      <w:r w:rsidR="00DC67A1" w:rsidRPr="00DC67A1">
        <w:t xml:space="preserve"> </w:t>
      </w:r>
      <w:r w:rsidR="00A825E7" w:rsidRPr="00DC67A1">
        <w:t xml:space="preserve">This is </w:t>
      </w:r>
      <w:r w:rsidR="00DC67A1" w:rsidRPr="00DC67A1">
        <w:t>the same as the 2023/24 position</w:t>
      </w:r>
      <w:r w:rsidR="002F25D8" w:rsidRPr="00DC67A1">
        <w:t>.</w:t>
      </w:r>
      <w:r w:rsidR="00A825E7" w:rsidRPr="00DC67A1">
        <w:t xml:space="preserve"> </w:t>
      </w:r>
    </w:p>
    <w:p w14:paraId="2B791A7F" w14:textId="7092A2E9" w:rsidR="003A55F5" w:rsidRPr="00025636" w:rsidRDefault="003A55F5" w:rsidP="00025636">
      <w:pPr>
        <w:pStyle w:val="PanelHeading"/>
      </w:pPr>
      <w:r w:rsidRPr="00025636">
        <w:t>Comparative Core Spending Power</w:t>
      </w:r>
    </w:p>
    <w:p w14:paraId="11FC243F" w14:textId="0C2EB14E" w:rsidR="00B806C8" w:rsidRPr="00D91FF6" w:rsidRDefault="00C3443A" w:rsidP="00C3443A">
      <w:pPr>
        <w:pStyle w:val="PanelPara"/>
      </w:pPr>
      <w:r w:rsidRPr="00C3443A">
        <w:t xml:space="preserve">Core Spending Power is a measure of the resources available to local authorities to fund service delivery. </w:t>
      </w:r>
      <w:r>
        <w:t xml:space="preserve"> </w:t>
      </w:r>
      <w:r w:rsidRPr="00C3443A">
        <w:t>It sets out the money that has been made available to local authorities through the Local Government Finance Settlement</w:t>
      </w:r>
      <w:r>
        <w:t xml:space="preserve">.  It </w:t>
      </w:r>
      <w:r w:rsidR="002072FC" w:rsidRPr="00D91FF6">
        <w:t>includes central settlements as well as business rates and assumed council tax receipts</w:t>
      </w:r>
      <w:r w:rsidR="002F25D8" w:rsidRPr="00D91FF6">
        <w:t xml:space="preserve"> at DLUHC estimated levels. </w:t>
      </w:r>
    </w:p>
    <w:p w14:paraId="63B7CDAC" w14:textId="7654A93E" w:rsidR="009333A1" w:rsidRPr="00F148BD" w:rsidRDefault="009F418B" w:rsidP="00F148BD">
      <w:pPr>
        <w:pStyle w:val="PanelPara"/>
      </w:pPr>
      <w:r w:rsidRPr="00F148BD">
        <w:t xml:space="preserve">According to the CSP projections, </w:t>
      </w:r>
      <w:r w:rsidR="00CF380E" w:rsidRPr="00F148BD">
        <w:t xml:space="preserve">Northamptonshire </w:t>
      </w:r>
      <w:r w:rsidRPr="00F148BD">
        <w:t>has the</w:t>
      </w:r>
      <w:r w:rsidR="00CF380E" w:rsidRPr="00F148BD">
        <w:t xml:space="preserve"> </w:t>
      </w:r>
      <w:r w:rsidRPr="00F148BD">
        <w:t xml:space="preserve">third </w:t>
      </w:r>
      <w:r w:rsidR="00CF380E" w:rsidRPr="00F148BD">
        <w:t xml:space="preserve">lowest core spending power </w:t>
      </w:r>
      <w:r w:rsidRPr="00F148BD">
        <w:t>of all standalone authorities</w:t>
      </w:r>
      <w:r w:rsidR="00F148BD" w:rsidRPr="00F148BD">
        <w:t>.  The authorities with the lowest and second lowest CSP are Shropshire and Cumbria.</w:t>
      </w:r>
    </w:p>
    <w:p w14:paraId="3E67F469" w14:textId="46857675" w:rsidR="00263E8C" w:rsidRPr="009F418B" w:rsidRDefault="00C3443A" w:rsidP="009F418B">
      <w:pPr>
        <w:spacing w:after="0" w:line="240" w:lineRule="auto"/>
        <w:ind w:left="1418" w:hanging="851"/>
        <w:jc w:val="both"/>
        <w:rPr>
          <w:rFonts w:ascii="Arial" w:hAnsi="Arial" w:cs="Arial"/>
          <w:highlight w:val="yellow"/>
        </w:rPr>
      </w:pPr>
      <w:r>
        <w:rPr>
          <w:noProof/>
        </w:rPr>
        <w:lastRenderedPageBreak/>
        <w:drawing>
          <wp:inline distT="0" distB="0" distL="0" distR="0" wp14:anchorId="091E3E2C" wp14:editId="405803F9">
            <wp:extent cx="5557839" cy="3452814"/>
            <wp:effectExtent l="0" t="0" r="5080" b="14605"/>
            <wp:docPr id="1" name="Chart 1">
              <a:extLst xmlns:a="http://schemas.openxmlformats.org/drawingml/2006/main">
                <a:ext uri="{FF2B5EF4-FFF2-40B4-BE49-F238E27FC236}">
                  <a16:creationId xmlns:a16="http://schemas.microsoft.com/office/drawing/2014/main" id="{9C233642-5646-3626-38DF-AB48C4A427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83CD4D1" w14:textId="77777777" w:rsidR="00D92C2F" w:rsidRDefault="00D92C2F" w:rsidP="00D92C2F">
      <w:pPr>
        <w:pStyle w:val="NoSpacing"/>
      </w:pPr>
    </w:p>
    <w:p w14:paraId="2F00989F" w14:textId="404BD525" w:rsidR="00A825E7" w:rsidRPr="009F418B" w:rsidRDefault="009F418B" w:rsidP="009F418B">
      <w:pPr>
        <w:pStyle w:val="PanelPara"/>
      </w:pPr>
      <w:r w:rsidRPr="009F418B">
        <w:t>It is important to note that</w:t>
      </w:r>
      <w:r w:rsidR="00A825E7" w:rsidRPr="009F418B">
        <w:t xml:space="preserve"> </w:t>
      </w:r>
      <w:r w:rsidRPr="009F418B">
        <w:t>the CSP figures</w:t>
      </w:r>
      <w:r w:rsidR="00A825E7" w:rsidRPr="009F418B">
        <w:t xml:space="preserve"> includes estimated, rather than the actual taxbase</w:t>
      </w:r>
      <w:r w:rsidR="00B82C60" w:rsidRPr="009F418B">
        <w:t>s</w:t>
      </w:r>
      <w:r w:rsidR="00A825E7" w:rsidRPr="009F418B">
        <w:t xml:space="preserve"> for authorities and does not </w:t>
      </w:r>
      <w:r w:rsidR="009331D9" w:rsidRPr="009F418B">
        <w:t>include</w:t>
      </w:r>
      <w:r w:rsidR="00A825E7" w:rsidRPr="009F418B">
        <w:t xml:space="preserve"> collection fund surplus or deficits. </w:t>
      </w:r>
    </w:p>
    <w:p w14:paraId="307F0158" w14:textId="23706921" w:rsidR="006C6ED6" w:rsidRPr="00025636" w:rsidRDefault="003A55F5" w:rsidP="00025636">
      <w:pPr>
        <w:pStyle w:val="PanelHeading"/>
      </w:pPr>
      <w:r w:rsidRPr="00025636">
        <w:t xml:space="preserve">Comparative Level of </w:t>
      </w:r>
      <w:r w:rsidR="0081263C" w:rsidRPr="00025636">
        <w:t>Reserve</w:t>
      </w:r>
      <w:r w:rsidRPr="00025636">
        <w:t>s</w:t>
      </w:r>
      <w:r w:rsidR="008F4126" w:rsidRPr="00025636">
        <w:t xml:space="preserve"> </w:t>
      </w:r>
    </w:p>
    <w:p w14:paraId="2749D7ED" w14:textId="77777777" w:rsidR="00C03AB2" w:rsidRDefault="00F07600" w:rsidP="00C03AB2">
      <w:pPr>
        <w:pStyle w:val="PanelPara"/>
      </w:pPr>
      <w:r w:rsidRPr="00C03AB2">
        <w:t xml:space="preserve">The </w:t>
      </w:r>
      <w:r w:rsidR="008844B8" w:rsidRPr="00C03AB2">
        <w:t>H</w:t>
      </w:r>
      <w:r w:rsidRPr="00C03AB2">
        <w:t xml:space="preserve">ome </w:t>
      </w:r>
      <w:r w:rsidR="008844B8" w:rsidRPr="00C03AB2">
        <w:t>O</w:t>
      </w:r>
      <w:r w:rsidRPr="00C03AB2">
        <w:t xml:space="preserve">ffice </w:t>
      </w:r>
      <w:r w:rsidR="0076412E" w:rsidRPr="00C03AB2">
        <w:t>a</w:t>
      </w:r>
      <w:r w:rsidRPr="00C03AB2">
        <w:t xml:space="preserve">nalysis of the </w:t>
      </w:r>
      <w:r w:rsidR="0081263C" w:rsidRPr="00C03AB2">
        <w:t>reserve</w:t>
      </w:r>
      <w:r w:rsidRPr="00C03AB2">
        <w:t xml:space="preserve"> levels for Fire and Rescue Authorities</w:t>
      </w:r>
      <w:r w:rsidR="00F45FFF" w:rsidRPr="00C03AB2">
        <w:t xml:space="preserve"> as at </w:t>
      </w:r>
      <w:r w:rsidR="00654ADC" w:rsidRPr="00C03AB2">
        <w:t>3</w:t>
      </w:r>
      <w:r w:rsidR="00F45FFF" w:rsidRPr="00C03AB2">
        <w:t>1/</w:t>
      </w:r>
      <w:r w:rsidR="00654ADC" w:rsidRPr="00C03AB2">
        <w:t>3</w:t>
      </w:r>
      <w:r w:rsidR="00F45FFF" w:rsidRPr="00C03AB2">
        <w:t>/</w:t>
      </w:r>
      <w:r w:rsidR="00FB1950" w:rsidRPr="00C03AB2">
        <w:t>20</w:t>
      </w:r>
      <w:r w:rsidR="0076412E" w:rsidRPr="00C03AB2">
        <w:t>2</w:t>
      </w:r>
      <w:r w:rsidR="001603AB" w:rsidRPr="00C03AB2">
        <w:t>1</w:t>
      </w:r>
      <w:r w:rsidR="00654ADC" w:rsidRPr="00C03AB2">
        <w:t xml:space="preserve"> (based on the audited accounts for 20</w:t>
      </w:r>
      <w:r w:rsidR="001603AB" w:rsidRPr="00C03AB2">
        <w:t>20</w:t>
      </w:r>
      <w:r w:rsidR="00654ADC" w:rsidRPr="00C03AB2">
        <w:t>/</w:t>
      </w:r>
      <w:r w:rsidR="0076412E" w:rsidRPr="00C03AB2">
        <w:t>2</w:t>
      </w:r>
      <w:r w:rsidR="001603AB" w:rsidRPr="00C03AB2">
        <w:t>1) is set out below and h</w:t>
      </w:r>
      <w:r w:rsidR="00F45FFF" w:rsidRPr="00C03AB2">
        <w:t>ighlight</w:t>
      </w:r>
      <w:r w:rsidR="004E3993" w:rsidRPr="00C03AB2">
        <w:t>s</w:t>
      </w:r>
      <w:r w:rsidR="00F45FFF" w:rsidRPr="00C03AB2">
        <w:t xml:space="preserve"> that </w:t>
      </w:r>
      <w:r w:rsidR="0076412E" w:rsidRPr="00C03AB2">
        <w:t xml:space="preserve">total </w:t>
      </w:r>
      <w:r w:rsidR="001603AB" w:rsidRPr="00C03AB2">
        <w:t xml:space="preserve">revenue and capital </w:t>
      </w:r>
      <w:r w:rsidR="0081263C" w:rsidRPr="00C03AB2">
        <w:t>reserve</w:t>
      </w:r>
      <w:r w:rsidR="0076412E" w:rsidRPr="00C03AB2">
        <w:t>s range</w:t>
      </w:r>
      <w:r w:rsidR="00684A23" w:rsidRPr="00C03AB2">
        <w:t>d</w:t>
      </w:r>
      <w:r w:rsidR="0076412E" w:rsidRPr="00C03AB2">
        <w:t xml:space="preserve"> from </w:t>
      </w:r>
      <w:r w:rsidR="00684A23" w:rsidRPr="00C03AB2">
        <w:t>£</w:t>
      </w:r>
      <w:r w:rsidR="001603AB" w:rsidRPr="00C03AB2">
        <w:t>5.4</w:t>
      </w:r>
      <w:r w:rsidR="00684A23" w:rsidRPr="00C03AB2">
        <w:t xml:space="preserve">m </w:t>
      </w:r>
      <w:r w:rsidR="0076412E" w:rsidRPr="00C03AB2">
        <w:t xml:space="preserve">in Northamptonshire </w:t>
      </w:r>
      <w:r w:rsidR="00684A23" w:rsidRPr="00C03AB2">
        <w:t>to £4</w:t>
      </w:r>
      <w:r w:rsidR="001603AB" w:rsidRPr="00C03AB2">
        <w:t>9.8</w:t>
      </w:r>
      <w:r w:rsidR="00684A23" w:rsidRPr="00C03AB2">
        <w:t xml:space="preserve">m in Kent. </w:t>
      </w:r>
      <w:r w:rsidR="00FB1950" w:rsidRPr="00C03AB2">
        <w:t xml:space="preserve"> This data is yet to be formally refreshed</w:t>
      </w:r>
      <w:r w:rsidR="00C03AB2" w:rsidRPr="00C03AB2">
        <w:t>.</w:t>
      </w:r>
    </w:p>
    <w:p w14:paraId="6C1F5AEA" w14:textId="3FEA355D" w:rsidR="00C03AB2" w:rsidRPr="00C03AB2" w:rsidRDefault="002B586C" w:rsidP="00C03AB2">
      <w:pPr>
        <w:pStyle w:val="PanelPara"/>
      </w:pPr>
      <w:r w:rsidRPr="00C03AB2">
        <w:t xml:space="preserve">Whilst </w:t>
      </w:r>
      <w:r w:rsidR="00FB1950" w:rsidRPr="00C03AB2">
        <w:t>there is still the desire to increase resilience in reserves further</w:t>
      </w:r>
      <w:r w:rsidRPr="00C03AB2">
        <w:t xml:space="preserve">, </w:t>
      </w:r>
      <w:r w:rsidR="00FB1950" w:rsidRPr="00C03AB2">
        <w:t xml:space="preserve">the PFCC has been able to </w:t>
      </w:r>
      <w:r w:rsidRPr="00C03AB2">
        <w:t>buil</w:t>
      </w:r>
      <w:r w:rsidR="00FB1950" w:rsidRPr="00C03AB2">
        <w:t>d</w:t>
      </w:r>
      <w:r w:rsidRPr="00C03AB2">
        <w:t xml:space="preserve"> them to a </w:t>
      </w:r>
      <w:r w:rsidR="00BF231A" w:rsidRPr="00C03AB2">
        <w:t xml:space="preserve">currently </w:t>
      </w:r>
      <w:r w:rsidRPr="00C03AB2">
        <w:t>sufficient level in line with the three year plan as set out at the time of the governance transfer.</w:t>
      </w:r>
    </w:p>
    <w:p w14:paraId="701FE803" w14:textId="3470AD2C" w:rsidR="00A448D3" w:rsidRPr="00025636" w:rsidRDefault="00A448D3" w:rsidP="00025636">
      <w:pPr>
        <w:pStyle w:val="PanelHeading"/>
      </w:pPr>
      <w:r w:rsidRPr="00025636">
        <w:t>Funding Formula and Population</w:t>
      </w:r>
    </w:p>
    <w:p w14:paraId="7D5EFD41" w14:textId="33B80EAD" w:rsidR="00C242D6" w:rsidRPr="00025636" w:rsidRDefault="00474F97" w:rsidP="00025636">
      <w:pPr>
        <w:pStyle w:val="PanelPara"/>
      </w:pPr>
      <w:r w:rsidRPr="00025636">
        <w:t xml:space="preserve">Fire </w:t>
      </w:r>
      <w:r w:rsidR="00412A1A" w:rsidRPr="00025636">
        <w:t xml:space="preserve">funding for revenue support and service grants </w:t>
      </w:r>
      <w:r w:rsidRPr="00025636">
        <w:t xml:space="preserve">is </w:t>
      </w:r>
      <w:r w:rsidR="00141288" w:rsidRPr="00025636">
        <w:t xml:space="preserve">provided to the Home Office from </w:t>
      </w:r>
      <w:r w:rsidRPr="00025636">
        <w:t>D</w:t>
      </w:r>
      <w:r w:rsidR="00141288" w:rsidRPr="00025636">
        <w:t>LUHC</w:t>
      </w:r>
      <w:r w:rsidR="00412A1A" w:rsidRPr="00025636">
        <w:t xml:space="preserve"> and is allocated via a</w:t>
      </w:r>
      <w:r w:rsidR="00141288" w:rsidRPr="00025636">
        <w:t xml:space="preserve"> </w:t>
      </w:r>
      <w:r w:rsidR="00A448D3" w:rsidRPr="00025636">
        <w:t xml:space="preserve">national formula </w:t>
      </w:r>
      <w:r w:rsidR="00141288" w:rsidRPr="00025636">
        <w:t>as part of the local authority funding settlements.</w:t>
      </w:r>
      <w:r w:rsidR="00DE46B4" w:rsidRPr="00025636">
        <w:t xml:space="preserve"> </w:t>
      </w:r>
    </w:p>
    <w:p w14:paraId="667B32C1" w14:textId="6229A164" w:rsidR="00474F97" w:rsidRPr="00C03AB2" w:rsidRDefault="00474F97" w:rsidP="00025636">
      <w:pPr>
        <w:pStyle w:val="PanelPara"/>
      </w:pPr>
      <w:r w:rsidRPr="00C03AB2">
        <w:t xml:space="preserve">The current formula </w:t>
      </w:r>
      <w:r w:rsidR="00DE46B4" w:rsidRPr="00C03AB2">
        <w:t xml:space="preserve">was updated in 2013/14 and </w:t>
      </w:r>
      <w:r w:rsidRPr="00C03AB2">
        <w:t>is based on population and subject to a series of adjustments to allocate funding by both risk of incidents and the costs associated with providing fire service cover.</w:t>
      </w:r>
      <w:r w:rsidR="00141288" w:rsidRPr="00C03AB2">
        <w:t xml:space="preserve"> </w:t>
      </w:r>
      <w:r w:rsidR="00405417" w:rsidRPr="00C03AB2">
        <w:t xml:space="preserve"> Fire</w:t>
      </w:r>
      <w:r w:rsidR="00DE46B4" w:rsidRPr="00C03AB2">
        <w:t xml:space="preserve"> </w:t>
      </w:r>
      <w:r w:rsidR="00405417" w:rsidRPr="00C03AB2">
        <w:t>revenue support and services grants are allocated under th</w:t>
      </w:r>
      <w:r w:rsidR="00DE46B4" w:rsidRPr="00C03AB2">
        <w:t xml:space="preserve">is </w:t>
      </w:r>
      <w:r w:rsidR="00405417" w:rsidRPr="00C03AB2">
        <w:t xml:space="preserve">formula </w:t>
      </w:r>
      <w:r w:rsidRPr="00C03AB2">
        <w:t xml:space="preserve">which accounts for just </w:t>
      </w:r>
      <w:r w:rsidR="00405417" w:rsidRPr="00C03AB2">
        <w:t xml:space="preserve">under 10% of total </w:t>
      </w:r>
      <w:r w:rsidR="00141288" w:rsidRPr="00C03AB2">
        <w:t xml:space="preserve">Fire </w:t>
      </w:r>
      <w:r w:rsidR="00405417" w:rsidRPr="00C03AB2">
        <w:t>funding</w:t>
      </w:r>
      <w:r w:rsidR="00141288" w:rsidRPr="00C03AB2">
        <w:t xml:space="preserve"> in Northamptonshire</w:t>
      </w:r>
      <w:r w:rsidR="00405417" w:rsidRPr="00C03AB2">
        <w:t xml:space="preserve">. </w:t>
      </w:r>
    </w:p>
    <w:p w14:paraId="46538BED" w14:textId="77777777" w:rsidR="00C03AB2" w:rsidRDefault="00141288" w:rsidP="00C03AB2">
      <w:pPr>
        <w:pStyle w:val="PanelPara"/>
        <w:rPr>
          <w:i/>
          <w:iCs/>
        </w:rPr>
      </w:pPr>
      <w:r w:rsidRPr="00C03AB2">
        <w:lastRenderedPageBreak/>
        <w:t>A Fair Funding review has been discussed by the Ministry, Housing, Communities and Local Government (MHCLG) and more recently DLUHC for some years</w:t>
      </w:r>
      <w:r w:rsidR="00412A1A" w:rsidRPr="00C03AB2">
        <w:t>, h</w:t>
      </w:r>
      <w:r w:rsidRPr="00C03AB2">
        <w:t xml:space="preserve">owever, in the DLUHC Policy statement issued prior to the provisional local settlement, the government advised that </w:t>
      </w:r>
      <w:r w:rsidRPr="00C03AB2">
        <w:rPr>
          <w:i/>
          <w:iCs/>
        </w:rPr>
        <w:t>“The review of Relative Needs and Resources (Fair Funding Review) and a reset of Business Rates growth would not be implemented in 2023/24 or 2024/25.”</w:t>
      </w:r>
      <w:bookmarkStart w:id="1" w:name="_Hlk125206743"/>
    </w:p>
    <w:p w14:paraId="619A181F" w14:textId="1C42B62D" w:rsidR="00C03AB2" w:rsidRPr="00C03AB2" w:rsidRDefault="00C03AB2" w:rsidP="00C03AB2">
      <w:pPr>
        <w:pStyle w:val="PanelPara"/>
        <w:rPr>
          <w:i/>
          <w:iCs/>
        </w:rPr>
      </w:pPr>
      <w:r w:rsidRPr="00C03AB2">
        <w:t>In 2002, Northamptonshire’s population growth was around 0.5% more than the national average.  By mid-2022, the gap between the county and the national average had increased to 3.62%, with large housing development projects in progress.</w:t>
      </w:r>
    </w:p>
    <w:p w14:paraId="2AE7E2DD" w14:textId="573997EA" w:rsidR="00C03AB2" w:rsidRDefault="00C03AB2" w:rsidP="00C03AB2">
      <w:pPr>
        <w:pStyle w:val="PanelPara"/>
      </w:pPr>
      <w:r w:rsidRPr="00EB0125">
        <w:t>The graph below demonstrates this population increase for the period 200</w:t>
      </w:r>
      <w:r>
        <w:t>2</w:t>
      </w:r>
      <w:r w:rsidRPr="00EB0125">
        <w:t xml:space="preserve"> to 2022.</w:t>
      </w:r>
    </w:p>
    <w:p w14:paraId="296762D7" w14:textId="45BEBE3A" w:rsidR="00DE46B4" w:rsidRPr="00C03AB2" w:rsidRDefault="00C03AB2" w:rsidP="00C03AB2">
      <w:pPr>
        <w:pStyle w:val="PanelPara"/>
        <w:numPr>
          <w:ilvl w:val="0"/>
          <w:numId w:val="0"/>
        </w:numPr>
        <w:ind w:left="567"/>
      </w:pPr>
      <w:r w:rsidRPr="00C03AB2">
        <w:rPr>
          <w:noProof/>
        </w:rPr>
        <w:drawing>
          <wp:inline distT="0" distB="0" distL="0" distR="0" wp14:anchorId="221FDFCD" wp14:editId="4D2F8A16">
            <wp:extent cx="5960905" cy="3833813"/>
            <wp:effectExtent l="0" t="0" r="1905" b="14605"/>
            <wp:docPr id="3" name="Chart 3">
              <a:extLst xmlns:a="http://schemas.openxmlformats.org/drawingml/2006/main">
                <a:ext uri="{FF2B5EF4-FFF2-40B4-BE49-F238E27FC236}">
                  <a16:creationId xmlns:a16="http://schemas.microsoft.com/office/drawing/2014/main" id="{A74556B5-A299-4E2B-8130-E7CA4FC3A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C9CCD71" w14:textId="1F2C73ED" w:rsidR="00DE46B4" w:rsidRPr="00C03AB2" w:rsidRDefault="00DE46B4" w:rsidP="00C03AB2">
      <w:pPr>
        <w:pStyle w:val="PanelPara"/>
      </w:pPr>
      <w:r w:rsidRPr="00C03AB2">
        <w:t>Northamptonshire has outstripped national population changes for some decades, as outlined in the Joint Strategic Needs Assessment (JSNA) Demography Insight Pack 2019,</w:t>
      </w:r>
      <w:r w:rsidR="00C03AB2" w:rsidRPr="00C03AB2">
        <w:t xml:space="preserve"> </w:t>
      </w:r>
      <w:r w:rsidRPr="00C03AB2">
        <w:t>Northamptonshire’s population has increased by 29.9% over the 30 years, compared with 17.7% across England.</w:t>
      </w:r>
      <w:r w:rsidR="00C03AB2" w:rsidRPr="00C03AB2">
        <w:t xml:space="preserve"> </w:t>
      </w:r>
      <w:r w:rsidRPr="00C03AB2">
        <w:t xml:space="preserve"> It also estimate</w:t>
      </w:r>
      <w:r w:rsidR="00C03AB2" w:rsidRPr="00C03AB2">
        <w:t>d</w:t>
      </w:r>
      <w:r w:rsidRPr="00C03AB2">
        <w:t xml:space="preserve"> this will increase by a further 14% by 2041.</w:t>
      </w:r>
    </w:p>
    <w:bookmarkEnd w:id="1"/>
    <w:p w14:paraId="0F75F6C7" w14:textId="78057553" w:rsidR="00C03AB2" w:rsidRPr="00C03AB2" w:rsidRDefault="00DE46B4" w:rsidP="00C03AB2">
      <w:pPr>
        <w:pStyle w:val="PanelPara"/>
        <w:tabs>
          <w:tab w:val="left" w:pos="9639"/>
        </w:tabs>
      </w:pPr>
      <w:r w:rsidRPr="00C03AB2">
        <w:t>This means that around 10% of Northamptonshire Fire’s funding is allocated on the basis of a funding formula which has not been updated for many years</w:t>
      </w:r>
      <w:r w:rsidR="00412A1A" w:rsidRPr="00C03AB2">
        <w:t xml:space="preserve"> and</w:t>
      </w:r>
      <w:r w:rsidRPr="00C03AB2">
        <w:t xml:space="preserve"> therefore, does not reflect current demands or risk and does not reflect the significant growth in the county.</w:t>
      </w:r>
    </w:p>
    <w:p w14:paraId="423A9A36" w14:textId="118FB1DC" w:rsidR="00497F9F" w:rsidRPr="00C03AB2" w:rsidRDefault="00497F9F" w:rsidP="00C03AB2">
      <w:pPr>
        <w:pStyle w:val="PanelPara"/>
        <w:tabs>
          <w:tab w:val="left" w:pos="9639"/>
        </w:tabs>
      </w:pPr>
      <w:r w:rsidRPr="00C03AB2">
        <w:t xml:space="preserve">Therefore, </w:t>
      </w:r>
      <w:r w:rsidR="00405417" w:rsidRPr="00C03AB2">
        <w:t xml:space="preserve">with a higher increase in population in Northamptonshire </w:t>
      </w:r>
      <w:r w:rsidR="00B82C60" w:rsidRPr="00C03AB2">
        <w:t xml:space="preserve">compared to </w:t>
      </w:r>
      <w:r w:rsidR="00405417" w:rsidRPr="00C03AB2">
        <w:t>national levels, and in particular the aging population, the current formula does not reflect these</w:t>
      </w:r>
      <w:r w:rsidR="00263E8C" w:rsidRPr="00C03AB2">
        <w:t xml:space="preserve"> </w:t>
      </w:r>
      <w:r w:rsidR="00405417" w:rsidRPr="00C03AB2">
        <w:lastRenderedPageBreak/>
        <w:t>challenges</w:t>
      </w:r>
      <w:r w:rsidRPr="00C03AB2">
        <w:t xml:space="preserve"> faced in the county</w:t>
      </w:r>
      <w:r w:rsidR="00405417" w:rsidRPr="00C03AB2">
        <w:t>.</w:t>
      </w:r>
      <w:r w:rsidR="00141288" w:rsidRPr="00C03AB2">
        <w:t xml:space="preserve"> </w:t>
      </w:r>
      <w:r w:rsidR="00C03AB2" w:rsidRPr="00C03AB2">
        <w:t xml:space="preserve"> </w:t>
      </w:r>
      <w:r w:rsidRPr="00C03AB2">
        <w:t>T</w:t>
      </w:r>
      <w:r w:rsidR="00405417" w:rsidRPr="00C03AB2">
        <w:t xml:space="preserve">he PFCC and the Chief Fire Officer will continue to seek a fairer </w:t>
      </w:r>
      <w:r w:rsidRPr="00C03AB2">
        <w:t xml:space="preserve">national </w:t>
      </w:r>
      <w:r w:rsidR="00405417" w:rsidRPr="00C03AB2">
        <w:t>settlement for Northamptonshire</w:t>
      </w:r>
      <w:r w:rsidRPr="00C03AB2">
        <w:t xml:space="preserve"> Fire</w:t>
      </w:r>
      <w:r w:rsidR="00B82C60" w:rsidRPr="00C03AB2">
        <w:t xml:space="preserve"> &amp; Rescue</w:t>
      </w:r>
      <w:r w:rsidRPr="00C03AB2">
        <w:t>.</w:t>
      </w:r>
    </w:p>
    <w:p w14:paraId="5EC5EEA0" w14:textId="01F81D03" w:rsidR="006E6D1C" w:rsidRPr="00025636" w:rsidRDefault="006E0068" w:rsidP="00025636">
      <w:pPr>
        <w:pStyle w:val="PanelHeading"/>
      </w:pPr>
      <w:r w:rsidRPr="00025636">
        <w:t>Council Tax</w:t>
      </w:r>
      <w:r w:rsidR="0090776D" w:rsidRPr="00025636">
        <w:t>base and Council Tax</w:t>
      </w:r>
      <w:r w:rsidR="006E6D1C" w:rsidRPr="00025636">
        <w:t xml:space="preserve"> Precept Income</w:t>
      </w:r>
    </w:p>
    <w:p w14:paraId="14E5C168" w14:textId="74A800A0" w:rsidR="00761925" w:rsidRPr="00C03AB2" w:rsidRDefault="00C81FD4" w:rsidP="00C03AB2">
      <w:pPr>
        <w:pStyle w:val="PanelPara"/>
      </w:pPr>
      <w:r w:rsidRPr="00C03AB2">
        <w:t>The</w:t>
      </w:r>
      <w:r w:rsidR="006E6D1C" w:rsidRPr="00C03AB2">
        <w:t xml:space="preserve"> </w:t>
      </w:r>
      <w:r w:rsidR="006E0068" w:rsidRPr="00C03AB2">
        <w:t>Council Tax</w:t>
      </w:r>
      <w:r w:rsidR="006E6D1C" w:rsidRPr="00C03AB2">
        <w:t xml:space="preserve"> and the level of precept is a fundamental part of the </w:t>
      </w:r>
      <w:r w:rsidR="001638AD" w:rsidRPr="00C03AB2">
        <w:t xml:space="preserve">local government finance </w:t>
      </w:r>
      <w:r w:rsidR="006E6D1C" w:rsidRPr="00C03AB2">
        <w:t>settlement</w:t>
      </w:r>
      <w:r w:rsidR="00C03AB2" w:rsidRPr="00C03AB2">
        <w:t xml:space="preserve"> and </w:t>
      </w:r>
      <w:r w:rsidR="006E6D1C" w:rsidRPr="00C03AB2">
        <w:rPr>
          <w:lang w:eastAsia="en-GB"/>
        </w:rPr>
        <w:t xml:space="preserve">depends on both the level of the </w:t>
      </w:r>
      <w:r w:rsidR="00CF5D71" w:rsidRPr="00C03AB2">
        <w:rPr>
          <w:lang w:eastAsia="en-GB"/>
        </w:rPr>
        <w:t xml:space="preserve">Band D </w:t>
      </w:r>
      <w:r w:rsidR="006E6D1C" w:rsidRPr="00C03AB2">
        <w:rPr>
          <w:lang w:eastAsia="en-GB"/>
        </w:rPr>
        <w:t>precept and the taxbase – the latter being the number of properties required to pay</w:t>
      </w:r>
      <w:r w:rsidR="002B586C" w:rsidRPr="00C03AB2">
        <w:rPr>
          <w:lang w:eastAsia="en-GB"/>
        </w:rPr>
        <w:t xml:space="preserve"> c</w:t>
      </w:r>
      <w:r w:rsidR="006E0068" w:rsidRPr="00C03AB2">
        <w:rPr>
          <w:lang w:eastAsia="en-GB"/>
        </w:rPr>
        <w:t xml:space="preserve">ouncil </w:t>
      </w:r>
      <w:r w:rsidR="00C03AB2" w:rsidRPr="00C03AB2">
        <w:rPr>
          <w:lang w:eastAsia="en-GB"/>
        </w:rPr>
        <w:t>t</w:t>
      </w:r>
      <w:r w:rsidR="006E0068" w:rsidRPr="00C03AB2">
        <w:rPr>
          <w:lang w:eastAsia="en-GB"/>
        </w:rPr>
        <w:t>ax</w:t>
      </w:r>
      <w:r w:rsidR="006E6D1C" w:rsidRPr="00C03AB2">
        <w:rPr>
          <w:lang w:eastAsia="en-GB"/>
        </w:rPr>
        <w:t>.</w:t>
      </w:r>
    </w:p>
    <w:p w14:paraId="22AB812F" w14:textId="13368C70" w:rsidR="00761925" w:rsidRPr="00C03AB2" w:rsidRDefault="00761925" w:rsidP="00025636">
      <w:pPr>
        <w:pStyle w:val="PanelPara"/>
        <w:rPr>
          <w:lang w:eastAsia="en-GB"/>
        </w:rPr>
      </w:pPr>
      <w:r w:rsidRPr="00C03AB2">
        <w:rPr>
          <w:lang w:eastAsia="en-GB"/>
        </w:rPr>
        <w:t xml:space="preserve">In Fire, the precept </w:t>
      </w:r>
      <w:r w:rsidR="00800DD8" w:rsidRPr="00C03AB2">
        <w:rPr>
          <w:lang w:eastAsia="en-GB"/>
        </w:rPr>
        <w:t xml:space="preserve">and the surplus on the collection fund </w:t>
      </w:r>
      <w:r w:rsidRPr="00C03AB2">
        <w:rPr>
          <w:lang w:eastAsia="en-GB"/>
        </w:rPr>
        <w:t xml:space="preserve">accounts for </w:t>
      </w:r>
      <w:r w:rsidR="00800DD8" w:rsidRPr="00C03AB2">
        <w:rPr>
          <w:lang w:eastAsia="en-GB"/>
        </w:rPr>
        <w:t>around</w:t>
      </w:r>
      <w:r w:rsidRPr="00C03AB2">
        <w:rPr>
          <w:lang w:eastAsia="en-GB"/>
        </w:rPr>
        <w:t xml:space="preserve"> 6</w:t>
      </w:r>
      <w:r w:rsidR="00C03AB2">
        <w:rPr>
          <w:lang w:eastAsia="en-GB"/>
        </w:rPr>
        <w:t>3</w:t>
      </w:r>
      <w:r w:rsidRPr="00C03AB2">
        <w:rPr>
          <w:lang w:eastAsia="en-GB"/>
        </w:rPr>
        <w:t xml:space="preserve">% of funding, </w:t>
      </w:r>
      <w:r w:rsidR="00C03AB2">
        <w:rPr>
          <w:lang w:eastAsia="en-GB"/>
        </w:rPr>
        <w:t>so</w:t>
      </w:r>
      <w:r w:rsidRPr="00C03AB2">
        <w:rPr>
          <w:lang w:eastAsia="en-GB"/>
        </w:rPr>
        <w:t xml:space="preserve"> any variations can </w:t>
      </w:r>
      <w:r w:rsidR="004E3993" w:rsidRPr="00C03AB2">
        <w:rPr>
          <w:lang w:eastAsia="en-GB"/>
        </w:rPr>
        <w:t xml:space="preserve">have </w:t>
      </w:r>
      <w:r w:rsidR="00707614" w:rsidRPr="00C03AB2">
        <w:rPr>
          <w:lang w:eastAsia="en-GB"/>
        </w:rPr>
        <w:t>a significant impact.</w:t>
      </w:r>
    </w:p>
    <w:p w14:paraId="5A1FB8B6" w14:textId="3546099D" w:rsidR="006C6ED6" w:rsidRPr="00025636" w:rsidRDefault="00381FA2" w:rsidP="00025636">
      <w:pPr>
        <w:pStyle w:val="PanelPara"/>
        <w:rPr>
          <w:lang w:eastAsia="en-GB"/>
        </w:rPr>
      </w:pPr>
      <w:r w:rsidRPr="00025636">
        <w:rPr>
          <w:lang w:eastAsia="en-GB"/>
        </w:rPr>
        <w:t xml:space="preserve">Both </w:t>
      </w:r>
      <w:r w:rsidR="002B586C" w:rsidRPr="00025636">
        <w:rPr>
          <w:lang w:eastAsia="en-GB"/>
        </w:rPr>
        <w:t>u</w:t>
      </w:r>
      <w:r w:rsidR="001B0FA5" w:rsidRPr="00025636">
        <w:rPr>
          <w:lang w:eastAsia="en-GB"/>
        </w:rPr>
        <w:t xml:space="preserve">nitary </w:t>
      </w:r>
      <w:r w:rsidR="002B586C" w:rsidRPr="00025636">
        <w:rPr>
          <w:lang w:eastAsia="en-GB"/>
        </w:rPr>
        <w:t>c</w:t>
      </w:r>
      <w:r w:rsidR="001B0FA5" w:rsidRPr="00025636">
        <w:rPr>
          <w:lang w:eastAsia="en-GB"/>
        </w:rPr>
        <w:t xml:space="preserve">ouncils have advised the PFCC of their proposed taxbases for </w:t>
      </w:r>
      <w:r w:rsidR="008C38F1" w:rsidRPr="00025636">
        <w:rPr>
          <w:lang w:eastAsia="en-GB"/>
        </w:rPr>
        <w:t>202</w:t>
      </w:r>
      <w:r w:rsidR="00025636" w:rsidRPr="00025636">
        <w:rPr>
          <w:lang w:eastAsia="en-GB"/>
        </w:rPr>
        <w:t>4</w:t>
      </w:r>
      <w:r w:rsidR="008C38F1" w:rsidRPr="00025636">
        <w:rPr>
          <w:lang w:eastAsia="en-GB"/>
        </w:rPr>
        <w:t>/2</w:t>
      </w:r>
      <w:r w:rsidR="00025636" w:rsidRPr="00025636">
        <w:rPr>
          <w:lang w:eastAsia="en-GB"/>
        </w:rPr>
        <w:t>5</w:t>
      </w:r>
      <w:r w:rsidR="00DA13EF" w:rsidRPr="00025636">
        <w:rPr>
          <w:lang w:eastAsia="en-GB"/>
        </w:rPr>
        <w:t>.</w:t>
      </w:r>
    </w:p>
    <w:p w14:paraId="7A777BC3" w14:textId="2421A0ED" w:rsidR="00761925" w:rsidRPr="00025636" w:rsidRDefault="00DA13EF" w:rsidP="00025636">
      <w:pPr>
        <w:pStyle w:val="PanelPara"/>
        <w:rPr>
          <w:lang w:eastAsia="en-GB"/>
        </w:rPr>
      </w:pPr>
      <w:r w:rsidRPr="00025636">
        <w:rPr>
          <w:lang w:eastAsia="en-GB"/>
        </w:rPr>
        <w:t xml:space="preserve">A </w:t>
      </w:r>
      <w:r w:rsidR="00003EF6" w:rsidRPr="00025636">
        <w:rPr>
          <w:lang w:eastAsia="en-GB"/>
        </w:rPr>
        <w:t xml:space="preserve">comparison of the </w:t>
      </w:r>
      <w:r w:rsidR="008C38F1" w:rsidRPr="00025636">
        <w:rPr>
          <w:lang w:eastAsia="en-GB"/>
        </w:rPr>
        <w:t>202</w:t>
      </w:r>
      <w:r w:rsidR="00025636" w:rsidRPr="00025636">
        <w:rPr>
          <w:lang w:eastAsia="en-GB"/>
        </w:rPr>
        <w:t>3</w:t>
      </w:r>
      <w:r w:rsidR="008C38F1" w:rsidRPr="00025636">
        <w:rPr>
          <w:lang w:eastAsia="en-GB"/>
        </w:rPr>
        <w:t>/2</w:t>
      </w:r>
      <w:r w:rsidR="00025636" w:rsidRPr="00025636">
        <w:rPr>
          <w:lang w:eastAsia="en-GB"/>
        </w:rPr>
        <w:t>4</w:t>
      </w:r>
      <w:r w:rsidR="006E6D1C" w:rsidRPr="00025636">
        <w:rPr>
          <w:lang w:eastAsia="en-GB"/>
        </w:rPr>
        <w:t xml:space="preserve"> and </w:t>
      </w:r>
      <w:r w:rsidR="008C38F1" w:rsidRPr="00025636">
        <w:rPr>
          <w:lang w:eastAsia="en-GB"/>
        </w:rPr>
        <w:t>202</w:t>
      </w:r>
      <w:r w:rsidR="00025636" w:rsidRPr="00025636">
        <w:rPr>
          <w:lang w:eastAsia="en-GB"/>
        </w:rPr>
        <w:t>4</w:t>
      </w:r>
      <w:r w:rsidR="008C38F1" w:rsidRPr="00025636">
        <w:rPr>
          <w:lang w:eastAsia="en-GB"/>
        </w:rPr>
        <w:t>/2</w:t>
      </w:r>
      <w:r w:rsidR="00025636" w:rsidRPr="00025636">
        <w:rPr>
          <w:lang w:eastAsia="en-GB"/>
        </w:rPr>
        <w:t>5</w:t>
      </w:r>
      <w:r w:rsidR="006E6D1C" w:rsidRPr="00025636">
        <w:rPr>
          <w:lang w:eastAsia="en-GB"/>
        </w:rPr>
        <w:t xml:space="preserve"> </w:t>
      </w:r>
      <w:r w:rsidR="001B0FA5" w:rsidRPr="00025636">
        <w:rPr>
          <w:lang w:eastAsia="en-GB"/>
        </w:rPr>
        <w:t xml:space="preserve">figures reflects an average </w:t>
      </w:r>
      <w:r w:rsidR="00025636" w:rsidRPr="00025636">
        <w:rPr>
          <w:lang w:eastAsia="en-GB"/>
        </w:rPr>
        <w:t>0.85</w:t>
      </w:r>
      <w:r w:rsidR="001B0FA5" w:rsidRPr="00025636">
        <w:rPr>
          <w:lang w:eastAsia="en-GB"/>
        </w:rPr>
        <w:t xml:space="preserve">% taxbase increase </w:t>
      </w:r>
      <w:r w:rsidR="00567F73" w:rsidRPr="00025636">
        <w:rPr>
          <w:lang w:eastAsia="en-GB"/>
        </w:rPr>
        <w:t>(compared to 1.</w:t>
      </w:r>
      <w:r w:rsidR="00025636" w:rsidRPr="00025636">
        <w:rPr>
          <w:lang w:eastAsia="en-GB"/>
        </w:rPr>
        <w:t>46</w:t>
      </w:r>
      <w:r w:rsidR="00567F73" w:rsidRPr="00025636">
        <w:rPr>
          <w:lang w:eastAsia="en-GB"/>
        </w:rPr>
        <w:t xml:space="preserve">% in </w:t>
      </w:r>
      <w:r w:rsidR="00B6262D" w:rsidRPr="00025636">
        <w:rPr>
          <w:lang w:eastAsia="en-GB"/>
        </w:rPr>
        <w:t>202</w:t>
      </w:r>
      <w:r w:rsidR="00025636" w:rsidRPr="00025636">
        <w:rPr>
          <w:lang w:eastAsia="en-GB"/>
        </w:rPr>
        <w:t>3</w:t>
      </w:r>
      <w:r w:rsidR="00B6262D" w:rsidRPr="00025636">
        <w:rPr>
          <w:lang w:eastAsia="en-GB"/>
        </w:rPr>
        <w:t>/2</w:t>
      </w:r>
      <w:r w:rsidR="00025636" w:rsidRPr="00025636">
        <w:rPr>
          <w:lang w:eastAsia="en-GB"/>
        </w:rPr>
        <w:t>4</w:t>
      </w:r>
      <w:r w:rsidR="00B6262D" w:rsidRPr="00025636">
        <w:rPr>
          <w:lang w:eastAsia="en-GB"/>
        </w:rPr>
        <w:t xml:space="preserve">) </w:t>
      </w:r>
      <w:r w:rsidR="001B0FA5" w:rsidRPr="00025636">
        <w:rPr>
          <w:lang w:eastAsia="en-GB"/>
        </w:rPr>
        <w:t xml:space="preserve">as </w:t>
      </w:r>
      <w:r w:rsidR="006E6D1C" w:rsidRPr="00025636">
        <w:rPr>
          <w:lang w:eastAsia="en-GB"/>
        </w:rPr>
        <w:t>follows:</w:t>
      </w:r>
    </w:p>
    <w:tbl>
      <w:tblPr>
        <w:tblW w:w="7440" w:type="dxa"/>
        <w:tblInd w:w="562" w:type="dxa"/>
        <w:tblLook w:val="04A0" w:firstRow="1" w:lastRow="0" w:firstColumn="1" w:lastColumn="0" w:noHBand="0" w:noVBand="1"/>
      </w:tblPr>
      <w:tblGrid>
        <w:gridCol w:w="1600"/>
        <w:gridCol w:w="1460"/>
        <w:gridCol w:w="1460"/>
        <w:gridCol w:w="1460"/>
        <w:gridCol w:w="1460"/>
      </w:tblGrid>
      <w:tr w:rsidR="00025636" w:rsidRPr="00025636" w14:paraId="51AB1899" w14:textId="77777777" w:rsidTr="00C03AB2">
        <w:trPr>
          <w:trHeight w:val="630"/>
        </w:trPr>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503BC2" w14:textId="77777777" w:rsidR="00025636" w:rsidRPr="00025636" w:rsidRDefault="00025636" w:rsidP="00025636">
            <w:pPr>
              <w:spacing w:after="0" w:line="240" w:lineRule="auto"/>
              <w:rPr>
                <w:rFonts w:eastAsia="Times New Roman" w:cs="Calibri"/>
                <w:b/>
                <w:bCs/>
                <w:color w:val="000000"/>
                <w:sz w:val="24"/>
                <w:szCs w:val="24"/>
                <w:lang w:eastAsia="en-GB"/>
              </w:rPr>
            </w:pPr>
            <w:r w:rsidRPr="00025636">
              <w:rPr>
                <w:rFonts w:eastAsia="Times New Roman" w:cs="Calibri"/>
                <w:b/>
                <w:bCs/>
                <w:color w:val="000000"/>
                <w:sz w:val="24"/>
                <w:szCs w:val="24"/>
                <w:lang w:eastAsia="en-GB"/>
              </w:rPr>
              <w:t>Authority</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5A114B6E" w14:textId="77777777" w:rsidR="00025636" w:rsidRPr="00025636" w:rsidRDefault="00025636" w:rsidP="00025636">
            <w:pPr>
              <w:spacing w:after="0" w:line="240" w:lineRule="auto"/>
              <w:jc w:val="center"/>
              <w:rPr>
                <w:rFonts w:eastAsia="Times New Roman" w:cs="Calibri"/>
                <w:b/>
                <w:bCs/>
                <w:color w:val="000000"/>
                <w:sz w:val="24"/>
                <w:szCs w:val="24"/>
                <w:lang w:eastAsia="en-GB"/>
              </w:rPr>
            </w:pPr>
            <w:r w:rsidRPr="00025636">
              <w:rPr>
                <w:rFonts w:eastAsia="Times New Roman" w:cs="Calibri"/>
                <w:b/>
                <w:bCs/>
                <w:color w:val="000000"/>
                <w:sz w:val="24"/>
                <w:szCs w:val="24"/>
                <w:lang w:eastAsia="en-GB"/>
              </w:rPr>
              <w:t>2023/24</w:t>
            </w:r>
            <w:r w:rsidRPr="00025636">
              <w:rPr>
                <w:rFonts w:eastAsia="Times New Roman" w:cs="Calibri"/>
                <w:b/>
                <w:bCs/>
                <w:color w:val="000000"/>
                <w:sz w:val="24"/>
                <w:szCs w:val="24"/>
                <w:lang w:eastAsia="en-GB"/>
              </w:rPr>
              <w:br/>
              <w:t>(number)</w:t>
            </w:r>
          </w:p>
        </w:tc>
        <w:tc>
          <w:tcPr>
            <w:tcW w:w="1460" w:type="dxa"/>
            <w:tcBorders>
              <w:top w:val="single" w:sz="4" w:space="0" w:color="auto"/>
              <w:left w:val="nil"/>
              <w:bottom w:val="single" w:sz="4" w:space="0" w:color="auto"/>
              <w:right w:val="single" w:sz="4" w:space="0" w:color="auto"/>
            </w:tcBorders>
            <w:shd w:val="clear" w:color="000000" w:fill="FFDDDD"/>
            <w:vAlign w:val="center"/>
            <w:hideMark/>
          </w:tcPr>
          <w:p w14:paraId="64879F83" w14:textId="77777777" w:rsidR="00025636" w:rsidRPr="00025636" w:rsidRDefault="00025636" w:rsidP="00025636">
            <w:pPr>
              <w:spacing w:after="0" w:line="240" w:lineRule="auto"/>
              <w:jc w:val="center"/>
              <w:rPr>
                <w:rFonts w:eastAsia="Times New Roman" w:cs="Calibri"/>
                <w:b/>
                <w:bCs/>
                <w:color w:val="000000"/>
                <w:sz w:val="24"/>
                <w:szCs w:val="24"/>
                <w:lang w:eastAsia="en-GB"/>
              </w:rPr>
            </w:pPr>
            <w:r w:rsidRPr="00025636">
              <w:rPr>
                <w:rFonts w:eastAsia="Times New Roman" w:cs="Calibri"/>
                <w:b/>
                <w:bCs/>
                <w:color w:val="000000"/>
                <w:sz w:val="24"/>
                <w:szCs w:val="24"/>
                <w:lang w:eastAsia="en-GB"/>
              </w:rPr>
              <w:t>2024/25</w:t>
            </w:r>
            <w:r w:rsidRPr="00025636">
              <w:rPr>
                <w:rFonts w:eastAsia="Times New Roman" w:cs="Calibri"/>
                <w:b/>
                <w:bCs/>
                <w:color w:val="000000"/>
                <w:sz w:val="24"/>
                <w:szCs w:val="24"/>
                <w:lang w:eastAsia="en-GB"/>
              </w:rPr>
              <w:br/>
              <w:t>(number)</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41FF5BA7" w14:textId="77777777" w:rsidR="00025636" w:rsidRPr="00025636" w:rsidRDefault="00025636" w:rsidP="00025636">
            <w:pPr>
              <w:spacing w:after="0" w:line="240" w:lineRule="auto"/>
              <w:jc w:val="center"/>
              <w:rPr>
                <w:rFonts w:eastAsia="Times New Roman" w:cs="Calibri"/>
                <w:b/>
                <w:bCs/>
                <w:color w:val="000000"/>
                <w:sz w:val="24"/>
                <w:szCs w:val="24"/>
                <w:lang w:eastAsia="en-GB"/>
              </w:rPr>
            </w:pPr>
            <w:r w:rsidRPr="00025636">
              <w:rPr>
                <w:rFonts w:eastAsia="Times New Roman" w:cs="Calibri"/>
                <w:b/>
                <w:bCs/>
                <w:color w:val="000000"/>
                <w:sz w:val="24"/>
                <w:szCs w:val="24"/>
                <w:lang w:eastAsia="en-GB"/>
              </w:rPr>
              <w:t>Increase</w:t>
            </w:r>
            <w:r w:rsidRPr="00025636">
              <w:rPr>
                <w:rFonts w:eastAsia="Times New Roman" w:cs="Calibri"/>
                <w:b/>
                <w:bCs/>
                <w:color w:val="000000"/>
                <w:sz w:val="24"/>
                <w:szCs w:val="24"/>
                <w:lang w:eastAsia="en-GB"/>
              </w:rPr>
              <w:br/>
              <w:t>(number)</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7C6BE131" w14:textId="77777777" w:rsidR="00025636" w:rsidRPr="00025636" w:rsidRDefault="00025636" w:rsidP="00025636">
            <w:pPr>
              <w:spacing w:after="0" w:line="240" w:lineRule="auto"/>
              <w:jc w:val="center"/>
              <w:rPr>
                <w:rFonts w:eastAsia="Times New Roman" w:cs="Calibri"/>
                <w:b/>
                <w:bCs/>
                <w:color w:val="000000"/>
                <w:sz w:val="24"/>
                <w:szCs w:val="24"/>
                <w:lang w:eastAsia="en-GB"/>
              </w:rPr>
            </w:pPr>
            <w:r w:rsidRPr="00025636">
              <w:rPr>
                <w:rFonts w:eastAsia="Times New Roman" w:cs="Calibri"/>
                <w:b/>
                <w:bCs/>
                <w:color w:val="000000"/>
                <w:sz w:val="24"/>
                <w:szCs w:val="24"/>
                <w:lang w:eastAsia="en-GB"/>
              </w:rPr>
              <w:t>Increase</w:t>
            </w:r>
            <w:r w:rsidRPr="00025636">
              <w:rPr>
                <w:rFonts w:eastAsia="Times New Roman" w:cs="Calibri"/>
                <w:b/>
                <w:bCs/>
                <w:color w:val="000000"/>
                <w:sz w:val="24"/>
                <w:szCs w:val="24"/>
                <w:lang w:eastAsia="en-GB"/>
              </w:rPr>
              <w:br/>
              <w:t>%</w:t>
            </w:r>
          </w:p>
        </w:tc>
      </w:tr>
      <w:tr w:rsidR="00025636" w:rsidRPr="00025636" w14:paraId="38682FAA" w14:textId="77777777" w:rsidTr="00C03AB2">
        <w:trPr>
          <w:trHeight w:val="315"/>
        </w:trPr>
        <w:tc>
          <w:tcPr>
            <w:tcW w:w="1600" w:type="dxa"/>
            <w:tcBorders>
              <w:top w:val="nil"/>
              <w:left w:val="single" w:sz="4" w:space="0" w:color="auto"/>
              <w:bottom w:val="nil"/>
              <w:right w:val="single" w:sz="4" w:space="0" w:color="auto"/>
            </w:tcBorders>
            <w:shd w:val="clear" w:color="000000" w:fill="FFFFFF"/>
            <w:noWrap/>
            <w:vAlign w:val="bottom"/>
            <w:hideMark/>
          </w:tcPr>
          <w:p w14:paraId="2BDB92E7"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North</w:t>
            </w:r>
          </w:p>
        </w:tc>
        <w:tc>
          <w:tcPr>
            <w:tcW w:w="1460" w:type="dxa"/>
            <w:tcBorders>
              <w:top w:val="nil"/>
              <w:left w:val="nil"/>
              <w:bottom w:val="nil"/>
              <w:right w:val="single" w:sz="4" w:space="0" w:color="auto"/>
            </w:tcBorders>
            <w:shd w:val="clear" w:color="000000" w:fill="FFFFFF"/>
            <w:noWrap/>
            <w:vAlign w:val="bottom"/>
            <w:hideMark/>
          </w:tcPr>
          <w:p w14:paraId="219F8249"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114,279.00</w:t>
            </w:r>
          </w:p>
        </w:tc>
        <w:tc>
          <w:tcPr>
            <w:tcW w:w="1460" w:type="dxa"/>
            <w:tcBorders>
              <w:top w:val="nil"/>
              <w:left w:val="nil"/>
              <w:bottom w:val="nil"/>
              <w:right w:val="single" w:sz="4" w:space="0" w:color="auto"/>
            </w:tcBorders>
            <w:shd w:val="clear" w:color="000000" w:fill="FFDDDD"/>
            <w:noWrap/>
            <w:vAlign w:val="bottom"/>
            <w:hideMark/>
          </w:tcPr>
          <w:p w14:paraId="7F55E03D"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115,847.00</w:t>
            </w:r>
          </w:p>
        </w:tc>
        <w:tc>
          <w:tcPr>
            <w:tcW w:w="1460" w:type="dxa"/>
            <w:tcBorders>
              <w:top w:val="nil"/>
              <w:left w:val="nil"/>
              <w:bottom w:val="nil"/>
              <w:right w:val="single" w:sz="4" w:space="0" w:color="auto"/>
            </w:tcBorders>
            <w:shd w:val="clear" w:color="000000" w:fill="FFFFFF"/>
            <w:noWrap/>
            <w:vAlign w:val="bottom"/>
            <w:hideMark/>
          </w:tcPr>
          <w:p w14:paraId="1C888D6E"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1,568.00</w:t>
            </w:r>
          </w:p>
        </w:tc>
        <w:tc>
          <w:tcPr>
            <w:tcW w:w="1460" w:type="dxa"/>
            <w:tcBorders>
              <w:top w:val="nil"/>
              <w:left w:val="nil"/>
              <w:bottom w:val="nil"/>
              <w:right w:val="single" w:sz="4" w:space="0" w:color="auto"/>
            </w:tcBorders>
            <w:shd w:val="clear" w:color="000000" w:fill="FFFFFF"/>
            <w:noWrap/>
            <w:vAlign w:val="bottom"/>
            <w:hideMark/>
          </w:tcPr>
          <w:p w14:paraId="3DA685CF"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1.37%</w:t>
            </w:r>
          </w:p>
        </w:tc>
      </w:tr>
      <w:tr w:rsidR="00025636" w:rsidRPr="00025636" w14:paraId="4918827D" w14:textId="77777777" w:rsidTr="00C03AB2">
        <w:trPr>
          <w:trHeight w:val="315"/>
        </w:trPr>
        <w:tc>
          <w:tcPr>
            <w:tcW w:w="1600" w:type="dxa"/>
            <w:tcBorders>
              <w:top w:val="nil"/>
              <w:left w:val="single" w:sz="4" w:space="0" w:color="auto"/>
              <w:bottom w:val="nil"/>
              <w:right w:val="single" w:sz="4" w:space="0" w:color="auto"/>
            </w:tcBorders>
            <w:shd w:val="clear" w:color="000000" w:fill="FFFFFF"/>
            <w:noWrap/>
            <w:vAlign w:val="bottom"/>
            <w:hideMark/>
          </w:tcPr>
          <w:p w14:paraId="0FF961F4"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West</w:t>
            </w:r>
          </w:p>
        </w:tc>
        <w:tc>
          <w:tcPr>
            <w:tcW w:w="1460" w:type="dxa"/>
            <w:tcBorders>
              <w:top w:val="nil"/>
              <w:left w:val="nil"/>
              <w:bottom w:val="nil"/>
              <w:right w:val="single" w:sz="4" w:space="0" w:color="auto"/>
            </w:tcBorders>
            <w:shd w:val="clear" w:color="000000" w:fill="FFFFFF"/>
            <w:noWrap/>
            <w:vAlign w:val="bottom"/>
            <w:hideMark/>
          </w:tcPr>
          <w:p w14:paraId="6D2F9545"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142,060.80</w:t>
            </w:r>
          </w:p>
        </w:tc>
        <w:tc>
          <w:tcPr>
            <w:tcW w:w="1460" w:type="dxa"/>
            <w:tcBorders>
              <w:top w:val="nil"/>
              <w:left w:val="nil"/>
              <w:bottom w:val="nil"/>
              <w:right w:val="single" w:sz="4" w:space="0" w:color="auto"/>
            </w:tcBorders>
            <w:shd w:val="clear" w:color="000000" w:fill="FFDDDD"/>
            <w:noWrap/>
            <w:vAlign w:val="bottom"/>
            <w:hideMark/>
          </w:tcPr>
          <w:p w14:paraId="557E6AC8"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142,664.60</w:t>
            </w:r>
          </w:p>
        </w:tc>
        <w:tc>
          <w:tcPr>
            <w:tcW w:w="1460" w:type="dxa"/>
            <w:tcBorders>
              <w:top w:val="nil"/>
              <w:left w:val="nil"/>
              <w:bottom w:val="nil"/>
              <w:right w:val="single" w:sz="4" w:space="0" w:color="auto"/>
            </w:tcBorders>
            <w:shd w:val="clear" w:color="000000" w:fill="FFFFFF"/>
            <w:noWrap/>
            <w:vAlign w:val="bottom"/>
            <w:hideMark/>
          </w:tcPr>
          <w:p w14:paraId="6DD35817"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603.80</w:t>
            </w:r>
          </w:p>
        </w:tc>
        <w:tc>
          <w:tcPr>
            <w:tcW w:w="1460" w:type="dxa"/>
            <w:tcBorders>
              <w:top w:val="nil"/>
              <w:left w:val="nil"/>
              <w:bottom w:val="nil"/>
              <w:right w:val="single" w:sz="4" w:space="0" w:color="auto"/>
            </w:tcBorders>
            <w:shd w:val="clear" w:color="000000" w:fill="FFFFFF"/>
            <w:noWrap/>
            <w:vAlign w:val="bottom"/>
            <w:hideMark/>
          </w:tcPr>
          <w:p w14:paraId="5FE75799"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0.43%</w:t>
            </w:r>
          </w:p>
        </w:tc>
      </w:tr>
      <w:tr w:rsidR="00025636" w:rsidRPr="00025636" w14:paraId="17F9BDE8" w14:textId="77777777" w:rsidTr="00C03AB2">
        <w:trPr>
          <w:trHeight w:val="315"/>
        </w:trPr>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52E38E" w14:textId="77777777" w:rsidR="00025636" w:rsidRPr="00025636" w:rsidRDefault="00025636" w:rsidP="00025636">
            <w:pPr>
              <w:spacing w:after="0" w:line="240" w:lineRule="auto"/>
              <w:rPr>
                <w:rFonts w:eastAsia="Times New Roman" w:cs="Calibri"/>
                <w:b/>
                <w:bCs/>
                <w:color w:val="000000"/>
                <w:sz w:val="24"/>
                <w:szCs w:val="24"/>
                <w:lang w:eastAsia="en-GB"/>
              </w:rPr>
            </w:pPr>
            <w:r w:rsidRPr="00025636">
              <w:rPr>
                <w:rFonts w:eastAsia="Times New Roman" w:cs="Calibri"/>
                <w:b/>
                <w:bCs/>
                <w:color w:val="000000"/>
                <w:sz w:val="24"/>
                <w:szCs w:val="24"/>
                <w:lang w:eastAsia="en-GB"/>
              </w:rPr>
              <w:t>TOTAL</w:t>
            </w:r>
          </w:p>
        </w:tc>
        <w:tc>
          <w:tcPr>
            <w:tcW w:w="1460" w:type="dxa"/>
            <w:tcBorders>
              <w:top w:val="single" w:sz="4" w:space="0" w:color="auto"/>
              <w:left w:val="nil"/>
              <w:bottom w:val="single" w:sz="4" w:space="0" w:color="auto"/>
              <w:right w:val="single" w:sz="4" w:space="0" w:color="auto"/>
            </w:tcBorders>
            <w:shd w:val="clear" w:color="000000" w:fill="FFFFFF"/>
            <w:noWrap/>
            <w:vAlign w:val="bottom"/>
            <w:hideMark/>
          </w:tcPr>
          <w:p w14:paraId="22F098E0" w14:textId="77777777" w:rsidR="00025636" w:rsidRPr="00025636" w:rsidRDefault="00025636" w:rsidP="00025636">
            <w:pPr>
              <w:spacing w:after="0" w:line="240" w:lineRule="auto"/>
              <w:jc w:val="right"/>
              <w:rPr>
                <w:rFonts w:eastAsia="Times New Roman" w:cs="Calibri"/>
                <w:b/>
                <w:bCs/>
                <w:color w:val="000000"/>
                <w:sz w:val="24"/>
                <w:szCs w:val="24"/>
                <w:lang w:eastAsia="en-GB"/>
              </w:rPr>
            </w:pPr>
            <w:r w:rsidRPr="00025636">
              <w:rPr>
                <w:rFonts w:eastAsia="Times New Roman" w:cs="Calibri"/>
                <w:b/>
                <w:bCs/>
                <w:color w:val="000000"/>
                <w:sz w:val="24"/>
                <w:szCs w:val="24"/>
                <w:lang w:eastAsia="en-GB"/>
              </w:rPr>
              <w:t>256,339.80</w:t>
            </w:r>
          </w:p>
        </w:tc>
        <w:tc>
          <w:tcPr>
            <w:tcW w:w="1460" w:type="dxa"/>
            <w:tcBorders>
              <w:top w:val="single" w:sz="4" w:space="0" w:color="auto"/>
              <w:left w:val="nil"/>
              <w:bottom w:val="single" w:sz="4" w:space="0" w:color="auto"/>
              <w:right w:val="single" w:sz="4" w:space="0" w:color="auto"/>
            </w:tcBorders>
            <w:shd w:val="clear" w:color="000000" w:fill="FFDDDD"/>
            <w:noWrap/>
            <w:vAlign w:val="bottom"/>
            <w:hideMark/>
          </w:tcPr>
          <w:p w14:paraId="03259E7F" w14:textId="77777777" w:rsidR="00025636" w:rsidRPr="00025636" w:rsidRDefault="00025636" w:rsidP="00025636">
            <w:pPr>
              <w:spacing w:after="0" w:line="240" w:lineRule="auto"/>
              <w:jc w:val="right"/>
              <w:rPr>
                <w:rFonts w:eastAsia="Times New Roman" w:cs="Calibri"/>
                <w:b/>
                <w:bCs/>
                <w:color w:val="000000"/>
                <w:sz w:val="24"/>
                <w:szCs w:val="24"/>
                <w:lang w:eastAsia="en-GB"/>
              </w:rPr>
            </w:pPr>
            <w:r w:rsidRPr="00025636">
              <w:rPr>
                <w:rFonts w:eastAsia="Times New Roman" w:cs="Calibri"/>
                <w:b/>
                <w:bCs/>
                <w:color w:val="000000"/>
                <w:sz w:val="24"/>
                <w:szCs w:val="24"/>
                <w:lang w:eastAsia="en-GB"/>
              </w:rPr>
              <w:t>258,511.60</w:t>
            </w:r>
          </w:p>
        </w:tc>
        <w:tc>
          <w:tcPr>
            <w:tcW w:w="1460" w:type="dxa"/>
            <w:tcBorders>
              <w:top w:val="single" w:sz="4" w:space="0" w:color="auto"/>
              <w:left w:val="nil"/>
              <w:bottom w:val="single" w:sz="4" w:space="0" w:color="auto"/>
              <w:right w:val="single" w:sz="4" w:space="0" w:color="auto"/>
            </w:tcBorders>
            <w:shd w:val="clear" w:color="000000" w:fill="FFFFFF"/>
            <w:noWrap/>
            <w:vAlign w:val="bottom"/>
            <w:hideMark/>
          </w:tcPr>
          <w:p w14:paraId="553E2ECD" w14:textId="77777777" w:rsidR="00025636" w:rsidRPr="00025636" w:rsidRDefault="00025636" w:rsidP="00025636">
            <w:pPr>
              <w:spacing w:after="0" w:line="240" w:lineRule="auto"/>
              <w:jc w:val="right"/>
              <w:rPr>
                <w:rFonts w:eastAsia="Times New Roman" w:cs="Calibri"/>
                <w:b/>
                <w:bCs/>
                <w:color w:val="000000"/>
                <w:sz w:val="24"/>
                <w:szCs w:val="24"/>
                <w:lang w:eastAsia="en-GB"/>
              </w:rPr>
            </w:pPr>
            <w:r w:rsidRPr="00025636">
              <w:rPr>
                <w:rFonts w:eastAsia="Times New Roman" w:cs="Calibri"/>
                <w:b/>
                <w:bCs/>
                <w:color w:val="000000"/>
                <w:sz w:val="24"/>
                <w:szCs w:val="24"/>
                <w:lang w:eastAsia="en-GB"/>
              </w:rPr>
              <w:t>2,171.80</w:t>
            </w:r>
          </w:p>
        </w:tc>
        <w:tc>
          <w:tcPr>
            <w:tcW w:w="1460" w:type="dxa"/>
            <w:tcBorders>
              <w:top w:val="single" w:sz="4" w:space="0" w:color="auto"/>
              <w:left w:val="nil"/>
              <w:bottom w:val="single" w:sz="4" w:space="0" w:color="auto"/>
              <w:right w:val="single" w:sz="4" w:space="0" w:color="auto"/>
            </w:tcBorders>
            <w:shd w:val="clear" w:color="000000" w:fill="FFFFFF"/>
            <w:noWrap/>
            <w:vAlign w:val="bottom"/>
            <w:hideMark/>
          </w:tcPr>
          <w:p w14:paraId="4D963EF3" w14:textId="77777777" w:rsidR="00025636" w:rsidRPr="00025636" w:rsidRDefault="00025636" w:rsidP="00025636">
            <w:pPr>
              <w:spacing w:after="0" w:line="240" w:lineRule="auto"/>
              <w:jc w:val="right"/>
              <w:rPr>
                <w:rFonts w:eastAsia="Times New Roman" w:cs="Calibri"/>
                <w:b/>
                <w:bCs/>
                <w:color w:val="000000"/>
                <w:sz w:val="24"/>
                <w:szCs w:val="24"/>
                <w:lang w:eastAsia="en-GB"/>
              </w:rPr>
            </w:pPr>
            <w:r w:rsidRPr="00025636">
              <w:rPr>
                <w:rFonts w:eastAsia="Times New Roman" w:cs="Calibri"/>
                <w:b/>
                <w:bCs/>
                <w:color w:val="000000"/>
                <w:sz w:val="24"/>
                <w:szCs w:val="24"/>
                <w:lang w:eastAsia="en-GB"/>
              </w:rPr>
              <w:t>0.85%</w:t>
            </w:r>
          </w:p>
        </w:tc>
      </w:tr>
    </w:tbl>
    <w:p w14:paraId="2D480585" w14:textId="1B79038B" w:rsidR="00003EF6" w:rsidRPr="00095FC7" w:rsidRDefault="00003EF6" w:rsidP="00567F73">
      <w:pPr>
        <w:pStyle w:val="ListParagraph"/>
        <w:spacing w:after="0" w:line="240" w:lineRule="auto"/>
        <w:ind w:left="1418" w:hanging="851"/>
        <w:jc w:val="both"/>
        <w:rPr>
          <w:rFonts w:ascii="Arial" w:hAnsi="Arial" w:cs="Arial"/>
          <w:highlight w:val="yellow"/>
          <w:lang w:eastAsia="en-GB"/>
        </w:rPr>
      </w:pPr>
    </w:p>
    <w:p w14:paraId="777D1232" w14:textId="77777777" w:rsidR="00555BD5" w:rsidRPr="00555BD5" w:rsidRDefault="00555BD5" w:rsidP="00555BD5">
      <w:pPr>
        <w:pStyle w:val="PanelPara"/>
        <w:rPr>
          <w:lang w:eastAsia="en-GB"/>
        </w:rPr>
      </w:pPr>
      <w:r w:rsidRPr="00555BD5">
        <w:rPr>
          <w:lang w:eastAsia="en-GB"/>
        </w:rPr>
        <w:t>T</w:t>
      </w:r>
      <w:r w:rsidR="001B0FA5" w:rsidRPr="00555BD5">
        <w:rPr>
          <w:lang w:eastAsia="en-GB"/>
        </w:rPr>
        <w:t xml:space="preserve">he </w:t>
      </w:r>
      <w:r w:rsidRPr="00555BD5">
        <w:rPr>
          <w:lang w:eastAsia="en-GB"/>
        </w:rPr>
        <w:t>Medium Term Financial Plan (</w:t>
      </w:r>
      <w:r w:rsidR="001B0FA5" w:rsidRPr="00555BD5">
        <w:rPr>
          <w:lang w:eastAsia="en-GB"/>
        </w:rPr>
        <w:t>MTFP</w:t>
      </w:r>
      <w:r w:rsidRPr="00555BD5">
        <w:rPr>
          <w:lang w:eastAsia="en-GB"/>
        </w:rPr>
        <w:t>)</w:t>
      </w:r>
      <w:r w:rsidR="001B0FA5" w:rsidRPr="00555BD5">
        <w:rPr>
          <w:lang w:eastAsia="en-GB"/>
        </w:rPr>
        <w:t xml:space="preserve"> assumes average </w:t>
      </w:r>
      <w:r w:rsidR="00F5755E" w:rsidRPr="00555BD5">
        <w:rPr>
          <w:lang w:eastAsia="en-GB"/>
        </w:rPr>
        <w:t xml:space="preserve">but prudent </w:t>
      </w:r>
      <w:r w:rsidR="001B0FA5" w:rsidRPr="00555BD5">
        <w:rPr>
          <w:lang w:eastAsia="en-GB"/>
        </w:rPr>
        <w:t xml:space="preserve">increases </w:t>
      </w:r>
      <w:r w:rsidR="00B6262D" w:rsidRPr="00555BD5">
        <w:rPr>
          <w:lang w:eastAsia="en-GB"/>
        </w:rPr>
        <w:t xml:space="preserve">in the taxbase </w:t>
      </w:r>
      <w:r w:rsidR="00F5755E" w:rsidRPr="00555BD5">
        <w:rPr>
          <w:lang w:eastAsia="en-GB"/>
        </w:rPr>
        <w:t xml:space="preserve">and the S151 officers will continue to link in with West </w:t>
      </w:r>
      <w:r w:rsidR="00412A1A" w:rsidRPr="00555BD5">
        <w:rPr>
          <w:lang w:eastAsia="en-GB"/>
        </w:rPr>
        <w:t xml:space="preserve">Northamptonshire </w:t>
      </w:r>
      <w:r w:rsidR="00F5755E" w:rsidRPr="00555BD5">
        <w:rPr>
          <w:lang w:eastAsia="en-GB"/>
        </w:rPr>
        <w:t xml:space="preserve">and North </w:t>
      </w:r>
      <w:r w:rsidR="00412A1A" w:rsidRPr="00555BD5">
        <w:rPr>
          <w:lang w:eastAsia="en-GB"/>
        </w:rPr>
        <w:t xml:space="preserve">Northamptonshire </w:t>
      </w:r>
      <w:r w:rsidR="00F5755E" w:rsidRPr="00555BD5">
        <w:rPr>
          <w:lang w:eastAsia="en-GB"/>
        </w:rPr>
        <w:t>S151 colleagues to ensure future forecasts align.</w:t>
      </w:r>
    </w:p>
    <w:p w14:paraId="352E3C3B" w14:textId="7A24BF58" w:rsidR="009E7910" w:rsidRPr="00555BD5" w:rsidRDefault="009E7910" w:rsidP="00555BD5">
      <w:pPr>
        <w:pStyle w:val="PanelPara"/>
        <w:rPr>
          <w:lang w:eastAsia="en-GB"/>
        </w:rPr>
      </w:pPr>
      <w:r w:rsidRPr="00555BD5">
        <w:rPr>
          <w:lang w:eastAsia="en-GB"/>
        </w:rPr>
        <w:t>The total precept funding is a combination of the taxbase increase and the precept increase as follows:</w:t>
      </w:r>
    </w:p>
    <w:tbl>
      <w:tblPr>
        <w:tblW w:w="5640" w:type="dxa"/>
        <w:tblInd w:w="562" w:type="dxa"/>
        <w:tblLook w:val="04A0" w:firstRow="1" w:lastRow="0" w:firstColumn="1" w:lastColumn="0" w:noHBand="0" w:noVBand="1"/>
      </w:tblPr>
      <w:tblGrid>
        <w:gridCol w:w="1420"/>
        <w:gridCol w:w="2800"/>
        <w:gridCol w:w="1420"/>
      </w:tblGrid>
      <w:tr w:rsidR="00025636" w:rsidRPr="00025636" w14:paraId="43F55F29" w14:textId="77777777" w:rsidTr="003E384A">
        <w:trPr>
          <w:trHeight w:val="630"/>
        </w:trPr>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04157E" w14:textId="77777777" w:rsidR="00025636" w:rsidRPr="00025636" w:rsidRDefault="00025636" w:rsidP="00025636">
            <w:pPr>
              <w:spacing w:after="0" w:line="240" w:lineRule="auto"/>
              <w:jc w:val="center"/>
              <w:rPr>
                <w:rFonts w:eastAsia="Times New Roman" w:cs="Calibri"/>
                <w:b/>
                <w:bCs/>
                <w:color w:val="000000"/>
                <w:sz w:val="24"/>
                <w:szCs w:val="24"/>
                <w:lang w:eastAsia="en-GB"/>
              </w:rPr>
            </w:pPr>
            <w:r w:rsidRPr="00025636">
              <w:rPr>
                <w:rFonts w:eastAsia="Times New Roman" w:cs="Calibri"/>
                <w:b/>
                <w:bCs/>
                <w:color w:val="000000"/>
                <w:sz w:val="24"/>
                <w:szCs w:val="24"/>
                <w:lang w:eastAsia="en-GB"/>
              </w:rPr>
              <w:t>2023/24</w:t>
            </w:r>
            <w:r w:rsidRPr="00025636">
              <w:rPr>
                <w:rFonts w:eastAsia="Times New Roman" w:cs="Calibri"/>
                <w:b/>
                <w:bCs/>
                <w:color w:val="000000"/>
                <w:sz w:val="24"/>
                <w:szCs w:val="24"/>
                <w:lang w:eastAsia="en-GB"/>
              </w:rPr>
              <w:br/>
              <w:t>£</w:t>
            </w:r>
          </w:p>
        </w:tc>
        <w:tc>
          <w:tcPr>
            <w:tcW w:w="2800" w:type="dxa"/>
            <w:tcBorders>
              <w:top w:val="single" w:sz="4" w:space="0" w:color="auto"/>
              <w:left w:val="nil"/>
              <w:bottom w:val="single" w:sz="4" w:space="0" w:color="auto"/>
              <w:right w:val="single" w:sz="4" w:space="0" w:color="auto"/>
            </w:tcBorders>
            <w:shd w:val="clear" w:color="000000" w:fill="FFFFFF"/>
            <w:vAlign w:val="center"/>
            <w:hideMark/>
          </w:tcPr>
          <w:p w14:paraId="2FB96215" w14:textId="77777777" w:rsidR="00025636" w:rsidRPr="00025636" w:rsidRDefault="00025636" w:rsidP="00025636">
            <w:pPr>
              <w:spacing w:after="0" w:line="240" w:lineRule="auto"/>
              <w:jc w:val="center"/>
              <w:rPr>
                <w:rFonts w:eastAsia="Times New Roman" w:cs="Calibri"/>
                <w:b/>
                <w:bCs/>
                <w:color w:val="000000"/>
                <w:sz w:val="24"/>
                <w:szCs w:val="24"/>
                <w:lang w:eastAsia="en-GB"/>
              </w:rPr>
            </w:pPr>
            <w:r w:rsidRPr="00025636">
              <w:rPr>
                <w:rFonts w:eastAsia="Times New Roman" w:cs="Calibri"/>
                <w:b/>
                <w:bCs/>
                <w:color w:val="000000"/>
                <w:sz w:val="24"/>
                <w:szCs w:val="24"/>
                <w:lang w:eastAsia="en-GB"/>
              </w:rPr>
              <w:t> </w:t>
            </w:r>
          </w:p>
        </w:tc>
        <w:tc>
          <w:tcPr>
            <w:tcW w:w="1420" w:type="dxa"/>
            <w:tcBorders>
              <w:top w:val="single" w:sz="4" w:space="0" w:color="auto"/>
              <w:left w:val="nil"/>
              <w:bottom w:val="single" w:sz="4" w:space="0" w:color="auto"/>
              <w:right w:val="single" w:sz="4" w:space="0" w:color="auto"/>
            </w:tcBorders>
            <w:shd w:val="clear" w:color="000000" w:fill="FFDDDD"/>
            <w:vAlign w:val="center"/>
            <w:hideMark/>
          </w:tcPr>
          <w:p w14:paraId="75F49B43" w14:textId="77777777" w:rsidR="00025636" w:rsidRPr="00025636" w:rsidRDefault="00025636" w:rsidP="00025636">
            <w:pPr>
              <w:spacing w:after="0" w:line="240" w:lineRule="auto"/>
              <w:jc w:val="center"/>
              <w:rPr>
                <w:rFonts w:eastAsia="Times New Roman" w:cs="Calibri"/>
                <w:b/>
                <w:bCs/>
                <w:color w:val="000000"/>
                <w:sz w:val="24"/>
                <w:szCs w:val="24"/>
                <w:lang w:eastAsia="en-GB"/>
              </w:rPr>
            </w:pPr>
            <w:r w:rsidRPr="00025636">
              <w:rPr>
                <w:rFonts w:eastAsia="Times New Roman" w:cs="Calibri"/>
                <w:b/>
                <w:bCs/>
                <w:color w:val="000000"/>
                <w:sz w:val="24"/>
                <w:szCs w:val="24"/>
                <w:lang w:eastAsia="en-GB"/>
              </w:rPr>
              <w:t>2024/25</w:t>
            </w:r>
            <w:r w:rsidRPr="00025636">
              <w:rPr>
                <w:rFonts w:eastAsia="Times New Roman" w:cs="Calibri"/>
                <w:b/>
                <w:bCs/>
                <w:color w:val="000000"/>
                <w:sz w:val="24"/>
                <w:szCs w:val="24"/>
                <w:lang w:eastAsia="en-GB"/>
              </w:rPr>
              <w:br/>
              <w:t>£</w:t>
            </w:r>
          </w:p>
        </w:tc>
      </w:tr>
      <w:tr w:rsidR="00025636" w:rsidRPr="00025636" w14:paraId="49410F42" w14:textId="77777777" w:rsidTr="003E384A">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3750919F"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 </w:t>
            </w:r>
          </w:p>
        </w:tc>
        <w:tc>
          <w:tcPr>
            <w:tcW w:w="2800" w:type="dxa"/>
            <w:tcBorders>
              <w:top w:val="nil"/>
              <w:left w:val="nil"/>
              <w:bottom w:val="nil"/>
              <w:right w:val="nil"/>
            </w:tcBorders>
            <w:shd w:val="clear" w:color="000000" w:fill="FFFFFF"/>
            <w:noWrap/>
            <w:vAlign w:val="bottom"/>
            <w:hideMark/>
          </w:tcPr>
          <w:p w14:paraId="28EF3F8E" w14:textId="77777777" w:rsidR="00025636" w:rsidRPr="00025636" w:rsidRDefault="00025636" w:rsidP="00025636">
            <w:pPr>
              <w:spacing w:after="0" w:line="240" w:lineRule="auto"/>
              <w:rPr>
                <w:rFonts w:eastAsia="Times New Roman" w:cs="Calibri"/>
                <w:color w:val="000000"/>
                <w:sz w:val="24"/>
                <w:szCs w:val="24"/>
                <w:u w:val="single"/>
                <w:lang w:eastAsia="en-GB"/>
              </w:rPr>
            </w:pPr>
            <w:r w:rsidRPr="00025636">
              <w:rPr>
                <w:rFonts w:eastAsia="Times New Roman" w:cs="Calibri"/>
                <w:color w:val="000000"/>
                <w:sz w:val="24"/>
                <w:szCs w:val="24"/>
                <w:u w:val="single"/>
                <w:lang w:eastAsia="en-GB"/>
              </w:rPr>
              <w:t>Tax base changes:</w:t>
            </w:r>
          </w:p>
        </w:tc>
        <w:tc>
          <w:tcPr>
            <w:tcW w:w="1420" w:type="dxa"/>
            <w:tcBorders>
              <w:top w:val="nil"/>
              <w:left w:val="single" w:sz="4" w:space="0" w:color="auto"/>
              <w:bottom w:val="nil"/>
              <w:right w:val="single" w:sz="4" w:space="0" w:color="auto"/>
            </w:tcBorders>
            <w:shd w:val="clear" w:color="000000" w:fill="FFDDDD"/>
            <w:noWrap/>
            <w:vAlign w:val="bottom"/>
            <w:hideMark/>
          </w:tcPr>
          <w:p w14:paraId="7D65E64D"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 </w:t>
            </w:r>
          </w:p>
        </w:tc>
      </w:tr>
      <w:tr w:rsidR="00025636" w:rsidRPr="00025636" w14:paraId="5E8F0986" w14:textId="77777777" w:rsidTr="003E384A">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5FF33768"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84,022</w:t>
            </w:r>
          </w:p>
        </w:tc>
        <w:tc>
          <w:tcPr>
            <w:tcW w:w="2800" w:type="dxa"/>
            <w:tcBorders>
              <w:top w:val="nil"/>
              <w:left w:val="nil"/>
              <w:bottom w:val="nil"/>
              <w:right w:val="nil"/>
            </w:tcBorders>
            <w:shd w:val="clear" w:color="000000" w:fill="FFFFFF"/>
            <w:noWrap/>
            <w:vAlign w:val="bottom"/>
            <w:hideMark/>
          </w:tcPr>
          <w:p w14:paraId="10A18838"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 North</w:t>
            </w:r>
          </w:p>
        </w:tc>
        <w:tc>
          <w:tcPr>
            <w:tcW w:w="1420" w:type="dxa"/>
            <w:tcBorders>
              <w:top w:val="nil"/>
              <w:left w:val="single" w:sz="4" w:space="0" w:color="auto"/>
              <w:bottom w:val="nil"/>
              <w:right w:val="single" w:sz="4" w:space="0" w:color="auto"/>
            </w:tcBorders>
            <w:shd w:val="clear" w:color="000000" w:fill="FFDDDD"/>
            <w:noWrap/>
            <w:vAlign w:val="bottom"/>
            <w:hideMark/>
          </w:tcPr>
          <w:p w14:paraId="1FF3945A"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114,778</w:t>
            </w:r>
          </w:p>
        </w:tc>
      </w:tr>
      <w:tr w:rsidR="00025636" w:rsidRPr="00025636" w14:paraId="73D71EDB" w14:textId="77777777" w:rsidTr="003E384A">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306D48CD"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167,551</w:t>
            </w:r>
          </w:p>
        </w:tc>
        <w:tc>
          <w:tcPr>
            <w:tcW w:w="2800" w:type="dxa"/>
            <w:tcBorders>
              <w:top w:val="nil"/>
              <w:left w:val="nil"/>
              <w:bottom w:val="nil"/>
              <w:right w:val="nil"/>
            </w:tcBorders>
            <w:shd w:val="clear" w:color="000000" w:fill="FFFFFF"/>
            <w:noWrap/>
            <w:vAlign w:val="bottom"/>
            <w:hideMark/>
          </w:tcPr>
          <w:p w14:paraId="6B8EA242"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 West</w:t>
            </w:r>
          </w:p>
        </w:tc>
        <w:tc>
          <w:tcPr>
            <w:tcW w:w="1420" w:type="dxa"/>
            <w:tcBorders>
              <w:top w:val="nil"/>
              <w:left w:val="single" w:sz="4" w:space="0" w:color="auto"/>
              <w:bottom w:val="nil"/>
              <w:right w:val="single" w:sz="4" w:space="0" w:color="auto"/>
            </w:tcBorders>
            <w:shd w:val="clear" w:color="000000" w:fill="FFDDDD"/>
            <w:noWrap/>
            <w:vAlign w:val="bottom"/>
            <w:hideMark/>
          </w:tcPr>
          <w:p w14:paraId="59F3AA3F"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44,198</w:t>
            </w:r>
          </w:p>
        </w:tc>
      </w:tr>
      <w:tr w:rsidR="00025636" w:rsidRPr="00025636" w14:paraId="61501FFF" w14:textId="77777777" w:rsidTr="003E384A">
        <w:trPr>
          <w:trHeight w:val="315"/>
        </w:trPr>
        <w:tc>
          <w:tcPr>
            <w:tcW w:w="1420" w:type="dxa"/>
            <w:tcBorders>
              <w:top w:val="single" w:sz="4" w:space="0" w:color="auto"/>
              <w:left w:val="single" w:sz="4" w:space="0" w:color="auto"/>
              <w:bottom w:val="nil"/>
              <w:right w:val="single" w:sz="4" w:space="0" w:color="auto"/>
            </w:tcBorders>
            <w:shd w:val="clear" w:color="000000" w:fill="FFFFFF"/>
            <w:noWrap/>
            <w:vAlign w:val="bottom"/>
            <w:hideMark/>
          </w:tcPr>
          <w:p w14:paraId="1EC7ADF3" w14:textId="77777777" w:rsidR="00025636" w:rsidRPr="00025636" w:rsidRDefault="00025636" w:rsidP="00025636">
            <w:pPr>
              <w:spacing w:after="0" w:line="240" w:lineRule="auto"/>
              <w:jc w:val="right"/>
              <w:rPr>
                <w:rFonts w:eastAsia="Times New Roman" w:cs="Calibri"/>
                <w:b/>
                <w:bCs/>
                <w:color w:val="000000"/>
                <w:sz w:val="24"/>
                <w:szCs w:val="24"/>
                <w:lang w:eastAsia="en-GB"/>
              </w:rPr>
            </w:pPr>
            <w:r w:rsidRPr="00025636">
              <w:rPr>
                <w:rFonts w:eastAsia="Times New Roman" w:cs="Calibri"/>
                <w:b/>
                <w:bCs/>
                <w:color w:val="000000"/>
                <w:sz w:val="24"/>
                <w:szCs w:val="24"/>
                <w:lang w:eastAsia="en-GB"/>
              </w:rPr>
              <w:t>251,573</w:t>
            </w:r>
          </w:p>
        </w:tc>
        <w:tc>
          <w:tcPr>
            <w:tcW w:w="2800" w:type="dxa"/>
            <w:tcBorders>
              <w:top w:val="nil"/>
              <w:left w:val="nil"/>
              <w:bottom w:val="nil"/>
              <w:right w:val="nil"/>
            </w:tcBorders>
            <w:shd w:val="clear" w:color="000000" w:fill="FFFFFF"/>
            <w:noWrap/>
            <w:vAlign w:val="bottom"/>
            <w:hideMark/>
          </w:tcPr>
          <w:p w14:paraId="6D68F673" w14:textId="77777777" w:rsidR="00025636" w:rsidRPr="00025636" w:rsidRDefault="00025636" w:rsidP="00025636">
            <w:pPr>
              <w:spacing w:after="0" w:line="240" w:lineRule="auto"/>
              <w:rPr>
                <w:rFonts w:eastAsia="Times New Roman" w:cs="Calibri"/>
                <w:b/>
                <w:bCs/>
                <w:color w:val="000000"/>
                <w:sz w:val="24"/>
                <w:szCs w:val="24"/>
                <w:lang w:eastAsia="en-GB"/>
              </w:rPr>
            </w:pPr>
            <w:r w:rsidRPr="00025636">
              <w:rPr>
                <w:rFonts w:eastAsia="Times New Roman" w:cs="Calibri"/>
                <w:b/>
                <w:bCs/>
                <w:color w:val="000000"/>
                <w:sz w:val="24"/>
                <w:szCs w:val="24"/>
                <w:lang w:eastAsia="en-GB"/>
              </w:rPr>
              <w:t> </w:t>
            </w:r>
          </w:p>
        </w:tc>
        <w:tc>
          <w:tcPr>
            <w:tcW w:w="1420" w:type="dxa"/>
            <w:tcBorders>
              <w:top w:val="single" w:sz="4" w:space="0" w:color="auto"/>
              <w:left w:val="single" w:sz="4" w:space="0" w:color="auto"/>
              <w:bottom w:val="nil"/>
              <w:right w:val="single" w:sz="4" w:space="0" w:color="auto"/>
            </w:tcBorders>
            <w:shd w:val="clear" w:color="000000" w:fill="FFDDDD"/>
            <w:noWrap/>
            <w:vAlign w:val="bottom"/>
            <w:hideMark/>
          </w:tcPr>
          <w:p w14:paraId="6EC39C4D" w14:textId="77777777" w:rsidR="00025636" w:rsidRPr="00025636" w:rsidRDefault="00025636" w:rsidP="00025636">
            <w:pPr>
              <w:spacing w:after="0" w:line="240" w:lineRule="auto"/>
              <w:jc w:val="right"/>
              <w:rPr>
                <w:rFonts w:eastAsia="Times New Roman" w:cs="Calibri"/>
                <w:b/>
                <w:bCs/>
                <w:color w:val="000000"/>
                <w:sz w:val="24"/>
                <w:szCs w:val="24"/>
                <w:lang w:eastAsia="en-GB"/>
              </w:rPr>
            </w:pPr>
            <w:r w:rsidRPr="00025636">
              <w:rPr>
                <w:rFonts w:eastAsia="Times New Roman" w:cs="Calibri"/>
                <w:b/>
                <w:bCs/>
                <w:color w:val="000000"/>
                <w:sz w:val="24"/>
                <w:szCs w:val="24"/>
                <w:lang w:eastAsia="en-GB"/>
              </w:rPr>
              <w:t>158,976</w:t>
            </w:r>
          </w:p>
        </w:tc>
      </w:tr>
      <w:tr w:rsidR="00025636" w:rsidRPr="00025636" w14:paraId="460FEF6B" w14:textId="77777777" w:rsidTr="003E384A">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59E85460"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 </w:t>
            </w:r>
          </w:p>
        </w:tc>
        <w:tc>
          <w:tcPr>
            <w:tcW w:w="2800" w:type="dxa"/>
            <w:tcBorders>
              <w:top w:val="nil"/>
              <w:left w:val="nil"/>
              <w:bottom w:val="nil"/>
              <w:right w:val="nil"/>
            </w:tcBorders>
            <w:shd w:val="clear" w:color="000000" w:fill="FFFFFF"/>
            <w:noWrap/>
            <w:vAlign w:val="bottom"/>
            <w:hideMark/>
          </w:tcPr>
          <w:p w14:paraId="40F9BF71" w14:textId="77777777" w:rsidR="00025636" w:rsidRPr="00025636" w:rsidRDefault="00025636" w:rsidP="00025636">
            <w:pPr>
              <w:spacing w:after="0" w:line="240" w:lineRule="auto"/>
              <w:rPr>
                <w:rFonts w:eastAsia="Times New Roman" w:cs="Calibri"/>
                <w:color w:val="000000"/>
                <w:sz w:val="24"/>
                <w:szCs w:val="24"/>
                <w:u w:val="single"/>
                <w:lang w:eastAsia="en-GB"/>
              </w:rPr>
            </w:pPr>
            <w:r w:rsidRPr="00025636">
              <w:rPr>
                <w:rFonts w:eastAsia="Times New Roman" w:cs="Calibri"/>
                <w:color w:val="000000"/>
                <w:sz w:val="24"/>
                <w:szCs w:val="24"/>
                <w:u w:val="single"/>
                <w:lang w:eastAsia="en-GB"/>
              </w:rPr>
              <w:t>Precept Increase</w:t>
            </w:r>
          </w:p>
        </w:tc>
        <w:tc>
          <w:tcPr>
            <w:tcW w:w="1420" w:type="dxa"/>
            <w:tcBorders>
              <w:top w:val="nil"/>
              <w:left w:val="single" w:sz="4" w:space="0" w:color="auto"/>
              <w:bottom w:val="nil"/>
              <w:right w:val="single" w:sz="4" w:space="0" w:color="auto"/>
            </w:tcBorders>
            <w:shd w:val="clear" w:color="000000" w:fill="FFDDDD"/>
            <w:noWrap/>
            <w:vAlign w:val="bottom"/>
            <w:hideMark/>
          </w:tcPr>
          <w:p w14:paraId="4832205A"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 </w:t>
            </w:r>
          </w:p>
        </w:tc>
      </w:tr>
      <w:tr w:rsidR="00025636" w:rsidRPr="00025636" w14:paraId="3783873C" w14:textId="77777777" w:rsidTr="003E384A">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6C60A3BA"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571,395</w:t>
            </w:r>
          </w:p>
        </w:tc>
        <w:tc>
          <w:tcPr>
            <w:tcW w:w="2800" w:type="dxa"/>
            <w:tcBorders>
              <w:top w:val="nil"/>
              <w:left w:val="nil"/>
              <w:bottom w:val="nil"/>
              <w:right w:val="nil"/>
            </w:tcBorders>
            <w:shd w:val="clear" w:color="000000" w:fill="FFFFFF"/>
            <w:noWrap/>
            <w:vAlign w:val="bottom"/>
            <w:hideMark/>
          </w:tcPr>
          <w:p w14:paraId="5275F7D4"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 North</w:t>
            </w:r>
          </w:p>
        </w:tc>
        <w:tc>
          <w:tcPr>
            <w:tcW w:w="1420" w:type="dxa"/>
            <w:tcBorders>
              <w:top w:val="nil"/>
              <w:left w:val="single" w:sz="4" w:space="0" w:color="auto"/>
              <w:bottom w:val="nil"/>
              <w:right w:val="single" w:sz="4" w:space="0" w:color="auto"/>
            </w:tcBorders>
            <w:shd w:val="clear" w:color="000000" w:fill="FFDDDD"/>
            <w:noWrap/>
            <w:vAlign w:val="bottom"/>
            <w:hideMark/>
          </w:tcPr>
          <w:p w14:paraId="12B1512B"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253,705</w:t>
            </w:r>
          </w:p>
        </w:tc>
      </w:tr>
      <w:tr w:rsidR="00025636" w:rsidRPr="00025636" w14:paraId="490CA79A" w14:textId="77777777" w:rsidTr="003E384A">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4BE7CD81"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710,304</w:t>
            </w:r>
          </w:p>
        </w:tc>
        <w:tc>
          <w:tcPr>
            <w:tcW w:w="2800" w:type="dxa"/>
            <w:tcBorders>
              <w:top w:val="nil"/>
              <w:left w:val="nil"/>
              <w:bottom w:val="nil"/>
              <w:right w:val="nil"/>
            </w:tcBorders>
            <w:shd w:val="clear" w:color="000000" w:fill="FFFFFF"/>
            <w:noWrap/>
            <w:vAlign w:val="bottom"/>
            <w:hideMark/>
          </w:tcPr>
          <w:p w14:paraId="16C3BD5C"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 West</w:t>
            </w:r>
          </w:p>
        </w:tc>
        <w:tc>
          <w:tcPr>
            <w:tcW w:w="1420" w:type="dxa"/>
            <w:tcBorders>
              <w:top w:val="nil"/>
              <w:left w:val="single" w:sz="4" w:space="0" w:color="auto"/>
              <w:bottom w:val="nil"/>
              <w:right w:val="single" w:sz="4" w:space="0" w:color="auto"/>
            </w:tcBorders>
            <w:shd w:val="clear" w:color="000000" w:fill="FFDDDD"/>
            <w:noWrap/>
            <w:vAlign w:val="bottom"/>
            <w:hideMark/>
          </w:tcPr>
          <w:p w14:paraId="6E4430AF"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312,435</w:t>
            </w:r>
          </w:p>
        </w:tc>
      </w:tr>
      <w:tr w:rsidR="00025636" w:rsidRPr="00025636" w14:paraId="66BA35DE" w14:textId="77777777" w:rsidTr="003E384A">
        <w:trPr>
          <w:trHeight w:val="315"/>
        </w:trPr>
        <w:tc>
          <w:tcPr>
            <w:tcW w:w="1420" w:type="dxa"/>
            <w:tcBorders>
              <w:top w:val="single" w:sz="4" w:space="0" w:color="auto"/>
              <w:left w:val="single" w:sz="4" w:space="0" w:color="auto"/>
              <w:bottom w:val="nil"/>
              <w:right w:val="single" w:sz="4" w:space="0" w:color="auto"/>
            </w:tcBorders>
            <w:shd w:val="clear" w:color="000000" w:fill="FFFFFF"/>
            <w:noWrap/>
            <w:vAlign w:val="bottom"/>
            <w:hideMark/>
          </w:tcPr>
          <w:p w14:paraId="0586ACDE" w14:textId="77777777" w:rsidR="00025636" w:rsidRPr="00025636" w:rsidRDefault="00025636" w:rsidP="00025636">
            <w:pPr>
              <w:spacing w:after="0" w:line="240" w:lineRule="auto"/>
              <w:jc w:val="right"/>
              <w:rPr>
                <w:rFonts w:eastAsia="Times New Roman" w:cs="Calibri"/>
                <w:b/>
                <w:bCs/>
                <w:color w:val="000000"/>
                <w:sz w:val="24"/>
                <w:szCs w:val="24"/>
                <w:lang w:eastAsia="en-GB"/>
              </w:rPr>
            </w:pPr>
            <w:r w:rsidRPr="00025636">
              <w:rPr>
                <w:rFonts w:eastAsia="Times New Roman" w:cs="Calibri"/>
                <w:b/>
                <w:bCs/>
                <w:color w:val="000000"/>
                <w:sz w:val="24"/>
                <w:szCs w:val="24"/>
                <w:lang w:eastAsia="en-GB"/>
              </w:rPr>
              <w:t>1,281,699</w:t>
            </w:r>
          </w:p>
        </w:tc>
        <w:tc>
          <w:tcPr>
            <w:tcW w:w="2800" w:type="dxa"/>
            <w:tcBorders>
              <w:top w:val="nil"/>
              <w:left w:val="nil"/>
              <w:bottom w:val="nil"/>
              <w:right w:val="nil"/>
            </w:tcBorders>
            <w:shd w:val="clear" w:color="000000" w:fill="FFFFFF"/>
            <w:noWrap/>
            <w:vAlign w:val="bottom"/>
            <w:hideMark/>
          </w:tcPr>
          <w:p w14:paraId="1AA28609" w14:textId="77777777" w:rsidR="00025636" w:rsidRPr="00025636" w:rsidRDefault="00025636" w:rsidP="00025636">
            <w:pPr>
              <w:spacing w:after="0" w:line="240" w:lineRule="auto"/>
              <w:rPr>
                <w:rFonts w:eastAsia="Times New Roman" w:cs="Calibri"/>
                <w:b/>
                <w:bCs/>
                <w:color w:val="000000"/>
                <w:sz w:val="24"/>
                <w:szCs w:val="24"/>
                <w:lang w:eastAsia="en-GB"/>
              </w:rPr>
            </w:pPr>
            <w:r w:rsidRPr="00025636">
              <w:rPr>
                <w:rFonts w:eastAsia="Times New Roman" w:cs="Calibri"/>
                <w:b/>
                <w:bCs/>
                <w:color w:val="000000"/>
                <w:sz w:val="24"/>
                <w:szCs w:val="24"/>
                <w:lang w:eastAsia="en-GB"/>
              </w:rPr>
              <w:t> </w:t>
            </w:r>
          </w:p>
        </w:tc>
        <w:tc>
          <w:tcPr>
            <w:tcW w:w="1420" w:type="dxa"/>
            <w:tcBorders>
              <w:top w:val="single" w:sz="4" w:space="0" w:color="auto"/>
              <w:left w:val="single" w:sz="4" w:space="0" w:color="auto"/>
              <w:bottom w:val="nil"/>
              <w:right w:val="single" w:sz="4" w:space="0" w:color="auto"/>
            </w:tcBorders>
            <w:shd w:val="clear" w:color="000000" w:fill="FFDDDD"/>
            <w:noWrap/>
            <w:vAlign w:val="bottom"/>
            <w:hideMark/>
          </w:tcPr>
          <w:p w14:paraId="67FCC263" w14:textId="77777777" w:rsidR="00025636" w:rsidRPr="00025636" w:rsidRDefault="00025636" w:rsidP="00025636">
            <w:pPr>
              <w:spacing w:after="0" w:line="240" w:lineRule="auto"/>
              <w:jc w:val="right"/>
              <w:rPr>
                <w:rFonts w:eastAsia="Times New Roman" w:cs="Calibri"/>
                <w:b/>
                <w:bCs/>
                <w:color w:val="000000"/>
                <w:sz w:val="24"/>
                <w:szCs w:val="24"/>
                <w:lang w:eastAsia="en-GB"/>
              </w:rPr>
            </w:pPr>
            <w:r w:rsidRPr="00025636">
              <w:rPr>
                <w:rFonts w:eastAsia="Times New Roman" w:cs="Calibri"/>
                <w:b/>
                <w:bCs/>
                <w:color w:val="000000"/>
                <w:sz w:val="24"/>
                <w:szCs w:val="24"/>
                <w:lang w:eastAsia="en-GB"/>
              </w:rPr>
              <w:t>566,140</w:t>
            </w:r>
          </w:p>
        </w:tc>
      </w:tr>
      <w:tr w:rsidR="00025636" w:rsidRPr="00025636" w14:paraId="0109C45D" w14:textId="77777777" w:rsidTr="003E384A">
        <w:trPr>
          <w:trHeight w:val="315"/>
        </w:trPr>
        <w:tc>
          <w:tcPr>
            <w:tcW w:w="1420" w:type="dxa"/>
            <w:tcBorders>
              <w:top w:val="nil"/>
              <w:left w:val="single" w:sz="4" w:space="0" w:color="auto"/>
              <w:bottom w:val="nil"/>
              <w:right w:val="single" w:sz="4" w:space="0" w:color="auto"/>
            </w:tcBorders>
            <w:shd w:val="clear" w:color="000000" w:fill="FFFFFF"/>
            <w:noWrap/>
            <w:vAlign w:val="bottom"/>
            <w:hideMark/>
          </w:tcPr>
          <w:p w14:paraId="10B160B1"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 </w:t>
            </w:r>
          </w:p>
        </w:tc>
        <w:tc>
          <w:tcPr>
            <w:tcW w:w="2800" w:type="dxa"/>
            <w:tcBorders>
              <w:top w:val="nil"/>
              <w:left w:val="nil"/>
              <w:bottom w:val="nil"/>
              <w:right w:val="nil"/>
            </w:tcBorders>
            <w:shd w:val="clear" w:color="000000" w:fill="FFFFFF"/>
            <w:noWrap/>
            <w:vAlign w:val="bottom"/>
            <w:hideMark/>
          </w:tcPr>
          <w:p w14:paraId="7FD70E02"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 </w:t>
            </w:r>
          </w:p>
        </w:tc>
        <w:tc>
          <w:tcPr>
            <w:tcW w:w="1420" w:type="dxa"/>
            <w:tcBorders>
              <w:top w:val="nil"/>
              <w:left w:val="single" w:sz="4" w:space="0" w:color="auto"/>
              <w:bottom w:val="nil"/>
              <w:right w:val="single" w:sz="4" w:space="0" w:color="auto"/>
            </w:tcBorders>
            <w:shd w:val="clear" w:color="000000" w:fill="FFDDDD"/>
            <w:noWrap/>
            <w:vAlign w:val="bottom"/>
            <w:hideMark/>
          </w:tcPr>
          <w:p w14:paraId="78416D44"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 </w:t>
            </w:r>
          </w:p>
        </w:tc>
      </w:tr>
      <w:tr w:rsidR="00025636" w:rsidRPr="00025636" w14:paraId="75173815" w14:textId="77777777" w:rsidTr="003E384A">
        <w:trPr>
          <w:trHeight w:val="315"/>
        </w:trPr>
        <w:tc>
          <w:tcPr>
            <w:tcW w:w="14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BEE498" w14:textId="77777777" w:rsidR="00025636" w:rsidRPr="00025636" w:rsidRDefault="00025636" w:rsidP="00025636">
            <w:pPr>
              <w:spacing w:after="0" w:line="240" w:lineRule="auto"/>
              <w:jc w:val="right"/>
              <w:rPr>
                <w:rFonts w:eastAsia="Times New Roman" w:cs="Calibri"/>
                <w:b/>
                <w:bCs/>
                <w:color w:val="000000"/>
                <w:sz w:val="24"/>
                <w:szCs w:val="24"/>
                <w:lang w:eastAsia="en-GB"/>
              </w:rPr>
            </w:pPr>
            <w:r w:rsidRPr="00025636">
              <w:rPr>
                <w:rFonts w:eastAsia="Times New Roman" w:cs="Calibri"/>
                <w:b/>
                <w:bCs/>
                <w:color w:val="000000"/>
                <w:sz w:val="24"/>
                <w:szCs w:val="24"/>
                <w:lang w:eastAsia="en-GB"/>
              </w:rPr>
              <w:t>1,533,272</w:t>
            </w:r>
          </w:p>
        </w:tc>
        <w:tc>
          <w:tcPr>
            <w:tcW w:w="2800" w:type="dxa"/>
            <w:tcBorders>
              <w:top w:val="single" w:sz="4" w:space="0" w:color="auto"/>
              <w:left w:val="nil"/>
              <w:bottom w:val="single" w:sz="4" w:space="0" w:color="auto"/>
              <w:right w:val="nil"/>
            </w:tcBorders>
            <w:shd w:val="clear" w:color="000000" w:fill="FFFFFF"/>
            <w:noWrap/>
            <w:vAlign w:val="bottom"/>
            <w:hideMark/>
          </w:tcPr>
          <w:p w14:paraId="2C549FFF" w14:textId="77777777" w:rsidR="00025636" w:rsidRPr="00025636" w:rsidRDefault="00025636" w:rsidP="00025636">
            <w:pPr>
              <w:spacing w:after="0" w:line="240" w:lineRule="auto"/>
              <w:rPr>
                <w:rFonts w:eastAsia="Times New Roman" w:cs="Calibri"/>
                <w:b/>
                <w:bCs/>
                <w:color w:val="000000"/>
                <w:sz w:val="24"/>
                <w:szCs w:val="24"/>
                <w:lang w:eastAsia="en-GB"/>
              </w:rPr>
            </w:pPr>
            <w:r w:rsidRPr="00025636">
              <w:rPr>
                <w:rFonts w:eastAsia="Times New Roman" w:cs="Calibri"/>
                <w:b/>
                <w:bCs/>
                <w:color w:val="000000"/>
                <w:sz w:val="24"/>
                <w:szCs w:val="24"/>
                <w:lang w:eastAsia="en-GB"/>
              </w:rPr>
              <w:t>Total Precept Change</w:t>
            </w:r>
          </w:p>
        </w:tc>
        <w:tc>
          <w:tcPr>
            <w:tcW w:w="1420" w:type="dxa"/>
            <w:tcBorders>
              <w:top w:val="single" w:sz="4" w:space="0" w:color="auto"/>
              <w:left w:val="single" w:sz="4" w:space="0" w:color="auto"/>
              <w:bottom w:val="single" w:sz="4" w:space="0" w:color="auto"/>
              <w:right w:val="single" w:sz="4" w:space="0" w:color="auto"/>
            </w:tcBorders>
            <w:shd w:val="clear" w:color="000000" w:fill="FFDDDD"/>
            <w:noWrap/>
            <w:vAlign w:val="bottom"/>
            <w:hideMark/>
          </w:tcPr>
          <w:p w14:paraId="458AB38E" w14:textId="77777777" w:rsidR="00025636" w:rsidRPr="00025636" w:rsidRDefault="00025636" w:rsidP="00025636">
            <w:pPr>
              <w:spacing w:after="0" w:line="240" w:lineRule="auto"/>
              <w:jc w:val="right"/>
              <w:rPr>
                <w:rFonts w:eastAsia="Times New Roman" w:cs="Calibri"/>
                <w:b/>
                <w:bCs/>
                <w:color w:val="000000"/>
                <w:sz w:val="24"/>
                <w:szCs w:val="24"/>
                <w:lang w:eastAsia="en-GB"/>
              </w:rPr>
            </w:pPr>
            <w:r w:rsidRPr="00025636">
              <w:rPr>
                <w:rFonts w:eastAsia="Times New Roman" w:cs="Calibri"/>
                <w:b/>
                <w:bCs/>
                <w:color w:val="000000"/>
                <w:sz w:val="24"/>
                <w:szCs w:val="24"/>
                <w:lang w:eastAsia="en-GB"/>
              </w:rPr>
              <w:t>725,116</w:t>
            </w:r>
          </w:p>
        </w:tc>
      </w:tr>
    </w:tbl>
    <w:p w14:paraId="4EC41B89" w14:textId="392768F5" w:rsidR="009E7910" w:rsidRPr="00095FC7" w:rsidRDefault="009E7910" w:rsidP="00F5755E">
      <w:pPr>
        <w:pStyle w:val="ListParagraph"/>
        <w:spacing w:after="0" w:line="240" w:lineRule="auto"/>
        <w:ind w:left="1418" w:hanging="851"/>
        <w:rPr>
          <w:rFonts w:ascii="Arial" w:hAnsi="Arial" w:cs="Arial"/>
          <w:highlight w:val="yellow"/>
          <w:lang w:eastAsia="en-GB"/>
        </w:rPr>
      </w:pPr>
    </w:p>
    <w:p w14:paraId="4D371F88" w14:textId="56C18849" w:rsidR="009E7910" w:rsidRPr="00095FC7" w:rsidRDefault="009E7910" w:rsidP="000C2930">
      <w:pPr>
        <w:pStyle w:val="ListParagraph"/>
        <w:spacing w:after="0" w:line="240" w:lineRule="auto"/>
        <w:ind w:left="851" w:hanging="851"/>
        <w:jc w:val="both"/>
        <w:rPr>
          <w:rFonts w:ascii="Arial" w:hAnsi="Arial" w:cs="Arial"/>
          <w:highlight w:val="yellow"/>
          <w:lang w:eastAsia="en-GB"/>
        </w:rPr>
      </w:pPr>
    </w:p>
    <w:p w14:paraId="5996373A" w14:textId="071D0FD5" w:rsidR="009E7910" w:rsidRPr="00555BD5" w:rsidRDefault="00497F9F" w:rsidP="009E7910">
      <w:pPr>
        <w:pStyle w:val="ListParagraph"/>
        <w:spacing w:after="0" w:line="240" w:lineRule="auto"/>
        <w:ind w:left="567" w:hanging="567"/>
        <w:jc w:val="both"/>
        <w:rPr>
          <w:rFonts w:asciiTheme="minorHAnsi" w:hAnsiTheme="minorHAnsi" w:cstheme="minorHAnsi"/>
          <w:sz w:val="24"/>
          <w:szCs w:val="24"/>
          <w:lang w:eastAsia="en-GB"/>
        </w:rPr>
      </w:pPr>
      <w:r w:rsidRPr="00555BD5">
        <w:rPr>
          <w:rFonts w:asciiTheme="minorHAnsi" w:hAnsiTheme="minorHAnsi" w:cstheme="minorHAnsi"/>
          <w:sz w:val="24"/>
          <w:szCs w:val="24"/>
          <w:lang w:eastAsia="en-GB"/>
        </w:rPr>
        <w:lastRenderedPageBreak/>
        <w:t>6</w:t>
      </w:r>
      <w:r w:rsidR="002B586C" w:rsidRPr="00555BD5">
        <w:rPr>
          <w:rFonts w:asciiTheme="minorHAnsi" w:hAnsiTheme="minorHAnsi" w:cstheme="minorHAnsi"/>
          <w:sz w:val="24"/>
          <w:szCs w:val="24"/>
          <w:lang w:eastAsia="en-GB"/>
        </w:rPr>
        <w:t>4</w:t>
      </w:r>
      <w:r w:rsidR="009E7910" w:rsidRPr="00555BD5">
        <w:rPr>
          <w:rFonts w:asciiTheme="minorHAnsi" w:hAnsiTheme="minorHAnsi" w:cstheme="minorHAnsi"/>
          <w:sz w:val="24"/>
          <w:szCs w:val="24"/>
          <w:lang w:eastAsia="en-GB"/>
        </w:rPr>
        <w:t>.</w:t>
      </w:r>
      <w:r w:rsidR="009E7910" w:rsidRPr="00555BD5">
        <w:rPr>
          <w:rFonts w:asciiTheme="minorHAnsi" w:hAnsiTheme="minorHAnsi" w:cstheme="minorHAnsi"/>
          <w:sz w:val="24"/>
          <w:szCs w:val="24"/>
          <w:lang w:eastAsia="en-GB"/>
        </w:rPr>
        <w:tab/>
        <w:t xml:space="preserve">The </w:t>
      </w:r>
      <w:r w:rsidR="008C38F1" w:rsidRPr="00555BD5">
        <w:rPr>
          <w:rFonts w:asciiTheme="minorHAnsi" w:hAnsiTheme="minorHAnsi" w:cstheme="minorHAnsi"/>
          <w:sz w:val="24"/>
          <w:szCs w:val="24"/>
          <w:lang w:eastAsia="en-GB"/>
        </w:rPr>
        <w:t>202</w:t>
      </w:r>
      <w:r w:rsidR="00555BD5" w:rsidRPr="00555BD5">
        <w:rPr>
          <w:rFonts w:asciiTheme="minorHAnsi" w:hAnsiTheme="minorHAnsi" w:cstheme="minorHAnsi"/>
          <w:sz w:val="24"/>
          <w:szCs w:val="24"/>
          <w:lang w:eastAsia="en-GB"/>
        </w:rPr>
        <w:t>4</w:t>
      </w:r>
      <w:r w:rsidR="008C38F1" w:rsidRPr="00555BD5">
        <w:rPr>
          <w:rFonts w:asciiTheme="minorHAnsi" w:hAnsiTheme="minorHAnsi" w:cstheme="minorHAnsi"/>
          <w:sz w:val="24"/>
          <w:szCs w:val="24"/>
          <w:lang w:eastAsia="en-GB"/>
        </w:rPr>
        <w:t>/2</w:t>
      </w:r>
      <w:r w:rsidR="00555BD5" w:rsidRPr="00555BD5">
        <w:rPr>
          <w:rFonts w:asciiTheme="minorHAnsi" w:hAnsiTheme="minorHAnsi" w:cstheme="minorHAnsi"/>
          <w:sz w:val="24"/>
          <w:szCs w:val="24"/>
          <w:lang w:eastAsia="en-GB"/>
        </w:rPr>
        <w:t>5</w:t>
      </w:r>
      <w:r w:rsidR="009E7910" w:rsidRPr="00555BD5">
        <w:rPr>
          <w:rFonts w:asciiTheme="minorHAnsi" w:hAnsiTheme="minorHAnsi" w:cstheme="minorHAnsi"/>
          <w:sz w:val="24"/>
          <w:szCs w:val="24"/>
          <w:lang w:eastAsia="en-GB"/>
        </w:rPr>
        <w:t xml:space="preserve"> proposed precept increase of </w:t>
      </w:r>
      <w:r w:rsidR="00555BD5" w:rsidRPr="00555BD5">
        <w:rPr>
          <w:rFonts w:asciiTheme="minorHAnsi" w:hAnsiTheme="minorHAnsi" w:cstheme="minorHAnsi"/>
          <w:sz w:val="24"/>
          <w:szCs w:val="24"/>
          <w:lang w:eastAsia="en-GB"/>
        </w:rPr>
        <w:t>2.99%</w:t>
      </w:r>
      <w:r w:rsidR="009E7910" w:rsidRPr="00555BD5">
        <w:rPr>
          <w:rFonts w:asciiTheme="minorHAnsi" w:hAnsiTheme="minorHAnsi" w:cstheme="minorHAnsi"/>
          <w:sz w:val="24"/>
          <w:szCs w:val="24"/>
          <w:lang w:eastAsia="en-GB"/>
        </w:rPr>
        <w:t>, together with the increased taxbase will generate an additional £</w:t>
      </w:r>
      <w:r w:rsidR="00555BD5" w:rsidRPr="00555BD5">
        <w:rPr>
          <w:rFonts w:asciiTheme="minorHAnsi" w:hAnsiTheme="minorHAnsi" w:cstheme="minorHAnsi"/>
          <w:sz w:val="24"/>
          <w:szCs w:val="24"/>
          <w:lang w:eastAsia="en-GB"/>
        </w:rPr>
        <w:t>0.725</w:t>
      </w:r>
      <w:r w:rsidR="009E7910" w:rsidRPr="00555BD5">
        <w:rPr>
          <w:rFonts w:asciiTheme="minorHAnsi" w:hAnsiTheme="minorHAnsi" w:cstheme="minorHAnsi"/>
          <w:sz w:val="24"/>
          <w:szCs w:val="24"/>
          <w:lang w:eastAsia="en-GB"/>
        </w:rPr>
        <w:t xml:space="preserve">m </w:t>
      </w:r>
      <w:r w:rsidR="00707614" w:rsidRPr="00555BD5">
        <w:rPr>
          <w:rFonts w:asciiTheme="minorHAnsi" w:hAnsiTheme="minorHAnsi" w:cstheme="minorHAnsi"/>
          <w:sz w:val="24"/>
          <w:szCs w:val="24"/>
          <w:lang w:eastAsia="en-GB"/>
        </w:rPr>
        <w:t>o</w:t>
      </w:r>
      <w:r w:rsidR="009E7910" w:rsidRPr="00555BD5">
        <w:rPr>
          <w:rFonts w:asciiTheme="minorHAnsi" w:hAnsiTheme="minorHAnsi" w:cstheme="minorHAnsi"/>
          <w:sz w:val="24"/>
          <w:szCs w:val="24"/>
          <w:lang w:eastAsia="en-GB"/>
        </w:rPr>
        <w:t>n the base budget.</w:t>
      </w:r>
    </w:p>
    <w:p w14:paraId="6E74E600" w14:textId="15A874BB" w:rsidR="009E7910" w:rsidRPr="00555BD5" w:rsidRDefault="009E7910" w:rsidP="000C2930">
      <w:pPr>
        <w:pStyle w:val="ListParagraph"/>
        <w:spacing w:after="0" w:line="240" w:lineRule="auto"/>
        <w:ind w:left="851" w:hanging="851"/>
        <w:jc w:val="both"/>
        <w:rPr>
          <w:rFonts w:asciiTheme="minorHAnsi" w:hAnsiTheme="minorHAnsi" w:cstheme="minorHAnsi"/>
          <w:sz w:val="24"/>
          <w:szCs w:val="24"/>
          <w:lang w:eastAsia="en-GB"/>
        </w:rPr>
      </w:pPr>
    </w:p>
    <w:p w14:paraId="28CA5F41" w14:textId="42F4FF7A" w:rsidR="00E55273" w:rsidRPr="00555BD5" w:rsidRDefault="006E0068" w:rsidP="00555BD5">
      <w:pPr>
        <w:pStyle w:val="PanelHeading"/>
      </w:pPr>
      <w:r w:rsidRPr="00555BD5">
        <w:t>Council Tax</w:t>
      </w:r>
      <w:r w:rsidR="002B4BFE" w:rsidRPr="00555BD5">
        <w:t xml:space="preserve"> Collection Fund</w:t>
      </w:r>
    </w:p>
    <w:p w14:paraId="14C2433B" w14:textId="0C28F2B4" w:rsidR="00555BD5" w:rsidRPr="00555BD5" w:rsidRDefault="00555BD5" w:rsidP="00555BD5">
      <w:pPr>
        <w:pStyle w:val="PanelPara"/>
      </w:pPr>
      <w:r w:rsidRPr="00555BD5">
        <w:t xml:space="preserve">Each year the billing authorities estimate how much of the total potential Council Tax income liability of taxpayers they will collect. They advise precepting authorities of any projected surplus or deficit on the Collection Fund in January of each year. </w:t>
      </w:r>
    </w:p>
    <w:p w14:paraId="7B99EC8C" w14:textId="14C7C81D" w:rsidR="00555BD5" w:rsidRPr="00555BD5" w:rsidRDefault="00555BD5" w:rsidP="00555BD5">
      <w:pPr>
        <w:pStyle w:val="PanelPara"/>
      </w:pPr>
      <w:r w:rsidRPr="00555BD5">
        <w:t>The PFCC is very appreciative of the hard work undertaken by the North and West Northamptonshire Unitary Authorities in ensuring high collection rates and in providing the information to enable their inclusion in his budget and precept considerations.</w:t>
      </w:r>
    </w:p>
    <w:p w14:paraId="5F681108" w14:textId="77777777" w:rsidR="00555BD5" w:rsidRPr="00555BD5" w:rsidRDefault="00555BD5" w:rsidP="00555BD5">
      <w:pPr>
        <w:pStyle w:val="PanelPara"/>
      </w:pPr>
      <w:r w:rsidRPr="00555BD5">
        <w:t>In previous years, despite high collection rates within Northamptonshire, COVID-19 impacted on these levels which resulted in deficits in both 2021/22 and 2022/23.  Some government support was provided which included grants and enabling the deficit to be spread across three financial years.  These measures helped to mitigate the impact and then in 2023/24, the collection funds provided a surplus.</w:t>
      </w:r>
    </w:p>
    <w:p w14:paraId="56DAE8AF" w14:textId="022BA510" w:rsidR="00BD4313" w:rsidRPr="00555BD5" w:rsidRDefault="00555BD5" w:rsidP="00555BD5">
      <w:pPr>
        <w:pStyle w:val="PanelPara"/>
      </w:pPr>
      <w:r w:rsidRPr="00555BD5">
        <w:t>The Unitary Authorities have advised the PFCC of their estimated collection fund positions for 2024/25 for Police which have resulted in surpluses from both authorities.</w:t>
      </w:r>
    </w:p>
    <w:tbl>
      <w:tblPr>
        <w:tblW w:w="6860" w:type="dxa"/>
        <w:tblInd w:w="562" w:type="dxa"/>
        <w:tblLook w:val="04A0" w:firstRow="1" w:lastRow="0" w:firstColumn="1" w:lastColumn="0" w:noHBand="0" w:noVBand="1"/>
      </w:tblPr>
      <w:tblGrid>
        <w:gridCol w:w="1460"/>
        <w:gridCol w:w="3940"/>
        <w:gridCol w:w="1460"/>
      </w:tblGrid>
      <w:tr w:rsidR="004A00F7" w:rsidRPr="004A00F7" w14:paraId="4673A240" w14:textId="77777777" w:rsidTr="004A00F7">
        <w:trPr>
          <w:trHeight w:val="630"/>
        </w:trPr>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E54BB9" w14:textId="77777777" w:rsidR="004A00F7" w:rsidRPr="004A00F7" w:rsidRDefault="004A00F7" w:rsidP="004A00F7">
            <w:pPr>
              <w:spacing w:after="0" w:line="240" w:lineRule="auto"/>
              <w:jc w:val="center"/>
              <w:rPr>
                <w:rFonts w:eastAsia="Times New Roman" w:cs="Calibri"/>
                <w:b/>
                <w:bCs/>
                <w:color w:val="000000"/>
                <w:sz w:val="24"/>
                <w:szCs w:val="24"/>
                <w:lang w:eastAsia="en-GB"/>
              </w:rPr>
            </w:pPr>
            <w:r w:rsidRPr="004A00F7">
              <w:rPr>
                <w:rFonts w:eastAsia="Times New Roman" w:cs="Calibri"/>
                <w:b/>
                <w:bCs/>
                <w:color w:val="000000"/>
                <w:sz w:val="24"/>
                <w:szCs w:val="24"/>
                <w:lang w:eastAsia="en-GB"/>
              </w:rPr>
              <w:t>2023/24</w:t>
            </w:r>
            <w:r w:rsidRPr="004A00F7">
              <w:rPr>
                <w:rFonts w:eastAsia="Times New Roman" w:cs="Calibri"/>
                <w:b/>
                <w:bCs/>
                <w:color w:val="000000"/>
                <w:sz w:val="24"/>
                <w:szCs w:val="24"/>
                <w:lang w:eastAsia="en-GB"/>
              </w:rPr>
              <w:br/>
              <w:t>£m</w:t>
            </w:r>
          </w:p>
        </w:tc>
        <w:tc>
          <w:tcPr>
            <w:tcW w:w="3940" w:type="dxa"/>
            <w:tcBorders>
              <w:top w:val="single" w:sz="4" w:space="0" w:color="auto"/>
              <w:left w:val="nil"/>
              <w:bottom w:val="single" w:sz="4" w:space="0" w:color="auto"/>
              <w:right w:val="single" w:sz="4" w:space="0" w:color="auto"/>
            </w:tcBorders>
            <w:shd w:val="clear" w:color="000000" w:fill="FFFFFF"/>
            <w:noWrap/>
            <w:vAlign w:val="center"/>
            <w:hideMark/>
          </w:tcPr>
          <w:p w14:paraId="4E96D4D1" w14:textId="77777777" w:rsidR="004A00F7" w:rsidRPr="004A00F7" w:rsidRDefault="004A00F7" w:rsidP="004A00F7">
            <w:pPr>
              <w:spacing w:after="0" w:line="240" w:lineRule="auto"/>
              <w:rPr>
                <w:rFonts w:eastAsia="Times New Roman" w:cs="Calibri"/>
                <w:b/>
                <w:bCs/>
                <w:color w:val="000000"/>
                <w:sz w:val="24"/>
                <w:szCs w:val="24"/>
                <w:lang w:eastAsia="en-GB"/>
              </w:rPr>
            </w:pPr>
            <w:r w:rsidRPr="004A00F7">
              <w:rPr>
                <w:rFonts w:eastAsia="Times New Roman" w:cs="Calibri"/>
                <w:b/>
                <w:bCs/>
                <w:color w:val="000000"/>
                <w:sz w:val="24"/>
                <w:szCs w:val="24"/>
                <w:lang w:eastAsia="en-GB"/>
              </w:rPr>
              <w:t> </w:t>
            </w:r>
          </w:p>
        </w:tc>
        <w:tc>
          <w:tcPr>
            <w:tcW w:w="1460" w:type="dxa"/>
            <w:tcBorders>
              <w:top w:val="single" w:sz="4" w:space="0" w:color="auto"/>
              <w:left w:val="nil"/>
              <w:bottom w:val="single" w:sz="4" w:space="0" w:color="auto"/>
              <w:right w:val="single" w:sz="4" w:space="0" w:color="auto"/>
            </w:tcBorders>
            <w:shd w:val="clear" w:color="000000" w:fill="FFDDDD"/>
            <w:vAlign w:val="center"/>
            <w:hideMark/>
          </w:tcPr>
          <w:p w14:paraId="0B6F4340" w14:textId="77777777" w:rsidR="004A00F7" w:rsidRPr="004A00F7" w:rsidRDefault="004A00F7" w:rsidP="004A00F7">
            <w:pPr>
              <w:spacing w:after="0" w:line="240" w:lineRule="auto"/>
              <w:jc w:val="center"/>
              <w:rPr>
                <w:rFonts w:eastAsia="Times New Roman" w:cs="Calibri"/>
                <w:b/>
                <w:bCs/>
                <w:color w:val="000000"/>
                <w:sz w:val="24"/>
                <w:szCs w:val="24"/>
                <w:lang w:eastAsia="en-GB"/>
              </w:rPr>
            </w:pPr>
            <w:r w:rsidRPr="004A00F7">
              <w:rPr>
                <w:rFonts w:eastAsia="Times New Roman" w:cs="Calibri"/>
                <w:b/>
                <w:bCs/>
                <w:color w:val="000000"/>
                <w:sz w:val="24"/>
                <w:szCs w:val="24"/>
                <w:lang w:eastAsia="en-GB"/>
              </w:rPr>
              <w:t>2024/25</w:t>
            </w:r>
            <w:r w:rsidRPr="004A00F7">
              <w:rPr>
                <w:rFonts w:eastAsia="Times New Roman" w:cs="Calibri"/>
                <w:b/>
                <w:bCs/>
                <w:color w:val="000000"/>
                <w:sz w:val="24"/>
                <w:szCs w:val="24"/>
                <w:lang w:eastAsia="en-GB"/>
              </w:rPr>
              <w:br/>
              <w:t>£m</w:t>
            </w:r>
          </w:p>
        </w:tc>
      </w:tr>
      <w:tr w:rsidR="004A00F7" w:rsidRPr="004A00F7" w14:paraId="5D731122" w14:textId="77777777" w:rsidTr="004A00F7">
        <w:trPr>
          <w:trHeight w:val="315"/>
        </w:trPr>
        <w:tc>
          <w:tcPr>
            <w:tcW w:w="1460" w:type="dxa"/>
            <w:tcBorders>
              <w:top w:val="nil"/>
              <w:left w:val="single" w:sz="4" w:space="0" w:color="auto"/>
              <w:bottom w:val="nil"/>
              <w:right w:val="single" w:sz="4" w:space="0" w:color="auto"/>
            </w:tcBorders>
            <w:shd w:val="clear" w:color="000000" w:fill="FFFFFF"/>
            <w:noWrap/>
            <w:vAlign w:val="bottom"/>
            <w:hideMark/>
          </w:tcPr>
          <w:p w14:paraId="5D244D56" w14:textId="77777777" w:rsidR="004A00F7" w:rsidRPr="004A00F7" w:rsidRDefault="004A00F7" w:rsidP="004A00F7">
            <w:pPr>
              <w:spacing w:after="0" w:line="240" w:lineRule="auto"/>
              <w:jc w:val="right"/>
              <w:rPr>
                <w:rFonts w:eastAsia="Times New Roman" w:cs="Calibri"/>
                <w:color w:val="000000"/>
                <w:sz w:val="24"/>
                <w:szCs w:val="24"/>
                <w:lang w:eastAsia="en-GB"/>
              </w:rPr>
            </w:pPr>
            <w:r w:rsidRPr="004A00F7">
              <w:rPr>
                <w:rFonts w:eastAsia="Times New Roman" w:cs="Calibri"/>
                <w:color w:val="000000"/>
                <w:sz w:val="24"/>
                <w:szCs w:val="24"/>
                <w:lang w:eastAsia="en-GB"/>
              </w:rPr>
              <w:t>0.082</w:t>
            </w:r>
          </w:p>
        </w:tc>
        <w:tc>
          <w:tcPr>
            <w:tcW w:w="3940" w:type="dxa"/>
            <w:tcBorders>
              <w:top w:val="nil"/>
              <w:left w:val="nil"/>
              <w:bottom w:val="nil"/>
              <w:right w:val="single" w:sz="4" w:space="0" w:color="auto"/>
            </w:tcBorders>
            <w:shd w:val="clear" w:color="000000" w:fill="FFFFFF"/>
            <w:noWrap/>
            <w:vAlign w:val="bottom"/>
            <w:hideMark/>
          </w:tcPr>
          <w:p w14:paraId="54B7BF26" w14:textId="77777777" w:rsidR="004A00F7" w:rsidRPr="004A00F7" w:rsidRDefault="004A00F7" w:rsidP="004A00F7">
            <w:pPr>
              <w:spacing w:after="0" w:line="240" w:lineRule="auto"/>
              <w:rPr>
                <w:rFonts w:eastAsia="Times New Roman" w:cs="Calibri"/>
                <w:color w:val="000000"/>
                <w:sz w:val="24"/>
                <w:szCs w:val="24"/>
                <w:lang w:eastAsia="en-GB"/>
              </w:rPr>
            </w:pPr>
            <w:r w:rsidRPr="004A00F7">
              <w:rPr>
                <w:rFonts w:eastAsia="Times New Roman" w:cs="Calibri"/>
                <w:color w:val="000000"/>
                <w:sz w:val="24"/>
                <w:szCs w:val="24"/>
                <w:lang w:eastAsia="en-GB"/>
              </w:rPr>
              <w:t>- North</w:t>
            </w:r>
          </w:p>
        </w:tc>
        <w:tc>
          <w:tcPr>
            <w:tcW w:w="1460" w:type="dxa"/>
            <w:tcBorders>
              <w:top w:val="nil"/>
              <w:left w:val="nil"/>
              <w:bottom w:val="nil"/>
              <w:right w:val="single" w:sz="4" w:space="0" w:color="auto"/>
            </w:tcBorders>
            <w:shd w:val="clear" w:color="000000" w:fill="FFDDDD"/>
            <w:noWrap/>
            <w:vAlign w:val="bottom"/>
            <w:hideMark/>
          </w:tcPr>
          <w:p w14:paraId="282CE5A7" w14:textId="77777777" w:rsidR="004A00F7" w:rsidRPr="004A00F7" w:rsidRDefault="004A00F7" w:rsidP="004A00F7">
            <w:pPr>
              <w:spacing w:after="0" w:line="240" w:lineRule="auto"/>
              <w:jc w:val="right"/>
              <w:rPr>
                <w:rFonts w:eastAsia="Times New Roman" w:cs="Calibri"/>
                <w:color w:val="000000"/>
                <w:sz w:val="24"/>
                <w:szCs w:val="24"/>
                <w:lang w:eastAsia="en-GB"/>
              </w:rPr>
            </w:pPr>
            <w:r w:rsidRPr="004A00F7">
              <w:rPr>
                <w:rFonts w:eastAsia="Times New Roman" w:cs="Calibri"/>
                <w:color w:val="000000"/>
                <w:sz w:val="24"/>
                <w:szCs w:val="24"/>
                <w:lang w:eastAsia="en-GB"/>
              </w:rPr>
              <w:t>0.084</w:t>
            </w:r>
          </w:p>
        </w:tc>
      </w:tr>
      <w:tr w:rsidR="004A00F7" w:rsidRPr="004A00F7" w14:paraId="376CB2FD" w14:textId="77777777" w:rsidTr="004A00F7">
        <w:trPr>
          <w:trHeight w:val="315"/>
        </w:trPr>
        <w:tc>
          <w:tcPr>
            <w:tcW w:w="1460" w:type="dxa"/>
            <w:tcBorders>
              <w:top w:val="nil"/>
              <w:left w:val="single" w:sz="4" w:space="0" w:color="auto"/>
              <w:bottom w:val="nil"/>
              <w:right w:val="single" w:sz="4" w:space="0" w:color="auto"/>
            </w:tcBorders>
            <w:shd w:val="clear" w:color="000000" w:fill="FFFFFF"/>
            <w:noWrap/>
            <w:vAlign w:val="bottom"/>
            <w:hideMark/>
          </w:tcPr>
          <w:p w14:paraId="22651A8C" w14:textId="77777777" w:rsidR="004A00F7" w:rsidRPr="004A00F7" w:rsidRDefault="004A00F7" w:rsidP="004A00F7">
            <w:pPr>
              <w:spacing w:after="0" w:line="240" w:lineRule="auto"/>
              <w:jc w:val="right"/>
              <w:rPr>
                <w:rFonts w:eastAsia="Times New Roman" w:cs="Calibri"/>
                <w:color w:val="000000"/>
                <w:sz w:val="24"/>
                <w:szCs w:val="24"/>
                <w:lang w:eastAsia="en-GB"/>
              </w:rPr>
            </w:pPr>
            <w:r w:rsidRPr="004A00F7">
              <w:rPr>
                <w:rFonts w:eastAsia="Times New Roman" w:cs="Calibri"/>
                <w:color w:val="000000"/>
                <w:sz w:val="24"/>
                <w:szCs w:val="24"/>
                <w:lang w:eastAsia="en-GB"/>
              </w:rPr>
              <w:t>0.173</w:t>
            </w:r>
          </w:p>
        </w:tc>
        <w:tc>
          <w:tcPr>
            <w:tcW w:w="3940" w:type="dxa"/>
            <w:tcBorders>
              <w:top w:val="nil"/>
              <w:left w:val="nil"/>
              <w:bottom w:val="nil"/>
              <w:right w:val="single" w:sz="4" w:space="0" w:color="auto"/>
            </w:tcBorders>
            <w:shd w:val="clear" w:color="000000" w:fill="FFFFFF"/>
            <w:noWrap/>
            <w:vAlign w:val="bottom"/>
            <w:hideMark/>
          </w:tcPr>
          <w:p w14:paraId="1BB8347E" w14:textId="77777777" w:rsidR="004A00F7" w:rsidRPr="004A00F7" w:rsidRDefault="004A00F7" w:rsidP="004A00F7">
            <w:pPr>
              <w:spacing w:after="0" w:line="240" w:lineRule="auto"/>
              <w:rPr>
                <w:rFonts w:eastAsia="Times New Roman" w:cs="Calibri"/>
                <w:color w:val="000000"/>
                <w:sz w:val="24"/>
                <w:szCs w:val="24"/>
                <w:lang w:eastAsia="en-GB"/>
              </w:rPr>
            </w:pPr>
            <w:r w:rsidRPr="004A00F7">
              <w:rPr>
                <w:rFonts w:eastAsia="Times New Roman" w:cs="Calibri"/>
                <w:color w:val="000000"/>
                <w:sz w:val="24"/>
                <w:szCs w:val="24"/>
                <w:lang w:eastAsia="en-GB"/>
              </w:rPr>
              <w:t>- West</w:t>
            </w:r>
          </w:p>
        </w:tc>
        <w:tc>
          <w:tcPr>
            <w:tcW w:w="1460" w:type="dxa"/>
            <w:tcBorders>
              <w:top w:val="nil"/>
              <w:left w:val="nil"/>
              <w:bottom w:val="nil"/>
              <w:right w:val="single" w:sz="4" w:space="0" w:color="auto"/>
            </w:tcBorders>
            <w:shd w:val="clear" w:color="000000" w:fill="FFDDDD"/>
            <w:noWrap/>
            <w:vAlign w:val="bottom"/>
            <w:hideMark/>
          </w:tcPr>
          <w:p w14:paraId="04C29221" w14:textId="77777777" w:rsidR="004A00F7" w:rsidRPr="004A00F7" w:rsidRDefault="004A00F7" w:rsidP="004A00F7">
            <w:pPr>
              <w:spacing w:after="0" w:line="240" w:lineRule="auto"/>
              <w:jc w:val="right"/>
              <w:rPr>
                <w:rFonts w:eastAsia="Times New Roman" w:cs="Calibri"/>
                <w:color w:val="000000"/>
                <w:sz w:val="24"/>
                <w:szCs w:val="24"/>
                <w:lang w:eastAsia="en-GB"/>
              </w:rPr>
            </w:pPr>
            <w:r w:rsidRPr="004A00F7">
              <w:rPr>
                <w:rFonts w:eastAsia="Times New Roman" w:cs="Calibri"/>
                <w:color w:val="000000"/>
                <w:sz w:val="24"/>
                <w:szCs w:val="24"/>
                <w:lang w:eastAsia="en-GB"/>
              </w:rPr>
              <w:t>0.230</w:t>
            </w:r>
          </w:p>
        </w:tc>
      </w:tr>
      <w:tr w:rsidR="004A00F7" w:rsidRPr="004A00F7" w14:paraId="248FFA32" w14:textId="77777777" w:rsidTr="004A00F7">
        <w:trPr>
          <w:trHeight w:val="315"/>
        </w:trPr>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1B53D3" w14:textId="77777777" w:rsidR="004A00F7" w:rsidRPr="004A00F7" w:rsidRDefault="004A00F7" w:rsidP="004A00F7">
            <w:pPr>
              <w:spacing w:after="0" w:line="240" w:lineRule="auto"/>
              <w:jc w:val="right"/>
              <w:rPr>
                <w:rFonts w:eastAsia="Times New Roman" w:cs="Calibri"/>
                <w:b/>
                <w:bCs/>
                <w:color w:val="000000"/>
                <w:sz w:val="24"/>
                <w:szCs w:val="24"/>
                <w:lang w:eastAsia="en-GB"/>
              </w:rPr>
            </w:pPr>
            <w:r w:rsidRPr="004A00F7">
              <w:rPr>
                <w:rFonts w:eastAsia="Times New Roman" w:cs="Calibri"/>
                <w:b/>
                <w:bCs/>
                <w:color w:val="000000"/>
                <w:sz w:val="24"/>
                <w:szCs w:val="24"/>
                <w:lang w:eastAsia="en-GB"/>
              </w:rPr>
              <w:t>0.255</w:t>
            </w:r>
          </w:p>
        </w:tc>
        <w:tc>
          <w:tcPr>
            <w:tcW w:w="3940" w:type="dxa"/>
            <w:tcBorders>
              <w:top w:val="single" w:sz="4" w:space="0" w:color="auto"/>
              <w:left w:val="nil"/>
              <w:bottom w:val="single" w:sz="4" w:space="0" w:color="auto"/>
              <w:right w:val="single" w:sz="4" w:space="0" w:color="auto"/>
            </w:tcBorders>
            <w:shd w:val="clear" w:color="000000" w:fill="FFFFFF"/>
            <w:noWrap/>
            <w:vAlign w:val="bottom"/>
            <w:hideMark/>
          </w:tcPr>
          <w:p w14:paraId="136B9D2C" w14:textId="77777777" w:rsidR="004A00F7" w:rsidRPr="004A00F7" w:rsidRDefault="004A00F7" w:rsidP="004A00F7">
            <w:pPr>
              <w:spacing w:after="0" w:line="240" w:lineRule="auto"/>
              <w:rPr>
                <w:rFonts w:eastAsia="Times New Roman" w:cs="Calibri"/>
                <w:b/>
                <w:bCs/>
                <w:color w:val="000000"/>
                <w:sz w:val="24"/>
                <w:szCs w:val="24"/>
                <w:lang w:eastAsia="en-GB"/>
              </w:rPr>
            </w:pPr>
            <w:r w:rsidRPr="004A00F7">
              <w:rPr>
                <w:rFonts w:eastAsia="Times New Roman" w:cs="Calibri"/>
                <w:b/>
                <w:bCs/>
                <w:color w:val="000000"/>
                <w:sz w:val="24"/>
                <w:szCs w:val="24"/>
                <w:lang w:eastAsia="en-GB"/>
              </w:rPr>
              <w:t>Collection Fund Surplus</w:t>
            </w:r>
          </w:p>
        </w:tc>
        <w:tc>
          <w:tcPr>
            <w:tcW w:w="1460" w:type="dxa"/>
            <w:tcBorders>
              <w:top w:val="single" w:sz="4" w:space="0" w:color="auto"/>
              <w:left w:val="nil"/>
              <w:bottom w:val="single" w:sz="4" w:space="0" w:color="auto"/>
              <w:right w:val="single" w:sz="4" w:space="0" w:color="auto"/>
            </w:tcBorders>
            <w:shd w:val="clear" w:color="000000" w:fill="FFDDDD"/>
            <w:noWrap/>
            <w:vAlign w:val="bottom"/>
            <w:hideMark/>
          </w:tcPr>
          <w:p w14:paraId="22795A75" w14:textId="77777777" w:rsidR="004A00F7" w:rsidRPr="004A00F7" w:rsidRDefault="004A00F7" w:rsidP="004A00F7">
            <w:pPr>
              <w:spacing w:after="0" w:line="240" w:lineRule="auto"/>
              <w:jc w:val="right"/>
              <w:rPr>
                <w:rFonts w:eastAsia="Times New Roman" w:cs="Calibri"/>
                <w:b/>
                <w:bCs/>
                <w:color w:val="000000"/>
                <w:sz w:val="24"/>
                <w:szCs w:val="24"/>
                <w:lang w:eastAsia="en-GB"/>
              </w:rPr>
            </w:pPr>
            <w:r w:rsidRPr="004A00F7">
              <w:rPr>
                <w:rFonts w:eastAsia="Times New Roman" w:cs="Calibri"/>
                <w:b/>
                <w:bCs/>
                <w:color w:val="000000"/>
                <w:sz w:val="24"/>
                <w:szCs w:val="24"/>
                <w:lang w:eastAsia="en-GB"/>
              </w:rPr>
              <w:t>0.315</w:t>
            </w:r>
          </w:p>
        </w:tc>
      </w:tr>
    </w:tbl>
    <w:p w14:paraId="1C31947E" w14:textId="77777777" w:rsidR="00555BD5" w:rsidRDefault="00555BD5" w:rsidP="00555BD5">
      <w:pPr>
        <w:pStyle w:val="NoSpacing"/>
      </w:pPr>
    </w:p>
    <w:p w14:paraId="0666E47F" w14:textId="229729F6" w:rsidR="00BD4313" w:rsidRPr="00555BD5" w:rsidRDefault="00555BD5" w:rsidP="00555BD5">
      <w:pPr>
        <w:pStyle w:val="PanelPara"/>
      </w:pPr>
      <w:r w:rsidRPr="00555BD5">
        <w:t>Due to statutory timescales, notification of the final collection fund surplus figures is received after the draft budgets are finalised.  If this surplus results in a one-year benefit, it will be transferred to reserves in order to replenish some of the one-off use of reserves planned as part of the agreed balanced budget.</w:t>
      </w:r>
    </w:p>
    <w:p w14:paraId="33F17549" w14:textId="0EBDDACD" w:rsidR="009E7910" w:rsidRPr="00555BD5" w:rsidRDefault="00555BD5" w:rsidP="00555BD5">
      <w:pPr>
        <w:pStyle w:val="PanelPara"/>
      </w:pPr>
      <w:r w:rsidRPr="00555BD5">
        <w:t>The S151 Officer will work closely with the Unitary Authorities throughout the year to monitor and understand any impact on the collection fund position for 2024/25 and future years.</w:t>
      </w:r>
      <w:bookmarkStart w:id="2" w:name="_Hlk92960447"/>
    </w:p>
    <w:p w14:paraId="0FE59DF1" w14:textId="77C340C5" w:rsidR="005347E5" w:rsidRPr="00555BD5" w:rsidRDefault="005347E5" w:rsidP="00555BD5">
      <w:pPr>
        <w:pStyle w:val="PanelHeading"/>
      </w:pPr>
      <w:r w:rsidRPr="00555BD5">
        <w:t>Public Consultation on the Level of the Precept</w:t>
      </w:r>
    </w:p>
    <w:p w14:paraId="5AAC60FF" w14:textId="47FAEE6D" w:rsidR="00A5441B" w:rsidRPr="00A5441B" w:rsidRDefault="00A5441B" w:rsidP="00A5441B">
      <w:pPr>
        <w:pStyle w:val="PanelPara"/>
      </w:pPr>
      <w:r w:rsidRPr="00A5441B">
        <w:t xml:space="preserve">Each year following the provisional settlement, the PFCC undertakes a precept consultation with residents of Northamptonshire to gather their views which help to inform his precept intentions. </w:t>
      </w:r>
    </w:p>
    <w:p w14:paraId="2212077B" w14:textId="0099AF8E" w:rsidR="00A5441B" w:rsidRPr="00A5441B" w:rsidRDefault="00A5441B" w:rsidP="00A5441B">
      <w:pPr>
        <w:pStyle w:val="PanelPara"/>
      </w:pPr>
      <w:r w:rsidRPr="00A5441B">
        <w:t xml:space="preserve">The PFCC is very mindful of the impact that inflation and the cost of living is having on the residents of Northamptonshire. </w:t>
      </w:r>
      <w:r>
        <w:t xml:space="preserve"> </w:t>
      </w:r>
      <w:r w:rsidRPr="00A5441B">
        <w:t xml:space="preserve">As such, for 2024/25, and ahead of his precept consultation </w:t>
      </w:r>
      <w:r w:rsidRPr="00A5441B">
        <w:lastRenderedPageBreak/>
        <w:t>in December 2023, the PFCC and officers undertook pre-budget engagement to inform his considerations. Of note are the following:</w:t>
      </w:r>
    </w:p>
    <w:p w14:paraId="6B22F427" w14:textId="77777777" w:rsidR="00525E25" w:rsidRDefault="00525E25" w:rsidP="00525E25">
      <w:pPr>
        <w:pStyle w:val="PanelPara2"/>
      </w:pPr>
      <w:r>
        <w:t>The PFCC, Chief Fire Officer and Chief Constable attended a meeting with Northamptonshire MPs and briefed them on the current financial position for Police and Fire and outlined the current financial context for both services.</w:t>
      </w:r>
    </w:p>
    <w:p w14:paraId="36FD6FEF" w14:textId="77777777" w:rsidR="00525E25" w:rsidRDefault="00525E25" w:rsidP="00525E25">
      <w:pPr>
        <w:pStyle w:val="PanelPara2"/>
      </w:pPr>
      <w:r>
        <w:t>The PFCC and the Chief Finance Officer attended local meetings with representative groups to have conversations around the current financial position and hear their thoughts on the levels of precept, budget challenges and services.  The PFCC found these conversations and discussions invaluable, and the office is now on the circulation list for many of these meetings.</w:t>
      </w:r>
    </w:p>
    <w:p w14:paraId="67077752" w14:textId="22183B13" w:rsidR="002C0C90" w:rsidRPr="00A5441B" w:rsidRDefault="00A5441B" w:rsidP="00A5441B">
      <w:pPr>
        <w:pStyle w:val="PanelPara"/>
      </w:pPr>
      <w:r w:rsidRPr="00A5441B">
        <w:t>For this year’s precept, over the period 5</w:t>
      </w:r>
      <w:r w:rsidR="00E73A1C" w:rsidRPr="00E73A1C">
        <w:rPr>
          <w:vertAlign w:val="superscript"/>
        </w:rPr>
        <w:t>th</w:t>
      </w:r>
      <w:r w:rsidRPr="00A5441B">
        <w:t xml:space="preserve"> December 2023 to 16</w:t>
      </w:r>
      <w:r w:rsidR="00E73A1C" w:rsidRPr="00E73A1C">
        <w:rPr>
          <w:vertAlign w:val="superscript"/>
        </w:rPr>
        <w:t>th</w:t>
      </w:r>
      <w:r w:rsidRPr="00A5441B">
        <w:t xml:space="preserve"> January 2024, the PFCC undertook an online survey was carried out with the intention of reaching as many people as possible to obtain the views of a demographically representative group of the county’s population.</w:t>
      </w:r>
    </w:p>
    <w:p w14:paraId="1E3B8C8D" w14:textId="1A40372C" w:rsidR="00B6262D" w:rsidRPr="00A5441B" w:rsidRDefault="002C0C90" w:rsidP="00A5441B">
      <w:pPr>
        <w:pStyle w:val="PanelPara"/>
      </w:pPr>
      <w:r w:rsidRPr="00A5441B">
        <w:t xml:space="preserve">The survey was sent out to </w:t>
      </w:r>
      <w:r w:rsidR="0017599E" w:rsidRPr="00A5441B">
        <w:t xml:space="preserve">a wide range of </w:t>
      </w:r>
      <w:r w:rsidRPr="00A5441B">
        <w:t>contacts and using many different approaches</w:t>
      </w:r>
      <w:r w:rsidR="00497F9F" w:rsidRPr="00A5441B">
        <w:t xml:space="preserve">. </w:t>
      </w:r>
      <w:r w:rsidRPr="00A5441B">
        <w:t xml:space="preserve"> Appendix A</w:t>
      </w:r>
      <w:r w:rsidR="00497F9F" w:rsidRPr="00A5441B">
        <w:t xml:space="preserve"> sets out the consultation on the precept further.</w:t>
      </w:r>
    </w:p>
    <w:p w14:paraId="7AF5E756" w14:textId="7C80B9A8" w:rsidR="00A5441B" w:rsidRDefault="00A5441B" w:rsidP="00A5441B">
      <w:pPr>
        <w:pStyle w:val="PanelPara"/>
      </w:pPr>
      <w:r>
        <w:t xml:space="preserve">This wide reach is set within the challenges of the limited timescale of the government funding settlement, the current cost of living climate and the fact that it was held over the festive season. </w:t>
      </w:r>
    </w:p>
    <w:p w14:paraId="46B8CBAC" w14:textId="715F599D" w:rsidR="00A5441B" w:rsidRDefault="00A5441B" w:rsidP="00A5441B">
      <w:pPr>
        <w:pStyle w:val="PanelPara"/>
      </w:pPr>
      <w:r>
        <w:t xml:space="preserve">The online survey was targeted specifically in relation to the precept and to understand confidence in policing and fire and rescue services within Northamptonshire.  It was communicated to as many stakeholders as possible, to enable any resident to share their views on the level of the precept. </w:t>
      </w:r>
    </w:p>
    <w:p w14:paraId="44FDDED3" w14:textId="3A6A6205" w:rsidR="002C0C90" w:rsidRPr="00A5441B" w:rsidRDefault="00A5441B" w:rsidP="00A5441B">
      <w:pPr>
        <w:pStyle w:val="PanelPara"/>
      </w:pPr>
      <w:r w:rsidRPr="00A5441B">
        <w:t>Interim reviews were taken on the survey to assess the reach and where appropriate, additional communications were made to key areas of the county to ensure those who wished to contribute to the survey were able to do so.</w:t>
      </w:r>
    </w:p>
    <w:p w14:paraId="3A04D7B2" w14:textId="77777777" w:rsidR="00A5441B" w:rsidRDefault="00A5441B" w:rsidP="00A5441B">
      <w:pPr>
        <w:pStyle w:val="PanelPara"/>
      </w:pPr>
      <w:r>
        <w:t xml:space="preserve">Furthermore, two in-person budget and precept meetings were held in January with key stakeholders, with one taking place after the provisional settlement when more information was available.  The meetings took place as follows:  </w:t>
      </w:r>
    </w:p>
    <w:p w14:paraId="66D389F9" w14:textId="0E8E688E" w:rsidR="00A5441B" w:rsidRDefault="00A5441B" w:rsidP="00A5441B">
      <w:pPr>
        <w:pStyle w:val="PanelPara2"/>
      </w:pPr>
      <w:r>
        <w:t>A Councillor Budget and Precept meeting was held on the 16</w:t>
      </w:r>
      <w:r w:rsidR="00E73A1C" w:rsidRPr="00E73A1C">
        <w:rPr>
          <w:vertAlign w:val="superscript"/>
        </w:rPr>
        <w:t>th</w:t>
      </w:r>
      <w:r>
        <w:t xml:space="preserve"> January 2024.  All 318 local Councillors and representatives were invited. </w:t>
      </w:r>
      <w:r w:rsidR="00E73A1C">
        <w:t xml:space="preserve"> </w:t>
      </w:r>
      <w:r>
        <w:t>32 Councillors attended and received a high-level briefing on the provisional funding settlement for both Fire and Policing.  The PFCC is grateful to those who attended the meeting and found their engagement extremely useful.</w:t>
      </w:r>
    </w:p>
    <w:p w14:paraId="5C610C24" w14:textId="12E6E41A" w:rsidR="00A5441B" w:rsidRDefault="00A5441B" w:rsidP="00A5441B">
      <w:pPr>
        <w:pStyle w:val="PanelPara2"/>
      </w:pPr>
      <w:r>
        <w:lastRenderedPageBreak/>
        <w:t>The PFCC held a Police Fire and Crime Panel workshop on the 26</w:t>
      </w:r>
      <w:r w:rsidR="00E73A1C" w:rsidRPr="00E73A1C">
        <w:rPr>
          <w:vertAlign w:val="superscript"/>
        </w:rPr>
        <w:t>th</w:t>
      </w:r>
      <w:r>
        <w:t xml:space="preserve"> January regarding the budget and precept considerations for 2024/25, which was </w:t>
      </w:r>
      <w:r w:rsidRPr="00E73A1C">
        <w:t xml:space="preserve">attended by </w:t>
      </w:r>
      <w:r w:rsidR="00E73A1C" w:rsidRPr="00E73A1C">
        <w:t>five</w:t>
      </w:r>
      <w:r w:rsidRPr="00E73A1C">
        <w:t xml:space="preserve"> representatives.  The annual workshops commenced in January 2021 and the PFCC has again found this approach and member input invaluable.  The PFCC is grateful to all Panel members who attended, and subject to the views of the Panel will continue to</w:t>
      </w:r>
      <w:r>
        <w:t xml:space="preserve"> offer the budget workshop as an annual event.</w:t>
      </w:r>
    </w:p>
    <w:bookmarkEnd w:id="2"/>
    <w:p w14:paraId="0D4C1517" w14:textId="785B8FD4" w:rsidR="00A5441B" w:rsidRDefault="00A5441B" w:rsidP="00A5441B">
      <w:pPr>
        <w:pStyle w:val="PanelPara"/>
      </w:pPr>
      <w:r>
        <w:t xml:space="preserve">The precept online consultation has formed part of a wider public consultation, conducted across all areas of Northamptonshire to understand how people feel about policing and fire and rescue services in the county. </w:t>
      </w:r>
      <w:r w:rsidR="00CA3A68">
        <w:t xml:space="preserve"> </w:t>
      </w:r>
      <w:r>
        <w:t>Qualitative, face</w:t>
      </w:r>
      <w:r w:rsidR="00CA3A68">
        <w:t>-</w:t>
      </w:r>
      <w:r>
        <w:t>to</w:t>
      </w:r>
      <w:r w:rsidR="00CA3A68">
        <w:t>-</w:t>
      </w:r>
      <w:r>
        <w:t>face consultation is being undertaken with communities across Northamptonshire to capture views and feedback with regards to Northamptonshire Fire and Rescue Services in relation to community safety and increasing partnership working.</w:t>
      </w:r>
    </w:p>
    <w:p w14:paraId="3AD1CCC0" w14:textId="6BA9BAD7" w:rsidR="00A5441B" w:rsidRDefault="00A5441B" w:rsidP="00A5441B">
      <w:pPr>
        <w:pStyle w:val="PanelPara"/>
      </w:pPr>
      <w:r>
        <w:t>As part of this qualitative consultation, two ‘reflector session</w:t>
      </w:r>
      <w:r w:rsidR="00CA3A68">
        <w:t>s</w:t>
      </w:r>
      <w:r>
        <w:t>’ are being carried out with stakeholders representing support organisations, commissioned services and individuals and groups within the wider community safety partnerships.</w:t>
      </w:r>
    </w:p>
    <w:p w14:paraId="1DA8C0D6" w14:textId="115DC585" w:rsidR="00A5441B" w:rsidRDefault="00A5441B" w:rsidP="00A5441B">
      <w:pPr>
        <w:pStyle w:val="PanelPara"/>
      </w:pPr>
      <w:r>
        <w:t>The PFCC would like to give particular appreciation to the commitment and engagement of the Chair and members of the Police, Fire and Crime Panel, local Councillors</w:t>
      </w:r>
      <w:r w:rsidR="00CA3A68">
        <w:t>,</w:t>
      </w:r>
      <w:r>
        <w:t xml:space="preserve"> MPs, forum members and teams within the unitary authorities as he recognises they have been contacted multiple times during the survey period and asked to disseminate the survey amongst their local residents and contacts.</w:t>
      </w:r>
    </w:p>
    <w:p w14:paraId="6DFA9879" w14:textId="07ACD266" w:rsidR="00A5441B" w:rsidRDefault="00A5441B" w:rsidP="00A5441B">
      <w:pPr>
        <w:pStyle w:val="PanelPara"/>
      </w:pPr>
      <w:r>
        <w:t>The online survey received 1,997 responses</w:t>
      </w:r>
      <w:r w:rsidR="00AE741C">
        <w:t>, of which 1,870 completed it for Fire</w:t>
      </w:r>
      <w:r>
        <w:t xml:space="preserve">. </w:t>
      </w:r>
      <w:r w:rsidR="00CA3A68">
        <w:t xml:space="preserve"> </w:t>
      </w:r>
      <w:r>
        <w:t xml:space="preserve">This is classed as a statistically relevant sample size for the County based on a 95% level of confidence. </w:t>
      </w:r>
    </w:p>
    <w:p w14:paraId="41B845C7" w14:textId="77777777" w:rsidR="00A5441B" w:rsidRDefault="00A5441B" w:rsidP="00A5441B">
      <w:pPr>
        <w:pStyle w:val="PanelPara"/>
      </w:pPr>
      <w:r>
        <w:t>The PFCC has considered the results of the online survey which were:</w:t>
      </w:r>
    </w:p>
    <w:p w14:paraId="5559CBD1" w14:textId="77777777" w:rsidR="00A5441B" w:rsidRPr="00CA3A68" w:rsidRDefault="00A5441B" w:rsidP="00CA3A68">
      <w:pPr>
        <w:pStyle w:val="PanelBullet"/>
        <w:rPr>
          <w:b/>
          <w:bCs/>
        </w:rPr>
      </w:pPr>
      <w:r w:rsidRPr="00CA3A68">
        <w:rPr>
          <w:b/>
          <w:bCs/>
        </w:rPr>
        <w:t>57.8% of residents were prepared to pay £5 or more if they were able to for Fire services.</w:t>
      </w:r>
    </w:p>
    <w:p w14:paraId="70ECF9AC" w14:textId="77777777" w:rsidR="00A5441B" w:rsidRDefault="00A5441B" w:rsidP="00CA3A68">
      <w:pPr>
        <w:pStyle w:val="PanelBullet"/>
      </w:pPr>
      <w:r>
        <w:t>36.3% were not prepared to pay any more than they do now.</w:t>
      </w:r>
    </w:p>
    <w:p w14:paraId="4E333923" w14:textId="77777777" w:rsidR="00A5441B" w:rsidRDefault="00A5441B" w:rsidP="00CA3A68">
      <w:pPr>
        <w:pStyle w:val="PanelBullet"/>
      </w:pPr>
      <w:r>
        <w:t>5.9% said they did not know.</w:t>
      </w:r>
    </w:p>
    <w:p w14:paraId="1E23E515" w14:textId="345BB379" w:rsidR="00A5441B" w:rsidRDefault="00A5441B" w:rsidP="00A5441B">
      <w:pPr>
        <w:pStyle w:val="PanelPara"/>
      </w:pPr>
      <w:r>
        <w:t xml:space="preserve">Respondents were also given the opportunity to comment on how good a job the Police and the Fire and Rescue Service did. </w:t>
      </w:r>
      <w:r w:rsidR="00CA3A68">
        <w:t xml:space="preserve"> </w:t>
      </w:r>
      <w:r>
        <w:t xml:space="preserve">For </w:t>
      </w:r>
      <w:r w:rsidR="00AE741C">
        <w:t>Fire</w:t>
      </w:r>
      <w:r>
        <w:t>, 1,</w:t>
      </w:r>
      <w:r w:rsidR="00AE741C">
        <w:t>863</w:t>
      </w:r>
      <w:r>
        <w:t xml:space="preserve"> residents replied</w:t>
      </w:r>
      <w:r w:rsidR="00AE741C">
        <w:t>:</w:t>
      </w:r>
      <w:r>
        <w:t xml:space="preserve"> </w:t>
      </w:r>
    </w:p>
    <w:p w14:paraId="621829A6" w14:textId="047181AA" w:rsidR="00A5441B" w:rsidRPr="00CA3A68" w:rsidRDefault="00A5441B" w:rsidP="00CA3A68">
      <w:pPr>
        <w:pStyle w:val="PanelBullet"/>
        <w:rPr>
          <w:b/>
          <w:bCs/>
        </w:rPr>
      </w:pPr>
      <w:r w:rsidRPr="00CA3A68">
        <w:rPr>
          <w:b/>
          <w:bCs/>
        </w:rPr>
        <w:t xml:space="preserve">58.9% of residents thought </w:t>
      </w:r>
      <w:r w:rsidR="00CA3A68">
        <w:rPr>
          <w:b/>
          <w:bCs/>
        </w:rPr>
        <w:t>Fire</w:t>
      </w:r>
      <w:r w:rsidRPr="00CA3A68">
        <w:rPr>
          <w:b/>
          <w:bCs/>
        </w:rPr>
        <w:t xml:space="preserve"> were doing a good or excellent </w:t>
      </w:r>
      <w:r w:rsidR="00CA3A68">
        <w:rPr>
          <w:b/>
          <w:bCs/>
        </w:rPr>
        <w:t>job</w:t>
      </w:r>
      <w:r w:rsidRPr="00CA3A68">
        <w:rPr>
          <w:b/>
          <w:bCs/>
        </w:rPr>
        <w:t>.</w:t>
      </w:r>
    </w:p>
    <w:p w14:paraId="5402A909" w14:textId="77777777" w:rsidR="00A5441B" w:rsidRDefault="00A5441B" w:rsidP="00CA3A68">
      <w:pPr>
        <w:pStyle w:val="PanelBullet"/>
      </w:pPr>
      <w:r>
        <w:t>17.8% of residents thought they were doing a fair job.</w:t>
      </w:r>
    </w:p>
    <w:p w14:paraId="051B8F0C" w14:textId="77777777" w:rsidR="00A5441B" w:rsidRDefault="00A5441B" w:rsidP="00CA3A68">
      <w:pPr>
        <w:pStyle w:val="PanelBullet"/>
      </w:pPr>
      <w:r>
        <w:t>4.5% of residents thought they were doing a poor or very poor job.</w:t>
      </w:r>
    </w:p>
    <w:p w14:paraId="0D4B6B7F" w14:textId="77777777" w:rsidR="00A5441B" w:rsidRDefault="00A5441B" w:rsidP="00CA3A68">
      <w:pPr>
        <w:pStyle w:val="PanelBullet"/>
      </w:pPr>
      <w:r>
        <w:t>18.9% did not know.</w:t>
      </w:r>
    </w:p>
    <w:p w14:paraId="327DCC91" w14:textId="0900FB0B" w:rsidR="00381FA2" w:rsidRPr="00A5441B" w:rsidRDefault="00A5441B" w:rsidP="00A5441B">
      <w:pPr>
        <w:pStyle w:val="PanelPara"/>
      </w:pPr>
      <w:r>
        <w:lastRenderedPageBreak/>
        <w:t>The PFCC will consider the narrative comments in the survey as part of the wider Precept and Confidence Consultation findings which will be published on the PFCC website in due course.</w:t>
      </w:r>
    </w:p>
    <w:p w14:paraId="1A8A1186" w14:textId="7138FE39" w:rsidR="0084375B" w:rsidRPr="00A5441B" w:rsidRDefault="005D2DA4" w:rsidP="000C2930">
      <w:pPr>
        <w:spacing w:after="0" w:line="240" w:lineRule="auto"/>
        <w:ind w:left="567" w:hanging="567"/>
        <w:jc w:val="both"/>
        <w:rPr>
          <w:rFonts w:asciiTheme="minorHAnsi" w:hAnsiTheme="minorHAnsi" w:cstheme="minorHAnsi"/>
          <w:b/>
          <w:sz w:val="24"/>
          <w:szCs w:val="24"/>
        </w:rPr>
      </w:pPr>
      <w:r w:rsidRPr="00A5441B">
        <w:rPr>
          <w:rFonts w:asciiTheme="minorHAnsi" w:hAnsiTheme="minorHAnsi" w:cstheme="minorHAnsi"/>
          <w:b/>
          <w:sz w:val="24"/>
          <w:szCs w:val="24"/>
        </w:rPr>
        <w:t>The Financial Challenge –</w:t>
      </w:r>
      <w:r w:rsidR="007A17F8" w:rsidRPr="00A5441B">
        <w:rPr>
          <w:rFonts w:asciiTheme="minorHAnsi" w:hAnsiTheme="minorHAnsi" w:cstheme="minorHAnsi"/>
          <w:b/>
          <w:sz w:val="24"/>
          <w:szCs w:val="24"/>
        </w:rPr>
        <w:t xml:space="preserve"> Future Risks, Challenges</w:t>
      </w:r>
      <w:r w:rsidR="002E15EF" w:rsidRPr="00A5441B">
        <w:rPr>
          <w:rFonts w:asciiTheme="minorHAnsi" w:hAnsiTheme="minorHAnsi" w:cstheme="minorHAnsi"/>
          <w:b/>
          <w:sz w:val="24"/>
          <w:szCs w:val="24"/>
        </w:rPr>
        <w:t xml:space="preserve"> and </w:t>
      </w:r>
      <w:r w:rsidR="007A17F8" w:rsidRPr="00A5441B">
        <w:rPr>
          <w:rFonts w:asciiTheme="minorHAnsi" w:hAnsiTheme="minorHAnsi" w:cstheme="minorHAnsi"/>
          <w:b/>
          <w:sz w:val="24"/>
          <w:szCs w:val="24"/>
        </w:rPr>
        <w:t xml:space="preserve">Uncertainties </w:t>
      </w:r>
    </w:p>
    <w:p w14:paraId="3DCF00B2" w14:textId="77777777" w:rsidR="00C270EC" w:rsidRPr="00095FC7" w:rsidRDefault="00C270EC" w:rsidP="000C2930">
      <w:pPr>
        <w:spacing w:after="0" w:line="240" w:lineRule="auto"/>
        <w:ind w:left="851" w:hanging="851"/>
        <w:jc w:val="both"/>
        <w:rPr>
          <w:rFonts w:asciiTheme="minorHAnsi" w:hAnsiTheme="minorHAnsi" w:cstheme="minorHAnsi"/>
          <w:sz w:val="24"/>
          <w:szCs w:val="24"/>
          <w:highlight w:val="yellow"/>
        </w:rPr>
      </w:pPr>
    </w:p>
    <w:p w14:paraId="2F854472" w14:textId="138718AD" w:rsidR="001638AD" w:rsidRPr="00555BD5" w:rsidRDefault="001638AD" w:rsidP="00555BD5">
      <w:pPr>
        <w:pStyle w:val="PanelPara"/>
      </w:pPr>
      <w:r w:rsidRPr="00555BD5">
        <w:t xml:space="preserve">The impact of a different </w:t>
      </w:r>
      <w:r w:rsidR="00FD0772" w:rsidRPr="00555BD5">
        <w:t xml:space="preserve">inflation </w:t>
      </w:r>
      <w:r w:rsidRPr="00555BD5">
        <w:t>assumptio</w:t>
      </w:r>
      <w:r w:rsidR="00FD0772" w:rsidRPr="00555BD5">
        <w:t>ns to that estimated in the MTFP</w:t>
      </w:r>
      <w:r w:rsidRPr="00555BD5">
        <w:t xml:space="preserve"> are as follows: </w:t>
      </w:r>
    </w:p>
    <w:p w14:paraId="04B89FEC" w14:textId="78CD5B3D" w:rsidR="00AD7BCC" w:rsidRPr="00B232A1" w:rsidRDefault="00AD7BCC" w:rsidP="00AD7BCC">
      <w:pPr>
        <w:pStyle w:val="PanelBullet"/>
      </w:pPr>
      <w:r w:rsidRPr="00B232A1">
        <w:t>Every 1% reduction in grant equates to circa £</w:t>
      </w:r>
      <w:r>
        <w:t>0</w:t>
      </w:r>
      <w:r w:rsidRPr="00B232A1">
        <w:t>.</w:t>
      </w:r>
      <w:r>
        <w:t>116</w:t>
      </w:r>
      <w:r w:rsidRPr="00B232A1">
        <w:t>m per annum</w:t>
      </w:r>
    </w:p>
    <w:p w14:paraId="269F849C" w14:textId="065E8C48" w:rsidR="001638AD" w:rsidRPr="00AD7BCC" w:rsidRDefault="001638AD" w:rsidP="00555BD5">
      <w:pPr>
        <w:pStyle w:val="PanelBullet"/>
      </w:pPr>
      <w:r w:rsidRPr="00AD7BCC">
        <w:t xml:space="preserve">Every 1% in </w:t>
      </w:r>
      <w:r w:rsidR="006E0068" w:rsidRPr="00AD7BCC">
        <w:t>Council Tax</w:t>
      </w:r>
      <w:r w:rsidRPr="00AD7BCC">
        <w:t xml:space="preserve"> </w:t>
      </w:r>
      <w:r w:rsidR="00AD7BCC">
        <w:t xml:space="preserve">(£0.75) </w:t>
      </w:r>
      <w:r w:rsidRPr="00AD7BCC">
        <w:t>equates to circa £</w:t>
      </w:r>
      <w:r w:rsidR="00AD7BCC">
        <w:t>0.198m</w:t>
      </w:r>
      <w:r w:rsidR="00CD7C13" w:rsidRPr="00AD7BCC">
        <w:t xml:space="preserve"> per annum</w:t>
      </w:r>
    </w:p>
    <w:p w14:paraId="50AF1B2E" w14:textId="5E43A417" w:rsidR="00D40F27" w:rsidRPr="00AD7BCC" w:rsidRDefault="00D40F27" w:rsidP="00555BD5">
      <w:pPr>
        <w:pStyle w:val="PanelBullet"/>
      </w:pPr>
      <w:r w:rsidRPr="00AD7BCC">
        <w:t>Every £1 in Council Tax equates to £</w:t>
      </w:r>
      <w:r w:rsidR="00AD7BCC">
        <w:t>0.</w:t>
      </w:r>
      <w:r w:rsidRPr="00AD7BCC">
        <w:t>2</w:t>
      </w:r>
      <w:r w:rsidR="00141870" w:rsidRPr="00AD7BCC">
        <w:t>5</w:t>
      </w:r>
      <w:r w:rsidR="00AD7BCC">
        <w:t>9m</w:t>
      </w:r>
      <w:r w:rsidRPr="00AD7BCC">
        <w:t xml:space="preserve"> per annum</w:t>
      </w:r>
    </w:p>
    <w:p w14:paraId="68B28AA0" w14:textId="26B2E981" w:rsidR="001638AD" w:rsidRPr="00AD7BCC" w:rsidRDefault="001638AD" w:rsidP="00555BD5">
      <w:pPr>
        <w:pStyle w:val="PanelBullet"/>
      </w:pPr>
      <w:r w:rsidRPr="00AD7BCC">
        <w:t>Every 1% in Pay equates to circa £</w:t>
      </w:r>
      <w:r w:rsidR="00AD7BCC">
        <w:t>0.3m</w:t>
      </w:r>
      <w:r w:rsidRPr="00AD7BCC">
        <w:t xml:space="preserve"> in a full year</w:t>
      </w:r>
    </w:p>
    <w:p w14:paraId="247D10F1" w14:textId="4339FC63" w:rsidR="001638AD" w:rsidRPr="00AD7BCC" w:rsidRDefault="001638AD" w:rsidP="00555BD5">
      <w:pPr>
        <w:pStyle w:val="PanelBullet"/>
      </w:pPr>
      <w:r w:rsidRPr="00AD7BCC">
        <w:t>Every 1% non</w:t>
      </w:r>
      <w:r w:rsidR="00377422" w:rsidRPr="00AD7BCC">
        <w:t>-</w:t>
      </w:r>
      <w:r w:rsidR="00FD0772" w:rsidRPr="00AD7BCC">
        <w:t>pay inflation equates to £</w:t>
      </w:r>
      <w:r w:rsidR="00AD7BCC">
        <w:t>0.1m</w:t>
      </w:r>
      <w:r w:rsidR="00CD7C13" w:rsidRPr="00AD7BCC">
        <w:t xml:space="preserve"> per annum</w:t>
      </w:r>
    </w:p>
    <w:p w14:paraId="1EACCA7F" w14:textId="4A52826C" w:rsidR="00657220" w:rsidRPr="00AD7BCC" w:rsidRDefault="00AD7BCC" w:rsidP="00AD7BCC">
      <w:pPr>
        <w:pStyle w:val="PanelPara"/>
      </w:pPr>
      <w:r w:rsidRPr="00AD7BCC">
        <w:t>Prudent forecasts have been included where information which has not yet been finalised.  Any variations between the provisional and final police settlement, council tax or the collection fund will be balanced with reserves.</w:t>
      </w:r>
    </w:p>
    <w:p w14:paraId="27C1C4D7" w14:textId="60C1F9A0" w:rsidR="00141870" w:rsidRPr="00AD7BCC" w:rsidRDefault="00141870" w:rsidP="00AD7BCC">
      <w:pPr>
        <w:pStyle w:val="PanelPara"/>
      </w:pPr>
      <w:r w:rsidRPr="00AD7BCC">
        <w:t xml:space="preserve">Each year since the governance transfer, a better </w:t>
      </w:r>
      <w:r w:rsidR="00D40F27" w:rsidRPr="00AD7BCC">
        <w:t xml:space="preserve">understanding </w:t>
      </w:r>
      <w:r w:rsidRPr="00AD7BCC">
        <w:t>has been developed in respect of the</w:t>
      </w:r>
      <w:r w:rsidR="00D40F27" w:rsidRPr="00AD7BCC">
        <w:t xml:space="preserve"> </w:t>
      </w:r>
      <w:r w:rsidR="000E3592" w:rsidRPr="00AD7BCC">
        <w:t xml:space="preserve">operational and budgetary pressures facing NCFRA. </w:t>
      </w:r>
      <w:r w:rsidR="00AD7BCC" w:rsidRPr="00AD7BCC">
        <w:t xml:space="preserve"> Many</w:t>
      </w:r>
      <w:r w:rsidR="00D40F27" w:rsidRPr="00AD7BCC">
        <w:t xml:space="preserve"> of </w:t>
      </w:r>
      <w:r w:rsidR="000E3592" w:rsidRPr="00AD7BCC">
        <w:t xml:space="preserve">these </w:t>
      </w:r>
      <w:r w:rsidRPr="00AD7BCC">
        <w:t xml:space="preserve">pressures required </w:t>
      </w:r>
      <w:r w:rsidR="000E3592" w:rsidRPr="00AD7BCC">
        <w:t xml:space="preserve">investment to ensure </w:t>
      </w:r>
      <w:r w:rsidR="00D40F27" w:rsidRPr="00AD7BCC">
        <w:t xml:space="preserve">resources, </w:t>
      </w:r>
      <w:r w:rsidR="000E3592" w:rsidRPr="00AD7BCC">
        <w:t xml:space="preserve">premises and equipment </w:t>
      </w:r>
      <w:r w:rsidR="006E5916" w:rsidRPr="00AD7BCC">
        <w:t>are</w:t>
      </w:r>
      <w:r w:rsidR="003862BE" w:rsidRPr="00AD7BCC">
        <w:t xml:space="preserve"> at </w:t>
      </w:r>
      <w:r w:rsidR="000E3592" w:rsidRPr="00AD7BCC">
        <w:t>an appropriate level.</w:t>
      </w:r>
    </w:p>
    <w:p w14:paraId="0F57DD48" w14:textId="278978E7" w:rsidR="004777A1" w:rsidRPr="0011485D" w:rsidRDefault="00166842" w:rsidP="00AD7BCC">
      <w:pPr>
        <w:pStyle w:val="PanelPara"/>
      </w:pPr>
      <w:r w:rsidRPr="00AD7BCC">
        <w:t xml:space="preserve">These </w:t>
      </w:r>
      <w:r w:rsidR="00141870" w:rsidRPr="00AD7BCC">
        <w:t>challenges, where known</w:t>
      </w:r>
      <w:r w:rsidR="006E5916" w:rsidRPr="00AD7BCC">
        <w:t>,</w:t>
      </w:r>
      <w:r w:rsidR="00141870" w:rsidRPr="00AD7BCC">
        <w:t xml:space="preserve"> </w:t>
      </w:r>
      <w:r w:rsidR="00AD7BCC" w:rsidRPr="00AD7BCC">
        <w:t>are</w:t>
      </w:r>
      <w:r w:rsidR="00141870" w:rsidRPr="00AD7BCC">
        <w:t xml:space="preserve"> built into the revenue budget and </w:t>
      </w:r>
      <w:r w:rsidR="00F671CE" w:rsidRPr="00AD7BCC">
        <w:t>capital programme</w:t>
      </w:r>
      <w:r w:rsidR="00141870" w:rsidRPr="00AD7BCC">
        <w:t xml:space="preserve">s to </w:t>
      </w:r>
      <w:r w:rsidR="00057EAA" w:rsidRPr="00AD7BCC">
        <w:t xml:space="preserve">enable </w:t>
      </w:r>
      <w:r w:rsidR="00141870" w:rsidRPr="00AD7BCC">
        <w:t xml:space="preserve">Fire </w:t>
      </w:r>
      <w:r w:rsidR="00057EAA" w:rsidRPr="00AD7BCC">
        <w:t xml:space="preserve">to have a base budget which reflects </w:t>
      </w:r>
      <w:r w:rsidR="00AD7BCC" w:rsidRPr="00AD7BCC">
        <w:t>its</w:t>
      </w:r>
      <w:r w:rsidR="00057EAA" w:rsidRPr="00AD7BCC">
        <w:t xml:space="preserve"> business requirements and </w:t>
      </w:r>
      <w:r w:rsidR="00141870" w:rsidRPr="00AD7BCC">
        <w:t xml:space="preserve">takes account </w:t>
      </w:r>
      <w:r w:rsidR="00141870" w:rsidRPr="0011485D">
        <w:t xml:space="preserve">of </w:t>
      </w:r>
      <w:r w:rsidR="00057EAA" w:rsidRPr="0011485D">
        <w:t xml:space="preserve">current and future demands and opportunities. </w:t>
      </w:r>
    </w:p>
    <w:p w14:paraId="65E13B0F" w14:textId="419CEB41" w:rsidR="00057EAA" w:rsidRPr="0011485D" w:rsidRDefault="00166842" w:rsidP="00BF5F12">
      <w:pPr>
        <w:pStyle w:val="PanelPara"/>
      </w:pPr>
      <w:r w:rsidRPr="0011485D">
        <w:t>Pr</w:t>
      </w:r>
      <w:r w:rsidR="00872960" w:rsidRPr="0011485D">
        <w:t>essures have been significant and</w:t>
      </w:r>
      <w:r w:rsidR="00E1639E" w:rsidRPr="0011485D">
        <w:t xml:space="preserve"> </w:t>
      </w:r>
      <w:r w:rsidR="00802B30" w:rsidRPr="0011485D">
        <w:t>in preparation of the</w:t>
      </w:r>
      <w:r w:rsidR="00205AAD" w:rsidRPr="0011485D">
        <w:t xml:space="preserve"> budget</w:t>
      </w:r>
      <w:r w:rsidR="00802B30" w:rsidRPr="0011485D">
        <w:t>, a number of</w:t>
      </w:r>
      <w:r w:rsidR="00205AAD" w:rsidRPr="0011485D">
        <w:t xml:space="preserve"> risks</w:t>
      </w:r>
      <w:r w:rsidR="00802B30" w:rsidRPr="0011485D">
        <w:t xml:space="preserve"> have been considered:</w:t>
      </w:r>
    </w:p>
    <w:p w14:paraId="0695B035" w14:textId="77777777" w:rsidR="00802B30" w:rsidRPr="0011485D" w:rsidRDefault="00713B11" w:rsidP="00802B30">
      <w:pPr>
        <w:pStyle w:val="PanelPara2"/>
      </w:pPr>
      <w:r w:rsidRPr="0011485D">
        <w:t>Inflation uncertainty</w:t>
      </w:r>
      <w:r w:rsidR="00802B30" w:rsidRPr="0011485D">
        <w:t xml:space="preserve"> including pay awards.</w:t>
      </w:r>
      <w:bookmarkStart w:id="3" w:name="_Hlk125051835"/>
      <w:r w:rsidR="00802B30" w:rsidRPr="0011485D">
        <w:t xml:space="preserve">  </w:t>
      </w:r>
      <w:r w:rsidRPr="0011485D">
        <w:t>M</w:t>
      </w:r>
      <w:r w:rsidR="005E59A5" w:rsidRPr="0011485D">
        <w:t>indful of th</w:t>
      </w:r>
      <w:r w:rsidR="004777A1" w:rsidRPr="0011485D">
        <w:t xml:space="preserve">is, </w:t>
      </w:r>
      <w:r w:rsidR="005E59A5" w:rsidRPr="0011485D">
        <w:t>the PFCC has set aside a</w:t>
      </w:r>
      <w:r w:rsidR="006E5916" w:rsidRPr="0011485D">
        <w:t>n</w:t>
      </w:r>
      <w:r w:rsidRPr="0011485D">
        <w:t xml:space="preserve"> </w:t>
      </w:r>
      <w:r w:rsidR="005E59A5" w:rsidRPr="0011485D">
        <w:t>inflation contingency for the Chief Fire Officer and</w:t>
      </w:r>
      <w:r w:rsidRPr="0011485D">
        <w:t xml:space="preserve"> </w:t>
      </w:r>
      <w:r w:rsidR="005E59A5" w:rsidRPr="0011485D">
        <w:t xml:space="preserve">holds a further </w:t>
      </w:r>
      <w:r w:rsidR="00205AAD" w:rsidRPr="0011485D">
        <w:t xml:space="preserve">£120k </w:t>
      </w:r>
      <w:r w:rsidR="005E59A5" w:rsidRPr="0011485D">
        <w:t xml:space="preserve">to meet other </w:t>
      </w:r>
      <w:r w:rsidR="00205AAD" w:rsidRPr="0011485D">
        <w:t>inflationary pressures</w:t>
      </w:r>
      <w:r w:rsidR="005E59A5" w:rsidRPr="0011485D">
        <w:t>.</w:t>
      </w:r>
      <w:bookmarkEnd w:id="3"/>
    </w:p>
    <w:p w14:paraId="37D33E7F" w14:textId="77777777" w:rsidR="00802B30" w:rsidRPr="0011485D" w:rsidRDefault="001E2D6F" w:rsidP="00802B30">
      <w:pPr>
        <w:pStyle w:val="PanelPara2"/>
      </w:pPr>
      <w:r w:rsidRPr="0011485D">
        <w:t>In 202</w:t>
      </w:r>
      <w:r w:rsidR="00802B30" w:rsidRPr="0011485D">
        <w:t>4</w:t>
      </w:r>
      <w:r w:rsidRPr="0011485D">
        <w:t>/2</w:t>
      </w:r>
      <w:r w:rsidR="00802B30" w:rsidRPr="0011485D">
        <w:t>5</w:t>
      </w:r>
      <w:r w:rsidRPr="0011485D">
        <w:t xml:space="preserve"> Fire will be moving on to the Joint Payroll and HR systems and the first year costs of these arrangements reflect the </w:t>
      </w:r>
      <w:r w:rsidR="00123782" w:rsidRPr="0011485D">
        <w:t>costs of moving from existing to new systems.</w:t>
      </w:r>
      <w:bookmarkStart w:id="4" w:name="_Hlk125051955"/>
    </w:p>
    <w:p w14:paraId="6EB7668D" w14:textId="77777777" w:rsidR="00802B30" w:rsidRPr="0011485D" w:rsidRDefault="005E59A5" w:rsidP="00802B30">
      <w:pPr>
        <w:pStyle w:val="PanelPara2"/>
      </w:pPr>
      <w:r w:rsidRPr="0011485D">
        <w:t>S</w:t>
      </w:r>
      <w:r w:rsidR="00141870" w:rsidRPr="0011485D">
        <w:t xml:space="preserve">trategies for: </w:t>
      </w:r>
      <w:r w:rsidR="006E5916" w:rsidRPr="0011485D">
        <w:t>e</w:t>
      </w:r>
      <w:r w:rsidR="00141870" w:rsidRPr="0011485D">
        <w:t xml:space="preserve">states, </w:t>
      </w:r>
      <w:r w:rsidR="006E5916" w:rsidRPr="0011485D">
        <w:t>f</w:t>
      </w:r>
      <w:r w:rsidR="00141870" w:rsidRPr="0011485D">
        <w:t xml:space="preserve">leet, </w:t>
      </w:r>
      <w:r w:rsidR="006E5916" w:rsidRPr="0011485D">
        <w:t>d</w:t>
      </w:r>
      <w:r w:rsidR="00141870" w:rsidRPr="0011485D">
        <w:t xml:space="preserve">igital and </w:t>
      </w:r>
      <w:r w:rsidR="006E5916" w:rsidRPr="0011485D">
        <w:t>o</w:t>
      </w:r>
      <w:r w:rsidR="00141870" w:rsidRPr="0011485D">
        <w:t xml:space="preserve">perational equipment </w:t>
      </w:r>
      <w:r w:rsidR="003F70D0" w:rsidRPr="0011485D">
        <w:t xml:space="preserve">are in place </w:t>
      </w:r>
      <w:r w:rsidR="00141870" w:rsidRPr="0011485D">
        <w:t xml:space="preserve">which inform the </w:t>
      </w:r>
      <w:r w:rsidR="006E5916" w:rsidRPr="0011485D">
        <w:t>c</w:t>
      </w:r>
      <w:r w:rsidR="00F671CE" w:rsidRPr="0011485D">
        <w:t>apital programme</w:t>
      </w:r>
      <w:r w:rsidR="00141870" w:rsidRPr="0011485D">
        <w:t xml:space="preserve"> and </w:t>
      </w:r>
      <w:r w:rsidR="006E5916" w:rsidRPr="0011485D">
        <w:t>r</w:t>
      </w:r>
      <w:r w:rsidR="00141870" w:rsidRPr="0011485D">
        <w:t>evenue budgets.</w:t>
      </w:r>
      <w:r w:rsidR="003F70D0" w:rsidRPr="0011485D">
        <w:t xml:space="preserve"> </w:t>
      </w:r>
      <w:r w:rsidR="00802B30" w:rsidRPr="0011485D">
        <w:t xml:space="preserve"> </w:t>
      </w:r>
      <w:r w:rsidR="003F70D0" w:rsidRPr="0011485D">
        <w:t xml:space="preserve">The Estates Strategy is currently being reviewed to develop a new masterplan and once updated will inform future </w:t>
      </w:r>
      <w:r w:rsidR="00F671CE" w:rsidRPr="0011485D">
        <w:t>capital programme</w:t>
      </w:r>
      <w:r w:rsidR="003F70D0" w:rsidRPr="0011485D">
        <w:t xml:space="preserve"> and MTFP updates.</w:t>
      </w:r>
      <w:bookmarkEnd w:id="4"/>
    </w:p>
    <w:p w14:paraId="6F2B6D15" w14:textId="77777777" w:rsidR="00802B30" w:rsidRPr="0011485D" w:rsidRDefault="00141870" w:rsidP="00802B30">
      <w:pPr>
        <w:pStyle w:val="PanelPara2"/>
      </w:pPr>
      <w:r w:rsidRPr="0011485D">
        <w:t xml:space="preserve">Condition surveys for the Fire estate have </w:t>
      </w:r>
      <w:r w:rsidR="00802B30" w:rsidRPr="0011485D">
        <w:t xml:space="preserve">also </w:t>
      </w:r>
      <w:r w:rsidRPr="0011485D">
        <w:t>informed the production of maintenance and repair programmes for all Fire sites</w:t>
      </w:r>
      <w:r w:rsidR="003F70D0" w:rsidRPr="0011485D">
        <w:t xml:space="preserve"> and these works are now underway</w:t>
      </w:r>
      <w:r w:rsidRPr="0011485D">
        <w:t>.</w:t>
      </w:r>
    </w:p>
    <w:p w14:paraId="683A00CB" w14:textId="77777777" w:rsidR="0011485D" w:rsidRDefault="000E3592" w:rsidP="0011485D">
      <w:pPr>
        <w:pStyle w:val="PanelPara2"/>
      </w:pPr>
      <w:r w:rsidRPr="0011485D">
        <w:lastRenderedPageBreak/>
        <w:t>Ensuring all relevant factors are considered when making decisions and supporting procurement pro</w:t>
      </w:r>
      <w:r w:rsidR="003862BE" w:rsidRPr="0011485D">
        <w:t xml:space="preserve">cesses to ensure that they are </w:t>
      </w:r>
      <w:r w:rsidRPr="0011485D">
        <w:t>informed</w:t>
      </w:r>
      <w:r w:rsidR="003862BE" w:rsidRPr="0011485D">
        <w:t xml:space="preserve"> and evidenced based</w:t>
      </w:r>
      <w:r w:rsidRPr="0011485D">
        <w:t>.</w:t>
      </w:r>
      <w:r w:rsidR="00802B30" w:rsidRPr="0011485D">
        <w:t xml:space="preserve">  The Joint Commercial Team</w:t>
      </w:r>
      <w:r w:rsidR="0011485D">
        <w:t>, working across Fire and Police have brought high levels of diligence and continue to refine processes to ensure efficient procurement and best value.</w:t>
      </w:r>
    </w:p>
    <w:p w14:paraId="3D74D08D" w14:textId="53F08D39" w:rsidR="003D0134" w:rsidRPr="0011485D" w:rsidRDefault="003F70D0" w:rsidP="0011485D">
      <w:pPr>
        <w:pStyle w:val="PanelPara2"/>
      </w:pPr>
      <w:r w:rsidRPr="0011485D">
        <w:t xml:space="preserve">Existing </w:t>
      </w:r>
      <w:r w:rsidR="0011485D">
        <w:t>and new j</w:t>
      </w:r>
      <w:r w:rsidR="003D0134" w:rsidRPr="0011485D">
        <w:t xml:space="preserve">oint </w:t>
      </w:r>
      <w:r w:rsidR="0011485D">
        <w:t>s</w:t>
      </w:r>
      <w:r w:rsidR="003D0134" w:rsidRPr="0011485D">
        <w:t xml:space="preserve">upport services with Police and managed by a Joint Assistant Chief </w:t>
      </w:r>
      <w:r w:rsidR="0011485D" w:rsidRPr="0011485D">
        <w:t>O</w:t>
      </w:r>
      <w:r w:rsidR="003D0134" w:rsidRPr="0011485D">
        <w:t xml:space="preserve">fficer have </w:t>
      </w:r>
      <w:r w:rsidRPr="0011485D">
        <w:t>continued to be embedded within the service</w:t>
      </w:r>
      <w:r w:rsidR="004777A1" w:rsidRPr="0011485D">
        <w:t xml:space="preserve"> </w:t>
      </w:r>
      <w:r w:rsidR="003D0134" w:rsidRPr="0011485D">
        <w:t xml:space="preserve">to ensure that the Authority has the right range and resilience of skills and expertise to build capacity and support transformative as well as business as usual activities. </w:t>
      </w:r>
    </w:p>
    <w:p w14:paraId="2181D082" w14:textId="321CD413" w:rsidR="00872960" w:rsidRPr="0011485D" w:rsidRDefault="001D11DE" w:rsidP="0011485D">
      <w:pPr>
        <w:pStyle w:val="PanelPara"/>
      </w:pPr>
      <w:r w:rsidRPr="0011485D">
        <w:t xml:space="preserve">Any </w:t>
      </w:r>
      <w:r w:rsidR="001638AD" w:rsidRPr="0011485D">
        <w:t>potential for industrial action requires contingency arrangements which have previously been managed within year</w:t>
      </w:r>
      <w:r w:rsidR="003D0134" w:rsidRPr="0011485D">
        <w:t xml:space="preserve"> or from </w:t>
      </w:r>
      <w:r w:rsidR="0081263C" w:rsidRPr="0011485D">
        <w:t>reserve</w:t>
      </w:r>
      <w:r w:rsidR="003D0134" w:rsidRPr="0011485D">
        <w:t xml:space="preserve">s. </w:t>
      </w:r>
      <w:r w:rsidR="0011485D">
        <w:t xml:space="preserve"> </w:t>
      </w:r>
      <w:r w:rsidR="003D0134" w:rsidRPr="0011485D">
        <w:t xml:space="preserve">That position remains and any </w:t>
      </w:r>
      <w:r w:rsidR="00CD7C13" w:rsidRPr="0011485D">
        <w:t xml:space="preserve">alternative options </w:t>
      </w:r>
      <w:r w:rsidR="0011485D">
        <w:t>will be</w:t>
      </w:r>
      <w:r w:rsidR="001638AD" w:rsidRPr="0011485D">
        <w:t xml:space="preserve"> costed</w:t>
      </w:r>
      <w:r w:rsidR="00366013">
        <w:t>,</w:t>
      </w:r>
      <w:r w:rsidR="003F70D0" w:rsidRPr="0011485D">
        <w:t xml:space="preserve"> and </w:t>
      </w:r>
      <w:r w:rsidR="001638AD" w:rsidRPr="0011485D">
        <w:t>funding set aside</w:t>
      </w:r>
      <w:r w:rsidR="003F70D0" w:rsidRPr="0011485D">
        <w:t xml:space="preserve"> from within the </w:t>
      </w:r>
      <w:r w:rsidR="0081263C" w:rsidRPr="0011485D">
        <w:t xml:space="preserve">General </w:t>
      </w:r>
      <w:r w:rsidR="0011485D">
        <w:t>R</w:t>
      </w:r>
      <w:r w:rsidR="0081263C" w:rsidRPr="0011485D">
        <w:t>eserve</w:t>
      </w:r>
      <w:r w:rsidR="003F70D0" w:rsidRPr="0011485D">
        <w:t xml:space="preserve">. </w:t>
      </w:r>
    </w:p>
    <w:p w14:paraId="20FE360B" w14:textId="77777777" w:rsidR="00872960" w:rsidRPr="0011485D" w:rsidRDefault="00872960" w:rsidP="0011485D">
      <w:pPr>
        <w:pStyle w:val="PanelHeading"/>
      </w:pPr>
      <w:bookmarkStart w:id="5" w:name="_Hlk62220860"/>
      <w:r w:rsidRPr="0011485D">
        <w:t>Other Financial Risks and Uncertainties - Pensions</w:t>
      </w:r>
    </w:p>
    <w:p w14:paraId="1B3D21B6" w14:textId="06900633" w:rsidR="004777A1" w:rsidRPr="0011485D" w:rsidRDefault="00872960" w:rsidP="0011485D">
      <w:pPr>
        <w:pStyle w:val="PanelPara"/>
      </w:pPr>
      <w:r w:rsidRPr="0011485D">
        <w:t xml:space="preserve">The Government introduced reforms to public service pensions in 2015 which resulted in most public sector workers being moved into new pension schemes.  In December 2018, the Court of Appeal ruled that the ‘transitional protection’ offered to some members gave rise to unlawful discrimination on the basis of age. </w:t>
      </w:r>
      <w:r w:rsidR="00E73A1C">
        <w:t xml:space="preserve"> </w:t>
      </w:r>
      <w:r w:rsidRPr="0011485D">
        <w:t>In July 2019, the Chief Secretary to the Treasury made a written ministerial statement confirming that, as ‘transitional protection’ was offered to members of all the main public service pension schemes, the difference in treatment will need to be removed across all those schemes for members with relevant service.</w:t>
      </w:r>
      <w:bookmarkStart w:id="6" w:name="_Hlk62220519"/>
      <w:bookmarkEnd w:id="5"/>
    </w:p>
    <w:p w14:paraId="0539FC8F" w14:textId="78844025" w:rsidR="00057EAA" w:rsidRPr="0011485D" w:rsidRDefault="008C38F1" w:rsidP="0011485D">
      <w:pPr>
        <w:pStyle w:val="PanelHeading"/>
      </w:pPr>
      <w:r w:rsidRPr="0011485D">
        <w:t>202</w:t>
      </w:r>
      <w:r w:rsidR="00D92C2F">
        <w:t>4</w:t>
      </w:r>
      <w:r w:rsidRPr="0011485D">
        <w:t>/2</w:t>
      </w:r>
      <w:r w:rsidR="00D92C2F">
        <w:t>5</w:t>
      </w:r>
      <w:r w:rsidR="001638AD" w:rsidRPr="0011485D">
        <w:t xml:space="preserve"> – Base Budget preparation, approach and scrutiny </w:t>
      </w:r>
    </w:p>
    <w:p w14:paraId="70CBA7A1" w14:textId="77777777" w:rsidR="0011485D" w:rsidRPr="0011485D" w:rsidRDefault="0011485D" w:rsidP="0011485D">
      <w:pPr>
        <w:pStyle w:val="PanelPara"/>
      </w:pPr>
      <w:r w:rsidRPr="0011485D">
        <w:t>The budget is the fourth budget prepared under the Joint Finance Team using an approach which provides consistency across both Fire and Police.  This has enabled comparability of assumptions and principles, together with best practice, resilience and a more efficient process applied to budgeting for all services.</w:t>
      </w:r>
    </w:p>
    <w:p w14:paraId="4FEAB12A" w14:textId="77777777" w:rsidR="0011485D" w:rsidRPr="0011485D" w:rsidRDefault="0011485D" w:rsidP="0011485D">
      <w:pPr>
        <w:pStyle w:val="PanelPara"/>
      </w:pPr>
      <w:r w:rsidRPr="0011485D">
        <w:t xml:space="preserve">The budget has been prepared on a zero-base where possible, in full consultation with budget holders, aligned to the Police, Fire and Crime Plan and tested against the MTFP. </w:t>
      </w:r>
    </w:p>
    <w:p w14:paraId="799B84D3" w14:textId="77777777" w:rsidR="0011485D" w:rsidRPr="0011485D" w:rsidRDefault="0011485D" w:rsidP="0011485D">
      <w:pPr>
        <w:pStyle w:val="PanelPara"/>
      </w:pPr>
      <w:r w:rsidRPr="0011485D">
        <w:t>The zero-based approach ensures that efficiencies are taken from this process where possible that only approved increases, inflation and unavoidable pressures are built in.  Detailed workings are prepared, and the format of the budget models are consistent and contain built in checks and balances to ensure the correct information is fed through.  This approach also enables resilience within the finance team.</w:t>
      </w:r>
    </w:p>
    <w:p w14:paraId="5E439A6C" w14:textId="77777777" w:rsidR="0011485D" w:rsidRPr="0011485D" w:rsidRDefault="0011485D" w:rsidP="0011485D">
      <w:pPr>
        <w:pStyle w:val="PanelPara"/>
      </w:pPr>
      <w:r w:rsidRPr="0011485D">
        <w:t xml:space="preserve">Following the preparation of the budget strategy and approach in September, briefing sessions took place with all budget holders and the strategy was shared with the Joint Independent Audit Committee (JIAC) for further scrutiny and review. </w:t>
      </w:r>
    </w:p>
    <w:p w14:paraId="6288002B" w14:textId="4D5E7FA4" w:rsidR="0011485D" w:rsidRPr="0011485D" w:rsidRDefault="0011485D" w:rsidP="0011485D">
      <w:pPr>
        <w:pStyle w:val="PanelPara"/>
      </w:pPr>
      <w:r w:rsidRPr="0011485D">
        <w:lastRenderedPageBreak/>
        <w:t xml:space="preserve">The table below sets out the preparation and scrutiny elements </w:t>
      </w:r>
      <w:r w:rsidR="00EE0A88">
        <w:t>of the budgeting process</w:t>
      </w:r>
      <w:r w:rsidRPr="0011485D">
        <w:t>:</w:t>
      </w:r>
    </w:p>
    <w:p w14:paraId="7475C462" w14:textId="03F63E9F" w:rsidR="004D41C0" w:rsidRPr="008D11E7" w:rsidRDefault="0011485D" w:rsidP="0011485D">
      <w:pPr>
        <w:pStyle w:val="PanelPara"/>
        <w:numPr>
          <w:ilvl w:val="0"/>
          <w:numId w:val="0"/>
        </w:numPr>
      </w:pPr>
      <w:r w:rsidRPr="008D11E7">
        <w:rPr>
          <w:rFonts w:ascii="Arial" w:hAnsi="Arial" w:cs="Arial"/>
          <w:noProof/>
          <w:kern w:val="36"/>
        </w:rPr>
        <w:drawing>
          <wp:inline distT="0" distB="0" distL="0" distR="0" wp14:anchorId="18CD1675" wp14:editId="5CFC1A62">
            <wp:extent cx="6120130" cy="4211955"/>
            <wp:effectExtent l="38100" t="19050" r="13970" b="36195"/>
            <wp:docPr id="6" name="Diagram 6">
              <a:extLst xmlns:a="http://schemas.openxmlformats.org/drawingml/2006/main">
                <a:ext uri="{FF2B5EF4-FFF2-40B4-BE49-F238E27FC236}">
                  <a16:creationId xmlns:a16="http://schemas.microsoft.com/office/drawing/2014/main" id="{AD664C20-7B26-5365-F78B-95BC80D3F6D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bookmarkEnd w:id="6"/>
    <w:p w14:paraId="11DC4889" w14:textId="03327F96" w:rsidR="001E10E3" w:rsidRDefault="004D41C0" w:rsidP="008D11E7">
      <w:pPr>
        <w:pStyle w:val="PanelPara"/>
      </w:pPr>
      <w:r w:rsidRPr="008D11E7">
        <w:t>Th</w:t>
      </w:r>
      <w:r w:rsidR="008D11E7" w:rsidRPr="008D11E7">
        <w:t>is process has</w:t>
      </w:r>
      <w:r w:rsidR="008F5FD0" w:rsidRPr="008D11E7">
        <w:t xml:space="preserve"> </w:t>
      </w:r>
      <w:r w:rsidRPr="008D11E7">
        <w:t xml:space="preserve">resulted in the PFCC </w:t>
      </w:r>
      <w:r w:rsidR="008F5FD0" w:rsidRPr="008D11E7">
        <w:t xml:space="preserve">setting </w:t>
      </w:r>
      <w:r w:rsidRPr="008D11E7">
        <w:t xml:space="preserve">the following budget </w:t>
      </w:r>
      <w:r w:rsidR="00EC1585" w:rsidRPr="008D11E7">
        <w:t>for NCFRA</w:t>
      </w:r>
      <w:r w:rsidRPr="008D11E7">
        <w:t>:</w:t>
      </w:r>
    </w:p>
    <w:p w14:paraId="4355553D" w14:textId="77777777" w:rsidR="001E10E3" w:rsidRDefault="001E10E3">
      <w:pPr>
        <w:spacing w:after="0" w:line="240" w:lineRule="auto"/>
        <w:rPr>
          <w:rFonts w:asciiTheme="minorHAnsi" w:hAnsiTheme="minorHAnsi" w:cstheme="minorHAnsi"/>
          <w:sz w:val="24"/>
          <w:szCs w:val="24"/>
        </w:rPr>
      </w:pPr>
      <w:r>
        <w:br w:type="page"/>
      </w:r>
    </w:p>
    <w:tbl>
      <w:tblPr>
        <w:tblW w:w="6820" w:type="dxa"/>
        <w:tblInd w:w="562" w:type="dxa"/>
        <w:tblLook w:val="04A0" w:firstRow="1" w:lastRow="0" w:firstColumn="1" w:lastColumn="0" w:noHBand="0" w:noVBand="1"/>
      </w:tblPr>
      <w:tblGrid>
        <w:gridCol w:w="1220"/>
        <w:gridCol w:w="4380"/>
        <w:gridCol w:w="1220"/>
      </w:tblGrid>
      <w:tr w:rsidR="008D11E7" w:rsidRPr="008D11E7" w14:paraId="1BB02960" w14:textId="77777777" w:rsidTr="004A00F7">
        <w:trPr>
          <w:trHeight w:val="630"/>
        </w:trPr>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D8D238" w14:textId="77777777" w:rsidR="008D11E7" w:rsidRPr="008D11E7" w:rsidRDefault="008D11E7" w:rsidP="008D11E7">
            <w:pPr>
              <w:spacing w:after="0" w:line="240" w:lineRule="auto"/>
              <w:jc w:val="center"/>
              <w:rPr>
                <w:rFonts w:eastAsia="Times New Roman" w:cs="Calibri"/>
                <w:b/>
                <w:bCs/>
                <w:color w:val="000000"/>
                <w:sz w:val="24"/>
                <w:szCs w:val="24"/>
                <w:lang w:eastAsia="en-GB"/>
              </w:rPr>
            </w:pPr>
            <w:r w:rsidRPr="008D11E7">
              <w:rPr>
                <w:rFonts w:eastAsia="Times New Roman" w:cs="Calibri"/>
                <w:b/>
                <w:bCs/>
                <w:color w:val="000000"/>
                <w:sz w:val="24"/>
                <w:szCs w:val="24"/>
                <w:lang w:eastAsia="en-GB"/>
              </w:rPr>
              <w:lastRenderedPageBreak/>
              <w:t>2023/24</w:t>
            </w:r>
            <w:r w:rsidRPr="008D11E7">
              <w:rPr>
                <w:rFonts w:eastAsia="Times New Roman" w:cs="Calibri"/>
                <w:b/>
                <w:bCs/>
                <w:color w:val="000000"/>
                <w:sz w:val="24"/>
                <w:szCs w:val="24"/>
                <w:lang w:eastAsia="en-GB"/>
              </w:rPr>
              <w:br/>
              <w:t>£m</w:t>
            </w:r>
          </w:p>
        </w:tc>
        <w:tc>
          <w:tcPr>
            <w:tcW w:w="4380" w:type="dxa"/>
            <w:tcBorders>
              <w:top w:val="single" w:sz="4" w:space="0" w:color="auto"/>
              <w:left w:val="nil"/>
              <w:bottom w:val="single" w:sz="4" w:space="0" w:color="auto"/>
              <w:right w:val="single" w:sz="4" w:space="0" w:color="auto"/>
            </w:tcBorders>
            <w:shd w:val="clear" w:color="000000" w:fill="FFFFFF"/>
            <w:noWrap/>
            <w:vAlign w:val="center"/>
            <w:hideMark/>
          </w:tcPr>
          <w:p w14:paraId="0D056DBD" w14:textId="77777777" w:rsidR="008D11E7" w:rsidRPr="008D11E7" w:rsidRDefault="008D11E7" w:rsidP="008D11E7">
            <w:pPr>
              <w:spacing w:after="0" w:line="240" w:lineRule="auto"/>
              <w:jc w:val="center"/>
              <w:rPr>
                <w:rFonts w:eastAsia="Times New Roman" w:cs="Calibri"/>
                <w:b/>
                <w:bCs/>
                <w:color w:val="000000"/>
                <w:sz w:val="24"/>
                <w:szCs w:val="24"/>
                <w:lang w:eastAsia="en-GB"/>
              </w:rPr>
            </w:pPr>
            <w:r w:rsidRPr="008D11E7">
              <w:rPr>
                <w:rFonts w:eastAsia="Times New Roman" w:cs="Calibri"/>
                <w:b/>
                <w:bCs/>
                <w:color w:val="000000"/>
                <w:sz w:val="24"/>
                <w:szCs w:val="24"/>
                <w:lang w:eastAsia="en-GB"/>
              </w:rPr>
              <w:t>Budget Breakdown</w:t>
            </w:r>
          </w:p>
        </w:tc>
        <w:tc>
          <w:tcPr>
            <w:tcW w:w="1220" w:type="dxa"/>
            <w:tcBorders>
              <w:top w:val="single" w:sz="4" w:space="0" w:color="auto"/>
              <w:left w:val="nil"/>
              <w:bottom w:val="single" w:sz="4" w:space="0" w:color="auto"/>
              <w:right w:val="single" w:sz="4" w:space="0" w:color="auto"/>
            </w:tcBorders>
            <w:shd w:val="clear" w:color="000000" w:fill="FFDDDD"/>
            <w:vAlign w:val="center"/>
            <w:hideMark/>
          </w:tcPr>
          <w:p w14:paraId="244F9266" w14:textId="77777777" w:rsidR="008D11E7" w:rsidRPr="008D11E7" w:rsidRDefault="008D11E7" w:rsidP="008D11E7">
            <w:pPr>
              <w:spacing w:after="0" w:line="240" w:lineRule="auto"/>
              <w:jc w:val="center"/>
              <w:rPr>
                <w:rFonts w:eastAsia="Times New Roman" w:cs="Calibri"/>
                <w:b/>
                <w:bCs/>
                <w:color w:val="000000"/>
                <w:sz w:val="24"/>
                <w:szCs w:val="24"/>
                <w:lang w:eastAsia="en-GB"/>
              </w:rPr>
            </w:pPr>
            <w:r w:rsidRPr="008D11E7">
              <w:rPr>
                <w:rFonts w:eastAsia="Times New Roman" w:cs="Calibri"/>
                <w:b/>
                <w:bCs/>
                <w:color w:val="000000"/>
                <w:sz w:val="24"/>
                <w:szCs w:val="24"/>
                <w:lang w:eastAsia="en-GB"/>
              </w:rPr>
              <w:t>2024/25</w:t>
            </w:r>
            <w:r w:rsidRPr="008D11E7">
              <w:rPr>
                <w:rFonts w:eastAsia="Times New Roman" w:cs="Calibri"/>
                <w:b/>
                <w:bCs/>
                <w:color w:val="000000"/>
                <w:sz w:val="24"/>
                <w:szCs w:val="24"/>
                <w:lang w:eastAsia="en-GB"/>
              </w:rPr>
              <w:br/>
              <w:t>£m</w:t>
            </w:r>
          </w:p>
        </w:tc>
      </w:tr>
      <w:tr w:rsidR="008D11E7" w:rsidRPr="008D11E7" w14:paraId="6CD18E4F" w14:textId="77777777" w:rsidTr="004A00F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503004F1"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17.052</w:t>
            </w:r>
          </w:p>
        </w:tc>
        <w:tc>
          <w:tcPr>
            <w:tcW w:w="4380" w:type="dxa"/>
            <w:tcBorders>
              <w:top w:val="nil"/>
              <w:left w:val="nil"/>
              <w:bottom w:val="nil"/>
              <w:right w:val="single" w:sz="4" w:space="0" w:color="auto"/>
            </w:tcBorders>
            <w:shd w:val="clear" w:color="000000" w:fill="FFFFFF"/>
            <w:noWrap/>
            <w:vAlign w:val="bottom"/>
            <w:hideMark/>
          </w:tcPr>
          <w:p w14:paraId="5D3A6CD0" w14:textId="77777777" w:rsidR="008D11E7" w:rsidRPr="008D11E7" w:rsidRDefault="008D11E7" w:rsidP="008D11E7">
            <w:pPr>
              <w:spacing w:after="0" w:line="240" w:lineRule="auto"/>
              <w:rPr>
                <w:rFonts w:eastAsia="Times New Roman" w:cs="Calibri"/>
                <w:color w:val="000000"/>
                <w:sz w:val="24"/>
                <w:szCs w:val="24"/>
                <w:lang w:eastAsia="en-GB"/>
              </w:rPr>
            </w:pPr>
            <w:r w:rsidRPr="008D11E7">
              <w:rPr>
                <w:rFonts w:eastAsia="Times New Roman" w:cs="Calibri"/>
                <w:color w:val="000000"/>
                <w:sz w:val="24"/>
                <w:szCs w:val="24"/>
                <w:lang w:eastAsia="en-GB"/>
              </w:rPr>
              <w:t>Fire Fighters</w:t>
            </w:r>
          </w:p>
        </w:tc>
        <w:tc>
          <w:tcPr>
            <w:tcW w:w="1220" w:type="dxa"/>
            <w:tcBorders>
              <w:top w:val="nil"/>
              <w:left w:val="nil"/>
              <w:bottom w:val="nil"/>
              <w:right w:val="single" w:sz="4" w:space="0" w:color="auto"/>
            </w:tcBorders>
            <w:shd w:val="clear" w:color="000000" w:fill="FFDDDD"/>
            <w:noWrap/>
            <w:vAlign w:val="bottom"/>
            <w:hideMark/>
          </w:tcPr>
          <w:p w14:paraId="256D4A8B"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18.484</w:t>
            </w:r>
          </w:p>
        </w:tc>
      </w:tr>
      <w:tr w:rsidR="008D11E7" w:rsidRPr="008D11E7" w14:paraId="498D71D6" w14:textId="77777777" w:rsidTr="004A00F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3E4D6868"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2.900</w:t>
            </w:r>
          </w:p>
        </w:tc>
        <w:tc>
          <w:tcPr>
            <w:tcW w:w="4380" w:type="dxa"/>
            <w:tcBorders>
              <w:top w:val="nil"/>
              <w:left w:val="nil"/>
              <w:bottom w:val="nil"/>
              <w:right w:val="single" w:sz="4" w:space="0" w:color="auto"/>
            </w:tcBorders>
            <w:shd w:val="clear" w:color="000000" w:fill="FFFFFF"/>
            <w:noWrap/>
            <w:vAlign w:val="bottom"/>
            <w:hideMark/>
          </w:tcPr>
          <w:p w14:paraId="3AAB336D" w14:textId="77777777" w:rsidR="008D11E7" w:rsidRPr="008D11E7" w:rsidRDefault="008D11E7" w:rsidP="008D11E7">
            <w:pPr>
              <w:spacing w:after="0" w:line="240" w:lineRule="auto"/>
              <w:rPr>
                <w:rFonts w:eastAsia="Times New Roman" w:cs="Calibri"/>
                <w:color w:val="000000"/>
                <w:sz w:val="24"/>
                <w:szCs w:val="24"/>
                <w:lang w:eastAsia="en-GB"/>
              </w:rPr>
            </w:pPr>
            <w:r w:rsidRPr="008D11E7">
              <w:rPr>
                <w:rFonts w:eastAsia="Times New Roman" w:cs="Calibri"/>
                <w:color w:val="000000"/>
                <w:sz w:val="24"/>
                <w:szCs w:val="24"/>
                <w:lang w:eastAsia="en-GB"/>
              </w:rPr>
              <w:t>Staff</w:t>
            </w:r>
          </w:p>
        </w:tc>
        <w:tc>
          <w:tcPr>
            <w:tcW w:w="1220" w:type="dxa"/>
            <w:tcBorders>
              <w:top w:val="nil"/>
              <w:left w:val="nil"/>
              <w:bottom w:val="nil"/>
              <w:right w:val="single" w:sz="4" w:space="0" w:color="auto"/>
            </w:tcBorders>
            <w:shd w:val="clear" w:color="000000" w:fill="FFDDDD"/>
            <w:noWrap/>
            <w:vAlign w:val="bottom"/>
            <w:hideMark/>
          </w:tcPr>
          <w:p w14:paraId="54E0A7AD"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3.068</w:t>
            </w:r>
          </w:p>
        </w:tc>
      </w:tr>
      <w:tr w:rsidR="008D11E7" w:rsidRPr="008D11E7" w14:paraId="30CD9E20" w14:textId="77777777" w:rsidTr="004A00F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5254FE5A"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1.077</w:t>
            </w:r>
          </w:p>
        </w:tc>
        <w:tc>
          <w:tcPr>
            <w:tcW w:w="4380" w:type="dxa"/>
            <w:tcBorders>
              <w:top w:val="nil"/>
              <w:left w:val="nil"/>
              <w:bottom w:val="nil"/>
              <w:right w:val="single" w:sz="4" w:space="0" w:color="auto"/>
            </w:tcBorders>
            <w:shd w:val="clear" w:color="000000" w:fill="FFFFFF"/>
            <w:noWrap/>
            <w:vAlign w:val="bottom"/>
            <w:hideMark/>
          </w:tcPr>
          <w:p w14:paraId="21AE93D8" w14:textId="77777777" w:rsidR="008D11E7" w:rsidRPr="008D11E7" w:rsidRDefault="008D11E7" w:rsidP="008D11E7">
            <w:pPr>
              <w:spacing w:after="0" w:line="240" w:lineRule="auto"/>
              <w:rPr>
                <w:rFonts w:eastAsia="Times New Roman" w:cs="Calibri"/>
                <w:color w:val="000000"/>
                <w:sz w:val="24"/>
                <w:szCs w:val="24"/>
                <w:lang w:eastAsia="en-GB"/>
              </w:rPr>
            </w:pPr>
            <w:r w:rsidRPr="008D11E7">
              <w:rPr>
                <w:rFonts w:eastAsia="Times New Roman" w:cs="Calibri"/>
                <w:color w:val="000000"/>
                <w:sz w:val="24"/>
                <w:szCs w:val="24"/>
                <w:lang w:eastAsia="en-GB"/>
              </w:rPr>
              <w:t>Other Employee Expenses &amp; Contingencies</w:t>
            </w:r>
          </w:p>
        </w:tc>
        <w:tc>
          <w:tcPr>
            <w:tcW w:w="1220" w:type="dxa"/>
            <w:tcBorders>
              <w:top w:val="nil"/>
              <w:left w:val="nil"/>
              <w:bottom w:val="nil"/>
              <w:right w:val="single" w:sz="4" w:space="0" w:color="auto"/>
            </w:tcBorders>
            <w:shd w:val="clear" w:color="000000" w:fill="FFDDDD"/>
            <w:noWrap/>
            <w:vAlign w:val="bottom"/>
            <w:hideMark/>
          </w:tcPr>
          <w:p w14:paraId="416A9472"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1.472</w:t>
            </w:r>
          </w:p>
        </w:tc>
      </w:tr>
      <w:tr w:rsidR="008D11E7" w:rsidRPr="008D11E7" w14:paraId="0ED58FB6" w14:textId="77777777" w:rsidTr="004A00F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5B37FAC1"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5.490</w:t>
            </w:r>
          </w:p>
        </w:tc>
        <w:tc>
          <w:tcPr>
            <w:tcW w:w="4380" w:type="dxa"/>
            <w:tcBorders>
              <w:top w:val="nil"/>
              <w:left w:val="nil"/>
              <w:bottom w:val="nil"/>
              <w:right w:val="single" w:sz="4" w:space="0" w:color="auto"/>
            </w:tcBorders>
            <w:shd w:val="clear" w:color="000000" w:fill="FFFFFF"/>
            <w:noWrap/>
            <w:vAlign w:val="bottom"/>
            <w:hideMark/>
          </w:tcPr>
          <w:p w14:paraId="0D9BA2BF" w14:textId="77777777" w:rsidR="008D11E7" w:rsidRPr="008D11E7" w:rsidRDefault="008D11E7" w:rsidP="008D11E7">
            <w:pPr>
              <w:spacing w:after="0" w:line="240" w:lineRule="auto"/>
              <w:rPr>
                <w:rFonts w:eastAsia="Times New Roman" w:cs="Calibri"/>
                <w:color w:val="000000"/>
                <w:sz w:val="24"/>
                <w:szCs w:val="24"/>
                <w:lang w:eastAsia="en-GB"/>
              </w:rPr>
            </w:pPr>
            <w:r w:rsidRPr="008D11E7">
              <w:rPr>
                <w:rFonts w:eastAsia="Times New Roman" w:cs="Calibri"/>
                <w:color w:val="000000"/>
                <w:sz w:val="24"/>
                <w:szCs w:val="24"/>
                <w:lang w:eastAsia="en-GB"/>
              </w:rPr>
              <w:t>Other Costs</w:t>
            </w:r>
          </w:p>
        </w:tc>
        <w:tc>
          <w:tcPr>
            <w:tcW w:w="1220" w:type="dxa"/>
            <w:tcBorders>
              <w:top w:val="nil"/>
              <w:left w:val="nil"/>
              <w:bottom w:val="nil"/>
              <w:right w:val="single" w:sz="4" w:space="0" w:color="auto"/>
            </w:tcBorders>
            <w:shd w:val="clear" w:color="000000" w:fill="FFDDDD"/>
            <w:noWrap/>
            <w:vAlign w:val="bottom"/>
            <w:hideMark/>
          </w:tcPr>
          <w:p w14:paraId="26BF2AB1"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6.399</w:t>
            </w:r>
          </w:p>
        </w:tc>
      </w:tr>
      <w:tr w:rsidR="008D11E7" w:rsidRPr="008D11E7" w14:paraId="08EB3552" w14:textId="77777777" w:rsidTr="004A00F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31F6F091"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(1.016)</w:t>
            </w:r>
          </w:p>
        </w:tc>
        <w:tc>
          <w:tcPr>
            <w:tcW w:w="4380" w:type="dxa"/>
            <w:tcBorders>
              <w:top w:val="nil"/>
              <w:left w:val="nil"/>
              <w:bottom w:val="nil"/>
              <w:right w:val="single" w:sz="4" w:space="0" w:color="auto"/>
            </w:tcBorders>
            <w:shd w:val="clear" w:color="000000" w:fill="FFFFFF"/>
            <w:noWrap/>
            <w:vAlign w:val="bottom"/>
            <w:hideMark/>
          </w:tcPr>
          <w:p w14:paraId="6977AE09" w14:textId="77777777" w:rsidR="008D11E7" w:rsidRPr="008D11E7" w:rsidRDefault="008D11E7" w:rsidP="008D11E7">
            <w:pPr>
              <w:spacing w:after="0" w:line="240" w:lineRule="auto"/>
              <w:rPr>
                <w:rFonts w:eastAsia="Times New Roman" w:cs="Calibri"/>
                <w:color w:val="000000"/>
                <w:sz w:val="24"/>
                <w:szCs w:val="24"/>
                <w:lang w:eastAsia="en-GB"/>
              </w:rPr>
            </w:pPr>
            <w:r w:rsidRPr="008D11E7">
              <w:rPr>
                <w:rFonts w:eastAsia="Times New Roman" w:cs="Calibri"/>
                <w:color w:val="000000"/>
                <w:sz w:val="24"/>
                <w:szCs w:val="24"/>
                <w:lang w:eastAsia="en-GB"/>
              </w:rPr>
              <w:t>Income</w:t>
            </w:r>
          </w:p>
        </w:tc>
        <w:tc>
          <w:tcPr>
            <w:tcW w:w="1220" w:type="dxa"/>
            <w:tcBorders>
              <w:top w:val="nil"/>
              <w:left w:val="nil"/>
              <w:bottom w:val="nil"/>
              <w:right w:val="single" w:sz="4" w:space="0" w:color="auto"/>
            </w:tcBorders>
            <w:shd w:val="clear" w:color="000000" w:fill="FFDDDD"/>
            <w:noWrap/>
            <w:vAlign w:val="bottom"/>
            <w:hideMark/>
          </w:tcPr>
          <w:p w14:paraId="2F5C746D"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(1.204)</w:t>
            </w:r>
          </w:p>
        </w:tc>
      </w:tr>
      <w:tr w:rsidR="008D11E7" w:rsidRPr="008D11E7" w14:paraId="54734ACC" w14:textId="77777777" w:rsidTr="004A00F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42693559"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3.484</w:t>
            </w:r>
          </w:p>
        </w:tc>
        <w:tc>
          <w:tcPr>
            <w:tcW w:w="4380" w:type="dxa"/>
            <w:tcBorders>
              <w:top w:val="nil"/>
              <w:left w:val="nil"/>
              <w:bottom w:val="nil"/>
              <w:right w:val="single" w:sz="4" w:space="0" w:color="auto"/>
            </w:tcBorders>
            <w:shd w:val="clear" w:color="000000" w:fill="FFFFFF"/>
            <w:noWrap/>
            <w:vAlign w:val="bottom"/>
            <w:hideMark/>
          </w:tcPr>
          <w:p w14:paraId="593077C3" w14:textId="77777777" w:rsidR="008D11E7" w:rsidRPr="008D11E7" w:rsidRDefault="008D11E7" w:rsidP="008D11E7">
            <w:pPr>
              <w:spacing w:after="0" w:line="240" w:lineRule="auto"/>
              <w:rPr>
                <w:rFonts w:eastAsia="Times New Roman" w:cs="Calibri"/>
                <w:color w:val="000000"/>
                <w:sz w:val="24"/>
                <w:szCs w:val="24"/>
                <w:lang w:eastAsia="en-GB"/>
              </w:rPr>
            </w:pPr>
            <w:r w:rsidRPr="008D11E7">
              <w:rPr>
                <w:rFonts w:eastAsia="Times New Roman" w:cs="Calibri"/>
                <w:color w:val="000000"/>
                <w:sz w:val="24"/>
                <w:szCs w:val="24"/>
                <w:lang w:eastAsia="en-GB"/>
              </w:rPr>
              <w:t>Governance/Support Services</w:t>
            </w:r>
          </w:p>
        </w:tc>
        <w:tc>
          <w:tcPr>
            <w:tcW w:w="1220" w:type="dxa"/>
            <w:tcBorders>
              <w:top w:val="nil"/>
              <w:left w:val="nil"/>
              <w:bottom w:val="nil"/>
              <w:right w:val="single" w:sz="4" w:space="0" w:color="auto"/>
            </w:tcBorders>
            <w:shd w:val="clear" w:color="000000" w:fill="FFDDDD"/>
            <w:noWrap/>
            <w:vAlign w:val="bottom"/>
            <w:hideMark/>
          </w:tcPr>
          <w:p w14:paraId="336F6B47"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3.920</w:t>
            </w:r>
          </w:p>
        </w:tc>
      </w:tr>
      <w:tr w:rsidR="008D11E7" w:rsidRPr="008D11E7" w14:paraId="687FE322" w14:textId="77777777" w:rsidTr="004A00F7">
        <w:trPr>
          <w:trHeight w:val="315"/>
        </w:trPr>
        <w:tc>
          <w:tcPr>
            <w:tcW w:w="1220" w:type="dxa"/>
            <w:tcBorders>
              <w:top w:val="single" w:sz="4" w:space="0" w:color="auto"/>
              <w:left w:val="single" w:sz="4" w:space="0" w:color="auto"/>
              <w:bottom w:val="nil"/>
              <w:right w:val="single" w:sz="4" w:space="0" w:color="auto"/>
            </w:tcBorders>
            <w:shd w:val="clear" w:color="000000" w:fill="FFFFFF"/>
            <w:noWrap/>
            <w:vAlign w:val="bottom"/>
            <w:hideMark/>
          </w:tcPr>
          <w:p w14:paraId="6609634D" w14:textId="77777777" w:rsidR="008D11E7" w:rsidRPr="008D11E7" w:rsidRDefault="008D11E7" w:rsidP="008D11E7">
            <w:pPr>
              <w:spacing w:after="0" w:line="240" w:lineRule="auto"/>
              <w:jc w:val="right"/>
              <w:rPr>
                <w:rFonts w:eastAsia="Times New Roman" w:cs="Calibri"/>
                <w:b/>
                <w:bCs/>
                <w:color w:val="000000"/>
                <w:sz w:val="24"/>
                <w:szCs w:val="24"/>
                <w:lang w:eastAsia="en-GB"/>
              </w:rPr>
            </w:pPr>
            <w:r w:rsidRPr="008D11E7">
              <w:rPr>
                <w:rFonts w:eastAsia="Times New Roman" w:cs="Calibri"/>
                <w:b/>
                <w:bCs/>
                <w:color w:val="000000"/>
                <w:sz w:val="24"/>
                <w:szCs w:val="24"/>
                <w:lang w:eastAsia="en-GB"/>
              </w:rPr>
              <w:t>28.987</w:t>
            </w:r>
          </w:p>
        </w:tc>
        <w:tc>
          <w:tcPr>
            <w:tcW w:w="4380" w:type="dxa"/>
            <w:tcBorders>
              <w:top w:val="single" w:sz="4" w:space="0" w:color="auto"/>
              <w:left w:val="nil"/>
              <w:bottom w:val="nil"/>
              <w:right w:val="single" w:sz="4" w:space="0" w:color="auto"/>
            </w:tcBorders>
            <w:shd w:val="clear" w:color="000000" w:fill="FFFFFF"/>
            <w:noWrap/>
            <w:vAlign w:val="bottom"/>
            <w:hideMark/>
          </w:tcPr>
          <w:p w14:paraId="11337018" w14:textId="77777777" w:rsidR="008D11E7" w:rsidRPr="008D11E7" w:rsidRDefault="008D11E7" w:rsidP="008D11E7">
            <w:pPr>
              <w:spacing w:after="0" w:line="240" w:lineRule="auto"/>
              <w:rPr>
                <w:rFonts w:eastAsia="Times New Roman" w:cs="Calibri"/>
                <w:b/>
                <w:bCs/>
                <w:color w:val="000000"/>
                <w:sz w:val="24"/>
                <w:szCs w:val="24"/>
                <w:lang w:eastAsia="en-GB"/>
              </w:rPr>
            </w:pPr>
            <w:r w:rsidRPr="008D11E7">
              <w:rPr>
                <w:rFonts w:eastAsia="Times New Roman" w:cs="Calibri"/>
                <w:b/>
                <w:bCs/>
                <w:color w:val="000000"/>
                <w:sz w:val="24"/>
                <w:szCs w:val="24"/>
                <w:lang w:eastAsia="en-GB"/>
              </w:rPr>
              <w:t>OPERATIONAL BUDGET</w:t>
            </w:r>
          </w:p>
        </w:tc>
        <w:tc>
          <w:tcPr>
            <w:tcW w:w="1220" w:type="dxa"/>
            <w:tcBorders>
              <w:top w:val="single" w:sz="4" w:space="0" w:color="auto"/>
              <w:left w:val="nil"/>
              <w:bottom w:val="nil"/>
              <w:right w:val="single" w:sz="4" w:space="0" w:color="auto"/>
            </w:tcBorders>
            <w:shd w:val="clear" w:color="000000" w:fill="FFDDDD"/>
            <w:noWrap/>
            <w:vAlign w:val="bottom"/>
            <w:hideMark/>
          </w:tcPr>
          <w:p w14:paraId="7D600A81" w14:textId="77777777" w:rsidR="008D11E7" w:rsidRPr="008D11E7" w:rsidRDefault="008D11E7" w:rsidP="008D11E7">
            <w:pPr>
              <w:spacing w:after="0" w:line="240" w:lineRule="auto"/>
              <w:jc w:val="right"/>
              <w:rPr>
                <w:rFonts w:eastAsia="Times New Roman" w:cs="Calibri"/>
                <w:b/>
                <w:bCs/>
                <w:color w:val="000000"/>
                <w:sz w:val="24"/>
                <w:szCs w:val="24"/>
                <w:lang w:eastAsia="en-GB"/>
              </w:rPr>
            </w:pPr>
            <w:r w:rsidRPr="008D11E7">
              <w:rPr>
                <w:rFonts w:eastAsia="Times New Roman" w:cs="Calibri"/>
                <w:b/>
                <w:bCs/>
                <w:color w:val="000000"/>
                <w:sz w:val="24"/>
                <w:szCs w:val="24"/>
                <w:lang w:eastAsia="en-GB"/>
              </w:rPr>
              <w:t>32.139</w:t>
            </w:r>
          </w:p>
        </w:tc>
      </w:tr>
      <w:tr w:rsidR="008D11E7" w:rsidRPr="008D11E7" w14:paraId="100162B4" w14:textId="77777777" w:rsidTr="004A00F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0D397B54" w14:textId="77777777" w:rsidR="008D11E7" w:rsidRPr="008D11E7" w:rsidRDefault="008D11E7" w:rsidP="008D11E7">
            <w:pPr>
              <w:spacing w:after="0" w:line="240" w:lineRule="auto"/>
              <w:rPr>
                <w:rFonts w:eastAsia="Times New Roman" w:cs="Calibri"/>
                <w:color w:val="000000"/>
                <w:sz w:val="24"/>
                <w:szCs w:val="24"/>
                <w:lang w:eastAsia="en-GB"/>
              </w:rPr>
            </w:pPr>
            <w:r w:rsidRPr="008D11E7">
              <w:rPr>
                <w:rFonts w:eastAsia="Times New Roman" w:cs="Calibri"/>
                <w:color w:val="000000"/>
                <w:sz w:val="24"/>
                <w:szCs w:val="24"/>
                <w:lang w:eastAsia="en-GB"/>
              </w:rPr>
              <w:t> </w:t>
            </w:r>
          </w:p>
        </w:tc>
        <w:tc>
          <w:tcPr>
            <w:tcW w:w="4380" w:type="dxa"/>
            <w:tcBorders>
              <w:top w:val="nil"/>
              <w:left w:val="nil"/>
              <w:bottom w:val="nil"/>
              <w:right w:val="single" w:sz="4" w:space="0" w:color="auto"/>
            </w:tcBorders>
            <w:shd w:val="clear" w:color="000000" w:fill="FFFFFF"/>
            <w:noWrap/>
            <w:vAlign w:val="bottom"/>
            <w:hideMark/>
          </w:tcPr>
          <w:p w14:paraId="713CEF2C" w14:textId="77777777" w:rsidR="008D11E7" w:rsidRPr="008D11E7" w:rsidRDefault="008D11E7" w:rsidP="008D11E7">
            <w:pPr>
              <w:spacing w:after="0" w:line="240" w:lineRule="auto"/>
              <w:rPr>
                <w:rFonts w:eastAsia="Times New Roman" w:cs="Calibri"/>
                <w:color w:val="000000"/>
                <w:sz w:val="24"/>
                <w:szCs w:val="24"/>
                <w:lang w:eastAsia="en-GB"/>
              </w:rPr>
            </w:pPr>
            <w:r w:rsidRPr="008D11E7">
              <w:rPr>
                <w:rFonts w:eastAsia="Times New Roman" w:cs="Calibri"/>
                <w:color w:val="000000"/>
                <w:sz w:val="24"/>
                <w:szCs w:val="24"/>
                <w:lang w:eastAsia="en-GB"/>
              </w:rPr>
              <w:t> </w:t>
            </w:r>
          </w:p>
        </w:tc>
        <w:tc>
          <w:tcPr>
            <w:tcW w:w="1220" w:type="dxa"/>
            <w:tcBorders>
              <w:top w:val="nil"/>
              <w:left w:val="nil"/>
              <w:bottom w:val="nil"/>
              <w:right w:val="single" w:sz="4" w:space="0" w:color="auto"/>
            </w:tcBorders>
            <w:shd w:val="clear" w:color="000000" w:fill="FFDDDD"/>
            <w:noWrap/>
            <w:vAlign w:val="bottom"/>
            <w:hideMark/>
          </w:tcPr>
          <w:p w14:paraId="49B06AE3" w14:textId="77777777" w:rsidR="008D11E7" w:rsidRPr="008D11E7" w:rsidRDefault="008D11E7" w:rsidP="008D11E7">
            <w:pPr>
              <w:spacing w:after="0" w:line="240" w:lineRule="auto"/>
              <w:rPr>
                <w:rFonts w:eastAsia="Times New Roman" w:cs="Calibri"/>
                <w:color w:val="000000"/>
                <w:sz w:val="24"/>
                <w:szCs w:val="24"/>
                <w:lang w:eastAsia="en-GB"/>
              </w:rPr>
            </w:pPr>
            <w:r w:rsidRPr="008D11E7">
              <w:rPr>
                <w:rFonts w:eastAsia="Times New Roman" w:cs="Calibri"/>
                <w:color w:val="000000"/>
                <w:sz w:val="24"/>
                <w:szCs w:val="24"/>
                <w:lang w:eastAsia="en-GB"/>
              </w:rPr>
              <w:t> </w:t>
            </w:r>
          </w:p>
        </w:tc>
      </w:tr>
      <w:tr w:rsidR="008D11E7" w:rsidRPr="008D11E7" w14:paraId="140E3C30" w14:textId="77777777" w:rsidTr="004A00F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20345DDF"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0.444</w:t>
            </w:r>
          </w:p>
        </w:tc>
        <w:tc>
          <w:tcPr>
            <w:tcW w:w="4380" w:type="dxa"/>
            <w:tcBorders>
              <w:top w:val="nil"/>
              <w:left w:val="nil"/>
              <w:bottom w:val="nil"/>
              <w:right w:val="single" w:sz="4" w:space="0" w:color="auto"/>
            </w:tcBorders>
            <w:shd w:val="clear" w:color="000000" w:fill="FFFFFF"/>
            <w:noWrap/>
            <w:vAlign w:val="bottom"/>
            <w:hideMark/>
          </w:tcPr>
          <w:p w14:paraId="1401FC9F" w14:textId="77777777" w:rsidR="008D11E7" w:rsidRPr="008D11E7" w:rsidRDefault="008D11E7" w:rsidP="008D11E7">
            <w:pPr>
              <w:spacing w:after="0" w:line="240" w:lineRule="auto"/>
              <w:rPr>
                <w:rFonts w:eastAsia="Times New Roman" w:cs="Calibri"/>
                <w:color w:val="000000"/>
                <w:sz w:val="24"/>
                <w:szCs w:val="24"/>
                <w:lang w:eastAsia="en-GB"/>
              </w:rPr>
            </w:pPr>
            <w:r w:rsidRPr="008D11E7">
              <w:rPr>
                <w:rFonts w:eastAsia="Times New Roman" w:cs="Calibri"/>
                <w:color w:val="000000"/>
                <w:sz w:val="24"/>
                <w:szCs w:val="24"/>
                <w:lang w:eastAsia="en-GB"/>
              </w:rPr>
              <w:t>Capital Financing</w:t>
            </w:r>
          </w:p>
        </w:tc>
        <w:tc>
          <w:tcPr>
            <w:tcW w:w="1220" w:type="dxa"/>
            <w:tcBorders>
              <w:top w:val="nil"/>
              <w:left w:val="nil"/>
              <w:bottom w:val="nil"/>
              <w:right w:val="single" w:sz="4" w:space="0" w:color="auto"/>
            </w:tcBorders>
            <w:shd w:val="clear" w:color="000000" w:fill="FFDDDD"/>
            <w:noWrap/>
            <w:vAlign w:val="bottom"/>
            <w:hideMark/>
          </w:tcPr>
          <w:p w14:paraId="2B45139D"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0.618</w:t>
            </w:r>
          </w:p>
        </w:tc>
      </w:tr>
      <w:tr w:rsidR="008D11E7" w:rsidRPr="008D11E7" w14:paraId="20E4EA8D" w14:textId="77777777" w:rsidTr="004A00F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0127C23A"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0.120</w:t>
            </w:r>
          </w:p>
        </w:tc>
        <w:tc>
          <w:tcPr>
            <w:tcW w:w="4380" w:type="dxa"/>
            <w:tcBorders>
              <w:top w:val="nil"/>
              <w:left w:val="nil"/>
              <w:bottom w:val="nil"/>
              <w:right w:val="single" w:sz="4" w:space="0" w:color="auto"/>
            </w:tcBorders>
            <w:shd w:val="clear" w:color="000000" w:fill="FFFFFF"/>
            <w:noWrap/>
            <w:vAlign w:val="bottom"/>
            <w:hideMark/>
          </w:tcPr>
          <w:p w14:paraId="6D52D4CE" w14:textId="77777777" w:rsidR="008D11E7" w:rsidRPr="008D11E7" w:rsidRDefault="008D11E7" w:rsidP="008D11E7">
            <w:pPr>
              <w:spacing w:after="0" w:line="240" w:lineRule="auto"/>
              <w:rPr>
                <w:rFonts w:eastAsia="Times New Roman" w:cs="Calibri"/>
                <w:color w:val="000000"/>
                <w:sz w:val="24"/>
                <w:szCs w:val="24"/>
                <w:lang w:eastAsia="en-GB"/>
              </w:rPr>
            </w:pPr>
            <w:r w:rsidRPr="008D11E7">
              <w:rPr>
                <w:rFonts w:eastAsia="Times New Roman" w:cs="Calibri"/>
                <w:color w:val="000000"/>
                <w:sz w:val="24"/>
                <w:szCs w:val="24"/>
                <w:lang w:eastAsia="en-GB"/>
              </w:rPr>
              <w:t>Inflation Contingency</w:t>
            </w:r>
          </w:p>
        </w:tc>
        <w:tc>
          <w:tcPr>
            <w:tcW w:w="1220" w:type="dxa"/>
            <w:tcBorders>
              <w:top w:val="nil"/>
              <w:left w:val="nil"/>
              <w:bottom w:val="nil"/>
              <w:right w:val="single" w:sz="4" w:space="0" w:color="auto"/>
            </w:tcBorders>
            <w:shd w:val="clear" w:color="000000" w:fill="FFDDDD"/>
            <w:noWrap/>
            <w:vAlign w:val="bottom"/>
            <w:hideMark/>
          </w:tcPr>
          <w:p w14:paraId="1DBAC359"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0.120</w:t>
            </w:r>
          </w:p>
        </w:tc>
      </w:tr>
      <w:tr w:rsidR="008D11E7" w:rsidRPr="008D11E7" w14:paraId="58B07EAA" w14:textId="77777777" w:rsidTr="004A00F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0906E610"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0.525</w:t>
            </w:r>
          </w:p>
        </w:tc>
        <w:tc>
          <w:tcPr>
            <w:tcW w:w="4380" w:type="dxa"/>
            <w:tcBorders>
              <w:top w:val="nil"/>
              <w:left w:val="nil"/>
              <w:bottom w:val="nil"/>
              <w:right w:val="single" w:sz="4" w:space="0" w:color="auto"/>
            </w:tcBorders>
            <w:shd w:val="clear" w:color="000000" w:fill="FFFFFF"/>
            <w:noWrap/>
            <w:vAlign w:val="bottom"/>
            <w:hideMark/>
          </w:tcPr>
          <w:p w14:paraId="68B4A82F" w14:textId="77777777" w:rsidR="008D11E7" w:rsidRPr="008D11E7" w:rsidRDefault="008D11E7" w:rsidP="008D11E7">
            <w:pPr>
              <w:spacing w:after="0" w:line="240" w:lineRule="auto"/>
              <w:rPr>
                <w:rFonts w:eastAsia="Times New Roman" w:cs="Calibri"/>
                <w:color w:val="000000"/>
                <w:sz w:val="24"/>
                <w:szCs w:val="24"/>
                <w:lang w:eastAsia="en-GB"/>
              </w:rPr>
            </w:pPr>
            <w:r w:rsidRPr="008D11E7">
              <w:rPr>
                <w:rFonts w:eastAsia="Times New Roman" w:cs="Calibri"/>
                <w:color w:val="000000"/>
                <w:sz w:val="24"/>
                <w:szCs w:val="24"/>
                <w:lang w:eastAsia="en-GB"/>
              </w:rPr>
              <w:t>Transfer to Reserves</w:t>
            </w:r>
          </w:p>
        </w:tc>
        <w:tc>
          <w:tcPr>
            <w:tcW w:w="1220" w:type="dxa"/>
            <w:tcBorders>
              <w:top w:val="nil"/>
              <w:left w:val="nil"/>
              <w:bottom w:val="nil"/>
              <w:right w:val="single" w:sz="4" w:space="0" w:color="auto"/>
            </w:tcBorders>
            <w:shd w:val="clear" w:color="000000" w:fill="FFDDDD"/>
            <w:noWrap/>
            <w:vAlign w:val="bottom"/>
            <w:hideMark/>
          </w:tcPr>
          <w:p w14:paraId="75A51200"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0.119</w:t>
            </w:r>
          </w:p>
        </w:tc>
      </w:tr>
      <w:tr w:rsidR="008D11E7" w:rsidRPr="008D11E7" w14:paraId="571AD087" w14:textId="77777777" w:rsidTr="004A00F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05F8128F"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(0.518)</w:t>
            </w:r>
          </w:p>
        </w:tc>
        <w:tc>
          <w:tcPr>
            <w:tcW w:w="4380" w:type="dxa"/>
            <w:tcBorders>
              <w:top w:val="nil"/>
              <w:left w:val="nil"/>
              <w:bottom w:val="nil"/>
              <w:right w:val="single" w:sz="4" w:space="0" w:color="auto"/>
            </w:tcBorders>
            <w:shd w:val="clear" w:color="000000" w:fill="FFFFFF"/>
            <w:noWrap/>
            <w:vAlign w:val="bottom"/>
            <w:hideMark/>
          </w:tcPr>
          <w:p w14:paraId="18ECA06A" w14:textId="77777777" w:rsidR="008D11E7" w:rsidRPr="008D11E7" w:rsidRDefault="008D11E7" w:rsidP="008D11E7">
            <w:pPr>
              <w:spacing w:after="0" w:line="240" w:lineRule="auto"/>
              <w:rPr>
                <w:rFonts w:eastAsia="Times New Roman" w:cs="Calibri"/>
                <w:color w:val="000000"/>
                <w:sz w:val="24"/>
                <w:szCs w:val="24"/>
                <w:lang w:eastAsia="en-GB"/>
              </w:rPr>
            </w:pPr>
            <w:r w:rsidRPr="008D11E7">
              <w:rPr>
                <w:rFonts w:eastAsia="Times New Roman" w:cs="Calibri"/>
                <w:color w:val="000000"/>
                <w:sz w:val="24"/>
                <w:szCs w:val="24"/>
                <w:lang w:eastAsia="en-GB"/>
              </w:rPr>
              <w:t>Transfer from Reserves</w:t>
            </w:r>
          </w:p>
        </w:tc>
        <w:tc>
          <w:tcPr>
            <w:tcW w:w="1220" w:type="dxa"/>
            <w:tcBorders>
              <w:top w:val="nil"/>
              <w:left w:val="nil"/>
              <w:bottom w:val="nil"/>
              <w:right w:val="single" w:sz="4" w:space="0" w:color="auto"/>
            </w:tcBorders>
            <w:shd w:val="clear" w:color="000000" w:fill="FFDDDD"/>
            <w:noWrap/>
            <w:vAlign w:val="bottom"/>
            <w:hideMark/>
          </w:tcPr>
          <w:p w14:paraId="48D2B948"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(0.184)</w:t>
            </w:r>
          </w:p>
        </w:tc>
      </w:tr>
      <w:tr w:rsidR="008D11E7" w:rsidRPr="008D11E7" w14:paraId="24EEFF30" w14:textId="77777777" w:rsidTr="004A00F7">
        <w:trPr>
          <w:trHeight w:val="315"/>
        </w:trPr>
        <w:tc>
          <w:tcPr>
            <w:tcW w:w="1220" w:type="dxa"/>
            <w:tcBorders>
              <w:top w:val="single" w:sz="4" w:space="0" w:color="auto"/>
              <w:left w:val="single" w:sz="4" w:space="0" w:color="auto"/>
              <w:bottom w:val="nil"/>
              <w:right w:val="single" w:sz="4" w:space="0" w:color="auto"/>
            </w:tcBorders>
            <w:shd w:val="clear" w:color="000000" w:fill="FFFFFF"/>
            <w:noWrap/>
            <w:vAlign w:val="bottom"/>
            <w:hideMark/>
          </w:tcPr>
          <w:p w14:paraId="3ABEAEEC" w14:textId="77777777" w:rsidR="008D11E7" w:rsidRPr="008D11E7" w:rsidRDefault="008D11E7" w:rsidP="008D11E7">
            <w:pPr>
              <w:spacing w:after="0" w:line="240" w:lineRule="auto"/>
              <w:jc w:val="right"/>
              <w:rPr>
                <w:rFonts w:eastAsia="Times New Roman" w:cs="Calibri"/>
                <w:b/>
                <w:bCs/>
                <w:color w:val="000000"/>
                <w:sz w:val="24"/>
                <w:szCs w:val="24"/>
                <w:lang w:eastAsia="en-GB"/>
              </w:rPr>
            </w:pPr>
            <w:r w:rsidRPr="008D11E7">
              <w:rPr>
                <w:rFonts w:eastAsia="Times New Roman" w:cs="Calibri"/>
                <w:b/>
                <w:bCs/>
                <w:color w:val="000000"/>
                <w:sz w:val="24"/>
                <w:szCs w:val="24"/>
                <w:lang w:eastAsia="en-GB"/>
              </w:rPr>
              <w:t>0.571</w:t>
            </w:r>
          </w:p>
        </w:tc>
        <w:tc>
          <w:tcPr>
            <w:tcW w:w="4380" w:type="dxa"/>
            <w:tcBorders>
              <w:top w:val="single" w:sz="4" w:space="0" w:color="auto"/>
              <w:left w:val="nil"/>
              <w:bottom w:val="nil"/>
              <w:right w:val="single" w:sz="4" w:space="0" w:color="auto"/>
            </w:tcBorders>
            <w:shd w:val="clear" w:color="000000" w:fill="FFFFFF"/>
            <w:noWrap/>
            <w:vAlign w:val="bottom"/>
            <w:hideMark/>
          </w:tcPr>
          <w:p w14:paraId="40497272" w14:textId="77777777" w:rsidR="008D11E7" w:rsidRPr="008D11E7" w:rsidRDefault="008D11E7" w:rsidP="008D11E7">
            <w:pPr>
              <w:spacing w:after="0" w:line="240" w:lineRule="auto"/>
              <w:rPr>
                <w:rFonts w:eastAsia="Times New Roman" w:cs="Calibri"/>
                <w:b/>
                <w:bCs/>
                <w:color w:val="000000"/>
                <w:sz w:val="24"/>
                <w:szCs w:val="24"/>
                <w:lang w:eastAsia="en-GB"/>
              </w:rPr>
            </w:pPr>
            <w:r w:rsidRPr="008D11E7">
              <w:rPr>
                <w:rFonts w:eastAsia="Times New Roman" w:cs="Calibri"/>
                <w:b/>
                <w:bCs/>
                <w:color w:val="000000"/>
                <w:sz w:val="24"/>
                <w:szCs w:val="24"/>
                <w:lang w:eastAsia="en-GB"/>
              </w:rPr>
              <w:t>BUDGETS MANAGED BY THE PFCC</w:t>
            </w:r>
          </w:p>
        </w:tc>
        <w:tc>
          <w:tcPr>
            <w:tcW w:w="1220" w:type="dxa"/>
            <w:tcBorders>
              <w:top w:val="single" w:sz="4" w:space="0" w:color="auto"/>
              <w:left w:val="nil"/>
              <w:bottom w:val="nil"/>
              <w:right w:val="single" w:sz="4" w:space="0" w:color="auto"/>
            </w:tcBorders>
            <w:shd w:val="clear" w:color="000000" w:fill="FFDDDD"/>
            <w:noWrap/>
            <w:vAlign w:val="bottom"/>
            <w:hideMark/>
          </w:tcPr>
          <w:p w14:paraId="5CB849AB" w14:textId="77777777" w:rsidR="008D11E7" w:rsidRPr="008D11E7" w:rsidRDefault="008D11E7" w:rsidP="008D11E7">
            <w:pPr>
              <w:spacing w:after="0" w:line="240" w:lineRule="auto"/>
              <w:jc w:val="right"/>
              <w:rPr>
                <w:rFonts w:eastAsia="Times New Roman" w:cs="Calibri"/>
                <w:b/>
                <w:bCs/>
                <w:color w:val="000000"/>
                <w:sz w:val="24"/>
                <w:szCs w:val="24"/>
                <w:lang w:eastAsia="en-GB"/>
              </w:rPr>
            </w:pPr>
            <w:r w:rsidRPr="008D11E7">
              <w:rPr>
                <w:rFonts w:eastAsia="Times New Roman" w:cs="Calibri"/>
                <w:b/>
                <w:bCs/>
                <w:color w:val="000000"/>
                <w:sz w:val="24"/>
                <w:szCs w:val="24"/>
                <w:lang w:eastAsia="en-GB"/>
              </w:rPr>
              <w:t>0.673</w:t>
            </w:r>
          </w:p>
        </w:tc>
      </w:tr>
      <w:tr w:rsidR="008D11E7" w:rsidRPr="008D11E7" w14:paraId="6DA9F5A3" w14:textId="77777777" w:rsidTr="004A00F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7FC094A6" w14:textId="77777777" w:rsidR="008D11E7" w:rsidRPr="008D11E7" w:rsidRDefault="008D11E7" w:rsidP="008D11E7">
            <w:pPr>
              <w:spacing w:after="0" w:line="240" w:lineRule="auto"/>
              <w:rPr>
                <w:rFonts w:eastAsia="Times New Roman" w:cs="Calibri"/>
                <w:color w:val="000000"/>
                <w:sz w:val="24"/>
                <w:szCs w:val="24"/>
                <w:lang w:eastAsia="en-GB"/>
              </w:rPr>
            </w:pPr>
            <w:r w:rsidRPr="008D11E7">
              <w:rPr>
                <w:rFonts w:eastAsia="Times New Roman" w:cs="Calibri"/>
                <w:color w:val="000000"/>
                <w:sz w:val="24"/>
                <w:szCs w:val="24"/>
                <w:lang w:eastAsia="en-GB"/>
              </w:rPr>
              <w:t> </w:t>
            </w:r>
          </w:p>
        </w:tc>
        <w:tc>
          <w:tcPr>
            <w:tcW w:w="4380" w:type="dxa"/>
            <w:tcBorders>
              <w:top w:val="nil"/>
              <w:left w:val="nil"/>
              <w:bottom w:val="nil"/>
              <w:right w:val="single" w:sz="4" w:space="0" w:color="auto"/>
            </w:tcBorders>
            <w:shd w:val="clear" w:color="000000" w:fill="FFFFFF"/>
            <w:noWrap/>
            <w:vAlign w:val="bottom"/>
            <w:hideMark/>
          </w:tcPr>
          <w:p w14:paraId="1A1397B2" w14:textId="77777777" w:rsidR="008D11E7" w:rsidRPr="008D11E7" w:rsidRDefault="008D11E7" w:rsidP="008D11E7">
            <w:pPr>
              <w:spacing w:after="0" w:line="240" w:lineRule="auto"/>
              <w:rPr>
                <w:rFonts w:eastAsia="Times New Roman" w:cs="Calibri"/>
                <w:color w:val="000000"/>
                <w:sz w:val="24"/>
                <w:szCs w:val="24"/>
                <w:lang w:eastAsia="en-GB"/>
              </w:rPr>
            </w:pPr>
            <w:r w:rsidRPr="008D11E7">
              <w:rPr>
                <w:rFonts w:eastAsia="Times New Roman" w:cs="Calibri"/>
                <w:color w:val="000000"/>
                <w:sz w:val="24"/>
                <w:szCs w:val="24"/>
                <w:lang w:eastAsia="en-GB"/>
              </w:rPr>
              <w:t> </w:t>
            </w:r>
          </w:p>
        </w:tc>
        <w:tc>
          <w:tcPr>
            <w:tcW w:w="1220" w:type="dxa"/>
            <w:tcBorders>
              <w:top w:val="nil"/>
              <w:left w:val="nil"/>
              <w:bottom w:val="nil"/>
              <w:right w:val="single" w:sz="4" w:space="0" w:color="auto"/>
            </w:tcBorders>
            <w:shd w:val="clear" w:color="000000" w:fill="FFDDDD"/>
            <w:noWrap/>
            <w:vAlign w:val="bottom"/>
            <w:hideMark/>
          </w:tcPr>
          <w:p w14:paraId="7CAF5702" w14:textId="77777777" w:rsidR="008D11E7" w:rsidRPr="008D11E7" w:rsidRDefault="008D11E7" w:rsidP="008D11E7">
            <w:pPr>
              <w:spacing w:after="0" w:line="240" w:lineRule="auto"/>
              <w:rPr>
                <w:rFonts w:eastAsia="Times New Roman" w:cs="Calibri"/>
                <w:color w:val="000000"/>
                <w:sz w:val="24"/>
                <w:szCs w:val="24"/>
                <w:lang w:eastAsia="en-GB"/>
              </w:rPr>
            </w:pPr>
            <w:r w:rsidRPr="008D11E7">
              <w:rPr>
                <w:rFonts w:eastAsia="Times New Roman" w:cs="Calibri"/>
                <w:color w:val="000000"/>
                <w:sz w:val="24"/>
                <w:szCs w:val="24"/>
                <w:lang w:eastAsia="en-GB"/>
              </w:rPr>
              <w:t> </w:t>
            </w:r>
          </w:p>
        </w:tc>
      </w:tr>
      <w:tr w:rsidR="008D11E7" w:rsidRPr="008D11E7" w14:paraId="7AF468D2" w14:textId="77777777" w:rsidTr="004A00F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2C416F9E"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w:t>
            </w:r>
          </w:p>
        </w:tc>
        <w:tc>
          <w:tcPr>
            <w:tcW w:w="4380" w:type="dxa"/>
            <w:tcBorders>
              <w:top w:val="nil"/>
              <w:left w:val="nil"/>
              <w:bottom w:val="nil"/>
              <w:right w:val="single" w:sz="4" w:space="0" w:color="auto"/>
            </w:tcBorders>
            <w:shd w:val="clear" w:color="000000" w:fill="FFFFFF"/>
            <w:noWrap/>
            <w:vAlign w:val="bottom"/>
            <w:hideMark/>
          </w:tcPr>
          <w:p w14:paraId="6563CE8C" w14:textId="77777777" w:rsidR="008D11E7" w:rsidRPr="008D11E7" w:rsidRDefault="008D11E7" w:rsidP="008D11E7">
            <w:pPr>
              <w:spacing w:after="0" w:line="240" w:lineRule="auto"/>
              <w:rPr>
                <w:rFonts w:eastAsia="Times New Roman" w:cs="Calibri"/>
                <w:color w:val="000000"/>
                <w:sz w:val="24"/>
                <w:szCs w:val="24"/>
                <w:lang w:eastAsia="en-GB"/>
              </w:rPr>
            </w:pPr>
            <w:r w:rsidRPr="008D11E7">
              <w:rPr>
                <w:rFonts w:eastAsia="Times New Roman" w:cs="Calibri"/>
                <w:color w:val="000000"/>
                <w:sz w:val="24"/>
                <w:szCs w:val="24"/>
                <w:lang w:eastAsia="en-GB"/>
              </w:rPr>
              <w:t>New investment proposals</w:t>
            </w:r>
          </w:p>
        </w:tc>
        <w:tc>
          <w:tcPr>
            <w:tcW w:w="1220" w:type="dxa"/>
            <w:tcBorders>
              <w:top w:val="nil"/>
              <w:left w:val="nil"/>
              <w:bottom w:val="nil"/>
              <w:right w:val="single" w:sz="4" w:space="0" w:color="auto"/>
            </w:tcBorders>
            <w:shd w:val="clear" w:color="000000" w:fill="FFDDDD"/>
            <w:noWrap/>
            <w:vAlign w:val="bottom"/>
            <w:hideMark/>
          </w:tcPr>
          <w:p w14:paraId="40F7BC02"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0.126</w:t>
            </w:r>
          </w:p>
        </w:tc>
      </w:tr>
      <w:tr w:rsidR="008D11E7" w:rsidRPr="008D11E7" w14:paraId="30F0D01C" w14:textId="77777777" w:rsidTr="004A00F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0D66472A"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w:t>
            </w:r>
          </w:p>
        </w:tc>
        <w:tc>
          <w:tcPr>
            <w:tcW w:w="4380" w:type="dxa"/>
            <w:tcBorders>
              <w:top w:val="nil"/>
              <w:left w:val="nil"/>
              <w:bottom w:val="nil"/>
              <w:right w:val="single" w:sz="4" w:space="0" w:color="auto"/>
            </w:tcBorders>
            <w:shd w:val="clear" w:color="000000" w:fill="FFFFFF"/>
            <w:noWrap/>
            <w:vAlign w:val="bottom"/>
            <w:hideMark/>
          </w:tcPr>
          <w:p w14:paraId="27C4C7F0" w14:textId="77777777" w:rsidR="008D11E7" w:rsidRPr="008D11E7" w:rsidRDefault="008D11E7" w:rsidP="008D11E7">
            <w:pPr>
              <w:spacing w:after="0" w:line="240" w:lineRule="auto"/>
              <w:rPr>
                <w:rFonts w:eastAsia="Times New Roman" w:cs="Calibri"/>
                <w:color w:val="000000"/>
                <w:sz w:val="24"/>
                <w:szCs w:val="24"/>
                <w:lang w:eastAsia="en-GB"/>
              </w:rPr>
            </w:pPr>
            <w:r w:rsidRPr="008D11E7">
              <w:rPr>
                <w:rFonts w:eastAsia="Times New Roman" w:cs="Calibri"/>
                <w:color w:val="000000"/>
                <w:sz w:val="24"/>
                <w:szCs w:val="24"/>
                <w:lang w:eastAsia="en-GB"/>
              </w:rPr>
              <w:t>Efficiencies agreed</w:t>
            </w:r>
          </w:p>
        </w:tc>
        <w:tc>
          <w:tcPr>
            <w:tcW w:w="1220" w:type="dxa"/>
            <w:tcBorders>
              <w:top w:val="nil"/>
              <w:left w:val="nil"/>
              <w:bottom w:val="nil"/>
              <w:right w:val="single" w:sz="4" w:space="0" w:color="auto"/>
            </w:tcBorders>
            <w:shd w:val="clear" w:color="000000" w:fill="FFDDDD"/>
            <w:noWrap/>
            <w:vAlign w:val="bottom"/>
            <w:hideMark/>
          </w:tcPr>
          <w:p w14:paraId="43370613"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(1.155)</w:t>
            </w:r>
          </w:p>
        </w:tc>
      </w:tr>
      <w:tr w:rsidR="008D11E7" w:rsidRPr="008D11E7" w14:paraId="06AD77E7" w14:textId="77777777" w:rsidTr="004A00F7">
        <w:trPr>
          <w:trHeight w:val="315"/>
        </w:trPr>
        <w:tc>
          <w:tcPr>
            <w:tcW w:w="1220" w:type="dxa"/>
            <w:tcBorders>
              <w:top w:val="nil"/>
              <w:left w:val="single" w:sz="4" w:space="0" w:color="auto"/>
              <w:bottom w:val="nil"/>
              <w:right w:val="single" w:sz="4" w:space="0" w:color="auto"/>
            </w:tcBorders>
            <w:shd w:val="clear" w:color="000000" w:fill="FFFFFF"/>
            <w:noWrap/>
            <w:vAlign w:val="bottom"/>
            <w:hideMark/>
          </w:tcPr>
          <w:p w14:paraId="216C8768"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w:t>
            </w:r>
          </w:p>
        </w:tc>
        <w:tc>
          <w:tcPr>
            <w:tcW w:w="4380" w:type="dxa"/>
            <w:tcBorders>
              <w:top w:val="nil"/>
              <w:left w:val="nil"/>
              <w:bottom w:val="nil"/>
              <w:right w:val="single" w:sz="4" w:space="0" w:color="auto"/>
            </w:tcBorders>
            <w:shd w:val="clear" w:color="000000" w:fill="FFFFFF"/>
            <w:noWrap/>
            <w:vAlign w:val="bottom"/>
            <w:hideMark/>
          </w:tcPr>
          <w:p w14:paraId="5B937453" w14:textId="77777777" w:rsidR="008D11E7" w:rsidRPr="008D11E7" w:rsidRDefault="008D11E7" w:rsidP="008D11E7">
            <w:pPr>
              <w:spacing w:after="0" w:line="240" w:lineRule="auto"/>
              <w:rPr>
                <w:rFonts w:eastAsia="Times New Roman" w:cs="Calibri"/>
                <w:color w:val="000000"/>
                <w:sz w:val="24"/>
                <w:szCs w:val="24"/>
                <w:lang w:eastAsia="en-GB"/>
              </w:rPr>
            </w:pPr>
            <w:r w:rsidRPr="008D11E7">
              <w:rPr>
                <w:rFonts w:eastAsia="Times New Roman" w:cs="Calibri"/>
                <w:color w:val="000000"/>
                <w:sz w:val="24"/>
                <w:szCs w:val="24"/>
                <w:lang w:eastAsia="en-GB"/>
              </w:rPr>
              <w:t>Efficiencies to be identified</w:t>
            </w:r>
          </w:p>
        </w:tc>
        <w:tc>
          <w:tcPr>
            <w:tcW w:w="1220" w:type="dxa"/>
            <w:tcBorders>
              <w:top w:val="nil"/>
              <w:left w:val="nil"/>
              <w:bottom w:val="nil"/>
              <w:right w:val="single" w:sz="4" w:space="0" w:color="auto"/>
            </w:tcBorders>
            <w:shd w:val="clear" w:color="000000" w:fill="FFDDDD"/>
            <w:noWrap/>
            <w:vAlign w:val="bottom"/>
            <w:hideMark/>
          </w:tcPr>
          <w:p w14:paraId="42E2824C" w14:textId="77777777" w:rsidR="008D11E7" w:rsidRPr="008D11E7" w:rsidRDefault="008D11E7" w:rsidP="008D11E7">
            <w:pPr>
              <w:spacing w:after="0" w:line="240" w:lineRule="auto"/>
              <w:jc w:val="right"/>
              <w:rPr>
                <w:rFonts w:eastAsia="Times New Roman" w:cs="Calibri"/>
                <w:color w:val="000000"/>
                <w:sz w:val="24"/>
                <w:szCs w:val="24"/>
                <w:lang w:eastAsia="en-GB"/>
              </w:rPr>
            </w:pPr>
            <w:r w:rsidRPr="008D11E7">
              <w:rPr>
                <w:rFonts w:eastAsia="Times New Roman" w:cs="Calibri"/>
                <w:color w:val="000000"/>
                <w:sz w:val="24"/>
                <w:szCs w:val="24"/>
                <w:lang w:eastAsia="en-GB"/>
              </w:rPr>
              <w:t>(0.329)</w:t>
            </w:r>
          </w:p>
        </w:tc>
      </w:tr>
      <w:tr w:rsidR="008D11E7" w:rsidRPr="008D11E7" w14:paraId="76A724CC" w14:textId="77777777" w:rsidTr="004A00F7">
        <w:trPr>
          <w:trHeight w:val="315"/>
        </w:trPr>
        <w:tc>
          <w:tcPr>
            <w:tcW w:w="1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DD87AC" w14:textId="77777777" w:rsidR="008D11E7" w:rsidRPr="008D11E7" w:rsidRDefault="008D11E7" w:rsidP="008D11E7">
            <w:pPr>
              <w:spacing w:after="0" w:line="240" w:lineRule="auto"/>
              <w:jc w:val="right"/>
              <w:rPr>
                <w:rFonts w:eastAsia="Times New Roman" w:cs="Calibri"/>
                <w:b/>
                <w:bCs/>
                <w:color w:val="000000"/>
                <w:sz w:val="24"/>
                <w:szCs w:val="24"/>
                <w:lang w:eastAsia="en-GB"/>
              </w:rPr>
            </w:pPr>
            <w:r w:rsidRPr="008D11E7">
              <w:rPr>
                <w:rFonts w:eastAsia="Times New Roman" w:cs="Calibri"/>
                <w:b/>
                <w:bCs/>
                <w:color w:val="000000"/>
                <w:sz w:val="24"/>
                <w:szCs w:val="24"/>
                <w:lang w:eastAsia="en-GB"/>
              </w:rPr>
              <w:t>29.558</w:t>
            </w:r>
          </w:p>
        </w:tc>
        <w:tc>
          <w:tcPr>
            <w:tcW w:w="4380" w:type="dxa"/>
            <w:tcBorders>
              <w:top w:val="single" w:sz="4" w:space="0" w:color="auto"/>
              <w:left w:val="nil"/>
              <w:bottom w:val="single" w:sz="4" w:space="0" w:color="auto"/>
              <w:right w:val="single" w:sz="4" w:space="0" w:color="auto"/>
            </w:tcBorders>
            <w:shd w:val="clear" w:color="000000" w:fill="FFFFFF"/>
            <w:noWrap/>
            <w:vAlign w:val="bottom"/>
            <w:hideMark/>
          </w:tcPr>
          <w:p w14:paraId="18AAB883" w14:textId="77777777" w:rsidR="008D11E7" w:rsidRPr="008D11E7" w:rsidRDefault="008D11E7" w:rsidP="008D11E7">
            <w:pPr>
              <w:spacing w:after="0" w:line="240" w:lineRule="auto"/>
              <w:rPr>
                <w:rFonts w:eastAsia="Times New Roman" w:cs="Calibri"/>
                <w:b/>
                <w:bCs/>
                <w:color w:val="000000"/>
                <w:sz w:val="24"/>
                <w:szCs w:val="24"/>
                <w:lang w:eastAsia="en-GB"/>
              </w:rPr>
            </w:pPr>
            <w:r w:rsidRPr="008D11E7">
              <w:rPr>
                <w:rFonts w:eastAsia="Times New Roman" w:cs="Calibri"/>
                <w:b/>
                <w:bCs/>
                <w:color w:val="000000"/>
                <w:sz w:val="24"/>
                <w:szCs w:val="24"/>
                <w:lang w:eastAsia="en-GB"/>
              </w:rPr>
              <w:t>TOTAL BUDGET</w:t>
            </w:r>
          </w:p>
        </w:tc>
        <w:tc>
          <w:tcPr>
            <w:tcW w:w="1220" w:type="dxa"/>
            <w:tcBorders>
              <w:top w:val="single" w:sz="4" w:space="0" w:color="auto"/>
              <w:left w:val="nil"/>
              <w:bottom w:val="single" w:sz="4" w:space="0" w:color="auto"/>
              <w:right w:val="single" w:sz="4" w:space="0" w:color="auto"/>
            </w:tcBorders>
            <w:shd w:val="clear" w:color="000000" w:fill="FFDDDD"/>
            <w:noWrap/>
            <w:vAlign w:val="bottom"/>
            <w:hideMark/>
          </w:tcPr>
          <w:p w14:paraId="68754A10" w14:textId="77777777" w:rsidR="008D11E7" w:rsidRPr="008D11E7" w:rsidRDefault="008D11E7" w:rsidP="008D11E7">
            <w:pPr>
              <w:spacing w:after="0" w:line="240" w:lineRule="auto"/>
              <w:jc w:val="right"/>
              <w:rPr>
                <w:rFonts w:eastAsia="Times New Roman" w:cs="Calibri"/>
                <w:b/>
                <w:bCs/>
                <w:color w:val="000000"/>
                <w:sz w:val="24"/>
                <w:szCs w:val="24"/>
                <w:lang w:eastAsia="en-GB"/>
              </w:rPr>
            </w:pPr>
            <w:r w:rsidRPr="008D11E7">
              <w:rPr>
                <w:rFonts w:eastAsia="Times New Roman" w:cs="Calibri"/>
                <w:b/>
                <w:bCs/>
                <w:color w:val="000000"/>
                <w:sz w:val="24"/>
                <w:szCs w:val="24"/>
                <w:lang w:eastAsia="en-GB"/>
              </w:rPr>
              <w:t>31.454</w:t>
            </w:r>
          </w:p>
        </w:tc>
      </w:tr>
    </w:tbl>
    <w:p w14:paraId="23309AD1" w14:textId="1AAFF9F4" w:rsidR="00212327" w:rsidRPr="00095FC7" w:rsidRDefault="00212327" w:rsidP="000532B4">
      <w:pPr>
        <w:spacing w:after="0" w:line="240" w:lineRule="auto"/>
        <w:ind w:left="567" w:hanging="567"/>
        <w:jc w:val="center"/>
        <w:rPr>
          <w:noProof/>
          <w:highlight w:val="yellow"/>
        </w:rPr>
      </w:pPr>
    </w:p>
    <w:p w14:paraId="41BF423E" w14:textId="35DFB5B8" w:rsidR="004D41C0" w:rsidRPr="003E384A" w:rsidRDefault="00711B0F" w:rsidP="003E384A">
      <w:pPr>
        <w:pStyle w:val="PanelPara"/>
      </w:pPr>
      <w:r w:rsidRPr="003E384A">
        <w:t xml:space="preserve">A detailed breakdown is set out in Appendix B. </w:t>
      </w:r>
      <w:r w:rsidR="003E384A" w:rsidRPr="003E384A">
        <w:t xml:space="preserve"> </w:t>
      </w:r>
      <w:r w:rsidR="004D41C0" w:rsidRPr="003E384A">
        <w:t>Key Headlines are as follows:</w:t>
      </w:r>
    </w:p>
    <w:p w14:paraId="2C6CCCFF" w14:textId="7D2B1505" w:rsidR="00581C5C" w:rsidRPr="003E384A" w:rsidRDefault="0065046F" w:rsidP="003E384A">
      <w:pPr>
        <w:pStyle w:val="PanelBullet"/>
      </w:pPr>
      <w:r w:rsidRPr="003E384A">
        <w:t>The firefighter budget reflects the planned retirement and recruitment prof</w:t>
      </w:r>
      <w:r w:rsidR="00581C5C" w:rsidRPr="003E384A">
        <w:t>ile.</w:t>
      </w:r>
    </w:p>
    <w:p w14:paraId="3AD16862" w14:textId="7ABBB3A9" w:rsidR="00581C5C" w:rsidRPr="003E384A" w:rsidRDefault="00205AAD" w:rsidP="003E384A">
      <w:pPr>
        <w:pStyle w:val="PanelBullet"/>
      </w:pPr>
      <w:r w:rsidRPr="003E384A">
        <w:t>S</w:t>
      </w:r>
      <w:r w:rsidR="00C45BF2" w:rsidRPr="003E384A">
        <w:t>t</w:t>
      </w:r>
      <w:r w:rsidRPr="003E384A">
        <w:t xml:space="preserve">aff posts </w:t>
      </w:r>
      <w:r w:rsidR="00581C5C" w:rsidRPr="003E384A">
        <w:t>include</w:t>
      </w:r>
      <w:r w:rsidRPr="003E384A">
        <w:t xml:space="preserve"> roles such as Home </w:t>
      </w:r>
      <w:r w:rsidR="00C45BF2" w:rsidRPr="003E384A">
        <w:t>Safety Advisers, Prevention, Protection, Control and some support staff.</w:t>
      </w:r>
      <w:r w:rsidR="00F04701" w:rsidRPr="003E384A">
        <w:t xml:space="preserve"> </w:t>
      </w:r>
      <w:r w:rsidR="003E384A" w:rsidRPr="003E384A">
        <w:t xml:space="preserve"> </w:t>
      </w:r>
      <w:r w:rsidRPr="003E384A">
        <w:t xml:space="preserve">Four additional Home </w:t>
      </w:r>
      <w:r w:rsidR="001E10E3">
        <w:t xml:space="preserve">Fire </w:t>
      </w:r>
      <w:r w:rsidRPr="003E384A">
        <w:t xml:space="preserve">Safety Officers are </w:t>
      </w:r>
      <w:r w:rsidR="003E384A" w:rsidRPr="003E384A">
        <w:t>still included</w:t>
      </w:r>
      <w:r w:rsidRPr="003E384A">
        <w:t xml:space="preserve"> into the budget</w:t>
      </w:r>
      <w:r w:rsidR="00581C5C" w:rsidRPr="003E384A">
        <w:t>.</w:t>
      </w:r>
    </w:p>
    <w:p w14:paraId="23CA713C" w14:textId="4A015EAE" w:rsidR="00F04701" w:rsidRPr="001E10E3" w:rsidRDefault="00F04701" w:rsidP="003E384A">
      <w:pPr>
        <w:pStyle w:val="PanelBullet"/>
      </w:pPr>
      <w:r w:rsidRPr="001E10E3">
        <w:t>Other employee costs include the pay contingency, staff training, occupational health</w:t>
      </w:r>
      <w:r w:rsidR="001E10E3" w:rsidRPr="001E10E3">
        <w:t>.</w:t>
      </w:r>
    </w:p>
    <w:p w14:paraId="3810046A" w14:textId="5B0F3A3A" w:rsidR="00581C5C" w:rsidRPr="001E10E3" w:rsidRDefault="00F04701" w:rsidP="003E384A">
      <w:pPr>
        <w:pStyle w:val="PanelBullet"/>
      </w:pPr>
      <w:r w:rsidRPr="001E10E3">
        <w:t xml:space="preserve">Other </w:t>
      </w:r>
      <w:r w:rsidR="009331D9" w:rsidRPr="001E10E3">
        <w:t>non-pay</w:t>
      </w:r>
      <w:r w:rsidRPr="001E10E3">
        <w:t xml:space="preserve"> </w:t>
      </w:r>
      <w:r w:rsidR="00711B0F" w:rsidRPr="001E10E3">
        <w:t xml:space="preserve">budgets are based on a </w:t>
      </w:r>
      <w:r w:rsidR="009331D9" w:rsidRPr="001E10E3">
        <w:t>zero-based</w:t>
      </w:r>
      <w:r w:rsidR="00711B0F" w:rsidRPr="001E10E3">
        <w:t xml:space="preserve"> budget review which reflect</w:t>
      </w:r>
      <w:r w:rsidR="008D11E7" w:rsidRPr="001E10E3">
        <w:t>s</w:t>
      </w:r>
      <w:r w:rsidR="00711B0F" w:rsidRPr="001E10E3">
        <w:t xml:space="preserve"> inflationary increases</w:t>
      </w:r>
      <w:r w:rsidRPr="001E10E3">
        <w:t xml:space="preserve"> and include </w:t>
      </w:r>
      <w:r w:rsidR="00760581" w:rsidRPr="001E10E3">
        <w:t>estates</w:t>
      </w:r>
      <w:r w:rsidRPr="001E10E3">
        <w:t xml:space="preserve">, ICT, </w:t>
      </w:r>
      <w:r w:rsidR="00760581" w:rsidRPr="001E10E3">
        <w:t>fleet</w:t>
      </w:r>
      <w:r w:rsidRPr="001E10E3">
        <w:t xml:space="preserve">, </w:t>
      </w:r>
      <w:r w:rsidR="00760581" w:rsidRPr="001E10E3">
        <w:t xml:space="preserve">equipment </w:t>
      </w:r>
      <w:r w:rsidRPr="001E10E3">
        <w:t>and clothing.</w:t>
      </w:r>
    </w:p>
    <w:p w14:paraId="3E808659" w14:textId="369298F8" w:rsidR="0077512D" w:rsidRPr="001E10E3" w:rsidRDefault="0077512D" w:rsidP="003E384A">
      <w:pPr>
        <w:pStyle w:val="PanelBullet"/>
      </w:pPr>
      <w:r w:rsidRPr="001E10E3">
        <w:t xml:space="preserve">Interest income has been </w:t>
      </w:r>
      <w:r w:rsidR="003E384A" w:rsidRPr="001E10E3">
        <w:t>reviewed</w:t>
      </w:r>
      <w:r w:rsidRPr="001E10E3">
        <w:t xml:space="preserve"> to reflect current interest rates.</w:t>
      </w:r>
    </w:p>
    <w:p w14:paraId="537341DD" w14:textId="7EE49920" w:rsidR="00441EF7" w:rsidRPr="001E10E3" w:rsidRDefault="00F04701" w:rsidP="003E384A">
      <w:pPr>
        <w:pStyle w:val="PanelBullet"/>
      </w:pPr>
      <w:r w:rsidRPr="001E10E3">
        <w:t xml:space="preserve">Governance and support </w:t>
      </w:r>
      <w:r w:rsidR="00441EF7" w:rsidRPr="001E10E3">
        <w:t>reflect the final part years costs of support services provided by West Northamptonshire which are being transferred in house during 202</w:t>
      </w:r>
      <w:r w:rsidR="003E384A" w:rsidRPr="001E10E3">
        <w:t>4</w:t>
      </w:r>
      <w:r w:rsidR="00441EF7" w:rsidRPr="001E10E3">
        <w:t>/2</w:t>
      </w:r>
      <w:r w:rsidR="003E384A" w:rsidRPr="001E10E3">
        <w:t>5</w:t>
      </w:r>
      <w:r w:rsidR="00441EF7" w:rsidRPr="001E10E3">
        <w:t>.</w:t>
      </w:r>
    </w:p>
    <w:p w14:paraId="6086B90C" w14:textId="5AAC3D9D" w:rsidR="00F04701" w:rsidRDefault="0081263C" w:rsidP="001E10E3">
      <w:pPr>
        <w:pStyle w:val="PanelBullet"/>
      </w:pPr>
      <w:r w:rsidRPr="001E10E3">
        <w:t>Reserve</w:t>
      </w:r>
      <w:r w:rsidR="00F04701" w:rsidRPr="001E10E3">
        <w:t xml:space="preserve">s transfers reflect agreed one off drawdowns and contributions to capital, operational equipment and smoothing </w:t>
      </w:r>
      <w:r w:rsidRPr="001E10E3">
        <w:t>reserve</w:t>
      </w:r>
      <w:r w:rsidR="00F04701" w:rsidRPr="001E10E3">
        <w:t>s.</w:t>
      </w:r>
    </w:p>
    <w:p w14:paraId="1CC48562" w14:textId="77777777" w:rsidR="001E10E3" w:rsidRPr="001E10E3" w:rsidRDefault="001E10E3" w:rsidP="001E10E3">
      <w:pPr>
        <w:pStyle w:val="NoSpacing"/>
      </w:pPr>
    </w:p>
    <w:p w14:paraId="6394A245" w14:textId="362ACE6D" w:rsidR="0035516C" w:rsidRPr="006F5196" w:rsidRDefault="00581C5C" w:rsidP="006F5196">
      <w:pPr>
        <w:pStyle w:val="PanelHeading"/>
      </w:pPr>
      <w:r w:rsidRPr="006F5196">
        <w:lastRenderedPageBreak/>
        <w:t>Harmonisation and Efficiencies</w:t>
      </w:r>
    </w:p>
    <w:p w14:paraId="53FBA146" w14:textId="00B9A926" w:rsidR="0081263C" w:rsidRPr="006F5196" w:rsidRDefault="0081263C" w:rsidP="006F5196">
      <w:pPr>
        <w:pStyle w:val="PanelPara"/>
      </w:pPr>
      <w:bookmarkStart w:id="7" w:name="_Hlk125210700"/>
      <w:r w:rsidRPr="006F5196">
        <w:t>Both Fire and Police Budget agreements for 202</w:t>
      </w:r>
      <w:r w:rsidR="006F5196" w:rsidRPr="006F5196">
        <w:t>4</w:t>
      </w:r>
      <w:r w:rsidRPr="006F5196">
        <w:t>/2</w:t>
      </w:r>
      <w:r w:rsidR="006F5196" w:rsidRPr="006F5196">
        <w:t>5</w:t>
      </w:r>
      <w:r w:rsidRPr="006F5196">
        <w:t xml:space="preserve"> will continue to demonstrate the PFCC commitment to collaboration, particularly highlighted in greater integration between police and fire and rescue to enable reinvestment in frontline services. </w:t>
      </w:r>
      <w:r w:rsidR="006F5196" w:rsidRPr="006F5196">
        <w:t xml:space="preserve"> The</w:t>
      </w:r>
      <w:r w:rsidR="00933FD8" w:rsidRPr="006F5196">
        <w:t xml:space="preserve"> Joint Estates Strategy across Police and Fire will drive efficiencies for both services by sharing buildings where it makes sense to do so. </w:t>
      </w:r>
    </w:p>
    <w:p w14:paraId="2E70793F" w14:textId="77777777" w:rsidR="007B5EED" w:rsidRPr="007B5EED" w:rsidRDefault="00581C5C" w:rsidP="007B5EED">
      <w:pPr>
        <w:pStyle w:val="PanelPara"/>
      </w:pPr>
      <w:r w:rsidRPr="007B5EED">
        <w:rPr>
          <w:rFonts w:cs="Arial"/>
          <w:kern w:val="36"/>
        </w:rPr>
        <w:t>The</w:t>
      </w:r>
      <w:r w:rsidR="00FC5C79" w:rsidRPr="007B5EED">
        <w:rPr>
          <w:rFonts w:cs="Arial"/>
          <w:kern w:val="36"/>
        </w:rPr>
        <w:t xml:space="preserve"> shared support </w:t>
      </w:r>
      <w:r w:rsidR="00623ECD" w:rsidRPr="007B5EED">
        <w:rPr>
          <w:rFonts w:cs="Arial"/>
          <w:kern w:val="36"/>
        </w:rPr>
        <w:t xml:space="preserve">teams </w:t>
      </w:r>
      <w:r w:rsidR="0081263C" w:rsidRPr="007B5EED">
        <w:rPr>
          <w:rFonts w:cs="Arial"/>
          <w:kern w:val="36"/>
        </w:rPr>
        <w:t xml:space="preserve">are </w:t>
      </w:r>
      <w:r w:rsidR="007B5EED" w:rsidRPr="007B5EED">
        <w:rPr>
          <w:rFonts w:cs="Arial"/>
          <w:kern w:val="36"/>
        </w:rPr>
        <w:t>continuing to</w:t>
      </w:r>
      <w:r w:rsidR="0081263C" w:rsidRPr="007B5EED">
        <w:rPr>
          <w:rFonts w:cs="Arial"/>
          <w:kern w:val="36"/>
        </w:rPr>
        <w:t xml:space="preserve"> </w:t>
      </w:r>
      <w:r w:rsidR="00FC5C79" w:rsidRPr="007B5EED">
        <w:rPr>
          <w:rFonts w:cs="Arial"/>
          <w:kern w:val="36"/>
        </w:rPr>
        <w:t xml:space="preserve">identify efficiencies from </w:t>
      </w:r>
      <w:r w:rsidR="006F5196" w:rsidRPr="007B5EED">
        <w:rPr>
          <w:rFonts w:cs="Arial"/>
          <w:kern w:val="36"/>
        </w:rPr>
        <w:t>through</w:t>
      </w:r>
      <w:r w:rsidRPr="007B5EED">
        <w:rPr>
          <w:rFonts w:cs="Arial"/>
          <w:kern w:val="36"/>
        </w:rPr>
        <w:t xml:space="preserve"> robust procurement and economies of scale</w:t>
      </w:r>
      <w:r w:rsidR="00933FD8" w:rsidRPr="007B5EED">
        <w:rPr>
          <w:rFonts w:cs="Arial"/>
          <w:kern w:val="36"/>
        </w:rPr>
        <w:t>.</w:t>
      </w:r>
    </w:p>
    <w:p w14:paraId="5DD3D5D6" w14:textId="7CF42D82" w:rsidR="00933FD8" w:rsidRPr="007B5EED" w:rsidRDefault="00623ECD" w:rsidP="007B5EED">
      <w:pPr>
        <w:pStyle w:val="PanelPara"/>
      </w:pPr>
      <w:r w:rsidRPr="007B5EED">
        <w:t xml:space="preserve">A shared post leads on ensuring that police and fire requirements are considered and recognised in new </w:t>
      </w:r>
      <w:r w:rsidR="007B5EED" w:rsidRPr="007B5EED">
        <w:t xml:space="preserve">building </w:t>
      </w:r>
      <w:r w:rsidRPr="007B5EED">
        <w:t>developments</w:t>
      </w:r>
      <w:r w:rsidR="007B5EED" w:rsidRPr="007B5EED">
        <w:t xml:space="preserve">, working with partners and the local authorities to ensure police and fire are fairly included in </w:t>
      </w:r>
      <w:r w:rsidRPr="007B5EED">
        <w:t>S106 considerations.</w:t>
      </w:r>
    </w:p>
    <w:bookmarkEnd w:id="7"/>
    <w:p w14:paraId="737F3193" w14:textId="063DDE8D" w:rsidR="0077512D" w:rsidRPr="007B5EED" w:rsidRDefault="001638AD" w:rsidP="007B5EED">
      <w:pPr>
        <w:pStyle w:val="PanelHeading"/>
      </w:pPr>
      <w:r w:rsidRPr="00316AA5">
        <w:t xml:space="preserve">Medium Term Financial Plan (MTFP) </w:t>
      </w:r>
    </w:p>
    <w:p w14:paraId="39ADC9F5" w14:textId="77777777" w:rsidR="003757AA" w:rsidRDefault="008908BE" w:rsidP="003757AA">
      <w:pPr>
        <w:pStyle w:val="PanelPara"/>
      </w:pPr>
      <w:r w:rsidRPr="008908BE">
        <w:t>The current MTFP covers a five-year period and is included in more detail at Appendix B.</w:t>
      </w:r>
    </w:p>
    <w:p w14:paraId="0FA46287" w14:textId="60272AE5" w:rsidR="00657220" w:rsidRPr="003757AA" w:rsidRDefault="003757AA" w:rsidP="003757AA">
      <w:pPr>
        <w:pStyle w:val="PanelPara"/>
      </w:pPr>
      <w:r w:rsidRPr="003757AA">
        <w:rPr>
          <w:rStyle w:val="PanelParaChar"/>
        </w:rPr>
        <w:t>The impact of high inflation during 2022/23 affected the costs in the MTFP at this point last</w:t>
      </w:r>
      <w:r w:rsidRPr="003757AA">
        <w:rPr>
          <w:rFonts w:cs="Arial"/>
        </w:rPr>
        <w:t xml:space="preserve"> year and we continue to use prudent forecasts with no guarantee of future funding to meet those increases.</w:t>
      </w:r>
    </w:p>
    <w:p w14:paraId="08404B0E" w14:textId="5ADD402B" w:rsidR="00D93AA7" w:rsidRPr="003757AA" w:rsidRDefault="0035516C" w:rsidP="003757AA">
      <w:pPr>
        <w:pStyle w:val="PanelPara"/>
      </w:pPr>
      <w:r w:rsidRPr="003757AA">
        <w:t>Whilst the MTFP does include</w:t>
      </w:r>
      <w:r w:rsidR="00E12EBF" w:rsidRPr="003757AA">
        <w:t xml:space="preserve"> </w:t>
      </w:r>
      <w:r w:rsidR="00D93AA7" w:rsidRPr="003757AA">
        <w:t xml:space="preserve">efficiency savings </w:t>
      </w:r>
      <w:r w:rsidR="00E12EBF" w:rsidRPr="003757AA">
        <w:t>per annum over years 20</w:t>
      </w:r>
      <w:r w:rsidR="003757AA" w:rsidRPr="003757AA">
        <w:t>25</w:t>
      </w:r>
      <w:r w:rsidR="00E12EBF" w:rsidRPr="003757AA">
        <w:t>/2</w:t>
      </w:r>
      <w:r w:rsidR="003757AA" w:rsidRPr="003757AA">
        <w:t>6</w:t>
      </w:r>
      <w:r w:rsidR="00E12EBF" w:rsidRPr="003757AA">
        <w:t xml:space="preserve"> and 202</w:t>
      </w:r>
      <w:r w:rsidR="003757AA" w:rsidRPr="003757AA">
        <w:t>6</w:t>
      </w:r>
      <w:r w:rsidR="00E12EBF" w:rsidRPr="003757AA">
        <w:t>/2</w:t>
      </w:r>
      <w:r w:rsidR="003757AA" w:rsidRPr="003757AA">
        <w:t>7</w:t>
      </w:r>
      <w:r w:rsidR="00E12EBF" w:rsidRPr="003757AA">
        <w:t xml:space="preserve">, these will not be sufficient to meet the shortfalls identified. </w:t>
      </w:r>
      <w:r w:rsidR="003757AA" w:rsidRPr="003757AA">
        <w:t xml:space="preserve"> </w:t>
      </w:r>
      <w:r w:rsidR="00E12EBF" w:rsidRPr="003757AA">
        <w:t xml:space="preserve">Efficiencies will continue to be sought from sharing buildings, driving efficiencies from robust and shared procurement practices and sharing of staff and services where it makes sense to do so. </w:t>
      </w:r>
      <w:r w:rsidR="003757AA" w:rsidRPr="003757AA">
        <w:t xml:space="preserve"> </w:t>
      </w:r>
      <w:r w:rsidR="00E12EBF" w:rsidRPr="003757AA">
        <w:t xml:space="preserve">The Chief Fire Officer will also consider this as part of </w:t>
      </w:r>
      <w:r w:rsidR="003757AA" w:rsidRPr="003757AA">
        <w:t>the</w:t>
      </w:r>
      <w:r w:rsidR="00E12EBF" w:rsidRPr="003757AA">
        <w:t xml:space="preserve"> operational review.</w:t>
      </w:r>
    </w:p>
    <w:p w14:paraId="1B4EA819" w14:textId="6FC78B83" w:rsidR="009A53F8" w:rsidRPr="003757AA" w:rsidRDefault="003757AA" w:rsidP="003757AA">
      <w:pPr>
        <w:pStyle w:val="PanelPara"/>
      </w:pPr>
      <w:r w:rsidRPr="003757AA">
        <w:t>Despite future shortfalls forecast in the MTFP, in the unlikely event that further efficiencies could not be found, the budget can be balanced in the short term by the use of reserves.  However, the use of reserves is not a permanent solution, and the PFCC and Chief Constable will continue to seek efficiencies to ensure the budgets are balanced.</w:t>
      </w:r>
    </w:p>
    <w:p w14:paraId="26DC0823" w14:textId="02C05473" w:rsidR="00152D49" w:rsidRPr="00152D49" w:rsidRDefault="00152D49" w:rsidP="00152D49">
      <w:pPr>
        <w:pStyle w:val="PanelPara"/>
      </w:pPr>
      <w:bookmarkStart w:id="8" w:name="OLE_LINK1"/>
      <w:r w:rsidRPr="00152D49">
        <w:t>It is assumed that no additional unfunded priorities or responsibilities will be given to the PFCC and Chief Fire Officer</w:t>
      </w:r>
      <w:r>
        <w:t xml:space="preserve"> to deliver</w:t>
      </w:r>
      <w:r w:rsidRPr="00152D49">
        <w:t>.</w:t>
      </w:r>
    </w:p>
    <w:p w14:paraId="7E8F45CD" w14:textId="6ADF86FD" w:rsidR="001E10E3" w:rsidRDefault="00E12EBF" w:rsidP="003757AA">
      <w:pPr>
        <w:pStyle w:val="PanelPara"/>
      </w:pPr>
      <w:r w:rsidRPr="007B5EED">
        <w:t>The MTFP is attached at Appendix B and summarised as follows:</w:t>
      </w:r>
      <w:bookmarkEnd w:id="8"/>
    </w:p>
    <w:p w14:paraId="1C4A9B1D" w14:textId="77777777" w:rsidR="001E10E3" w:rsidRDefault="001E10E3">
      <w:pPr>
        <w:spacing w:after="0" w:line="240" w:lineRule="auto"/>
        <w:rPr>
          <w:rFonts w:asciiTheme="minorHAnsi" w:hAnsiTheme="minorHAnsi" w:cstheme="minorHAnsi"/>
          <w:sz w:val="24"/>
          <w:szCs w:val="24"/>
        </w:rPr>
      </w:pPr>
      <w:r>
        <w:br w:type="page"/>
      </w:r>
    </w:p>
    <w:tbl>
      <w:tblPr>
        <w:tblW w:w="9740" w:type="dxa"/>
        <w:tblLook w:val="04A0" w:firstRow="1" w:lastRow="0" w:firstColumn="1" w:lastColumn="0" w:noHBand="0" w:noVBand="1"/>
      </w:tblPr>
      <w:tblGrid>
        <w:gridCol w:w="1140"/>
        <w:gridCol w:w="2900"/>
        <w:gridCol w:w="1140"/>
        <w:gridCol w:w="1140"/>
        <w:gridCol w:w="1140"/>
        <w:gridCol w:w="1140"/>
        <w:gridCol w:w="1140"/>
      </w:tblGrid>
      <w:tr w:rsidR="00025636" w:rsidRPr="00025636" w14:paraId="6841E205" w14:textId="77777777" w:rsidTr="00025636">
        <w:trPr>
          <w:trHeight w:val="630"/>
        </w:trPr>
        <w:tc>
          <w:tcPr>
            <w:tcW w:w="1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FA719B" w14:textId="77777777" w:rsidR="00025636" w:rsidRPr="00025636" w:rsidRDefault="00025636" w:rsidP="00025636">
            <w:pPr>
              <w:spacing w:after="0" w:line="240" w:lineRule="auto"/>
              <w:jc w:val="center"/>
              <w:rPr>
                <w:rFonts w:eastAsia="Times New Roman" w:cs="Calibri"/>
                <w:b/>
                <w:bCs/>
                <w:color w:val="000000"/>
                <w:sz w:val="24"/>
                <w:szCs w:val="24"/>
                <w:lang w:eastAsia="en-GB"/>
              </w:rPr>
            </w:pPr>
            <w:r w:rsidRPr="00025636">
              <w:rPr>
                <w:rFonts w:eastAsia="Times New Roman" w:cs="Calibri"/>
                <w:b/>
                <w:bCs/>
                <w:color w:val="000000"/>
                <w:sz w:val="24"/>
                <w:szCs w:val="24"/>
                <w:lang w:eastAsia="en-GB"/>
              </w:rPr>
              <w:lastRenderedPageBreak/>
              <w:t>2023/24</w:t>
            </w:r>
            <w:r w:rsidRPr="00025636">
              <w:rPr>
                <w:rFonts w:eastAsia="Times New Roman" w:cs="Calibri"/>
                <w:b/>
                <w:bCs/>
                <w:color w:val="000000"/>
                <w:sz w:val="24"/>
                <w:szCs w:val="24"/>
                <w:lang w:eastAsia="en-GB"/>
              </w:rPr>
              <w:br/>
              <w:t>£m</w:t>
            </w:r>
          </w:p>
        </w:tc>
        <w:tc>
          <w:tcPr>
            <w:tcW w:w="2900" w:type="dxa"/>
            <w:tcBorders>
              <w:top w:val="single" w:sz="4" w:space="0" w:color="auto"/>
              <w:left w:val="nil"/>
              <w:bottom w:val="single" w:sz="4" w:space="0" w:color="auto"/>
              <w:right w:val="single" w:sz="4" w:space="0" w:color="auto"/>
            </w:tcBorders>
            <w:shd w:val="clear" w:color="000000" w:fill="FFFFFF"/>
            <w:noWrap/>
            <w:vAlign w:val="center"/>
            <w:hideMark/>
          </w:tcPr>
          <w:p w14:paraId="7FE4FD8E" w14:textId="77777777" w:rsidR="00025636" w:rsidRPr="00025636" w:rsidRDefault="00025636" w:rsidP="00025636">
            <w:pPr>
              <w:spacing w:after="0" w:line="240" w:lineRule="auto"/>
              <w:jc w:val="center"/>
              <w:rPr>
                <w:rFonts w:eastAsia="Times New Roman" w:cs="Calibri"/>
                <w:b/>
                <w:bCs/>
                <w:color w:val="000000"/>
                <w:sz w:val="24"/>
                <w:szCs w:val="24"/>
                <w:lang w:eastAsia="en-GB"/>
              </w:rPr>
            </w:pPr>
            <w:r w:rsidRPr="00025636">
              <w:rPr>
                <w:rFonts w:eastAsia="Times New Roman" w:cs="Calibri"/>
                <w:b/>
                <w:bCs/>
                <w:color w:val="000000"/>
                <w:sz w:val="24"/>
                <w:szCs w:val="24"/>
                <w:lang w:eastAsia="en-GB"/>
              </w:rPr>
              <w:t> </w:t>
            </w:r>
          </w:p>
        </w:tc>
        <w:tc>
          <w:tcPr>
            <w:tcW w:w="1140" w:type="dxa"/>
            <w:tcBorders>
              <w:top w:val="single" w:sz="4" w:space="0" w:color="auto"/>
              <w:left w:val="nil"/>
              <w:bottom w:val="single" w:sz="4" w:space="0" w:color="auto"/>
              <w:right w:val="single" w:sz="4" w:space="0" w:color="auto"/>
            </w:tcBorders>
            <w:shd w:val="clear" w:color="000000" w:fill="FFDDDD"/>
            <w:vAlign w:val="center"/>
            <w:hideMark/>
          </w:tcPr>
          <w:p w14:paraId="0EE01DE9" w14:textId="77777777" w:rsidR="00025636" w:rsidRPr="00025636" w:rsidRDefault="00025636" w:rsidP="00025636">
            <w:pPr>
              <w:spacing w:after="0" w:line="240" w:lineRule="auto"/>
              <w:jc w:val="center"/>
              <w:rPr>
                <w:rFonts w:eastAsia="Times New Roman" w:cs="Calibri"/>
                <w:b/>
                <w:bCs/>
                <w:color w:val="000000"/>
                <w:sz w:val="24"/>
                <w:szCs w:val="24"/>
                <w:lang w:eastAsia="en-GB"/>
              </w:rPr>
            </w:pPr>
            <w:r w:rsidRPr="00025636">
              <w:rPr>
                <w:rFonts w:eastAsia="Times New Roman" w:cs="Calibri"/>
                <w:b/>
                <w:bCs/>
                <w:color w:val="000000"/>
                <w:sz w:val="24"/>
                <w:szCs w:val="24"/>
                <w:lang w:eastAsia="en-GB"/>
              </w:rPr>
              <w:t>2024/25</w:t>
            </w:r>
            <w:r w:rsidRPr="00025636">
              <w:rPr>
                <w:rFonts w:eastAsia="Times New Roman" w:cs="Calibri"/>
                <w:b/>
                <w:bCs/>
                <w:color w:val="000000"/>
                <w:sz w:val="24"/>
                <w:szCs w:val="24"/>
                <w:lang w:eastAsia="en-GB"/>
              </w:rPr>
              <w:br/>
              <w:t>£m</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14:paraId="46E83EA6" w14:textId="77777777" w:rsidR="00025636" w:rsidRPr="00025636" w:rsidRDefault="00025636" w:rsidP="00025636">
            <w:pPr>
              <w:spacing w:after="0" w:line="240" w:lineRule="auto"/>
              <w:jc w:val="center"/>
              <w:rPr>
                <w:rFonts w:eastAsia="Times New Roman" w:cs="Calibri"/>
                <w:b/>
                <w:bCs/>
                <w:color w:val="000000"/>
                <w:sz w:val="24"/>
                <w:szCs w:val="24"/>
                <w:lang w:eastAsia="en-GB"/>
              </w:rPr>
            </w:pPr>
            <w:r w:rsidRPr="00025636">
              <w:rPr>
                <w:rFonts w:eastAsia="Times New Roman" w:cs="Calibri"/>
                <w:b/>
                <w:bCs/>
                <w:color w:val="000000"/>
                <w:sz w:val="24"/>
                <w:szCs w:val="24"/>
                <w:lang w:eastAsia="en-GB"/>
              </w:rPr>
              <w:t>2025/26</w:t>
            </w:r>
            <w:r w:rsidRPr="00025636">
              <w:rPr>
                <w:rFonts w:eastAsia="Times New Roman" w:cs="Calibri"/>
                <w:b/>
                <w:bCs/>
                <w:color w:val="000000"/>
                <w:sz w:val="24"/>
                <w:szCs w:val="24"/>
                <w:lang w:eastAsia="en-GB"/>
              </w:rPr>
              <w:br/>
              <w:t>£m</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14:paraId="56B83953" w14:textId="77777777" w:rsidR="00025636" w:rsidRPr="00025636" w:rsidRDefault="00025636" w:rsidP="00025636">
            <w:pPr>
              <w:spacing w:after="0" w:line="240" w:lineRule="auto"/>
              <w:jc w:val="center"/>
              <w:rPr>
                <w:rFonts w:eastAsia="Times New Roman" w:cs="Calibri"/>
                <w:b/>
                <w:bCs/>
                <w:color w:val="000000"/>
                <w:sz w:val="24"/>
                <w:szCs w:val="24"/>
                <w:lang w:eastAsia="en-GB"/>
              </w:rPr>
            </w:pPr>
            <w:r w:rsidRPr="00025636">
              <w:rPr>
                <w:rFonts w:eastAsia="Times New Roman" w:cs="Calibri"/>
                <w:b/>
                <w:bCs/>
                <w:color w:val="000000"/>
                <w:sz w:val="24"/>
                <w:szCs w:val="24"/>
                <w:lang w:eastAsia="en-GB"/>
              </w:rPr>
              <w:t>2026/27</w:t>
            </w:r>
            <w:r w:rsidRPr="00025636">
              <w:rPr>
                <w:rFonts w:eastAsia="Times New Roman" w:cs="Calibri"/>
                <w:b/>
                <w:bCs/>
                <w:color w:val="000000"/>
                <w:sz w:val="24"/>
                <w:szCs w:val="24"/>
                <w:lang w:eastAsia="en-GB"/>
              </w:rPr>
              <w:br/>
              <w:t>£m</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14:paraId="747C08E1" w14:textId="77777777" w:rsidR="00025636" w:rsidRPr="00025636" w:rsidRDefault="00025636" w:rsidP="00025636">
            <w:pPr>
              <w:spacing w:after="0" w:line="240" w:lineRule="auto"/>
              <w:jc w:val="center"/>
              <w:rPr>
                <w:rFonts w:eastAsia="Times New Roman" w:cs="Calibri"/>
                <w:b/>
                <w:bCs/>
                <w:color w:val="000000"/>
                <w:sz w:val="24"/>
                <w:szCs w:val="24"/>
                <w:lang w:eastAsia="en-GB"/>
              </w:rPr>
            </w:pPr>
            <w:r w:rsidRPr="00025636">
              <w:rPr>
                <w:rFonts w:eastAsia="Times New Roman" w:cs="Calibri"/>
                <w:b/>
                <w:bCs/>
                <w:color w:val="000000"/>
                <w:sz w:val="24"/>
                <w:szCs w:val="24"/>
                <w:lang w:eastAsia="en-GB"/>
              </w:rPr>
              <w:t>2027/28</w:t>
            </w:r>
            <w:r w:rsidRPr="00025636">
              <w:rPr>
                <w:rFonts w:eastAsia="Times New Roman" w:cs="Calibri"/>
                <w:b/>
                <w:bCs/>
                <w:color w:val="000000"/>
                <w:sz w:val="24"/>
                <w:szCs w:val="24"/>
                <w:lang w:eastAsia="en-GB"/>
              </w:rPr>
              <w:br/>
              <w:t>£m</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14:paraId="556D96E0" w14:textId="77777777" w:rsidR="00025636" w:rsidRPr="00025636" w:rsidRDefault="00025636" w:rsidP="00025636">
            <w:pPr>
              <w:spacing w:after="0" w:line="240" w:lineRule="auto"/>
              <w:jc w:val="center"/>
              <w:rPr>
                <w:rFonts w:eastAsia="Times New Roman" w:cs="Calibri"/>
                <w:b/>
                <w:bCs/>
                <w:color w:val="000000"/>
                <w:sz w:val="24"/>
                <w:szCs w:val="24"/>
                <w:lang w:eastAsia="en-GB"/>
              </w:rPr>
            </w:pPr>
            <w:r w:rsidRPr="00025636">
              <w:rPr>
                <w:rFonts w:eastAsia="Times New Roman" w:cs="Calibri"/>
                <w:b/>
                <w:bCs/>
                <w:color w:val="000000"/>
                <w:sz w:val="24"/>
                <w:szCs w:val="24"/>
                <w:lang w:eastAsia="en-GB"/>
              </w:rPr>
              <w:t>2028/29</w:t>
            </w:r>
            <w:r w:rsidRPr="00025636">
              <w:rPr>
                <w:rFonts w:eastAsia="Times New Roman" w:cs="Calibri"/>
                <w:b/>
                <w:bCs/>
                <w:color w:val="000000"/>
                <w:sz w:val="24"/>
                <w:szCs w:val="24"/>
                <w:lang w:eastAsia="en-GB"/>
              </w:rPr>
              <w:br/>
              <w:t>£m</w:t>
            </w:r>
          </w:p>
        </w:tc>
      </w:tr>
      <w:tr w:rsidR="00025636" w:rsidRPr="00025636" w14:paraId="39D9FBA0" w14:textId="77777777" w:rsidTr="00025636">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4288C111"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29.558</w:t>
            </w:r>
          </w:p>
        </w:tc>
        <w:tc>
          <w:tcPr>
            <w:tcW w:w="2900" w:type="dxa"/>
            <w:tcBorders>
              <w:top w:val="nil"/>
              <w:left w:val="nil"/>
              <w:bottom w:val="nil"/>
              <w:right w:val="single" w:sz="4" w:space="0" w:color="auto"/>
            </w:tcBorders>
            <w:shd w:val="clear" w:color="000000" w:fill="FFFFFF"/>
            <w:noWrap/>
            <w:vAlign w:val="bottom"/>
            <w:hideMark/>
          </w:tcPr>
          <w:p w14:paraId="13638E8F"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Expenditure</w:t>
            </w:r>
          </w:p>
        </w:tc>
        <w:tc>
          <w:tcPr>
            <w:tcW w:w="1140" w:type="dxa"/>
            <w:tcBorders>
              <w:top w:val="nil"/>
              <w:left w:val="nil"/>
              <w:bottom w:val="nil"/>
              <w:right w:val="single" w:sz="4" w:space="0" w:color="auto"/>
            </w:tcBorders>
            <w:shd w:val="clear" w:color="000000" w:fill="FFDDDD"/>
            <w:noWrap/>
            <w:vAlign w:val="bottom"/>
            <w:hideMark/>
          </w:tcPr>
          <w:p w14:paraId="6D60AE35"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32.938</w:t>
            </w:r>
          </w:p>
        </w:tc>
        <w:tc>
          <w:tcPr>
            <w:tcW w:w="1140" w:type="dxa"/>
            <w:tcBorders>
              <w:top w:val="nil"/>
              <w:left w:val="nil"/>
              <w:bottom w:val="nil"/>
              <w:right w:val="single" w:sz="4" w:space="0" w:color="auto"/>
            </w:tcBorders>
            <w:shd w:val="clear" w:color="000000" w:fill="FFFFFF"/>
            <w:noWrap/>
            <w:vAlign w:val="bottom"/>
            <w:hideMark/>
          </w:tcPr>
          <w:p w14:paraId="3108122E"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34.223</w:t>
            </w:r>
          </w:p>
        </w:tc>
        <w:tc>
          <w:tcPr>
            <w:tcW w:w="1140" w:type="dxa"/>
            <w:tcBorders>
              <w:top w:val="nil"/>
              <w:left w:val="nil"/>
              <w:bottom w:val="nil"/>
              <w:right w:val="single" w:sz="4" w:space="0" w:color="auto"/>
            </w:tcBorders>
            <w:shd w:val="clear" w:color="000000" w:fill="FFFFFF"/>
            <w:noWrap/>
            <w:vAlign w:val="bottom"/>
            <w:hideMark/>
          </w:tcPr>
          <w:p w14:paraId="1DAE29FB"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35.464</w:t>
            </w:r>
          </w:p>
        </w:tc>
        <w:tc>
          <w:tcPr>
            <w:tcW w:w="1140" w:type="dxa"/>
            <w:tcBorders>
              <w:top w:val="nil"/>
              <w:left w:val="nil"/>
              <w:bottom w:val="nil"/>
              <w:right w:val="single" w:sz="4" w:space="0" w:color="auto"/>
            </w:tcBorders>
            <w:shd w:val="clear" w:color="000000" w:fill="FFFFFF"/>
            <w:noWrap/>
            <w:vAlign w:val="bottom"/>
            <w:hideMark/>
          </w:tcPr>
          <w:p w14:paraId="3D8D4FA9"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36.512</w:t>
            </w:r>
          </w:p>
        </w:tc>
        <w:tc>
          <w:tcPr>
            <w:tcW w:w="1140" w:type="dxa"/>
            <w:tcBorders>
              <w:top w:val="nil"/>
              <w:left w:val="nil"/>
              <w:bottom w:val="nil"/>
              <w:right w:val="single" w:sz="4" w:space="0" w:color="auto"/>
            </w:tcBorders>
            <w:shd w:val="clear" w:color="000000" w:fill="FFFFFF"/>
            <w:noWrap/>
            <w:vAlign w:val="bottom"/>
            <w:hideMark/>
          </w:tcPr>
          <w:p w14:paraId="7135D930"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37.419</w:t>
            </w:r>
          </w:p>
        </w:tc>
      </w:tr>
      <w:tr w:rsidR="00025636" w:rsidRPr="00025636" w14:paraId="043BE32D" w14:textId="77777777" w:rsidTr="00025636">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7A970642"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w:t>
            </w:r>
          </w:p>
        </w:tc>
        <w:tc>
          <w:tcPr>
            <w:tcW w:w="2900" w:type="dxa"/>
            <w:tcBorders>
              <w:top w:val="nil"/>
              <w:left w:val="nil"/>
              <w:bottom w:val="nil"/>
              <w:right w:val="single" w:sz="4" w:space="0" w:color="auto"/>
            </w:tcBorders>
            <w:shd w:val="clear" w:color="000000" w:fill="FFFFFF"/>
            <w:noWrap/>
            <w:vAlign w:val="bottom"/>
            <w:hideMark/>
          </w:tcPr>
          <w:p w14:paraId="0ED809B7"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Efficiencies agreed</w:t>
            </w:r>
          </w:p>
        </w:tc>
        <w:tc>
          <w:tcPr>
            <w:tcW w:w="1140" w:type="dxa"/>
            <w:tcBorders>
              <w:top w:val="nil"/>
              <w:left w:val="nil"/>
              <w:bottom w:val="nil"/>
              <w:right w:val="single" w:sz="4" w:space="0" w:color="auto"/>
            </w:tcBorders>
            <w:shd w:val="clear" w:color="000000" w:fill="FFDDDD"/>
            <w:noWrap/>
            <w:vAlign w:val="bottom"/>
            <w:hideMark/>
          </w:tcPr>
          <w:p w14:paraId="10F96F26"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(1.155)</w:t>
            </w:r>
          </w:p>
        </w:tc>
        <w:tc>
          <w:tcPr>
            <w:tcW w:w="1140" w:type="dxa"/>
            <w:tcBorders>
              <w:top w:val="nil"/>
              <w:left w:val="nil"/>
              <w:bottom w:val="nil"/>
              <w:right w:val="single" w:sz="4" w:space="0" w:color="auto"/>
            </w:tcBorders>
            <w:shd w:val="clear" w:color="000000" w:fill="FFFFFF"/>
            <w:noWrap/>
            <w:vAlign w:val="bottom"/>
            <w:hideMark/>
          </w:tcPr>
          <w:p w14:paraId="4C29CB16"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(0.866)</w:t>
            </w:r>
          </w:p>
        </w:tc>
        <w:tc>
          <w:tcPr>
            <w:tcW w:w="1140" w:type="dxa"/>
            <w:tcBorders>
              <w:top w:val="nil"/>
              <w:left w:val="nil"/>
              <w:bottom w:val="nil"/>
              <w:right w:val="single" w:sz="4" w:space="0" w:color="auto"/>
            </w:tcBorders>
            <w:shd w:val="clear" w:color="000000" w:fill="FFFFFF"/>
            <w:noWrap/>
            <w:vAlign w:val="bottom"/>
            <w:hideMark/>
          </w:tcPr>
          <w:p w14:paraId="7A60F35D"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(0.888)</w:t>
            </w:r>
          </w:p>
        </w:tc>
        <w:tc>
          <w:tcPr>
            <w:tcW w:w="1140" w:type="dxa"/>
            <w:tcBorders>
              <w:top w:val="nil"/>
              <w:left w:val="nil"/>
              <w:bottom w:val="nil"/>
              <w:right w:val="single" w:sz="4" w:space="0" w:color="auto"/>
            </w:tcBorders>
            <w:shd w:val="clear" w:color="000000" w:fill="FFFFFF"/>
            <w:noWrap/>
            <w:vAlign w:val="bottom"/>
            <w:hideMark/>
          </w:tcPr>
          <w:p w14:paraId="746537F5"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(0.935)</w:t>
            </w:r>
          </w:p>
        </w:tc>
        <w:tc>
          <w:tcPr>
            <w:tcW w:w="1140" w:type="dxa"/>
            <w:tcBorders>
              <w:top w:val="nil"/>
              <w:left w:val="nil"/>
              <w:bottom w:val="nil"/>
              <w:right w:val="single" w:sz="4" w:space="0" w:color="auto"/>
            </w:tcBorders>
            <w:shd w:val="clear" w:color="000000" w:fill="FFFFFF"/>
            <w:noWrap/>
            <w:vAlign w:val="bottom"/>
            <w:hideMark/>
          </w:tcPr>
          <w:p w14:paraId="6A20B7E6"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(0.951)</w:t>
            </w:r>
          </w:p>
        </w:tc>
      </w:tr>
      <w:tr w:rsidR="00025636" w:rsidRPr="00025636" w14:paraId="44896A7C" w14:textId="77777777" w:rsidTr="00025636">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0886E90D"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w:t>
            </w:r>
          </w:p>
        </w:tc>
        <w:tc>
          <w:tcPr>
            <w:tcW w:w="2900" w:type="dxa"/>
            <w:tcBorders>
              <w:top w:val="nil"/>
              <w:left w:val="nil"/>
              <w:bottom w:val="nil"/>
              <w:right w:val="single" w:sz="4" w:space="0" w:color="auto"/>
            </w:tcBorders>
            <w:shd w:val="clear" w:color="000000" w:fill="FFFFFF"/>
            <w:noWrap/>
            <w:vAlign w:val="bottom"/>
            <w:hideMark/>
          </w:tcPr>
          <w:p w14:paraId="3AA757F0"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Efficiencies to be identified</w:t>
            </w:r>
          </w:p>
        </w:tc>
        <w:tc>
          <w:tcPr>
            <w:tcW w:w="1140" w:type="dxa"/>
            <w:tcBorders>
              <w:top w:val="nil"/>
              <w:left w:val="nil"/>
              <w:bottom w:val="nil"/>
              <w:right w:val="single" w:sz="4" w:space="0" w:color="auto"/>
            </w:tcBorders>
            <w:shd w:val="clear" w:color="000000" w:fill="FFDDDD"/>
            <w:noWrap/>
            <w:vAlign w:val="bottom"/>
            <w:hideMark/>
          </w:tcPr>
          <w:p w14:paraId="40E55F37"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(0.329)</w:t>
            </w:r>
          </w:p>
        </w:tc>
        <w:tc>
          <w:tcPr>
            <w:tcW w:w="1140" w:type="dxa"/>
            <w:tcBorders>
              <w:top w:val="nil"/>
              <w:left w:val="nil"/>
              <w:bottom w:val="nil"/>
              <w:right w:val="single" w:sz="4" w:space="0" w:color="auto"/>
            </w:tcBorders>
            <w:shd w:val="clear" w:color="000000" w:fill="FFFFFF"/>
            <w:noWrap/>
            <w:vAlign w:val="bottom"/>
            <w:hideMark/>
          </w:tcPr>
          <w:p w14:paraId="3A829055"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(0.665)</w:t>
            </w:r>
          </w:p>
        </w:tc>
        <w:tc>
          <w:tcPr>
            <w:tcW w:w="1140" w:type="dxa"/>
            <w:tcBorders>
              <w:top w:val="nil"/>
              <w:left w:val="nil"/>
              <w:bottom w:val="nil"/>
              <w:right w:val="single" w:sz="4" w:space="0" w:color="auto"/>
            </w:tcBorders>
            <w:shd w:val="clear" w:color="000000" w:fill="FFFFFF"/>
            <w:noWrap/>
            <w:vAlign w:val="bottom"/>
            <w:hideMark/>
          </w:tcPr>
          <w:p w14:paraId="3DE7CE11"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(0.665)</w:t>
            </w:r>
          </w:p>
        </w:tc>
        <w:tc>
          <w:tcPr>
            <w:tcW w:w="1140" w:type="dxa"/>
            <w:tcBorders>
              <w:top w:val="nil"/>
              <w:left w:val="nil"/>
              <w:bottom w:val="nil"/>
              <w:right w:val="single" w:sz="4" w:space="0" w:color="auto"/>
            </w:tcBorders>
            <w:shd w:val="clear" w:color="000000" w:fill="FFFFFF"/>
            <w:noWrap/>
            <w:vAlign w:val="bottom"/>
            <w:hideMark/>
          </w:tcPr>
          <w:p w14:paraId="00D93D11"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(0.665)</w:t>
            </w:r>
          </w:p>
        </w:tc>
        <w:tc>
          <w:tcPr>
            <w:tcW w:w="1140" w:type="dxa"/>
            <w:tcBorders>
              <w:top w:val="nil"/>
              <w:left w:val="nil"/>
              <w:bottom w:val="nil"/>
              <w:right w:val="single" w:sz="4" w:space="0" w:color="auto"/>
            </w:tcBorders>
            <w:shd w:val="clear" w:color="000000" w:fill="FFFFFF"/>
            <w:noWrap/>
            <w:vAlign w:val="bottom"/>
            <w:hideMark/>
          </w:tcPr>
          <w:p w14:paraId="29087551"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(0.665)</w:t>
            </w:r>
          </w:p>
        </w:tc>
      </w:tr>
      <w:tr w:rsidR="00025636" w:rsidRPr="00025636" w14:paraId="17E3196D" w14:textId="77777777" w:rsidTr="00025636">
        <w:trPr>
          <w:trHeight w:val="315"/>
        </w:trPr>
        <w:tc>
          <w:tcPr>
            <w:tcW w:w="1140" w:type="dxa"/>
            <w:tcBorders>
              <w:top w:val="single" w:sz="4" w:space="0" w:color="auto"/>
              <w:left w:val="single" w:sz="4" w:space="0" w:color="auto"/>
              <w:bottom w:val="nil"/>
              <w:right w:val="single" w:sz="4" w:space="0" w:color="auto"/>
            </w:tcBorders>
            <w:shd w:val="clear" w:color="000000" w:fill="FFFFFF"/>
            <w:noWrap/>
            <w:vAlign w:val="bottom"/>
            <w:hideMark/>
          </w:tcPr>
          <w:p w14:paraId="66C6F604" w14:textId="77777777" w:rsidR="00025636" w:rsidRPr="00025636" w:rsidRDefault="00025636" w:rsidP="00025636">
            <w:pPr>
              <w:spacing w:after="0" w:line="240" w:lineRule="auto"/>
              <w:jc w:val="right"/>
              <w:rPr>
                <w:rFonts w:eastAsia="Times New Roman" w:cs="Calibri"/>
                <w:b/>
                <w:bCs/>
                <w:color w:val="000000"/>
                <w:sz w:val="24"/>
                <w:szCs w:val="24"/>
                <w:lang w:eastAsia="en-GB"/>
              </w:rPr>
            </w:pPr>
            <w:r w:rsidRPr="00025636">
              <w:rPr>
                <w:rFonts w:eastAsia="Times New Roman" w:cs="Calibri"/>
                <w:b/>
                <w:bCs/>
                <w:color w:val="000000"/>
                <w:sz w:val="24"/>
                <w:szCs w:val="24"/>
                <w:lang w:eastAsia="en-GB"/>
              </w:rPr>
              <w:t>29.558</w:t>
            </w:r>
          </w:p>
        </w:tc>
        <w:tc>
          <w:tcPr>
            <w:tcW w:w="2900" w:type="dxa"/>
            <w:tcBorders>
              <w:top w:val="nil"/>
              <w:left w:val="nil"/>
              <w:bottom w:val="nil"/>
              <w:right w:val="single" w:sz="4" w:space="0" w:color="auto"/>
            </w:tcBorders>
            <w:shd w:val="clear" w:color="000000" w:fill="FFFFFF"/>
            <w:noWrap/>
            <w:vAlign w:val="bottom"/>
            <w:hideMark/>
          </w:tcPr>
          <w:p w14:paraId="79D8ED3D" w14:textId="77777777" w:rsidR="00025636" w:rsidRPr="00025636" w:rsidRDefault="00025636" w:rsidP="00025636">
            <w:pPr>
              <w:spacing w:after="0" w:line="240" w:lineRule="auto"/>
              <w:rPr>
                <w:rFonts w:eastAsia="Times New Roman" w:cs="Calibri"/>
                <w:b/>
                <w:bCs/>
                <w:color w:val="000000"/>
                <w:sz w:val="24"/>
                <w:szCs w:val="24"/>
                <w:lang w:eastAsia="en-GB"/>
              </w:rPr>
            </w:pPr>
            <w:r w:rsidRPr="00025636">
              <w:rPr>
                <w:rFonts w:eastAsia="Times New Roman" w:cs="Calibri"/>
                <w:b/>
                <w:bCs/>
                <w:color w:val="000000"/>
                <w:sz w:val="24"/>
                <w:szCs w:val="24"/>
                <w:lang w:eastAsia="en-GB"/>
              </w:rPr>
              <w:t> </w:t>
            </w:r>
          </w:p>
        </w:tc>
        <w:tc>
          <w:tcPr>
            <w:tcW w:w="1140" w:type="dxa"/>
            <w:tcBorders>
              <w:top w:val="single" w:sz="4" w:space="0" w:color="auto"/>
              <w:left w:val="nil"/>
              <w:bottom w:val="nil"/>
              <w:right w:val="single" w:sz="4" w:space="0" w:color="auto"/>
            </w:tcBorders>
            <w:shd w:val="clear" w:color="000000" w:fill="FFDDDD"/>
            <w:noWrap/>
            <w:vAlign w:val="bottom"/>
            <w:hideMark/>
          </w:tcPr>
          <w:p w14:paraId="12122BAF" w14:textId="77777777" w:rsidR="00025636" w:rsidRPr="00025636" w:rsidRDefault="00025636" w:rsidP="00025636">
            <w:pPr>
              <w:spacing w:after="0" w:line="240" w:lineRule="auto"/>
              <w:jc w:val="right"/>
              <w:rPr>
                <w:rFonts w:eastAsia="Times New Roman" w:cs="Calibri"/>
                <w:b/>
                <w:bCs/>
                <w:color w:val="000000"/>
                <w:sz w:val="24"/>
                <w:szCs w:val="24"/>
                <w:lang w:eastAsia="en-GB"/>
              </w:rPr>
            </w:pPr>
            <w:r w:rsidRPr="00025636">
              <w:rPr>
                <w:rFonts w:eastAsia="Times New Roman" w:cs="Calibri"/>
                <w:b/>
                <w:bCs/>
                <w:color w:val="000000"/>
                <w:sz w:val="24"/>
                <w:szCs w:val="24"/>
                <w:lang w:eastAsia="en-GB"/>
              </w:rPr>
              <w:t>31.454</w:t>
            </w:r>
          </w:p>
        </w:tc>
        <w:tc>
          <w:tcPr>
            <w:tcW w:w="1140" w:type="dxa"/>
            <w:tcBorders>
              <w:top w:val="single" w:sz="4" w:space="0" w:color="auto"/>
              <w:left w:val="nil"/>
              <w:bottom w:val="nil"/>
              <w:right w:val="single" w:sz="4" w:space="0" w:color="auto"/>
            </w:tcBorders>
            <w:shd w:val="clear" w:color="000000" w:fill="FFFFFF"/>
            <w:noWrap/>
            <w:vAlign w:val="bottom"/>
            <w:hideMark/>
          </w:tcPr>
          <w:p w14:paraId="5E22890D" w14:textId="77777777" w:rsidR="00025636" w:rsidRPr="00025636" w:rsidRDefault="00025636" w:rsidP="00025636">
            <w:pPr>
              <w:spacing w:after="0" w:line="240" w:lineRule="auto"/>
              <w:jc w:val="right"/>
              <w:rPr>
                <w:rFonts w:eastAsia="Times New Roman" w:cs="Calibri"/>
                <w:b/>
                <w:bCs/>
                <w:color w:val="000000"/>
                <w:sz w:val="24"/>
                <w:szCs w:val="24"/>
                <w:lang w:eastAsia="en-GB"/>
              </w:rPr>
            </w:pPr>
            <w:r w:rsidRPr="00025636">
              <w:rPr>
                <w:rFonts w:eastAsia="Times New Roman" w:cs="Calibri"/>
                <w:b/>
                <w:bCs/>
                <w:color w:val="000000"/>
                <w:sz w:val="24"/>
                <w:szCs w:val="24"/>
                <w:lang w:eastAsia="en-GB"/>
              </w:rPr>
              <w:t>32.692</w:t>
            </w:r>
          </w:p>
        </w:tc>
        <w:tc>
          <w:tcPr>
            <w:tcW w:w="1140" w:type="dxa"/>
            <w:tcBorders>
              <w:top w:val="single" w:sz="4" w:space="0" w:color="auto"/>
              <w:left w:val="nil"/>
              <w:bottom w:val="nil"/>
              <w:right w:val="single" w:sz="4" w:space="0" w:color="auto"/>
            </w:tcBorders>
            <w:shd w:val="clear" w:color="000000" w:fill="FFFFFF"/>
            <w:noWrap/>
            <w:vAlign w:val="bottom"/>
            <w:hideMark/>
          </w:tcPr>
          <w:p w14:paraId="6DF0A591" w14:textId="77777777" w:rsidR="00025636" w:rsidRPr="00025636" w:rsidRDefault="00025636" w:rsidP="00025636">
            <w:pPr>
              <w:spacing w:after="0" w:line="240" w:lineRule="auto"/>
              <w:jc w:val="right"/>
              <w:rPr>
                <w:rFonts w:eastAsia="Times New Roman" w:cs="Calibri"/>
                <w:b/>
                <w:bCs/>
                <w:color w:val="000000"/>
                <w:sz w:val="24"/>
                <w:szCs w:val="24"/>
                <w:lang w:eastAsia="en-GB"/>
              </w:rPr>
            </w:pPr>
            <w:r w:rsidRPr="00025636">
              <w:rPr>
                <w:rFonts w:eastAsia="Times New Roman" w:cs="Calibri"/>
                <w:b/>
                <w:bCs/>
                <w:color w:val="000000"/>
                <w:sz w:val="24"/>
                <w:szCs w:val="24"/>
                <w:lang w:eastAsia="en-GB"/>
              </w:rPr>
              <w:t>33.911</w:t>
            </w:r>
          </w:p>
        </w:tc>
        <w:tc>
          <w:tcPr>
            <w:tcW w:w="1140" w:type="dxa"/>
            <w:tcBorders>
              <w:top w:val="single" w:sz="4" w:space="0" w:color="auto"/>
              <w:left w:val="nil"/>
              <w:bottom w:val="nil"/>
              <w:right w:val="single" w:sz="4" w:space="0" w:color="auto"/>
            </w:tcBorders>
            <w:shd w:val="clear" w:color="000000" w:fill="FFFFFF"/>
            <w:noWrap/>
            <w:vAlign w:val="bottom"/>
            <w:hideMark/>
          </w:tcPr>
          <w:p w14:paraId="440C9074" w14:textId="77777777" w:rsidR="00025636" w:rsidRPr="00025636" w:rsidRDefault="00025636" w:rsidP="00025636">
            <w:pPr>
              <w:spacing w:after="0" w:line="240" w:lineRule="auto"/>
              <w:jc w:val="right"/>
              <w:rPr>
                <w:rFonts w:eastAsia="Times New Roman" w:cs="Calibri"/>
                <w:b/>
                <w:bCs/>
                <w:color w:val="000000"/>
                <w:sz w:val="24"/>
                <w:szCs w:val="24"/>
                <w:lang w:eastAsia="en-GB"/>
              </w:rPr>
            </w:pPr>
            <w:r w:rsidRPr="00025636">
              <w:rPr>
                <w:rFonts w:eastAsia="Times New Roman" w:cs="Calibri"/>
                <w:b/>
                <w:bCs/>
                <w:color w:val="000000"/>
                <w:sz w:val="24"/>
                <w:szCs w:val="24"/>
                <w:lang w:eastAsia="en-GB"/>
              </w:rPr>
              <w:t>34.912</w:t>
            </w:r>
          </w:p>
        </w:tc>
        <w:tc>
          <w:tcPr>
            <w:tcW w:w="1140" w:type="dxa"/>
            <w:tcBorders>
              <w:top w:val="single" w:sz="4" w:space="0" w:color="auto"/>
              <w:left w:val="nil"/>
              <w:bottom w:val="nil"/>
              <w:right w:val="single" w:sz="4" w:space="0" w:color="auto"/>
            </w:tcBorders>
            <w:shd w:val="clear" w:color="000000" w:fill="FFFFFF"/>
            <w:noWrap/>
            <w:vAlign w:val="bottom"/>
            <w:hideMark/>
          </w:tcPr>
          <w:p w14:paraId="310E97D2" w14:textId="77777777" w:rsidR="00025636" w:rsidRPr="00025636" w:rsidRDefault="00025636" w:rsidP="00025636">
            <w:pPr>
              <w:spacing w:after="0" w:line="240" w:lineRule="auto"/>
              <w:jc w:val="right"/>
              <w:rPr>
                <w:rFonts w:eastAsia="Times New Roman" w:cs="Calibri"/>
                <w:b/>
                <w:bCs/>
                <w:color w:val="000000"/>
                <w:sz w:val="24"/>
                <w:szCs w:val="24"/>
                <w:lang w:eastAsia="en-GB"/>
              </w:rPr>
            </w:pPr>
            <w:r w:rsidRPr="00025636">
              <w:rPr>
                <w:rFonts w:eastAsia="Times New Roman" w:cs="Calibri"/>
                <w:b/>
                <w:bCs/>
                <w:color w:val="000000"/>
                <w:sz w:val="24"/>
                <w:szCs w:val="24"/>
                <w:lang w:eastAsia="en-GB"/>
              </w:rPr>
              <w:t>35.803</w:t>
            </w:r>
          </w:p>
        </w:tc>
      </w:tr>
      <w:tr w:rsidR="00025636" w:rsidRPr="00025636" w14:paraId="5AD36F29" w14:textId="77777777" w:rsidTr="00025636">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7E531EAB"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 </w:t>
            </w:r>
          </w:p>
        </w:tc>
        <w:tc>
          <w:tcPr>
            <w:tcW w:w="2900" w:type="dxa"/>
            <w:tcBorders>
              <w:top w:val="nil"/>
              <w:left w:val="nil"/>
              <w:bottom w:val="nil"/>
              <w:right w:val="single" w:sz="4" w:space="0" w:color="auto"/>
            </w:tcBorders>
            <w:shd w:val="clear" w:color="000000" w:fill="FFFFFF"/>
            <w:noWrap/>
            <w:vAlign w:val="bottom"/>
            <w:hideMark/>
          </w:tcPr>
          <w:p w14:paraId="55CC8F8A"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 </w:t>
            </w:r>
          </w:p>
        </w:tc>
        <w:tc>
          <w:tcPr>
            <w:tcW w:w="1140" w:type="dxa"/>
            <w:tcBorders>
              <w:top w:val="nil"/>
              <w:left w:val="nil"/>
              <w:bottom w:val="nil"/>
              <w:right w:val="single" w:sz="4" w:space="0" w:color="auto"/>
            </w:tcBorders>
            <w:shd w:val="clear" w:color="000000" w:fill="FFDDDD"/>
            <w:noWrap/>
            <w:vAlign w:val="bottom"/>
            <w:hideMark/>
          </w:tcPr>
          <w:p w14:paraId="23AB8012"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 </w:t>
            </w:r>
          </w:p>
        </w:tc>
        <w:tc>
          <w:tcPr>
            <w:tcW w:w="1140" w:type="dxa"/>
            <w:tcBorders>
              <w:top w:val="nil"/>
              <w:left w:val="nil"/>
              <w:bottom w:val="nil"/>
              <w:right w:val="single" w:sz="4" w:space="0" w:color="auto"/>
            </w:tcBorders>
            <w:shd w:val="clear" w:color="000000" w:fill="FFFFFF"/>
            <w:noWrap/>
            <w:vAlign w:val="bottom"/>
            <w:hideMark/>
          </w:tcPr>
          <w:p w14:paraId="055CEB57"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 </w:t>
            </w:r>
          </w:p>
        </w:tc>
        <w:tc>
          <w:tcPr>
            <w:tcW w:w="1140" w:type="dxa"/>
            <w:tcBorders>
              <w:top w:val="nil"/>
              <w:left w:val="nil"/>
              <w:bottom w:val="nil"/>
              <w:right w:val="single" w:sz="4" w:space="0" w:color="auto"/>
            </w:tcBorders>
            <w:shd w:val="clear" w:color="000000" w:fill="FFFFFF"/>
            <w:noWrap/>
            <w:vAlign w:val="bottom"/>
            <w:hideMark/>
          </w:tcPr>
          <w:p w14:paraId="58BD0FF1"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 </w:t>
            </w:r>
          </w:p>
        </w:tc>
        <w:tc>
          <w:tcPr>
            <w:tcW w:w="1140" w:type="dxa"/>
            <w:tcBorders>
              <w:top w:val="nil"/>
              <w:left w:val="nil"/>
              <w:bottom w:val="nil"/>
              <w:right w:val="single" w:sz="4" w:space="0" w:color="auto"/>
            </w:tcBorders>
            <w:shd w:val="clear" w:color="000000" w:fill="FFFFFF"/>
            <w:noWrap/>
            <w:vAlign w:val="bottom"/>
            <w:hideMark/>
          </w:tcPr>
          <w:p w14:paraId="68197840"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 </w:t>
            </w:r>
          </w:p>
        </w:tc>
        <w:tc>
          <w:tcPr>
            <w:tcW w:w="1140" w:type="dxa"/>
            <w:tcBorders>
              <w:top w:val="nil"/>
              <w:left w:val="nil"/>
              <w:bottom w:val="nil"/>
              <w:right w:val="single" w:sz="4" w:space="0" w:color="auto"/>
            </w:tcBorders>
            <w:shd w:val="clear" w:color="000000" w:fill="FFFFFF"/>
            <w:noWrap/>
            <w:vAlign w:val="bottom"/>
            <w:hideMark/>
          </w:tcPr>
          <w:p w14:paraId="34271813"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 </w:t>
            </w:r>
          </w:p>
        </w:tc>
      </w:tr>
      <w:tr w:rsidR="00025636" w:rsidRPr="00025636" w14:paraId="347553A3" w14:textId="77777777" w:rsidTr="00025636">
        <w:trPr>
          <w:trHeight w:val="315"/>
        </w:trPr>
        <w:tc>
          <w:tcPr>
            <w:tcW w:w="1140" w:type="dxa"/>
            <w:tcBorders>
              <w:top w:val="nil"/>
              <w:left w:val="single" w:sz="4" w:space="0" w:color="auto"/>
              <w:bottom w:val="nil"/>
              <w:right w:val="single" w:sz="4" w:space="0" w:color="auto"/>
            </w:tcBorders>
            <w:shd w:val="clear" w:color="000000" w:fill="FFFFFF"/>
            <w:noWrap/>
            <w:vAlign w:val="bottom"/>
            <w:hideMark/>
          </w:tcPr>
          <w:p w14:paraId="7C5C6510"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(29.558)</w:t>
            </w:r>
          </w:p>
        </w:tc>
        <w:tc>
          <w:tcPr>
            <w:tcW w:w="2900" w:type="dxa"/>
            <w:tcBorders>
              <w:top w:val="nil"/>
              <w:left w:val="nil"/>
              <w:bottom w:val="nil"/>
              <w:right w:val="single" w:sz="4" w:space="0" w:color="auto"/>
            </w:tcBorders>
            <w:shd w:val="clear" w:color="000000" w:fill="FFFFFF"/>
            <w:noWrap/>
            <w:vAlign w:val="bottom"/>
            <w:hideMark/>
          </w:tcPr>
          <w:p w14:paraId="7F9E0999" w14:textId="77777777" w:rsidR="00025636" w:rsidRPr="00025636" w:rsidRDefault="00025636" w:rsidP="00025636">
            <w:pPr>
              <w:spacing w:after="0" w:line="240" w:lineRule="auto"/>
              <w:rPr>
                <w:rFonts w:eastAsia="Times New Roman" w:cs="Calibri"/>
                <w:color w:val="000000"/>
                <w:sz w:val="24"/>
                <w:szCs w:val="24"/>
                <w:lang w:eastAsia="en-GB"/>
              </w:rPr>
            </w:pPr>
            <w:r w:rsidRPr="00025636">
              <w:rPr>
                <w:rFonts w:eastAsia="Times New Roman" w:cs="Calibri"/>
                <w:color w:val="000000"/>
                <w:sz w:val="24"/>
                <w:szCs w:val="24"/>
                <w:lang w:eastAsia="en-GB"/>
              </w:rPr>
              <w:t>Funding</w:t>
            </w:r>
          </w:p>
        </w:tc>
        <w:tc>
          <w:tcPr>
            <w:tcW w:w="1140" w:type="dxa"/>
            <w:tcBorders>
              <w:top w:val="nil"/>
              <w:left w:val="nil"/>
              <w:bottom w:val="nil"/>
              <w:right w:val="single" w:sz="4" w:space="0" w:color="auto"/>
            </w:tcBorders>
            <w:shd w:val="clear" w:color="000000" w:fill="FFDDDD"/>
            <w:noWrap/>
            <w:vAlign w:val="bottom"/>
            <w:hideMark/>
          </w:tcPr>
          <w:p w14:paraId="6CE33D46"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(31.454)</w:t>
            </w:r>
          </w:p>
        </w:tc>
        <w:tc>
          <w:tcPr>
            <w:tcW w:w="1140" w:type="dxa"/>
            <w:tcBorders>
              <w:top w:val="nil"/>
              <w:left w:val="nil"/>
              <w:bottom w:val="nil"/>
              <w:right w:val="single" w:sz="4" w:space="0" w:color="auto"/>
            </w:tcBorders>
            <w:shd w:val="clear" w:color="000000" w:fill="FFFFFF"/>
            <w:noWrap/>
            <w:vAlign w:val="bottom"/>
            <w:hideMark/>
          </w:tcPr>
          <w:p w14:paraId="64B288A9"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(32.023)</w:t>
            </w:r>
          </w:p>
        </w:tc>
        <w:tc>
          <w:tcPr>
            <w:tcW w:w="1140" w:type="dxa"/>
            <w:tcBorders>
              <w:top w:val="nil"/>
              <w:left w:val="nil"/>
              <w:bottom w:val="nil"/>
              <w:right w:val="single" w:sz="4" w:space="0" w:color="auto"/>
            </w:tcBorders>
            <w:shd w:val="clear" w:color="000000" w:fill="FFFFFF"/>
            <w:noWrap/>
            <w:vAlign w:val="bottom"/>
            <w:hideMark/>
          </w:tcPr>
          <w:p w14:paraId="30319A54"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(32.875)</w:t>
            </w:r>
          </w:p>
        </w:tc>
        <w:tc>
          <w:tcPr>
            <w:tcW w:w="1140" w:type="dxa"/>
            <w:tcBorders>
              <w:top w:val="nil"/>
              <w:left w:val="nil"/>
              <w:bottom w:val="nil"/>
              <w:right w:val="single" w:sz="4" w:space="0" w:color="auto"/>
            </w:tcBorders>
            <w:shd w:val="clear" w:color="000000" w:fill="FFFFFF"/>
            <w:noWrap/>
            <w:vAlign w:val="bottom"/>
            <w:hideMark/>
          </w:tcPr>
          <w:p w14:paraId="79FA67AC"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(33.754)</w:t>
            </w:r>
          </w:p>
        </w:tc>
        <w:tc>
          <w:tcPr>
            <w:tcW w:w="1140" w:type="dxa"/>
            <w:tcBorders>
              <w:top w:val="nil"/>
              <w:left w:val="nil"/>
              <w:bottom w:val="nil"/>
              <w:right w:val="single" w:sz="4" w:space="0" w:color="auto"/>
            </w:tcBorders>
            <w:shd w:val="clear" w:color="000000" w:fill="FFFFFF"/>
            <w:noWrap/>
            <w:vAlign w:val="bottom"/>
            <w:hideMark/>
          </w:tcPr>
          <w:p w14:paraId="1668258D" w14:textId="77777777" w:rsidR="00025636" w:rsidRPr="00025636" w:rsidRDefault="00025636" w:rsidP="00025636">
            <w:pPr>
              <w:spacing w:after="0" w:line="240" w:lineRule="auto"/>
              <w:jc w:val="right"/>
              <w:rPr>
                <w:rFonts w:eastAsia="Times New Roman" w:cs="Calibri"/>
                <w:color w:val="000000"/>
                <w:sz w:val="24"/>
                <w:szCs w:val="24"/>
                <w:lang w:eastAsia="en-GB"/>
              </w:rPr>
            </w:pPr>
            <w:r w:rsidRPr="00025636">
              <w:rPr>
                <w:rFonts w:eastAsia="Times New Roman" w:cs="Calibri"/>
                <w:color w:val="000000"/>
                <w:sz w:val="24"/>
                <w:szCs w:val="24"/>
                <w:lang w:eastAsia="en-GB"/>
              </w:rPr>
              <w:t>(34.661)</w:t>
            </w:r>
          </w:p>
        </w:tc>
      </w:tr>
      <w:tr w:rsidR="00025636" w:rsidRPr="00025636" w14:paraId="7A577843" w14:textId="77777777" w:rsidTr="00025636">
        <w:trPr>
          <w:trHeight w:val="315"/>
        </w:trPr>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165DA6" w14:textId="77777777" w:rsidR="00025636" w:rsidRPr="00025636" w:rsidRDefault="00025636" w:rsidP="00025636">
            <w:pPr>
              <w:spacing w:after="0" w:line="240" w:lineRule="auto"/>
              <w:jc w:val="right"/>
              <w:rPr>
                <w:rFonts w:eastAsia="Times New Roman" w:cs="Calibri"/>
                <w:b/>
                <w:bCs/>
                <w:color w:val="000000"/>
                <w:sz w:val="24"/>
                <w:szCs w:val="24"/>
                <w:lang w:eastAsia="en-GB"/>
              </w:rPr>
            </w:pPr>
            <w:r w:rsidRPr="00025636">
              <w:rPr>
                <w:rFonts w:eastAsia="Times New Roman" w:cs="Calibri"/>
                <w:b/>
                <w:bCs/>
                <w:color w:val="000000"/>
                <w:sz w:val="24"/>
                <w:szCs w:val="24"/>
                <w:lang w:eastAsia="en-GB"/>
              </w:rPr>
              <w:t>-</w:t>
            </w:r>
          </w:p>
        </w:tc>
        <w:tc>
          <w:tcPr>
            <w:tcW w:w="2900" w:type="dxa"/>
            <w:tcBorders>
              <w:top w:val="single" w:sz="4" w:space="0" w:color="auto"/>
              <w:left w:val="nil"/>
              <w:bottom w:val="single" w:sz="4" w:space="0" w:color="auto"/>
              <w:right w:val="single" w:sz="4" w:space="0" w:color="auto"/>
            </w:tcBorders>
            <w:shd w:val="clear" w:color="000000" w:fill="FFFFFF"/>
            <w:noWrap/>
            <w:vAlign w:val="bottom"/>
            <w:hideMark/>
          </w:tcPr>
          <w:p w14:paraId="39135D15" w14:textId="77777777" w:rsidR="00025636" w:rsidRPr="00025636" w:rsidRDefault="00025636" w:rsidP="00025636">
            <w:pPr>
              <w:spacing w:after="0" w:line="240" w:lineRule="auto"/>
              <w:rPr>
                <w:rFonts w:eastAsia="Times New Roman" w:cs="Calibri"/>
                <w:b/>
                <w:bCs/>
                <w:color w:val="000000"/>
                <w:sz w:val="24"/>
                <w:szCs w:val="24"/>
                <w:lang w:eastAsia="en-GB"/>
              </w:rPr>
            </w:pPr>
            <w:r w:rsidRPr="00025636">
              <w:rPr>
                <w:rFonts w:eastAsia="Times New Roman" w:cs="Calibri"/>
                <w:b/>
                <w:bCs/>
                <w:color w:val="000000"/>
                <w:sz w:val="24"/>
                <w:szCs w:val="24"/>
                <w:lang w:eastAsia="en-GB"/>
              </w:rPr>
              <w:t>Shortfall</w:t>
            </w:r>
          </w:p>
        </w:tc>
        <w:tc>
          <w:tcPr>
            <w:tcW w:w="1140" w:type="dxa"/>
            <w:tcBorders>
              <w:top w:val="single" w:sz="4" w:space="0" w:color="auto"/>
              <w:left w:val="nil"/>
              <w:bottom w:val="single" w:sz="4" w:space="0" w:color="auto"/>
              <w:right w:val="single" w:sz="4" w:space="0" w:color="auto"/>
            </w:tcBorders>
            <w:shd w:val="clear" w:color="000000" w:fill="FFDDDD"/>
            <w:noWrap/>
            <w:vAlign w:val="bottom"/>
            <w:hideMark/>
          </w:tcPr>
          <w:p w14:paraId="36E6B5D0" w14:textId="77777777" w:rsidR="00025636" w:rsidRPr="00025636" w:rsidRDefault="00025636" w:rsidP="00025636">
            <w:pPr>
              <w:spacing w:after="0" w:line="240" w:lineRule="auto"/>
              <w:jc w:val="right"/>
              <w:rPr>
                <w:rFonts w:eastAsia="Times New Roman" w:cs="Calibri"/>
                <w:b/>
                <w:bCs/>
                <w:color w:val="000000"/>
                <w:sz w:val="24"/>
                <w:szCs w:val="24"/>
                <w:lang w:eastAsia="en-GB"/>
              </w:rPr>
            </w:pPr>
            <w:r w:rsidRPr="00025636">
              <w:rPr>
                <w:rFonts w:eastAsia="Times New Roman" w:cs="Calibri"/>
                <w:b/>
                <w:bCs/>
                <w:color w:val="000000"/>
                <w:sz w:val="24"/>
                <w:szCs w:val="24"/>
                <w:lang w:eastAsia="en-GB"/>
              </w:rPr>
              <w:t>0.000</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4BD9B578" w14:textId="77777777" w:rsidR="00025636" w:rsidRPr="00025636" w:rsidRDefault="00025636" w:rsidP="00025636">
            <w:pPr>
              <w:spacing w:after="0" w:line="240" w:lineRule="auto"/>
              <w:jc w:val="right"/>
              <w:rPr>
                <w:rFonts w:eastAsia="Times New Roman" w:cs="Calibri"/>
                <w:b/>
                <w:bCs/>
                <w:color w:val="000000"/>
                <w:sz w:val="24"/>
                <w:szCs w:val="24"/>
                <w:lang w:eastAsia="en-GB"/>
              </w:rPr>
            </w:pPr>
            <w:r w:rsidRPr="00025636">
              <w:rPr>
                <w:rFonts w:eastAsia="Times New Roman" w:cs="Calibri"/>
                <w:b/>
                <w:bCs/>
                <w:color w:val="000000"/>
                <w:sz w:val="24"/>
                <w:szCs w:val="24"/>
                <w:lang w:eastAsia="en-GB"/>
              </w:rPr>
              <w:t>0.669</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7A138C50" w14:textId="77777777" w:rsidR="00025636" w:rsidRPr="00025636" w:rsidRDefault="00025636" w:rsidP="00025636">
            <w:pPr>
              <w:spacing w:after="0" w:line="240" w:lineRule="auto"/>
              <w:jc w:val="right"/>
              <w:rPr>
                <w:rFonts w:eastAsia="Times New Roman" w:cs="Calibri"/>
                <w:b/>
                <w:bCs/>
                <w:color w:val="000000"/>
                <w:sz w:val="24"/>
                <w:szCs w:val="24"/>
                <w:lang w:eastAsia="en-GB"/>
              </w:rPr>
            </w:pPr>
            <w:r w:rsidRPr="00025636">
              <w:rPr>
                <w:rFonts w:eastAsia="Times New Roman" w:cs="Calibri"/>
                <w:b/>
                <w:bCs/>
                <w:color w:val="000000"/>
                <w:sz w:val="24"/>
                <w:szCs w:val="24"/>
                <w:lang w:eastAsia="en-GB"/>
              </w:rPr>
              <w:t>1.036</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5AFAE374" w14:textId="77777777" w:rsidR="00025636" w:rsidRPr="00025636" w:rsidRDefault="00025636" w:rsidP="00025636">
            <w:pPr>
              <w:spacing w:after="0" w:line="240" w:lineRule="auto"/>
              <w:jc w:val="right"/>
              <w:rPr>
                <w:rFonts w:eastAsia="Times New Roman" w:cs="Calibri"/>
                <w:b/>
                <w:bCs/>
                <w:color w:val="000000"/>
                <w:sz w:val="24"/>
                <w:szCs w:val="24"/>
                <w:lang w:eastAsia="en-GB"/>
              </w:rPr>
            </w:pPr>
            <w:r w:rsidRPr="00025636">
              <w:rPr>
                <w:rFonts w:eastAsia="Times New Roman" w:cs="Calibri"/>
                <w:b/>
                <w:bCs/>
                <w:color w:val="000000"/>
                <w:sz w:val="24"/>
                <w:szCs w:val="24"/>
                <w:lang w:eastAsia="en-GB"/>
              </w:rPr>
              <w:t>1.158</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65F4C5DC" w14:textId="77777777" w:rsidR="00025636" w:rsidRPr="00025636" w:rsidRDefault="00025636" w:rsidP="00025636">
            <w:pPr>
              <w:spacing w:after="0" w:line="240" w:lineRule="auto"/>
              <w:jc w:val="right"/>
              <w:rPr>
                <w:rFonts w:eastAsia="Times New Roman" w:cs="Calibri"/>
                <w:b/>
                <w:bCs/>
                <w:color w:val="000000"/>
                <w:sz w:val="24"/>
                <w:szCs w:val="24"/>
                <w:lang w:eastAsia="en-GB"/>
              </w:rPr>
            </w:pPr>
            <w:r w:rsidRPr="00025636">
              <w:rPr>
                <w:rFonts w:eastAsia="Times New Roman" w:cs="Calibri"/>
                <w:b/>
                <w:bCs/>
                <w:color w:val="000000"/>
                <w:sz w:val="24"/>
                <w:szCs w:val="24"/>
                <w:lang w:eastAsia="en-GB"/>
              </w:rPr>
              <w:t>1.142</w:t>
            </w:r>
          </w:p>
        </w:tc>
      </w:tr>
    </w:tbl>
    <w:p w14:paraId="27E4AD99" w14:textId="77777777" w:rsidR="00FC5C79" w:rsidRPr="003757AA" w:rsidRDefault="00FC5C79" w:rsidP="003757AA">
      <w:pPr>
        <w:spacing w:after="0" w:line="240" w:lineRule="auto"/>
        <w:rPr>
          <w:rFonts w:asciiTheme="minorHAnsi" w:hAnsiTheme="minorHAnsi" w:cs="Arial"/>
          <w:sz w:val="24"/>
          <w:szCs w:val="24"/>
          <w:highlight w:val="yellow"/>
        </w:rPr>
      </w:pPr>
    </w:p>
    <w:p w14:paraId="18A05F71" w14:textId="66966D16" w:rsidR="00EE0A88" w:rsidRDefault="00BD09A5" w:rsidP="00EE0A88">
      <w:pPr>
        <w:pStyle w:val="PanelPara"/>
      </w:pPr>
      <w:r w:rsidRPr="00152D49">
        <w:t>Key assumptions that have been included in seeking to outline the financial challenge for the medium term are:</w:t>
      </w:r>
    </w:p>
    <w:p w14:paraId="6F391492" w14:textId="630D847B" w:rsidR="00152D49" w:rsidRDefault="00D93AA7" w:rsidP="00EE0A88">
      <w:pPr>
        <w:pStyle w:val="PanelPara2"/>
      </w:pPr>
      <w:r w:rsidRPr="00152D49">
        <w:t>Precept will increase by £</w:t>
      </w:r>
      <w:r w:rsidR="00152D49" w:rsidRPr="00152D49">
        <w:t>2.19</w:t>
      </w:r>
      <w:r w:rsidRPr="00152D49">
        <w:t xml:space="preserve"> </w:t>
      </w:r>
      <w:r w:rsidR="00152D49" w:rsidRPr="00152D49">
        <w:t xml:space="preserve">(2.99%) </w:t>
      </w:r>
      <w:r w:rsidRPr="00152D49">
        <w:t xml:space="preserve">in </w:t>
      </w:r>
      <w:r w:rsidR="008C38F1" w:rsidRPr="00152D49">
        <w:t>202</w:t>
      </w:r>
      <w:r w:rsidR="00152D49" w:rsidRPr="00152D49">
        <w:t>4</w:t>
      </w:r>
      <w:r w:rsidR="008C38F1" w:rsidRPr="00152D49">
        <w:t>/2</w:t>
      </w:r>
      <w:r w:rsidR="00152D49" w:rsidRPr="00152D49">
        <w:t xml:space="preserve">5 </w:t>
      </w:r>
      <w:r w:rsidRPr="00152D49">
        <w:t xml:space="preserve">and 1.99% </w:t>
      </w:r>
      <w:r w:rsidR="00152D49" w:rsidRPr="00152D49">
        <w:t>each year thereafter</w:t>
      </w:r>
      <w:r w:rsidRPr="00152D49">
        <w:t>.</w:t>
      </w:r>
      <w:r w:rsidR="00152D49" w:rsidRPr="00152D49">
        <w:t xml:space="preserve">  </w:t>
      </w:r>
      <w:r w:rsidR="00152D49" w:rsidRPr="0004646B">
        <w:t>No information is yet available about referendum limits beyond 2024/25.</w:t>
      </w:r>
    </w:p>
    <w:p w14:paraId="2DE326EB" w14:textId="151F6B68" w:rsidR="00657220" w:rsidRPr="00152D49" w:rsidRDefault="00D93AA7" w:rsidP="00EE0A88">
      <w:pPr>
        <w:pStyle w:val="PanelPara2"/>
      </w:pPr>
      <w:r w:rsidRPr="00152D49">
        <w:t>P</w:t>
      </w:r>
      <w:r w:rsidR="009A6E69" w:rsidRPr="00152D49">
        <w:t xml:space="preserve">rudent </w:t>
      </w:r>
      <w:r w:rsidRPr="00152D49">
        <w:t xml:space="preserve">funding </w:t>
      </w:r>
      <w:r w:rsidR="009A6E69" w:rsidRPr="00152D49">
        <w:t xml:space="preserve">assumptions </w:t>
      </w:r>
      <w:r w:rsidRPr="00152D49">
        <w:t xml:space="preserve">have been </w:t>
      </w:r>
      <w:r w:rsidR="009A6E69" w:rsidRPr="00152D49">
        <w:t xml:space="preserve">made in respect of </w:t>
      </w:r>
      <w:r w:rsidRPr="00152D49">
        <w:t xml:space="preserve">government funding, </w:t>
      </w:r>
      <w:r w:rsidR="009A6E69" w:rsidRPr="00152D49">
        <w:t>business rates, taxbase levels and council tax deficits</w:t>
      </w:r>
      <w:r w:rsidR="009A53F8" w:rsidRPr="00152D49">
        <w:t xml:space="preserve"> (source: professional assumption</w:t>
      </w:r>
      <w:r w:rsidR="00152D49" w:rsidRPr="00152D49">
        <w:t>s).</w:t>
      </w:r>
    </w:p>
    <w:p w14:paraId="0BEA4FCE" w14:textId="6307E605" w:rsidR="00657220" w:rsidRPr="00152D49" w:rsidRDefault="009A53F8" w:rsidP="00EE0A88">
      <w:pPr>
        <w:pStyle w:val="PanelPara2"/>
      </w:pPr>
      <w:r w:rsidRPr="00152D49">
        <w:t xml:space="preserve">Prudent </w:t>
      </w:r>
      <w:r w:rsidR="00EE0A88">
        <w:t>p</w:t>
      </w:r>
      <w:r w:rsidR="00BD09A5" w:rsidRPr="00152D49">
        <w:t>ay increase</w:t>
      </w:r>
      <w:r w:rsidRPr="00152D49">
        <w:t xml:space="preserve"> estimates</w:t>
      </w:r>
      <w:r w:rsidR="00BD09A5" w:rsidRPr="00152D49">
        <w:t xml:space="preserve"> are assumed at </w:t>
      </w:r>
      <w:r w:rsidR="00E06B24" w:rsidRPr="00152D49">
        <w:t xml:space="preserve">an average of </w:t>
      </w:r>
      <w:r w:rsidR="00EE0A88">
        <w:t>2</w:t>
      </w:r>
      <w:r w:rsidR="00680CDA" w:rsidRPr="00152D49">
        <w:t>%</w:t>
      </w:r>
      <w:r w:rsidR="00EE0A88">
        <w:t xml:space="preserve"> (3% in 24/25)</w:t>
      </w:r>
      <w:r w:rsidR="008B3AB9" w:rsidRPr="00152D49">
        <w:t>, supported by appropriate inflation contingencies</w:t>
      </w:r>
      <w:r w:rsidR="00680CDA" w:rsidRPr="00152D49">
        <w:t xml:space="preserve"> </w:t>
      </w:r>
      <w:r w:rsidR="00BD09A5" w:rsidRPr="00152D49">
        <w:t xml:space="preserve">(source: </w:t>
      </w:r>
      <w:r w:rsidR="00CD7C13" w:rsidRPr="00152D49">
        <w:t xml:space="preserve">National </w:t>
      </w:r>
      <w:r w:rsidR="00680CDA" w:rsidRPr="00152D49">
        <w:t xml:space="preserve">professional </w:t>
      </w:r>
      <w:r w:rsidR="00CD7C13" w:rsidRPr="00152D49">
        <w:t>assumptions</w:t>
      </w:r>
      <w:r w:rsidR="00BD09A5" w:rsidRPr="00152D49">
        <w:t xml:space="preserve">). </w:t>
      </w:r>
    </w:p>
    <w:p w14:paraId="3A4876B6" w14:textId="180DEC40" w:rsidR="00657220" w:rsidRPr="00152D49" w:rsidRDefault="00CD7C13" w:rsidP="00EE0A88">
      <w:pPr>
        <w:pStyle w:val="PanelPara2"/>
      </w:pPr>
      <w:r w:rsidRPr="00152D49">
        <w:t xml:space="preserve">Investment requirements can be prioritised and met from within the revenue budget or </w:t>
      </w:r>
      <w:r w:rsidR="00F671CE" w:rsidRPr="00152D49">
        <w:t>capital programme</w:t>
      </w:r>
      <w:r w:rsidRPr="00152D49">
        <w:t>.</w:t>
      </w:r>
    </w:p>
    <w:p w14:paraId="045C22BF" w14:textId="73FF1CB4" w:rsidR="00152D49" w:rsidRDefault="00CD7C13" w:rsidP="00EE0A88">
      <w:pPr>
        <w:pStyle w:val="PanelPara2"/>
      </w:pPr>
      <w:r w:rsidRPr="00152D49">
        <w:t>Further b</w:t>
      </w:r>
      <w:r w:rsidR="00BD09A5" w:rsidRPr="00152D49">
        <w:t xml:space="preserve">orrowing beyond the </w:t>
      </w:r>
      <w:r w:rsidR="00F671CE" w:rsidRPr="00152D49">
        <w:t>capital programme</w:t>
      </w:r>
      <w:r w:rsidR="00BD09A5" w:rsidRPr="00152D49">
        <w:t xml:space="preserve"> is not required.</w:t>
      </w:r>
    </w:p>
    <w:p w14:paraId="60812F65" w14:textId="197F66C5" w:rsidR="00581C5C" w:rsidRPr="00152D49" w:rsidRDefault="009A53F8" w:rsidP="00152D49">
      <w:pPr>
        <w:pStyle w:val="PanelPara"/>
      </w:pPr>
      <w:r w:rsidRPr="00152D49">
        <w:t>As set out earlier in the report, the MTFP also models a potential impact of increased</w:t>
      </w:r>
      <w:r w:rsidR="00152D49">
        <w:t xml:space="preserve"> </w:t>
      </w:r>
      <w:r w:rsidRPr="00152D49">
        <w:t>pension contributions</w:t>
      </w:r>
      <w:r w:rsidR="00E06B24" w:rsidRPr="00152D49">
        <w:t xml:space="preserve"> and if some grant </w:t>
      </w:r>
      <w:r w:rsidR="00FC5C79" w:rsidRPr="00152D49">
        <w:t xml:space="preserve">funding </w:t>
      </w:r>
      <w:r w:rsidR="00E06B24" w:rsidRPr="00152D49">
        <w:t>were provided</w:t>
      </w:r>
      <w:r w:rsidR="00FC5C79" w:rsidRPr="00152D49">
        <w:t>.</w:t>
      </w:r>
    </w:p>
    <w:p w14:paraId="33BECF03" w14:textId="01063542" w:rsidR="00657220" w:rsidRPr="004E1816" w:rsidRDefault="00F671CE" w:rsidP="004E1816">
      <w:pPr>
        <w:pStyle w:val="PanelHeading"/>
      </w:pPr>
      <w:r w:rsidRPr="004E1816">
        <w:t xml:space="preserve">Capital </w:t>
      </w:r>
      <w:r w:rsidR="004E1816" w:rsidRPr="004E1816">
        <w:t>P</w:t>
      </w:r>
      <w:r w:rsidRPr="004E1816">
        <w:t>rogramme</w:t>
      </w:r>
      <w:bookmarkStart w:id="9" w:name="_Hlk62222128"/>
    </w:p>
    <w:p w14:paraId="22AF1D3A" w14:textId="7A5A501B" w:rsidR="004E1816" w:rsidRPr="004E1816" w:rsidRDefault="00E06B24" w:rsidP="004E1816">
      <w:pPr>
        <w:pStyle w:val="PanelPara"/>
      </w:pPr>
      <w:r w:rsidRPr="004E1816">
        <w:t xml:space="preserve">The </w:t>
      </w:r>
      <w:r w:rsidR="00FC5C79" w:rsidRPr="004E1816">
        <w:t>c</w:t>
      </w:r>
      <w:r w:rsidR="00F671CE" w:rsidRPr="004E1816">
        <w:t>apital programme</w:t>
      </w:r>
      <w:r w:rsidRPr="004E1816">
        <w:t xml:space="preserve"> is now an integral part of Fire’s operational and financial plans and organisational awareness</w:t>
      </w:r>
      <w:r w:rsidR="004E1816" w:rsidRPr="004E1816">
        <w:t>.</w:t>
      </w:r>
      <w:r w:rsidRPr="004E1816">
        <w:t xml:space="preserve"> </w:t>
      </w:r>
      <w:r w:rsidR="004E1816" w:rsidRPr="004E1816">
        <w:t xml:space="preserve"> G</w:t>
      </w:r>
      <w:r w:rsidRPr="004E1816">
        <w:t xml:space="preserve">overnance arrangements are </w:t>
      </w:r>
      <w:r w:rsidR="004E1816" w:rsidRPr="004E1816">
        <w:t>in place</w:t>
      </w:r>
      <w:r w:rsidRPr="004E1816">
        <w:t xml:space="preserve"> to ensure that appropriate scrutiny and challenge of investment proposals takes place</w:t>
      </w:r>
      <w:r w:rsidR="004E1816" w:rsidRPr="004E1816">
        <w:t>,</w:t>
      </w:r>
      <w:r w:rsidRPr="004E1816">
        <w:t xml:space="preserve"> and that the affordability and deliverability of them is fully considered. </w:t>
      </w:r>
    </w:p>
    <w:p w14:paraId="63886A7C" w14:textId="5892CE51" w:rsidR="001E10E3" w:rsidRDefault="007C1FE2" w:rsidP="004E1816">
      <w:pPr>
        <w:pStyle w:val="PanelPara"/>
        <w:rPr>
          <w:rFonts w:cs="Arial"/>
        </w:rPr>
      </w:pPr>
      <w:r w:rsidRPr="004E1816">
        <w:rPr>
          <w:rFonts w:cs="Arial"/>
        </w:rPr>
        <w:t xml:space="preserve">The approved </w:t>
      </w:r>
      <w:r w:rsidR="00F671CE" w:rsidRPr="004E1816">
        <w:rPr>
          <w:rFonts w:cs="Arial"/>
        </w:rPr>
        <w:t>capital programme</w:t>
      </w:r>
      <w:r w:rsidRPr="004E1816">
        <w:rPr>
          <w:rFonts w:cs="Arial"/>
        </w:rPr>
        <w:t xml:space="preserve"> is as follows:</w:t>
      </w:r>
      <w:bookmarkEnd w:id="9"/>
    </w:p>
    <w:p w14:paraId="1301E015" w14:textId="77777777" w:rsidR="001E10E3" w:rsidRDefault="001E10E3">
      <w:pPr>
        <w:spacing w:after="0" w:line="240" w:lineRule="auto"/>
        <w:rPr>
          <w:rFonts w:asciiTheme="minorHAnsi" w:hAnsiTheme="minorHAnsi" w:cs="Arial"/>
          <w:sz w:val="24"/>
          <w:szCs w:val="24"/>
        </w:rPr>
      </w:pPr>
      <w:r>
        <w:rPr>
          <w:rFonts w:cs="Arial"/>
        </w:rPr>
        <w:br w:type="page"/>
      </w:r>
    </w:p>
    <w:tbl>
      <w:tblPr>
        <w:tblW w:w="8985" w:type="dxa"/>
        <w:tblInd w:w="562" w:type="dxa"/>
        <w:tblLook w:val="04A0" w:firstRow="1" w:lastRow="0" w:firstColumn="1" w:lastColumn="0" w:noHBand="0" w:noVBand="1"/>
      </w:tblPr>
      <w:tblGrid>
        <w:gridCol w:w="3740"/>
        <w:gridCol w:w="1049"/>
        <w:gridCol w:w="1049"/>
        <w:gridCol w:w="1049"/>
        <w:gridCol w:w="1049"/>
        <w:gridCol w:w="1049"/>
      </w:tblGrid>
      <w:tr w:rsidR="002677DC" w:rsidRPr="002677DC" w14:paraId="3D1189C2" w14:textId="77777777" w:rsidTr="002677DC">
        <w:trPr>
          <w:trHeight w:val="630"/>
        </w:trPr>
        <w:tc>
          <w:tcPr>
            <w:tcW w:w="3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C8F8DE" w14:textId="77777777" w:rsidR="002677DC" w:rsidRPr="002677DC" w:rsidRDefault="002677DC" w:rsidP="002677DC">
            <w:pPr>
              <w:spacing w:after="0" w:line="240" w:lineRule="auto"/>
              <w:jc w:val="center"/>
              <w:rPr>
                <w:rFonts w:eastAsia="Times New Roman" w:cs="Calibri"/>
                <w:b/>
                <w:bCs/>
                <w:color w:val="000000"/>
                <w:sz w:val="24"/>
                <w:szCs w:val="24"/>
                <w:lang w:eastAsia="en-GB"/>
              </w:rPr>
            </w:pPr>
            <w:r w:rsidRPr="002677DC">
              <w:rPr>
                <w:rFonts w:eastAsia="Times New Roman" w:cs="Calibri"/>
                <w:b/>
                <w:bCs/>
                <w:color w:val="000000"/>
                <w:sz w:val="24"/>
                <w:szCs w:val="24"/>
                <w:lang w:eastAsia="en-GB"/>
              </w:rPr>
              <w:lastRenderedPageBreak/>
              <w:t>Programme</w:t>
            </w:r>
          </w:p>
        </w:tc>
        <w:tc>
          <w:tcPr>
            <w:tcW w:w="1049" w:type="dxa"/>
            <w:tcBorders>
              <w:top w:val="single" w:sz="4" w:space="0" w:color="auto"/>
              <w:left w:val="nil"/>
              <w:bottom w:val="single" w:sz="4" w:space="0" w:color="auto"/>
              <w:right w:val="single" w:sz="4" w:space="0" w:color="auto"/>
            </w:tcBorders>
            <w:shd w:val="clear" w:color="000000" w:fill="FFDDDD"/>
            <w:vAlign w:val="center"/>
            <w:hideMark/>
          </w:tcPr>
          <w:p w14:paraId="730009FA" w14:textId="77777777" w:rsidR="002677DC" w:rsidRPr="002677DC" w:rsidRDefault="002677DC" w:rsidP="002677DC">
            <w:pPr>
              <w:spacing w:after="0" w:line="240" w:lineRule="auto"/>
              <w:jc w:val="center"/>
              <w:rPr>
                <w:rFonts w:eastAsia="Times New Roman" w:cs="Calibri"/>
                <w:b/>
                <w:bCs/>
                <w:color w:val="000000"/>
                <w:sz w:val="24"/>
                <w:szCs w:val="24"/>
                <w:lang w:eastAsia="en-GB"/>
              </w:rPr>
            </w:pPr>
            <w:r w:rsidRPr="002677DC">
              <w:rPr>
                <w:rFonts w:eastAsia="Times New Roman" w:cs="Calibri"/>
                <w:b/>
                <w:bCs/>
                <w:color w:val="000000"/>
                <w:sz w:val="24"/>
                <w:szCs w:val="24"/>
                <w:lang w:eastAsia="en-GB"/>
              </w:rPr>
              <w:t>2024/25</w:t>
            </w:r>
            <w:r w:rsidRPr="002677DC">
              <w:rPr>
                <w:rFonts w:eastAsia="Times New Roman" w:cs="Calibri"/>
                <w:b/>
                <w:bCs/>
                <w:color w:val="000000"/>
                <w:sz w:val="24"/>
                <w:szCs w:val="24"/>
                <w:lang w:eastAsia="en-GB"/>
              </w:rPr>
              <w:br/>
              <w:t>£m</w:t>
            </w:r>
          </w:p>
        </w:tc>
        <w:tc>
          <w:tcPr>
            <w:tcW w:w="1049" w:type="dxa"/>
            <w:tcBorders>
              <w:top w:val="single" w:sz="4" w:space="0" w:color="auto"/>
              <w:left w:val="nil"/>
              <w:bottom w:val="single" w:sz="4" w:space="0" w:color="auto"/>
              <w:right w:val="single" w:sz="4" w:space="0" w:color="auto"/>
            </w:tcBorders>
            <w:shd w:val="clear" w:color="000000" w:fill="FFFFFF"/>
            <w:vAlign w:val="center"/>
            <w:hideMark/>
          </w:tcPr>
          <w:p w14:paraId="638BB7E7" w14:textId="77777777" w:rsidR="002677DC" w:rsidRPr="002677DC" w:rsidRDefault="002677DC" w:rsidP="002677DC">
            <w:pPr>
              <w:spacing w:after="0" w:line="240" w:lineRule="auto"/>
              <w:jc w:val="center"/>
              <w:rPr>
                <w:rFonts w:eastAsia="Times New Roman" w:cs="Calibri"/>
                <w:b/>
                <w:bCs/>
                <w:color w:val="000000"/>
                <w:sz w:val="24"/>
                <w:szCs w:val="24"/>
                <w:lang w:eastAsia="en-GB"/>
              </w:rPr>
            </w:pPr>
            <w:r w:rsidRPr="002677DC">
              <w:rPr>
                <w:rFonts w:eastAsia="Times New Roman" w:cs="Calibri"/>
                <w:b/>
                <w:bCs/>
                <w:color w:val="000000"/>
                <w:sz w:val="24"/>
                <w:szCs w:val="24"/>
                <w:lang w:eastAsia="en-GB"/>
              </w:rPr>
              <w:t>2025/26</w:t>
            </w:r>
            <w:r w:rsidRPr="002677DC">
              <w:rPr>
                <w:rFonts w:eastAsia="Times New Roman" w:cs="Calibri"/>
                <w:b/>
                <w:bCs/>
                <w:color w:val="000000"/>
                <w:sz w:val="24"/>
                <w:szCs w:val="24"/>
                <w:lang w:eastAsia="en-GB"/>
              </w:rPr>
              <w:br/>
              <w:t>£m</w:t>
            </w:r>
          </w:p>
        </w:tc>
        <w:tc>
          <w:tcPr>
            <w:tcW w:w="1049" w:type="dxa"/>
            <w:tcBorders>
              <w:top w:val="single" w:sz="4" w:space="0" w:color="auto"/>
              <w:left w:val="nil"/>
              <w:bottom w:val="single" w:sz="4" w:space="0" w:color="auto"/>
              <w:right w:val="single" w:sz="4" w:space="0" w:color="auto"/>
            </w:tcBorders>
            <w:shd w:val="clear" w:color="000000" w:fill="FFFFFF"/>
            <w:vAlign w:val="center"/>
            <w:hideMark/>
          </w:tcPr>
          <w:p w14:paraId="021B020C" w14:textId="77777777" w:rsidR="002677DC" w:rsidRPr="002677DC" w:rsidRDefault="002677DC" w:rsidP="002677DC">
            <w:pPr>
              <w:spacing w:after="0" w:line="240" w:lineRule="auto"/>
              <w:jc w:val="center"/>
              <w:rPr>
                <w:rFonts w:eastAsia="Times New Roman" w:cs="Calibri"/>
                <w:b/>
                <w:bCs/>
                <w:color w:val="000000"/>
                <w:sz w:val="24"/>
                <w:szCs w:val="24"/>
                <w:lang w:eastAsia="en-GB"/>
              </w:rPr>
            </w:pPr>
            <w:r w:rsidRPr="002677DC">
              <w:rPr>
                <w:rFonts w:eastAsia="Times New Roman" w:cs="Calibri"/>
                <w:b/>
                <w:bCs/>
                <w:color w:val="000000"/>
                <w:sz w:val="24"/>
                <w:szCs w:val="24"/>
                <w:lang w:eastAsia="en-GB"/>
              </w:rPr>
              <w:t>2026/27</w:t>
            </w:r>
            <w:r w:rsidRPr="002677DC">
              <w:rPr>
                <w:rFonts w:eastAsia="Times New Roman" w:cs="Calibri"/>
                <w:b/>
                <w:bCs/>
                <w:color w:val="000000"/>
                <w:sz w:val="24"/>
                <w:szCs w:val="24"/>
                <w:lang w:eastAsia="en-GB"/>
              </w:rPr>
              <w:br/>
              <w:t>£m</w:t>
            </w:r>
          </w:p>
        </w:tc>
        <w:tc>
          <w:tcPr>
            <w:tcW w:w="1049" w:type="dxa"/>
            <w:tcBorders>
              <w:top w:val="single" w:sz="4" w:space="0" w:color="auto"/>
              <w:left w:val="nil"/>
              <w:bottom w:val="single" w:sz="4" w:space="0" w:color="auto"/>
              <w:right w:val="single" w:sz="4" w:space="0" w:color="auto"/>
            </w:tcBorders>
            <w:shd w:val="clear" w:color="000000" w:fill="FFFFFF"/>
            <w:vAlign w:val="center"/>
            <w:hideMark/>
          </w:tcPr>
          <w:p w14:paraId="612A33C4" w14:textId="77777777" w:rsidR="002677DC" w:rsidRPr="002677DC" w:rsidRDefault="002677DC" w:rsidP="002677DC">
            <w:pPr>
              <w:spacing w:after="0" w:line="240" w:lineRule="auto"/>
              <w:jc w:val="center"/>
              <w:rPr>
                <w:rFonts w:eastAsia="Times New Roman" w:cs="Calibri"/>
                <w:b/>
                <w:bCs/>
                <w:color w:val="000000"/>
                <w:sz w:val="24"/>
                <w:szCs w:val="24"/>
                <w:lang w:eastAsia="en-GB"/>
              </w:rPr>
            </w:pPr>
            <w:r w:rsidRPr="002677DC">
              <w:rPr>
                <w:rFonts w:eastAsia="Times New Roman" w:cs="Calibri"/>
                <w:b/>
                <w:bCs/>
                <w:color w:val="000000"/>
                <w:sz w:val="24"/>
                <w:szCs w:val="24"/>
                <w:lang w:eastAsia="en-GB"/>
              </w:rPr>
              <w:t>2027/28</w:t>
            </w:r>
            <w:r w:rsidRPr="002677DC">
              <w:rPr>
                <w:rFonts w:eastAsia="Times New Roman" w:cs="Calibri"/>
                <w:b/>
                <w:bCs/>
                <w:color w:val="000000"/>
                <w:sz w:val="24"/>
                <w:szCs w:val="24"/>
                <w:lang w:eastAsia="en-GB"/>
              </w:rPr>
              <w:br/>
              <w:t>£m</w:t>
            </w:r>
          </w:p>
        </w:tc>
        <w:tc>
          <w:tcPr>
            <w:tcW w:w="1049" w:type="dxa"/>
            <w:tcBorders>
              <w:top w:val="single" w:sz="4" w:space="0" w:color="auto"/>
              <w:left w:val="nil"/>
              <w:bottom w:val="single" w:sz="4" w:space="0" w:color="auto"/>
              <w:right w:val="single" w:sz="4" w:space="0" w:color="auto"/>
            </w:tcBorders>
            <w:shd w:val="clear" w:color="000000" w:fill="FFFFFF"/>
            <w:vAlign w:val="center"/>
            <w:hideMark/>
          </w:tcPr>
          <w:p w14:paraId="2B10C2E5" w14:textId="77777777" w:rsidR="002677DC" w:rsidRPr="002677DC" w:rsidRDefault="002677DC" w:rsidP="002677DC">
            <w:pPr>
              <w:spacing w:after="0" w:line="240" w:lineRule="auto"/>
              <w:jc w:val="center"/>
              <w:rPr>
                <w:rFonts w:eastAsia="Times New Roman" w:cs="Calibri"/>
                <w:b/>
                <w:bCs/>
                <w:color w:val="000000"/>
                <w:sz w:val="24"/>
                <w:szCs w:val="24"/>
                <w:lang w:eastAsia="en-GB"/>
              </w:rPr>
            </w:pPr>
            <w:r w:rsidRPr="002677DC">
              <w:rPr>
                <w:rFonts w:eastAsia="Times New Roman" w:cs="Calibri"/>
                <w:b/>
                <w:bCs/>
                <w:color w:val="000000"/>
                <w:sz w:val="24"/>
                <w:szCs w:val="24"/>
                <w:lang w:eastAsia="en-GB"/>
              </w:rPr>
              <w:t>2028/29</w:t>
            </w:r>
            <w:r w:rsidRPr="002677DC">
              <w:rPr>
                <w:rFonts w:eastAsia="Times New Roman" w:cs="Calibri"/>
                <w:b/>
                <w:bCs/>
                <w:color w:val="000000"/>
                <w:sz w:val="24"/>
                <w:szCs w:val="24"/>
                <w:lang w:eastAsia="en-GB"/>
              </w:rPr>
              <w:br/>
              <w:t>£m</w:t>
            </w:r>
          </w:p>
        </w:tc>
      </w:tr>
      <w:tr w:rsidR="002677DC" w:rsidRPr="002677DC" w14:paraId="60064F0D" w14:textId="77777777" w:rsidTr="002677DC">
        <w:trPr>
          <w:trHeight w:val="315"/>
        </w:trPr>
        <w:tc>
          <w:tcPr>
            <w:tcW w:w="3740" w:type="dxa"/>
            <w:tcBorders>
              <w:top w:val="nil"/>
              <w:left w:val="single" w:sz="4" w:space="0" w:color="auto"/>
              <w:bottom w:val="nil"/>
              <w:right w:val="single" w:sz="4" w:space="0" w:color="auto"/>
            </w:tcBorders>
            <w:shd w:val="clear" w:color="000000" w:fill="FFFFFF"/>
            <w:noWrap/>
            <w:vAlign w:val="bottom"/>
            <w:hideMark/>
          </w:tcPr>
          <w:p w14:paraId="64DEA4A7" w14:textId="77777777" w:rsidR="002677DC" w:rsidRPr="002677DC" w:rsidRDefault="002677DC" w:rsidP="002677DC">
            <w:pPr>
              <w:spacing w:after="0" w:line="240" w:lineRule="auto"/>
              <w:rPr>
                <w:rFonts w:eastAsia="Times New Roman" w:cs="Calibri"/>
                <w:color w:val="000000"/>
                <w:sz w:val="24"/>
                <w:szCs w:val="24"/>
                <w:lang w:eastAsia="en-GB"/>
              </w:rPr>
            </w:pPr>
            <w:r w:rsidRPr="002677DC">
              <w:rPr>
                <w:rFonts w:eastAsia="Times New Roman" w:cs="Calibri"/>
                <w:color w:val="000000"/>
                <w:sz w:val="24"/>
                <w:szCs w:val="24"/>
                <w:lang w:eastAsia="en-GB"/>
              </w:rPr>
              <w:t>Estates</w:t>
            </w:r>
          </w:p>
        </w:tc>
        <w:tc>
          <w:tcPr>
            <w:tcW w:w="1049" w:type="dxa"/>
            <w:tcBorders>
              <w:top w:val="nil"/>
              <w:left w:val="nil"/>
              <w:bottom w:val="nil"/>
              <w:right w:val="single" w:sz="4" w:space="0" w:color="auto"/>
            </w:tcBorders>
            <w:shd w:val="clear" w:color="000000" w:fill="FFDDDD"/>
            <w:noWrap/>
            <w:vAlign w:val="bottom"/>
            <w:hideMark/>
          </w:tcPr>
          <w:p w14:paraId="4C5F77F4" w14:textId="77777777" w:rsidR="002677DC" w:rsidRPr="002677DC" w:rsidRDefault="002677DC" w:rsidP="002677DC">
            <w:pPr>
              <w:spacing w:after="0" w:line="240" w:lineRule="auto"/>
              <w:jc w:val="right"/>
              <w:rPr>
                <w:rFonts w:eastAsia="Times New Roman" w:cs="Calibri"/>
                <w:color w:val="000000"/>
                <w:sz w:val="24"/>
                <w:szCs w:val="24"/>
                <w:lang w:eastAsia="en-GB"/>
              </w:rPr>
            </w:pPr>
            <w:r w:rsidRPr="002677DC">
              <w:rPr>
                <w:rFonts w:eastAsia="Times New Roman" w:cs="Calibri"/>
                <w:color w:val="000000"/>
                <w:sz w:val="24"/>
                <w:szCs w:val="24"/>
                <w:lang w:eastAsia="en-GB"/>
              </w:rPr>
              <w:t>3.2</w:t>
            </w:r>
          </w:p>
        </w:tc>
        <w:tc>
          <w:tcPr>
            <w:tcW w:w="1049" w:type="dxa"/>
            <w:tcBorders>
              <w:top w:val="nil"/>
              <w:left w:val="nil"/>
              <w:bottom w:val="nil"/>
              <w:right w:val="single" w:sz="4" w:space="0" w:color="auto"/>
            </w:tcBorders>
            <w:shd w:val="clear" w:color="000000" w:fill="FFFFFF"/>
            <w:noWrap/>
            <w:vAlign w:val="bottom"/>
            <w:hideMark/>
          </w:tcPr>
          <w:p w14:paraId="0589AAF4" w14:textId="77777777" w:rsidR="002677DC" w:rsidRPr="002677DC" w:rsidRDefault="002677DC" w:rsidP="002677DC">
            <w:pPr>
              <w:spacing w:after="0" w:line="240" w:lineRule="auto"/>
              <w:jc w:val="right"/>
              <w:rPr>
                <w:rFonts w:eastAsia="Times New Roman" w:cs="Calibri"/>
                <w:color w:val="000000"/>
                <w:sz w:val="24"/>
                <w:szCs w:val="24"/>
                <w:lang w:eastAsia="en-GB"/>
              </w:rPr>
            </w:pPr>
            <w:r w:rsidRPr="002677DC">
              <w:rPr>
                <w:rFonts w:eastAsia="Times New Roman" w:cs="Calibri"/>
                <w:color w:val="000000"/>
                <w:sz w:val="24"/>
                <w:szCs w:val="24"/>
                <w:lang w:eastAsia="en-GB"/>
              </w:rPr>
              <w:t>3.0</w:t>
            </w:r>
          </w:p>
        </w:tc>
        <w:tc>
          <w:tcPr>
            <w:tcW w:w="1049" w:type="dxa"/>
            <w:tcBorders>
              <w:top w:val="nil"/>
              <w:left w:val="nil"/>
              <w:bottom w:val="nil"/>
              <w:right w:val="single" w:sz="4" w:space="0" w:color="auto"/>
            </w:tcBorders>
            <w:shd w:val="clear" w:color="000000" w:fill="FFFFFF"/>
            <w:noWrap/>
            <w:vAlign w:val="bottom"/>
            <w:hideMark/>
          </w:tcPr>
          <w:p w14:paraId="0D7007EB" w14:textId="77777777" w:rsidR="002677DC" w:rsidRPr="002677DC" w:rsidRDefault="002677DC" w:rsidP="002677DC">
            <w:pPr>
              <w:spacing w:after="0" w:line="240" w:lineRule="auto"/>
              <w:jc w:val="right"/>
              <w:rPr>
                <w:rFonts w:eastAsia="Times New Roman" w:cs="Calibri"/>
                <w:color w:val="000000"/>
                <w:sz w:val="24"/>
                <w:szCs w:val="24"/>
                <w:lang w:eastAsia="en-GB"/>
              </w:rPr>
            </w:pPr>
            <w:r w:rsidRPr="002677DC">
              <w:rPr>
                <w:rFonts w:eastAsia="Times New Roman" w:cs="Calibri"/>
                <w:color w:val="000000"/>
                <w:sz w:val="24"/>
                <w:szCs w:val="24"/>
                <w:lang w:eastAsia="en-GB"/>
              </w:rPr>
              <w:t>3.0</w:t>
            </w:r>
          </w:p>
        </w:tc>
        <w:tc>
          <w:tcPr>
            <w:tcW w:w="1049" w:type="dxa"/>
            <w:tcBorders>
              <w:top w:val="nil"/>
              <w:left w:val="nil"/>
              <w:bottom w:val="nil"/>
              <w:right w:val="single" w:sz="4" w:space="0" w:color="auto"/>
            </w:tcBorders>
            <w:shd w:val="clear" w:color="000000" w:fill="FFFFFF"/>
            <w:noWrap/>
            <w:vAlign w:val="bottom"/>
            <w:hideMark/>
          </w:tcPr>
          <w:p w14:paraId="1DEC7B78" w14:textId="77777777" w:rsidR="002677DC" w:rsidRPr="002677DC" w:rsidRDefault="002677DC" w:rsidP="002677DC">
            <w:pPr>
              <w:spacing w:after="0" w:line="240" w:lineRule="auto"/>
              <w:jc w:val="right"/>
              <w:rPr>
                <w:rFonts w:eastAsia="Times New Roman" w:cs="Calibri"/>
                <w:color w:val="000000"/>
                <w:sz w:val="24"/>
                <w:szCs w:val="24"/>
                <w:lang w:eastAsia="en-GB"/>
              </w:rPr>
            </w:pPr>
            <w:r w:rsidRPr="002677DC">
              <w:rPr>
                <w:rFonts w:eastAsia="Times New Roman" w:cs="Calibri"/>
                <w:color w:val="000000"/>
                <w:sz w:val="24"/>
                <w:szCs w:val="24"/>
                <w:lang w:eastAsia="en-GB"/>
              </w:rPr>
              <w:t>3.0</w:t>
            </w:r>
          </w:p>
        </w:tc>
        <w:tc>
          <w:tcPr>
            <w:tcW w:w="1049" w:type="dxa"/>
            <w:tcBorders>
              <w:top w:val="nil"/>
              <w:left w:val="nil"/>
              <w:bottom w:val="nil"/>
              <w:right w:val="single" w:sz="4" w:space="0" w:color="auto"/>
            </w:tcBorders>
            <w:shd w:val="clear" w:color="000000" w:fill="FFFFFF"/>
            <w:noWrap/>
            <w:vAlign w:val="bottom"/>
            <w:hideMark/>
          </w:tcPr>
          <w:p w14:paraId="14496DCF" w14:textId="77777777" w:rsidR="002677DC" w:rsidRPr="002677DC" w:rsidRDefault="002677DC" w:rsidP="002677DC">
            <w:pPr>
              <w:spacing w:after="0" w:line="240" w:lineRule="auto"/>
              <w:jc w:val="right"/>
              <w:rPr>
                <w:rFonts w:eastAsia="Times New Roman" w:cs="Calibri"/>
                <w:color w:val="000000"/>
                <w:sz w:val="24"/>
                <w:szCs w:val="24"/>
                <w:lang w:eastAsia="en-GB"/>
              </w:rPr>
            </w:pPr>
            <w:r w:rsidRPr="002677DC">
              <w:rPr>
                <w:rFonts w:eastAsia="Times New Roman" w:cs="Calibri"/>
                <w:color w:val="000000"/>
                <w:sz w:val="24"/>
                <w:szCs w:val="24"/>
                <w:lang w:eastAsia="en-GB"/>
              </w:rPr>
              <w:t>1.1</w:t>
            </w:r>
          </w:p>
        </w:tc>
      </w:tr>
      <w:tr w:rsidR="002677DC" w:rsidRPr="002677DC" w14:paraId="03492DE7" w14:textId="77777777" w:rsidTr="002677DC">
        <w:trPr>
          <w:trHeight w:val="315"/>
        </w:trPr>
        <w:tc>
          <w:tcPr>
            <w:tcW w:w="3740" w:type="dxa"/>
            <w:tcBorders>
              <w:top w:val="nil"/>
              <w:left w:val="single" w:sz="4" w:space="0" w:color="auto"/>
              <w:bottom w:val="nil"/>
              <w:right w:val="single" w:sz="4" w:space="0" w:color="auto"/>
            </w:tcBorders>
            <w:shd w:val="clear" w:color="000000" w:fill="FFFFFF"/>
            <w:noWrap/>
            <w:vAlign w:val="bottom"/>
            <w:hideMark/>
          </w:tcPr>
          <w:p w14:paraId="6D13900B" w14:textId="77777777" w:rsidR="002677DC" w:rsidRPr="002677DC" w:rsidRDefault="002677DC" w:rsidP="002677DC">
            <w:pPr>
              <w:spacing w:after="0" w:line="240" w:lineRule="auto"/>
              <w:rPr>
                <w:rFonts w:eastAsia="Times New Roman" w:cs="Calibri"/>
                <w:color w:val="000000"/>
                <w:sz w:val="24"/>
                <w:szCs w:val="24"/>
                <w:lang w:eastAsia="en-GB"/>
              </w:rPr>
            </w:pPr>
            <w:r w:rsidRPr="002677DC">
              <w:rPr>
                <w:rFonts w:eastAsia="Times New Roman" w:cs="Calibri"/>
                <w:color w:val="000000"/>
                <w:sz w:val="24"/>
                <w:szCs w:val="24"/>
                <w:lang w:eastAsia="en-GB"/>
              </w:rPr>
              <w:t>ICT</w:t>
            </w:r>
          </w:p>
        </w:tc>
        <w:tc>
          <w:tcPr>
            <w:tcW w:w="1049" w:type="dxa"/>
            <w:tcBorders>
              <w:top w:val="nil"/>
              <w:left w:val="nil"/>
              <w:bottom w:val="nil"/>
              <w:right w:val="single" w:sz="4" w:space="0" w:color="auto"/>
            </w:tcBorders>
            <w:shd w:val="clear" w:color="000000" w:fill="FFDDDD"/>
            <w:noWrap/>
            <w:vAlign w:val="bottom"/>
            <w:hideMark/>
          </w:tcPr>
          <w:p w14:paraId="2289EC89" w14:textId="77777777" w:rsidR="002677DC" w:rsidRPr="002677DC" w:rsidRDefault="002677DC" w:rsidP="002677DC">
            <w:pPr>
              <w:spacing w:after="0" w:line="240" w:lineRule="auto"/>
              <w:jc w:val="right"/>
              <w:rPr>
                <w:rFonts w:eastAsia="Times New Roman" w:cs="Calibri"/>
                <w:color w:val="000000"/>
                <w:sz w:val="24"/>
                <w:szCs w:val="24"/>
                <w:lang w:eastAsia="en-GB"/>
              </w:rPr>
            </w:pPr>
            <w:r w:rsidRPr="002677DC">
              <w:rPr>
                <w:rFonts w:eastAsia="Times New Roman" w:cs="Calibri"/>
                <w:color w:val="000000"/>
                <w:sz w:val="24"/>
                <w:szCs w:val="24"/>
                <w:lang w:eastAsia="en-GB"/>
              </w:rPr>
              <w:t>0.6</w:t>
            </w:r>
          </w:p>
        </w:tc>
        <w:tc>
          <w:tcPr>
            <w:tcW w:w="1049" w:type="dxa"/>
            <w:tcBorders>
              <w:top w:val="nil"/>
              <w:left w:val="nil"/>
              <w:bottom w:val="nil"/>
              <w:right w:val="single" w:sz="4" w:space="0" w:color="auto"/>
            </w:tcBorders>
            <w:shd w:val="clear" w:color="000000" w:fill="FFFFFF"/>
            <w:noWrap/>
            <w:vAlign w:val="bottom"/>
            <w:hideMark/>
          </w:tcPr>
          <w:p w14:paraId="20440509" w14:textId="77777777" w:rsidR="002677DC" w:rsidRPr="002677DC" w:rsidRDefault="002677DC" w:rsidP="002677DC">
            <w:pPr>
              <w:spacing w:after="0" w:line="240" w:lineRule="auto"/>
              <w:jc w:val="right"/>
              <w:rPr>
                <w:rFonts w:eastAsia="Times New Roman" w:cs="Calibri"/>
                <w:color w:val="000000"/>
                <w:sz w:val="24"/>
                <w:szCs w:val="24"/>
                <w:lang w:eastAsia="en-GB"/>
              </w:rPr>
            </w:pPr>
            <w:r w:rsidRPr="002677DC">
              <w:rPr>
                <w:rFonts w:eastAsia="Times New Roman" w:cs="Calibri"/>
                <w:color w:val="000000"/>
                <w:sz w:val="24"/>
                <w:szCs w:val="24"/>
                <w:lang w:eastAsia="en-GB"/>
              </w:rPr>
              <w:t>0.6</w:t>
            </w:r>
          </w:p>
        </w:tc>
        <w:tc>
          <w:tcPr>
            <w:tcW w:w="1049" w:type="dxa"/>
            <w:tcBorders>
              <w:top w:val="nil"/>
              <w:left w:val="nil"/>
              <w:bottom w:val="nil"/>
              <w:right w:val="single" w:sz="4" w:space="0" w:color="auto"/>
            </w:tcBorders>
            <w:shd w:val="clear" w:color="000000" w:fill="FFFFFF"/>
            <w:noWrap/>
            <w:vAlign w:val="bottom"/>
            <w:hideMark/>
          </w:tcPr>
          <w:p w14:paraId="6C81E5C3" w14:textId="77777777" w:rsidR="002677DC" w:rsidRPr="002677DC" w:rsidRDefault="002677DC" w:rsidP="002677DC">
            <w:pPr>
              <w:spacing w:after="0" w:line="240" w:lineRule="auto"/>
              <w:jc w:val="right"/>
              <w:rPr>
                <w:rFonts w:eastAsia="Times New Roman" w:cs="Calibri"/>
                <w:color w:val="000000"/>
                <w:sz w:val="24"/>
                <w:szCs w:val="24"/>
                <w:lang w:eastAsia="en-GB"/>
              </w:rPr>
            </w:pPr>
            <w:r w:rsidRPr="002677DC">
              <w:rPr>
                <w:rFonts w:eastAsia="Times New Roman" w:cs="Calibri"/>
                <w:color w:val="000000"/>
                <w:sz w:val="24"/>
                <w:szCs w:val="24"/>
                <w:lang w:eastAsia="en-GB"/>
              </w:rPr>
              <w:t>0.4</w:t>
            </w:r>
          </w:p>
        </w:tc>
        <w:tc>
          <w:tcPr>
            <w:tcW w:w="1049" w:type="dxa"/>
            <w:tcBorders>
              <w:top w:val="nil"/>
              <w:left w:val="nil"/>
              <w:bottom w:val="nil"/>
              <w:right w:val="single" w:sz="4" w:space="0" w:color="auto"/>
            </w:tcBorders>
            <w:shd w:val="clear" w:color="000000" w:fill="FFFFFF"/>
            <w:noWrap/>
            <w:vAlign w:val="bottom"/>
            <w:hideMark/>
          </w:tcPr>
          <w:p w14:paraId="4E584C38" w14:textId="77777777" w:rsidR="002677DC" w:rsidRPr="002677DC" w:rsidRDefault="002677DC" w:rsidP="002677DC">
            <w:pPr>
              <w:spacing w:after="0" w:line="240" w:lineRule="auto"/>
              <w:jc w:val="right"/>
              <w:rPr>
                <w:rFonts w:eastAsia="Times New Roman" w:cs="Calibri"/>
                <w:color w:val="000000"/>
                <w:sz w:val="24"/>
                <w:szCs w:val="24"/>
                <w:lang w:eastAsia="en-GB"/>
              </w:rPr>
            </w:pPr>
            <w:r w:rsidRPr="002677DC">
              <w:rPr>
                <w:rFonts w:eastAsia="Times New Roman" w:cs="Calibri"/>
                <w:color w:val="000000"/>
                <w:sz w:val="24"/>
                <w:szCs w:val="24"/>
                <w:lang w:eastAsia="en-GB"/>
              </w:rPr>
              <w:t>0.4</w:t>
            </w:r>
          </w:p>
        </w:tc>
        <w:tc>
          <w:tcPr>
            <w:tcW w:w="1049" w:type="dxa"/>
            <w:tcBorders>
              <w:top w:val="nil"/>
              <w:left w:val="nil"/>
              <w:bottom w:val="nil"/>
              <w:right w:val="single" w:sz="4" w:space="0" w:color="auto"/>
            </w:tcBorders>
            <w:shd w:val="clear" w:color="000000" w:fill="FFFFFF"/>
            <w:noWrap/>
            <w:vAlign w:val="bottom"/>
            <w:hideMark/>
          </w:tcPr>
          <w:p w14:paraId="2C70ED37" w14:textId="77777777" w:rsidR="002677DC" w:rsidRPr="002677DC" w:rsidRDefault="002677DC" w:rsidP="002677DC">
            <w:pPr>
              <w:spacing w:after="0" w:line="240" w:lineRule="auto"/>
              <w:jc w:val="right"/>
              <w:rPr>
                <w:rFonts w:eastAsia="Times New Roman" w:cs="Calibri"/>
                <w:color w:val="000000"/>
                <w:sz w:val="24"/>
                <w:szCs w:val="24"/>
                <w:lang w:eastAsia="en-GB"/>
              </w:rPr>
            </w:pPr>
            <w:r w:rsidRPr="002677DC">
              <w:rPr>
                <w:rFonts w:eastAsia="Times New Roman" w:cs="Calibri"/>
                <w:color w:val="000000"/>
                <w:sz w:val="24"/>
                <w:szCs w:val="24"/>
                <w:lang w:eastAsia="en-GB"/>
              </w:rPr>
              <w:t>0.7</w:t>
            </w:r>
          </w:p>
        </w:tc>
      </w:tr>
      <w:tr w:rsidR="002677DC" w:rsidRPr="002677DC" w14:paraId="4386AAA8" w14:textId="77777777" w:rsidTr="002677DC">
        <w:trPr>
          <w:trHeight w:val="315"/>
        </w:trPr>
        <w:tc>
          <w:tcPr>
            <w:tcW w:w="3740" w:type="dxa"/>
            <w:tcBorders>
              <w:top w:val="nil"/>
              <w:left w:val="single" w:sz="4" w:space="0" w:color="auto"/>
              <w:bottom w:val="nil"/>
              <w:right w:val="single" w:sz="4" w:space="0" w:color="auto"/>
            </w:tcBorders>
            <w:shd w:val="clear" w:color="000000" w:fill="FFFFFF"/>
            <w:noWrap/>
            <w:vAlign w:val="bottom"/>
            <w:hideMark/>
          </w:tcPr>
          <w:p w14:paraId="29729F02" w14:textId="77777777" w:rsidR="002677DC" w:rsidRPr="002677DC" w:rsidRDefault="002677DC" w:rsidP="002677DC">
            <w:pPr>
              <w:spacing w:after="0" w:line="240" w:lineRule="auto"/>
              <w:rPr>
                <w:rFonts w:eastAsia="Times New Roman" w:cs="Calibri"/>
                <w:color w:val="000000"/>
                <w:sz w:val="24"/>
                <w:szCs w:val="24"/>
                <w:lang w:eastAsia="en-GB"/>
              </w:rPr>
            </w:pPr>
            <w:r w:rsidRPr="002677DC">
              <w:rPr>
                <w:rFonts w:eastAsia="Times New Roman" w:cs="Calibri"/>
                <w:color w:val="000000"/>
                <w:sz w:val="24"/>
                <w:szCs w:val="24"/>
                <w:lang w:eastAsia="en-GB"/>
              </w:rPr>
              <w:t>Vehicles &amp; Operational Equipment</w:t>
            </w:r>
          </w:p>
        </w:tc>
        <w:tc>
          <w:tcPr>
            <w:tcW w:w="1049" w:type="dxa"/>
            <w:tcBorders>
              <w:top w:val="nil"/>
              <w:left w:val="nil"/>
              <w:bottom w:val="nil"/>
              <w:right w:val="single" w:sz="4" w:space="0" w:color="auto"/>
            </w:tcBorders>
            <w:shd w:val="clear" w:color="000000" w:fill="FFDDDD"/>
            <w:noWrap/>
            <w:vAlign w:val="bottom"/>
            <w:hideMark/>
          </w:tcPr>
          <w:p w14:paraId="2D4ACA06" w14:textId="77777777" w:rsidR="002677DC" w:rsidRPr="002677DC" w:rsidRDefault="002677DC" w:rsidP="002677DC">
            <w:pPr>
              <w:spacing w:after="0" w:line="240" w:lineRule="auto"/>
              <w:jc w:val="right"/>
              <w:rPr>
                <w:rFonts w:eastAsia="Times New Roman" w:cs="Calibri"/>
                <w:color w:val="000000"/>
                <w:sz w:val="24"/>
                <w:szCs w:val="24"/>
                <w:lang w:eastAsia="en-GB"/>
              </w:rPr>
            </w:pPr>
            <w:r w:rsidRPr="002677DC">
              <w:rPr>
                <w:rFonts w:eastAsia="Times New Roman" w:cs="Calibri"/>
                <w:color w:val="000000"/>
                <w:sz w:val="24"/>
                <w:szCs w:val="24"/>
                <w:lang w:eastAsia="en-GB"/>
              </w:rPr>
              <w:t>2.5</w:t>
            </w:r>
          </w:p>
        </w:tc>
        <w:tc>
          <w:tcPr>
            <w:tcW w:w="1049" w:type="dxa"/>
            <w:tcBorders>
              <w:top w:val="nil"/>
              <w:left w:val="nil"/>
              <w:bottom w:val="nil"/>
              <w:right w:val="single" w:sz="4" w:space="0" w:color="auto"/>
            </w:tcBorders>
            <w:shd w:val="clear" w:color="000000" w:fill="FFFFFF"/>
            <w:noWrap/>
            <w:vAlign w:val="bottom"/>
            <w:hideMark/>
          </w:tcPr>
          <w:p w14:paraId="29351ECC" w14:textId="77777777" w:rsidR="002677DC" w:rsidRPr="002677DC" w:rsidRDefault="002677DC" w:rsidP="002677DC">
            <w:pPr>
              <w:spacing w:after="0" w:line="240" w:lineRule="auto"/>
              <w:jc w:val="right"/>
              <w:rPr>
                <w:rFonts w:eastAsia="Times New Roman" w:cs="Calibri"/>
                <w:color w:val="000000"/>
                <w:sz w:val="24"/>
                <w:szCs w:val="24"/>
                <w:lang w:eastAsia="en-GB"/>
              </w:rPr>
            </w:pPr>
            <w:r w:rsidRPr="002677DC">
              <w:rPr>
                <w:rFonts w:eastAsia="Times New Roman" w:cs="Calibri"/>
                <w:color w:val="000000"/>
                <w:sz w:val="24"/>
                <w:szCs w:val="24"/>
                <w:lang w:eastAsia="en-GB"/>
              </w:rPr>
              <w:t>1.1</w:t>
            </w:r>
          </w:p>
        </w:tc>
        <w:tc>
          <w:tcPr>
            <w:tcW w:w="1049" w:type="dxa"/>
            <w:tcBorders>
              <w:top w:val="nil"/>
              <w:left w:val="nil"/>
              <w:bottom w:val="nil"/>
              <w:right w:val="single" w:sz="4" w:space="0" w:color="auto"/>
            </w:tcBorders>
            <w:shd w:val="clear" w:color="000000" w:fill="FFFFFF"/>
            <w:noWrap/>
            <w:vAlign w:val="bottom"/>
            <w:hideMark/>
          </w:tcPr>
          <w:p w14:paraId="75EB510C" w14:textId="77777777" w:rsidR="002677DC" w:rsidRPr="002677DC" w:rsidRDefault="002677DC" w:rsidP="002677DC">
            <w:pPr>
              <w:spacing w:after="0" w:line="240" w:lineRule="auto"/>
              <w:jc w:val="right"/>
              <w:rPr>
                <w:rFonts w:eastAsia="Times New Roman" w:cs="Calibri"/>
                <w:color w:val="000000"/>
                <w:sz w:val="24"/>
                <w:szCs w:val="24"/>
                <w:lang w:eastAsia="en-GB"/>
              </w:rPr>
            </w:pPr>
            <w:r w:rsidRPr="002677DC">
              <w:rPr>
                <w:rFonts w:eastAsia="Times New Roman" w:cs="Calibri"/>
                <w:color w:val="000000"/>
                <w:sz w:val="24"/>
                <w:szCs w:val="24"/>
                <w:lang w:eastAsia="en-GB"/>
              </w:rPr>
              <w:t>1.3</w:t>
            </w:r>
          </w:p>
        </w:tc>
        <w:tc>
          <w:tcPr>
            <w:tcW w:w="1049" w:type="dxa"/>
            <w:tcBorders>
              <w:top w:val="nil"/>
              <w:left w:val="nil"/>
              <w:bottom w:val="nil"/>
              <w:right w:val="single" w:sz="4" w:space="0" w:color="auto"/>
            </w:tcBorders>
            <w:shd w:val="clear" w:color="000000" w:fill="FFFFFF"/>
            <w:noWrap/>
            <w:vAlign w:val="bottom"/>
            <w:hideMark/>
          </w:tcPr>
          <w:p w14:paraId="5F912A80" w14:textId="77777777" w:rsidR="002677DC" w:rsidRPr="002677DC" w:rsidRDefault="002677DC" w:rsidP="002677DC">
            <w:pPr>
              <w:spacing w:after="0" w:line="240" w:lineRule="auto"/>
              <w:jc w:val="right"/>
              <w:rPr>
                <w:rFonts w:eastAsia="Times New Roman" w:cs="Calibri"/>
                <w:color w:val="000000"/>
                <w:sz w:val="24"/>
                <w:szCs w:val="24"/>
                <w:lang w:eastAsia="en-GB"/>
              </w:rPr>
            </w:pPr>
            <w:r w:rsidRPr="002677DC">
              <w:rPr>
                <w:rFonts w:eastAsia="Times New Roman" w:cs="Calibri"/>
                <w:color w:val="000000"/>
                <w:sz w:val="24"/>
                <w:szCs w:val="24"/>
                <w:lang w:eastAsia="en-GB"/>
              </w:rPr>
              <w:t>0.8</w:t>
            </w:r>
          </w:p>
        </w:tc>
        <w:tc>
          <w:tcPr>
            <w:tcW w:w="1049" w:type="dxa"/>
            <w:tcBorders>
              <w:top w:val="nil"/>
              <w:left w:val="nil"/>
              <w:bottom w:val="nil"/>
              <w:right w:val="single" w:sz="4" w:space="0" w:color="auto"/>
            </w:tcBorders>
            <w:shd w:val="clear" w:color="000000" w:fill="FFFFFF"/>
            <w:noWrap/>
            <w:vAlign w:val="bottom"/>
            <w:hideMark/>
          </w:tcPr>
          <w:p w14:paraId="5F185521" w14:textId="77777777" w:rsidR="002677DC" w:rsidRPr="002677DC" w:rsidRDefault="002677DC" w:rsidP="002677DC">
            <w:pPr>
              <w:spacing w:after="0" w:line="240" w:lineRule="auto"/>
              <w:jc w:val="right"/>
              <w:rPr>
                <w:rFonts w:eastAsia="Times New Roman" w:cs="Calibri"/>
                <w:color w:val="000000"/>
                <w:sz w:val="24"/>
                <w:szCs w:val="24"/>
                <w:lang w:eastAsia="en-GB"/>
              </w:rPr>
            </w:pPr>
            <w:r w:rsidRPr="002677DC">
              <w:rPr>
                <w:rFonts w:eastAsia="Times New Roman" w:cs="Calibri"/>
                <w:color w:val="000000"/>
                <w:sz w:val="24"/>
                <w:szCs w:val="24"/>
                <w:lang w:eastAsia="en-GB"/>
              </w:rPr>
              <w:t>0.7</w:t>
            </w:r>
          </w:p>
        </w:tc>
      </w:tr>
      <w:tr w:rsidR="002677DC" w:rsidRPr="002677DC" w14:paraId="508B3007" w14:textId="77777777" w:rsidTr="002677DC">
        <w:trPr>
          <w:trHeight w:val="315"/>
        </w:trPr>
        <w:tc>
          <w:tcPr>
            <w:tcW w:w="37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4DB671" w14:textId="77777777" w:rsidR="002677DC" w:rsidRPr="002677DC" w:rsidRDefault="002677DC" w:rsidP="002677DC">
            <w:pPr>
              <w:spacing w:after="0" w:line="240" w:lineRule="auto"/>
              <w:rPr>
                <w:rFonts w:eastAsia="Times New Roman" w:cs="Calibri"/>
                <w:b/>
                <w:bCs/>
                <w:color w:val="000000"/>
                <w:sz w:val="24"/>
                <w:szCs w:val="24"/>
                <w:lang w:eastAsia="en-GB"/>
              </w:rPr>
            </w:pPr>
            <w:r w:rsidRPr="002677DC">
              <w:rPr>
                <w:rFonts w:eastAsia="Times New Roman" w:cs="Calibri"/>
                <w:b/>
                <w:bCs/>
                <w:color w:val="000000"/>
                <w:sz w:val="24"/>
                <w:szCs w:val="24"/>
                <w:lang w:eastAsia="en-GB"/>
              </w:rPr>
              <w:t>TOTAL</w:t>
            </w:r>
          </w:p>
        </w:tc>
        <w:tc>
          <w:tcPr>
            <w:tcW w:w="1049" w:type="dxa"/>
            <w:tcBorders>
              <w:top w:val="single" w:sz="4" w:space="0" w:color="auto"/>
              <w:left w:val="nil"/>
              <w:bottom w:val="single" w:sz="4" w:space="0" w:color="auto"/>
              <w:right w:val="single" w:sz="4" w:space="0" w:color="auto"/>
            </w:tcBorders>
            <w:shd w:val="clear" w:color="000000" w:fill="FFDDDD"/>
            <w:noWrap/>
            <w:vAlign w:val="bottom"/>
            <w:hideMark/>
          </w:tcPr>
          <w:p w14:paraId="605CC47F" w14:textId="77777777" w:rsidR="002677DC" w:rsidRPr="002677DC" w:rsidRDefault="002677DC" w:rsidP="002677DC">
            <w:pPr>
              <w:spacing w:after="0" w:line="240" w:lineRule="auto"/>
              <w:jc w:val="right"/>
              <w:rPr>
                <w:rFonts w:eastAsia="Times New Roman" w:cs="Calibri"/>
                <w:b/>
                <w:bCs/>
                <w:color w:val="000000"/>
                <w:sz w:val="24"/>
                <w:szCs w:val="24"/>
                <w:lang w:eastAsia="en-GB"/>
              </w:rPr>
            </w:pPr>
            <w:r w:rsidRPr="002677DC">
              <w:rPr>
                <w:rFonts w:eastAsia="Times New Roman" w:cs="Calibri"/>
                <w:b/>
                <w:bCs/>
                <w:color w:val="000000"/>
                <w:sz w:val="24"/>
                <w:szCs w:val="24"/>
                <w:lang w:eastAsia="en-GB"/>
              </w:rPr>
              <w:t>6.2</w:t>
            </w:r>
          </w:p>
        </w:tc>
        <w:tc>
          <w:tcPr>
            <w:tcW w:w="1049" w:type="dxa"/>
            <w:tcBorders>
              <w:top w:val="single" w:sz="4" w:space="0" w:color="auto"/>
              <w:left w:val="nil"/>
              <w:bottom w:val="single" w:sz="4" w:space="0" w:color="auto"/>
              <w:right w:val="single" w:sz="4" w:space="0" w:color="auto"/>
            </w:tcBorders>
            <w:shd w:val="clear" w:color="000000" w:fill="FFFFFF"/>
            <w:noWrap/>
            <w:vAlign w:val="bottom"/>
            <w:hideMark/>
          </w:tcPr>
          <w:p w14:paraId="61EB25DC" w14:textId="77777777" w:rsidR="002677DC" w:rsidRPr="002677DC" w:rsidRDefault="002677DC" w:rsidP="002677DC">
            <w:pPr>
              <w:spacing w:after="0" w:line="240" w:lineRule="auto"/>
              <w:jc w:val="right"/>
              <w:rPr>
                <w:rFonts w:eastAsia="Times New Roman" w:cs="Calibri"/>
                <w:b/>
                <w:bCs/>
                <w:color w:val="000000"/>
                <w:sz w:val="24"/>
                <w:szCs w:val="24"/>
                <w:lang w:eastAsia="en-GB"/>
              </w:rPr>
            </w:pPr>
            <w:r w:rsidRPr="002677DC">
              <w:rPr>
                <w:rFonts w:eastAsia="Times New Roman" w:cs="Calibri"/>
                <w:b/>
                <w:bCs/>
                <w:color w:val="000000"/>
                <w:sz w:val="24"/>
                <w:szCs w:val="24"/>
                <w:lang w:eastAsia="en-GB"/>
              </w:rPr>
              <w:t>4.7</w:t>
            </w:r>
          </w:p>
        </w:tc>
        <w:tc>
          <w:tcPr>
            <w:tcW w:w="1049" w:type="dxa"/>
            <w:tcBorders>
              <w:top w:val="single" w:sz="4" w:space="0" w:color="auto"/>
              <w:left w:val="nil"/>
              <w:bottom w:val="single" w:sz="4" w:space="0" w:color="auto"/>
              <w:right w:val="single" w:sz="4" w:space="0" w:color="auto"/>
            </w:tcBorders>
            <w:shd w:val="clear" w:color="000000" w:fill="FFFFFF"/>
            <w:noWrap/>
            <w:vAlign w:val="bottom"/>
            <w:hideMark/>
          </w:tcPr>
          <w:p w14:paraId="15184E14" w14:textId="77777777" w:rsidR="002677DC" w:rsidRPr="002677DC" w:rsidRDefault="002677DC" w:rsidP="002677DC">
            <w:pPr>
              <w:spacing w:after="0" w:line="240" w:lineRule="auto"/>
              <w:jc w:val="right"/>
              <w:rPr>
                <w:rFonts w:eastAsia="Times New Roman" w:cs="Calibri"/>
                <w:b/>
                <w:bCs/>
                <w:color w:val="000000"/>
                <w:sz w:val="24"/>
                <w:szCs w:val="24"/>
                <w:lang w:eastAsia="en-GB"/>
              </w:rPr>
            </w:pPr>
            <w:r w:rsidRPr="002677DC">
              <w:rPr>
                <w:rFonts w:eastAsia="Times New Roman" w:cs="Calibri"/>
                <w:b/>
                <w:bCs/>
                <w:color w:val="000000"/>
                <w:sz w:val="24"/>
                <w:szCs w:val="24"/>
                <w:lang w:eastAsia="en-GB"/>
              </w:rPr>
              <w:t>4.7</w:t>
            </w:r>
          </w:p>
        </w:tc>
        <w:tc>
          <w:tcPr>
            <w:tcW w:w="1049" w:type="dxa"/>
            <w:tcBorders>
              <w:top w:val="single" w:sz="4" w:space="0" w:color="auto"/>
              <w:left w:val="nil"/>
              <w:bottom w:val="single" w:sz="4" w:space="0" w:color="auto"/>
              <w:right w:val="single" w:sz="4" w:space="0" w:color="auto"/>
            </w:tcBorders>
            <w:shd w:val="clear" w:color="000000" w:fill="FFFFFF"/>
            <w:noWrap/>
            <w:vAlign w:val="bottom"/>
            <w:hideMark/>
          </w:tcPr>
          <w:p w14:paraId="607810FB" w14:textId="77777777" w:rsidR="002677DC" w:rsidRPr="002677DC" w:rsidRDefault="002677DC" w:rsidP="002677DC">
            <w:pPr>
              <w:spacing w:after="0" w:line="240" w:lineRule="auto"/>
              <w:jc w:val="right"/>
              <w:rPr>
                <w:rFonts w:eastAsia="Times New Roman" w:cs="Calibri"/>
                <w:b/>
                <w:bCs/>
                <w:color w:val="000000"/>
                <w:sz w:val="24"/>
                <w:szCs w:val="24"/>
                <w:lang w:eastAsia="en-GB"/>
              </w:rPr>
            </w:pPr>
            <w:r w:rsidRPr="002677DC">
              <w:rPr>
                <w:rFonts w:eastAsia="Times New Roman" w:cs="Calibri"/>
                <w:b/>
                <w:bCs/>
                <w:color w:val="000000"/>
                <w:sz w:val="24"/>
                <w:szCs w:val="24"/>
                <w:lang w:eastAsia="en-GB"/>
              </w:rPr>
              <w:t>4.2</w:t>
            </w:r>
          </w:p>
        </w:tc>
        <w:tc>
          <w:tcPr>
            <w:tcW w:w="1049" w:type="dxa"/>
            <w:tcBorders>
              <w:top w:val="single" w:sz="4" w:space="0" w:color="auto"/>
              <w:left w:val="nil"/>
              <w:bottom w:val="single" w:sz="4" w:space="0" w:color="auto"/>
              <w:right w:val="single" w:sz="4" w:space="0" w:color="auto"/>
            </w:tcBorders>
            <w:shd w:val="clear" w:color="000000" w:fill="FFFFFF"/>
            <w:noWrap/>
            <w:vAlign w:val="bottom"/>
            <w:hideMark/>
          </w:tcPr>
          <w:p w14:paraId="79306477" w14:textId="77777777" w:rsidR="002677DC" w:rsidRPr="002677DC" w:rsidRDefault="002677DC" w:rsidP="002677DC">
            <w:pPr>
              <w:spacing w:after="0" w:line="240" w:lineRule="auto"/>
              <w:jc w:val="right"/>
              <w:rPr>
                <w:rFonts w:eastAsia="Times New Roman" w:cs="Calibri"/>
                <w:b/>
                <w:bCs/>
                <w:color w:val="000000"/>
                <w:sz w:val="24"/>
                <w:szCs w:val="24"/>
                <w:lang w:eastAsia="en-GB"/>
              </w:rPr>
            </w:pPr>
            <w:r w:rsidRPr="002677DC">
              <w:rPr>
                <w:rFonts w:eastAsia="Times New Roman" w:cs="Calibri"/>
                <w:b/>
                <w:bCs/>
                <w:color w:val="000000"/>
                <w:sz w:val="24"/>
                <w:szCs w:val="24"/>
                <w:lang w:eastAsia="en-GB"/>
              </w:rPr>
              <w:t>2.5</w:t>
            </w:r>
          </w:p>
        </w:tc>
      </w:tr>
    </w:tbl>
    <w:p w14:paraId="136A7935" w14:textId="77777777" w:rsidR="00E06B24" w:rsidRPr="00095FC7" w:rsidRDefault="00E06B24" w:rsidP="000C2930">
      <w:pPr>
        <w:spacing w:after="0" w:line="240" w:lineRule="auto"/>
        <w:ind w:left="567" w:hanging="567"/>
        <w:jc w:val="both"/>
        <w:rPr>
          <w:rFonts w:asciiTheme="minorHAnsi" w:hAnsiTheme="minorHAnsi" w:cs="Arial"/>
          <w:sz w:val="24"/>
          <w:szCs w:val="24"/>
          <w:highlight w:val="yellow"/>
        </w:rPr>
      </w:pPr>
    </w:p>
    <w:p w14:paraId="3D9164DE" w14:textId="48401E7E" w:rsidR="00152D49" w:rsidRDefault="0054521E" w:rsidP="00152D49">
      <w:pPr>
        <w:pStyle w:val="PanelPara"/>
      </w:pPr>
      <w:r w:rsidRPr="00152D49">
        <w:t>E</w:t>
      </w:r>
      <w:r w:rsidR="00E06B24" w:rsidRPr="00152D49">
        <w:t xml:space="preserve">states costs include </w:t>
      </w:r>
      <w:r w:rsidRPr="00152D49">
        <w:t>essential condition survey refurbishments and ensuring appropriate welfare facilities in Fire buildings</w:t>
      </w:r>
      <w:r w:rsidR="00CB12C0" w:rsidRPr="00152D49">
        <w:t xml:space="preserve">. </w:t>
      </w:r>
      <w:r w:rsidR="00152D49" w:rsidRPr="00152D49">
        <w:t>The PFCC is currently reviewing the latest estates masterplan.  Whilst formal decisions are yet to be made, the latest iterations have been considered by the Chief Fire Officer and Chief Constable.  The above capital programme includes an amount for potential capital investment in estate and will be updated with more accurate projections when the masterplan has been formally approved by the PFCC with advice from the S151 and Monitoring Officer.</w:t>
      </w:r>
    </w:p>
    <w:p w14:paraId="12A04F0F" w14:textId="77777777" w:rsidR="00152D49" w:rsidRPr="00152D49" w:rsidRDefault="001F7CE7" w:rsidP="00152D49">
      <w:pPr>
        <w:pStyle w:val="PanelPara"/>
      </w:pPr>
      <w:r w:rsidRPr="00152D49">
        <w:rPr>
          <w:rFonts w:cs="Arial"/>
        </w:rPr>
        <w:t xml:space="preserve">Since the governance transfer, good progress has been made on the legacy </w:t>
      </w:r>
      <w:r w:rsidR="00F671CE" w:rsidRPr="00152D49">
        <w:rPr>
          <w:rFonts w:cs="Arial"/>
        </w:rPr>
        <w:t>capital programme</w:t>
      </w:r>
      <w:r w:rsidRPr="00152D49">
        <w:rPr>
          <w:rFonts w:cs="Arial"/>
        </w:rPr>
        <w:t xml:space="preserve"> requirements and has</w:t>
      </w:r>
      <w:r w:rsidR="00760581" w:rsidRPr="00152D49">
        <w:rPr>
          <w:rFonts w:cs="Arial"/>
        </w:rPr>
        <w:t xml:space="preserve"> seen us</w:t>
      </w:r>
      <w:r w:rsidRPr="00152D49">
        <w:rPr>
          <w:rFonts w:cs="Arial"/>
        </w:rPr>
        <w:t xml:space="preserve"> replace fire tenders, purchase a new aerial appliance and replace some essential operational equipment and ICT systems. </w:t>
      </w:r>
      <w:r w:rsidR="00152D49" w:rsidRPr="00152D49">
        <w:rPr>
          <w:rFonts w:cs="Arial"/>
        </w:rPr>
        <w:t xml:space="preserve"> </w:t>
      </w:r>
      <w:r w:rsidRPr="00152D49">
        <w:rPr>
          <w:rFonts w:cs="Arial"/>
        </w:rPr>
        <w:t>This work continues.</w:t>
      </w:r>
      <w:bookmarkStart w:id="10" w:name="_Hlk62222145"/>
    </w:p>
    <w:p w14:paraId="3E6FE411" w14:textId="77777777" w:rsidR="00BF3C41" w:rsidRPr="00BF3C41" w:rsidRDefault="007C1FE2" w:rsidP="00BF3C41">
      <w:pPr>
        <w:pStyle w:val="PanelPara"/>
      </w:pPr>
      <w:r w:rsidRPr="00152D49">
        <w:rPr>
          <w:rFonts w:cs="Arial"/>
        </w:rPr>
        <w:t>Costs are often occurred ahead of any efficiencies</w:t>
      </w:r>
      <w:r w:rsidR="001F7CE7" w:rsidRPr="00152D49">
        <w:rPr>
          <w:rFonts w:cs="Arial"/>
        </w:rPr>
        <w:t xml:space="preserve"> or disposals</w:t>
      </w:r>
      <w:r w:rsidRPr="00152D49">
        <w:rPr>
          <w:rFonts w:cs="Arial"/>
        </w:rPr>
        <w:t xml:space="preserve">, therefore, the PFCC will continue to push to ensure that any disposals </w:t>
      </w:r>
      <w:r w:rsidR="001F7CE7" w:rsidRPr="00152D49">
        <w:rPr>
          <w:rFonts w:cs="Arial"/>
        </w:rPr>
        <w:t xml:space="preserve">included in the plans </w:t>
      </w:r>
      <w:r w:rsidRPr="00152D49">
        <w:rPr>
          <w:rFonts w:cs="Arial"/>
        </w:rPr>
        <w:t xml:space="preserve">are made in a timely an </w:t>
      </w:r>
      <w:r w:rsidRPr="00BF3C41">
        <w:rPr>
          <w:rFonts w:cs="Arial"/>
        </w:rPr>
        <w:t>efficient manner to ensure the full benefits can be realised.</w:t>
      </w:r>
    </w:p>
    <w:p w14:paraId="3CC977CB" w14:textId="77777777" w:rsidR="00BF3C41" w:rsidRPr="00BF3C41" w:rsidRDefault="00BF3C41" w:rsidP="00BF3C41">
      <w:pPr>
        <w:pStyle w:val="PanelPara"/>
      </w:pPr>
      <w:r w:rsidRPr="00BF3C41">
        <w:rPr>
          <w:rFonts w:cs="Arial"/>
        </w:rPr>
        <w:t>The Commissioner is required to approve a ‘Treasury Management Strategy’ each year, setting out the detail of his policy and approach to managing investments, borrowing and cash management.</w:t>
      </w:r>
    </w:p>
    <w:p w14:paraId="2DC8D454" w14:textId="77777777" w:rsidR="00BF3C41" w:rsidRPr="00BF3C41" w:rsidRDefault="00BF3C41" w:rsidP="00BF3C41">
      <w:pPr>
        <w:pStyle w:val="PanelPara"/>
      </w:pPr>
      <w:r w:rsidRPr="00BF3C41">
        <w:rPr>
          <w:rFonts w:cs="Arial"/>
        </w:rPr>
        <w:t>This is required by the Prudential Code and the Code of Treasury Management published by the Chartered Institute of Public Finance and Accountancy (CIPFA).  This ensures, within a clear framework, that the capital investment plans of local authorities are affordable, prudent and sustainable.  A further key objective is to ensure that treasury management decisions are taken in accordance with good professional practice.</w:t>
      </w:r>
    </w:p>
    <w:p w14:paraId="67CA1312" w14:textId="77777777" w:rsidR="00BF3C41" w:rsidRPr="00BF3C41" w:rsidRDefault="00BF3C41" w:rsidP="00BF3C41">
      <w:pPr>
        <w:pStyle w:val="PanelPara"/>
      </w:pPr>
      <w:r w:rsidRPr="00BF3C41">
        <w:rPr>
          <w:rFonts w:cs="Arial"/>
        </w:rPr>
        <w:t>The Treasury Management Strategy will be considered by the PFCC alongside an updated capital strategy.  The Joint Independent Audit Committee (JIAC) will consider this key document at their March meeting prior to being placed on the OPFCC website.</w:t>
      </w:r>
    </w:p>
    <w:bookmarkEnd w:id="10"/>
    <w:p w14:paraId="036F0B2B" w14:textId="77777777" w:rsidR="00BF3C41" w:rsidRDefault="001638AD" w:rsidP="00BF3C41">
      <w:pPr>
        <w:pStyle w:val="PanelHeading"/>
      </w:pPr>
      <w:r w:rsidRPr="00BF3C41">
        <w:t xml:space="preserve">Use of </w:t>
      </w:r>
      <w:r w:rsidR="0081263C" w:rsidRPr="00BF3C41">
        <w:t>Reserve</w:t>
      </w:r>
      <w:r w:rsidRPr="00BF3C41">
        <w:t>s</w:t>
      </w:r>
    </w:p>
    <w:p w14:paraId="54535A96" w14:textId="77777777" w:rsidR="00BF3C41" w:rsidRDefault="00BF3C41" w:rsidP="00BF3C41">
      <w:pPr>
        <w:pStyle w:val="PanelPara"/>
      </w:pPr>
      <w:r w:rsidRPr="00BF3C41">
        <w:t>In considering the budget, the MTFP and level of precept options, it is important to look closely at the size, level and type of reserves held by the PFCC to ensure that they are adequate to cover the purposes for which they are held and to provide some safeguards against the future risks identified within the budget.</w:t>
      </w:r>
    </w:p>
    <w:p w14:paraId="15DF9DED" w14:textId="5D1583DB" w:rsidR="00BF3C41" w:rsidRPr="00BF3C41" w:rsidRDefault="009C070A" w:rsidP="00BF3C41">
      <w:pPr>
        <w:pStyle w:val="PanelPara"/>
      </w:pPr>
      <w:r w:rsidRPr="00BF3C41">
        <w:rPr>
          <w:rFonts w:cs="Arial"/>
        </w:rPr>
        <w:lastRenderedPageBreak/>
        <w:t>NCFRA transferred on the 1</w:t>
      </w:r>
      <w:r w:rsidR="00D6320F" w:rsidRPr="00D6320F">
        <w:rPr>
          <w:rFonts w:cs="Arial"/>
          <w:vertAlign w:val="superscript"/>
        </w:rPr>
        <w:t>st</w:t>
      </w:r>
      <w:r w:rsidRPr="00BF3C41">
        <w:rPr>
          <w:rFonts w:cs="Arial"/>
        </w:rPr>
        <w:t xml:space="preserve"> January 2019 with no </w:t>
      </w:r>
      <w:r w:rsidR="0081263C" w:rsidRPr="00BF3C41">
        <w:rPr>
          <w:rFonts w:cs="Arial"/>
        </w:rPr>
        <w:t>reserve</w:t>
      </w:r>
      <w:r w:rsidRPr="00BF3C41">
        <w:rPr>
          <w:rFonts w:cs="Arial"/>
        </w:rPr>
        <w:t xml:space="preserve">s and set in place a three year financial stability plan to build </w:t>
      </w:r>
      <w:r w:rsidR="0081263C" w:rsidRPr="00BF3C41">
        <w:rPr>
          <w:rFonts w:cs="Arial"/>
        </w:rPr>
        <w:t>reserve</w:t>
      </w:r>
      <w:r w:rsidRPr="00BF3C41">
        <w:rPr>
          <w:rFonts w:cs="Arial"/>
        </w:rPr>
        <w:t>s and made good progress in doing so</w:t>
      </w:r>
      <w:r w:rsidR="00B03FEA" w:rsidRPr="00BF3C41">
        <w:rPr>
          <w:rFonts w:cs="Arial"/>
        </w:rPr>
        <w:t xml:space="preserve">. </w:t>
      </w:r>
      <w:r w:rsidR="00BF3C41" w:rsidRPr="00BF3C41">
        <w:rPr>
          <w:rFonts w:cs="Arial"/>
        </w:rPr>
        <w:t xml:space="preserve"> </w:t>
      </w:r>
      <w:r w:rsidR="00B03FEA" w:rsidRPr="00BF3C41">
        <w:rPr>
          <w:rFonts w:cs="Arial"/>
        </w:rPr>
        <w:t>B</w:t>
      </w:r>
      <w:r w:rsidR="000877B3" w:rsidRPr="00BF3C41">
        <w:rPr>
          <w:rFonts w:cs="Arial"/>
        </w:rPr>
        <w:t xml:space="preserve">y </w:t>
      </w:r>
      <w:r w:rsidR="008C38F1" w:rsidRPr="00BF3C41">
        <w:rPr>
          <w:rFonts w:cs="Arial"/>
        </w:rPr>
        <w:t>2022/23</w:t>
      </w:r>
      <w:r w:rsidR="000877B3" w:rsidRPr="00BF3C41">
        <w:rPr>
          <w:rFonts w:cs="Arial"/>
        </w:rPr>
        <w:t xml:space="preserve"> </w:t>
      </w:r>
      <w:r w:rsidR="00B03FEA" w:rsidRPr="00BF3C41">
        <w:rPr>
          <w:rFonts w:cs="Arial"/>
        </w:rPr>
        <w:t xml:space="preserve">they </w:t>
      </w:r>
      <w:r w:rsidR="000877B3" w:rsidRPr="00BF3C41">
        <w:rPr>
          <w:rFonts w:cs="Arial"/>
        </w:rPr>
        <w:t xml:space="preserve">had exceeded the minimum level of </w:t>
      </w:r>
      <w:r w:rsidR="0081263C" w:rsidRPr="00BF3C41">
        <w:rPr>
          <w:rFonts w:cs="Arial"/>
        </w:rPr>
        <w:t>general reserve</w:t>
      </w:r>
      <w:r w:rsidR="000877B3" w:rsidRPr="00BF3C41">
        <w:rPr>
          <w:rFonts w:cs="Arial"/>
        </w:rPr>
        <w:t>s as set out in the financial plans forecast at the time of the governance transfer.</w:t>
      </w:r>
    </w:p>
    <w:p w14:paraId="52277632" w14:textId="402490C8" w:rsidR="00053369" w:rsidRPr="00BF3C41" w:rsidRDefault="00053369" w:rsidP="00BF3C41">
      <w:pPr>
        <w:pStyle w:val="PanelPara"/>
      </w:pPr>
      <w:r w:rsidRPr="00BF3C41">
        <w:rPr>
          <w:rFonts w:cs="Arial"/>
        </w:rPr>
        <w:t xml:space="preserve">The </w:t>
      </w:r>
      <w:r w:rsidR="00BF3C41">
        <w:rPr>
          <w:rFonts w:cs="Arial"/>
        </w:rPr>
        <w:t>R</w:t>
      </w:r>
      <w:r w:rsidR="0081263C" w:rsidRPr="00BF3C41">
        <w:rPr>
          <w:rFonts w:cs="Arial"/>
        </w:rPr>
        <w:t>eserve</w:t>
      </w:r>
      <w:r w:rsidR="00F671CE" w:rsidRPr="00BF3C41">
        <w:rPr>
          <w:rFonts w:cs="Arial"/>
        </w:rPr>
        <w:t xml:space="preserve">s </w:t>
      </w:r>
      <w:r w:rsidR="00BF3C41">
        <w:rPr>
          <w:rFonts w:cs="Arial"/>
        </w:rPr>
        <w:t>S</w:t>
      </w:r>
      <w:r w:rsidR="00F671CE" w:rsidRPr="00BF3C41">
        <w:rPr>
          <w:rFonts w:cs="Arial"/>
        </w:rPr>
        <w:t>trategy</w:t>
      </w:r>
      <w:r w:rsidRPr="00BF3C41">
        <w:rPr>
          <w:rFonts w:cs="Arial"/>
        </w:rPr>
        <w:t xml:space="preserve"> </w:t>
      </w:r>
      <w:r w:rsidR="001F7CE7" w:rsidRPr="00BF3C41">
        <w:rPr>
          <w:rFonts w:cs="Arial"/>
        </w:rPr>
        <w:t xml:space="preserve">attached at Appendix D </w:t>
      </w:r>
      <w:r w:rsidR="00BF3C41">
        <w:rPr>
          <w:rFonts w:cs="Arial"/>
        </w:rPr>
        <w:t xml:space="preserve">and </w:t>
      </w:r>
      <w:r w:rsidRPr="00BF3C41">
        <w:rPr>
          <w:rFonts w:cs="Arial"/>
        </w:rPr>
        <w:t xml:space="preserve">sets out </w:t>
      </w:r>
      <w:r w:rsidR="001F7CE7" w:rsidRPr="00BF3C41">
        <w:rPr>
          <w:rFonts w:cs="Arial"/>
        </w:rPr>
        <w:t xml:space="preserve">the types and </w:t>
      </w:r>
      <w:r w:rsidRPr="00BF3C41">
        <w:rPr>
          <w:rFonts w:cs="Arial"/>
        </w:rPr>
        <w:t xml:space="preserve">planned use of </w:t>
      </w:r>
      <w:r w:rsidR="0081263C" w:rsidRPr="00BF3C41">
        <w:rPr>
          <w:rFonts w:cs="Arial"/>
        </w:rPr>
        <w:t>reserve</w:t>
      </w:r>
      <w:r w:rsidRPr="00BF3C41">
        <w:rPr>
          <w:rFonts w:cs="Arial"/>
        </w:rPr>
        <w:t>s across the MTFP.</w:t>
      </w:r>
    </w:p>
    <w:p w14:paraId="4EEE4464" w14:textId="3C2414E6" w:rsidR="00BA2FE9" w:rsidRPr="00BF3C41" w:rsidRDefault="00BF3C41" w:rsidP="00BF3C41">
      <w:pPr>
        <w:pStyle w:val="PanelPara"/>
      </w:pPr>
      <w:r w:rsidRPr="00BF3C41">
        <w:t>Two types of reserve are held</w:t>
      </w:r>
      <w:r w:rsidR="00D6320F">
        <w:t>, as follows</w:t>
      </w:r>
      <w:r w:rsidRPr="00BF3C41">
        <w:t>:</w:t>
      </w:r>
    </w:p>
    <w:p w14:paraId="084DE4C3" w14:textId="77777777" w:rsidR="007B5EED" w:rsidRDefault="0081263C" w:rsidP="007B5EED">
      <w:pPr>
        <w:pStyle w:val="PanelHeading"/>
      </w:pPr>
      <w:r w:rsidRPr="00BF3C41">
        <w:t>General reserve</w:t>
      </w:r>
    </w:p>
    <w:p w14:paraId="368AF1FD" w14:textId="7AE041EC" w:rsidR="00EA6AB9" w:rsidRPr="007B5EED" w:rsidRDefault="00BF3C41" w:rsidP="007B5EED">
      <w:pPr>
        <w:pStyle w:val="PanelPara"/>
      </w:pPr>
      <w:r w:rsidRPr="007B5EED">
        <w:t xml:space="preserve">General reserves are above the minimum level and are stabilised at a level of £2m or 5% (whichever is the higher). </w:t>
      </w:r>
      <w:r w:rsidR="007B5EED" w:rsidRPr="007B5EED">
        <w:t xml:space="preserve"> </w:t>
      </w:r>
      <w:r w:rsidRPr="007B5EED">
        <w:t xml:space="preserve">This level reflects both the current uncertain environment, the historic volatility of the Fire revenue budget and the minimal levels of earmarked reserves held to meet other purposes. </w:t>
      </w:r>
      <w:r w:rsidR="007B5EED" w:rsidRPr="007B5EED">
        <w:t xml:space="preserve"> It is the view of the S151 Officer that</w:t>
      </w:r>
      <w:r w:rsidRPr="007B5EED">
        <w:t xml:space="preserve"> general reserves are </w:t>
      </w:r>
      <w:r w:rsidR="007B5EED" w:rsidRPr="007B5EED">
        <w:t xml:space="preserve">adequate but </w:t>
      </w:r>
      <w:r w:rsidRPr="007B5EED">
        <w:t>not excessive</w:t>
      </w:r>
      <w:r w:rsidR="007B5EED" w:rsidRPr="007B5EED">
        <w:t xml:space="preserve">. </w:t>
      </w:r>
    </w:p>
    <w:p w14:paraId="39CD5BBA" w14:textId="1D29A433" w:rsidR="00001328" w:rsidRPr="00BF3C41" w:rsidRDefault="0081263C" w:rsidP="00BF3C41">
      <w:pPr>
        <w:pStyle w:val="PanelHeading"/>
      </w:pPr>
      <w:r w:rsidRPr="00BF3C41">
        <w:t>Earmarked reserve</w:t>
      </w:r>
      <w:r w:rsidR="00EA6AB9" w:rsidRPr="00BF3C41">
        <w:t>s</w:t>
      </w:r>
    </w:p>
    <w:p w14:paraId="5909E41C" w14:textId="2C4632C8" w:rsidR="00BD09A5" w:rsidRPr="007B5EED" w:rsidRDefault="005970A7" w:rsidP="00BF3C41">
      <w:pPr>
        <w:pStyle w:val="PanelPara"/>
      </w:pPr>
      <w:r w:rsidRPr="007B5EED">
        <w:t>As at 3</w:t>
      </w:r>
      <w:r w:rsidR="00E73A1C">
        <w:t>1</w:t>
      </w:r>
      <w:r w:rsidR="00E73A1C" w:rsidRPr="00E73A1C">
        <w:rPr>
          <w:vertAlign w:val="superscript"/>
        </w:rPr>
        <w:t>st</w:t>
      </w:r>
      <w:r w:rsidRPr="007B5EED">
        <w:t xml:space="preserve"> March 202</w:t>
      </w:r>
      <w:r w:rsidR="00BF3C41" w:rsidRPr="007B5EED">
        <w:t>4</w:t>
      </w:r>
      <w:r w:rsidRPr="007B5EED">
        <w:t>, the balance on the</w:t>
      </w:r>
      <w:r w:rsidR="00A607E3" w:rsidRPr="007B5EED">
        <w:t xml:space="preserve"> earmarked capital </w:t>
      </w:r>
      <w:r w:rsidR="0081263C" w:rsidRPr="007B5EED">
        <w:t>reserve</w:t>
      </w:r>
      <w:r w:rsidR="001F7CE7" w:rsidRPr="007B5EED">
        <w:t>s amount to £</w:t>
      </w:r>
      <w:r w:rsidR="007B5EED" w:rsidRPr="007B5EED">
        <w:t>0.9</w:t>
      </w:r>
      <w:r w:rsidR="001F7CE7" w:rsidRPr="007B5EED">
        <w:t xml:space="preserve">m and revenue </w:t>
      </w:r>
      <w:r w:rsidR="0081263C" w:rsidRPr="007B5EED">
        <w:t>reserve</w:t>
      </w:r>
      <w:r w:rsidR="001F7CE7" w:rsidRPr="007B5EED">
        <w:t>s at £</w:t>
      </w:r>
      <w:r w:rsidR="007B5EED" w:rsidRPr="007B5EED">
        <w:t>2</w:t>
      </w:r>
      <w:r w:rsidR="001F7CE7" w:rsidRPr="007B5EED">
        <w:t>.3m.</w:t>
      </w:r>
    </w:p>
    <w:p w14:paraId="2BACA0BB" w14:textId="2268B4D3" w:rsidR="00C33A64" w:rsidRPr="00BF3C41" w:rsidRDefault="00053369" w:rsidP="00BF3C41">
      <w:pPr>
        <w:pStyle w:val="PanelPara"/>
      </w:pPr>
      <w:r w:rsidRPr="00BF3C41">
        <w:t xml:space="preserve">NCFRA has made good progress in establishing </w:t>
      </w:r>
      <w:r w:rsidR="0081263C" w:rsidRPr="00BF3C41">
        <w:t>reserve</w:t>
      </w:r>
      <w:r w:rsidRPr="00BF3C41">
        <w:t>s and</w:t>
      </w:r>
      <w:r w:rsidR="00BF3C41" w:rsidRPr="00BF3C41">
        <w:t xml:space="preserve"> </w:t>
      </w:r>
      <w:r w:rsidRPr="00BF3C41">
        <w:t xml:space="preserve">it is the view of the S151 officer that </w:t>
      </w:r>
      <w:r w:rsidR="00C9443A" w:rsidRPr="00BF3C41">
        <w:t xml:space="preserve">whilst </w:t>
      </w:r>
      <w:r w:rsidR="0081263C" w:rsidRPr="00BF3C41">
        <w:t>general reserve</w:t>
      </w:r>
      <w:r w:rsidRPr="00BF3C41">
        <w:t>s are now at a</w:t>
      </w:r>
      <w:r w:rsidR="002125C2" w:rsidRPr="00BF3C41">
        <w:t xml:space="preserve">n adequate </w:t>
      </w:r>
      <w:r w:rsidRPr="00BF3C41">
        <w:t>level</w:t>
      </w:r>
      <w:r w:rsidR="002125C2" w:rsidRPr="00BF3C41">
        <w:t>,</w:t>
      </w:r>
      <w:r w:rsidR="00C33A64" w:rsidRPr="00BF3C41">
        <w:t xml:space="preserve"> it is prudent to increase</w:t>
      </w:r>
      <w:r w:rsidR="00C9443A" w:rsidRPr="00BF3C41">
        <w:t xml:space="preserve"> </w:t>
      </w:r>
      <w:r w:rsidR="0081263C" w:rsidRPr="00BF3C41">
        <w:t>earmarked reserve</w:t>
      </w:r>
      <w:r w:rsidR="00C9443A" w:rsidRPr="00BF3C41">
        <w:t>s where appropriate</w:t>
      </w:r>
      <w:r w:rsidR="00BF3C41" w:rsidRPr="00BF3C41">
        <w:t xml:space="preserve"> for additional resilience</w:t>
      </w:r>
      <w:r w:rsidR="00001328" w:rsidRPr="00BF3C41">
        <w:t xml:space="preserve">. </w:t>
      </w:r>
      <w:r w:rsidR="00BF3C41" w:rsidRPr="00BF3C41">
        <w:t xml:space="preserve"> </w:t>
      </w:r>
      <w:r w:rsidR="00001328" w:rsidRPr="00BF3C41">
        <w:t>This will assist in smoothing potenti</w:t>
      </w:r>
      <w:r w:rsidR="00C9443A" w:rsidRPr="00BF3C41">
        <w:t>al funding impacts and to support the funding of equipment and transformation activities.</w:t>
      </w:r>
      <w:r w:rsidR="00001328" w:rsidRPr="00BF3C41">
        <w:t xml:space="preserve"> </w:t>
      </w:r>
    </w:p>
    <w:p w14:paraId="48D02AEE" w14:textId="1A7D8D44" w:rsidR="00C33A64" w:rsidRPr="00BF3C41" w:rsidRDefault="00E46427" w:rsidP="00BF3C41">
      <w:pPr>
        <w:pStyle w:val="PanelHeading"/>
      </w:pPr>
      <w:r w:rsidRPr="00BF3C41">
        <w:t>Robustness of the Budget –</w:t>
      </w:r>
      <w:r w:rsidR="004C5989" w:rsidRPr="00BF3C41">
        <w:t xml:space="preserve"> </w:t>
      </w:r>
      <w:r w:rsidRPr="00BF3C41">
        <w:t>S</w:t>
      </w:r>
      <w:r w:rsidR="005D2DA4" w:rsidRPr="00BF3C41">
        <w:t xml:space="preserve">tatement of the </w:t>
      </w:r>
      <w:r w:rsidR="00A91265" w:rsidRPr="00BF3C41">
        <w:t xml:space="preserve">S151 </w:t>
      </w:r>
      <w:r w:rsidR="005D2DA4" w:rsidRPr="00BF3C41">
        <w:t>Chief Finance Officer</w:t>
      </w:r>
    </w:p>
    <w:p w14:paraId="24A976C6" w14:textId="77777777" w:rsidR="00BF3C41" w:rsidRPr="00BF3C41" w:rsidRDefault="006B5EDE" w:rsidP="00BF3C41">
      <w:pPr>
        <w:pStyle w:val="PanelPara"/>
      </w:pPr>
      <w:r w:rsidRPr="00BF3C41">
        <w:t xml:space="preserve">Section 25 of the Local Government Act 2003, places a duty on the </w:t>
      </w:r>
      <w:r w:rsidR="00C9443A" w:rsidRPr="00BF3C41">
        <w:t xml:space="preserve">S151 </w:t>
      </w:r>
      <w:r w:rsidRPr="00BF3C41">
        <w:t>to make a report to the authority on:</w:t>
      </w:r>
    </w:p>
    <w:p w14:paraId="7549FC3B" w14:textId="77777777" w:rsidR="00BF3C41" w:rsidRPr="00BF3C41" w:rsidRDefault="006B5EDE" w:rsidP="00BF3C41">
      <w:pPr>
        <w:pStyle w:val="PanelPara2"/>
      </w:pPr>
      <w:r w:rsidRPr="00BF3C41">
        <w:t>The robustness of the estimates included within the budget</w:t>
      </w:r>
      <w:r w:rsidR="00BF3C41" w:rsidRPr="00BF3C41">
        <w:t>.</w:t>
      </w:r>
    </w:p>
    <w:p w14:paraId="5A39D67B" w14:textId="325E504E" w:rsidR="006B5EDE" w:rsidRPr="00BF3C41" w:rsidRDefault="006B5EDE" w:rsidP="00BF3C41">
      <w:pPr>
        <w:pStyle w:val="PanelPara2"/>
      </w:pPr>
      <w:r w:rsidRPr="00BF3C41">
        <w:t xml:space="preserve">The adequacy of the </w:t>
      </w:r>
      <w:r w:rsidR="0081263C" w:rsidRPr="00BF3C41">
        <w:t>reserve</w:t>
      </w:r>
      <w:r w:rsidRPr="00BF3C41">
        <w:t>s and balances</w:t>
      </w:r>
      <w:r w:rsidR="00BF3C41" w:rsidRPr="00BF3C41">
        <w:t>.</w:t>
      </w:r>
    </w:p>
    <w:p w14:paraId="08735DA1" w14:textId="1642EB10" w:rsidR="006B5EDE" w:rsidRPr="00BF3C41" w:rsidRDefault="006B5EDE" w:rsidP="00BF3C41">
      <w:pPr>
        <w:pStyle w:val="PanelPara"/>
      </w:pPr>
      <w:r w:rsidRPr="00BF3C41">
        <w:t>The PFCC must have regard to this when considering the budget and the report must be shared with the Police, Fire and Crime Panel.</w:t>
      </w:r>
    </w:p>
    <w:p w14:paraId="29D05C89" w14:textId="77777777" w:rsidR="00BF3C41" w:rsidRDefault="006B5EDE" w:rsidP="00BF3C41">
      <w:pPr>
        <w:pStyle w:val="PanelPara"/>
      </w:pPr>
      <w:r w:rsidRPr="00BF3C41">
        <w:t xml:space="preserve">In </w:t>
      </w:r>
      <w:r w:rsidR="00BF3C41" w:rsidRPr="00BF3C41">
        <w:t>t</w:t>
      </w:r>
      <w:r w:rsidRPr="00BF3C41">
        <w:t>he</w:t>
      </w:r>
      <w:r w:rsidR="00BF3C41" w:rsidRPr="00BF3C41">
        <w:t>i</w:t>
      </w:r>
      <w:r w:rsidRPr="00BF3C41">
        <w:t>r considerations</w:t>
      </w:r>
      <w:r w:rsidR="008B4D54" w:rsidRPr="00BF3C41">
        <w:t>,</w:t>
      </w:r>
      <w:r w:rsidRPr="00BF3C41">
        <w:t xml:space="preserve"> the </w:t>
      </w:r>
      <w:r w:rsidR="00C9443A" w:rsidRPr="00BF3C41">
        <w:t xml:space="preserve">S151 </w:t>
      </w:r>
      <w:r w:rsidRPr="00BF3C41">
        <w:t>Officer is mindful of other associated statutory safeguards designed to support the authority</w:t>
      </w:r>
      <w:r w:rsidR="00E06B24" w:rsidRPr="00BF3C41">
        <w:t>:</w:t>
      </w:r>
    </w:p>
    <w:p w14:paraId="091DF7D4" w14:textId="77777777" w:rsidR="00BF3C41" w:rsidRDefault="006B5EDE" w:rsidP="00BF3C41">
      <w:pPr>
        <w:pStyle w:val="PanelPara2"/>
      </w:pPr>
      <w:r w:rsidRPr="00BF3C41">
        <w:t xml:space="preserve">Section 151 of the Local Government Act 1972 which requires the authority to make arrangements for the proper administration of its financial affairs and that the </w:t>
      </w:r>
      <w:r w:rsidR="00760581" w:rsidRPr="00BF3C41">
        <w:t>Chief Financial O</w:t>
      </w:r>
      <w:r w:rsidRPr="00BF3C41">
        <w:t>fficer has personal responsibility for such administration.</w:t>
      </w:r>
    </w:p>
    <w:p w14:paraId="0511C9D5" w14:textId="77777777" w:rsidR="00BF3C41" w:rsidRPr="00BF3C41" w:rsidRDefault="006B5EDE" w:rsidP="00BF3C41">
      <w:pPr>
        <w:pStyle w:val="PanelPara2"/>
      </w:pPr>
      <w:r w:rsidRPr="00BF3C41">
        <w:rPr>
          <w:rFonts w:cs="Arial"/>
        </w:rPr>
        <w:lastRenderedPageBreak/>
        <w:t>Sections 32, 43 &amp; 93 of the Local Government Finance Act 1992 which requires the authority to set a balanced budget</w:t>
      </w:r>
      <w:r w:rsidR="00BF3C41">
        <w:rPr>
          <w:rFonts w:cs="Arial"/>
        </w:rPr>
        <w:t>.</w:t>
      </w:r>
    </w:p>
    <w:p w14:paraId="099FECD0" w14:textId="77777777" w:rsidR="00BF3C41" w:rsidRPr="00BF3C41" w:rsidRDefault="006B5EDE" w:rsidP="00BF3C41">
      <w:pPr>
        <w:pStyle w:val="PanelPara2"/>
      </w:pPr>
      <w:r w:rsidRPr="00BF3C41">
        <w:rPr>
          <w:rFonts w:cs="Arial"/>
        </w:rPr>
        <w:t>The Prudential Code introduced as part of the Local Government Act 2003 which sets out the framework within which the authority must manage its investments, including adequate planning and budget estimates</w:t>
      </w:r>
      <w:r w:rsidR="00BF3C41">
        <w:rPr>
          <w:rFonts w:cs="Arial"/>
        </w:rPr>
        <w:t>.</w:t>
      </w:r>
    </w:p>
    <w:p w14:paraId="3BD0891D" w14:textId="7CA60F25" w:rsidR="006B5EDE" w:rsidRPr="00BF3C41" w:rsidRDefault="006B5EDE" w:rsidP="00BF3C41">
      <w:pPr>
        <w:pStyle w:val="PanelPara2"/>
      </w:pPr>
      <w:r w:rsidRPr="00BF3C41">
        <w:rPr>
          <w:rFonts w:cs="Arial"/>
        </w:rPr>
        <w:t>The external auditor’s duty to assess the adequacy of the authority’s proper arrangements to secure economy, efficiency and effectiveness (‘value for money’)</w:t>
      </w:r>
    </w:p>
    <w:p w14:paraId="13B5765A" w14:textId="0B8EFE6F" w:rsidR="006B5EDE" w:rsidRPr="00BF3C41" w:rsidRDefault="006B5EDE" w:rsidP="00BF3C41">
      <w:pPr>
        <w:pStyle w:val="PanelPara"/>
      </w:pPr>
      <w:r w:rsidRPr="00BF3C41">
        <w:t xml:space="preserve">To reinforce these obligations, section 114 of the Local Government Finance Act 1988 requires the </w:t>
      </w:r>
      <w:r w:rsidR="00C9443A" w:rsidRPr="00BF3C41">
        <w:t xml:space="preserve">S151 </w:t>
      </w:r>
      <w:r w:rsidRPr="00BF3C41">
        <w:t xml:space="preserve">Officer to report in consultation with the Monitoring </w:t>
      </w:r>
      <w:r w:rsidR="005011AD" w:rsidRPr="00BF3C41">
        <w:t>Officer if</w:t>
      </w:r>
      <w:r w:rsidRPr="00BF3C41">
        <w:t xml:space="preserve"> there is or is likely to be unlawful expenditure or an unbalanced budget</w:t>
      </w:r>
      <w:r w:rsidR="008B4D54" w:rsidRPr="00BF3C41">
        <w:t>.</w:t>
      </w:r>
    </w:p>
    <w:p w14:paraId="5171299D" w14:textId="276185E0" w:rsidR="006B5EDE" w:rsidRPr="00BF3C41" w:rsidRDefault="006B5EDE" w:rsidP="00BF3C41">
      <w:pPr>
        <w:pStyle w:val="PanelPara"/>
      </w:pPr>
      <w:r w:rsidRPr="00BF3C41">
        <w:t xml:space="preserve">This report has </w:t>
      </w:r>
      <w:r w:rsidR="008B4D54" w:rsidRPr="00BF3C41">
        <w:t>set out the</w:t>
      </w:r>
      <w:r w:rsidRPr="00BF3C41">
        <w:t xml:space="preserve"> detail</w:t>
      </w:r>
      <w:r w:rsidR="008B4D54" w:rsidRPr="00BF3C41">
        <w:t>ed</w:t>
      </w:r>
      <w:r w:rsidRPr="00BF3C41">
        <w:t xml:space="preserve"> budget setting process that has taken place and </w:t>
      </w:r>
      <w:r w:rsidR="008B4D54" w:rsidRPr="00BF3C41">
        <w:t xml:space="preserve">the work undertaken to </w:t>
      </w:r>
      <w:r w:rsidRPr="00BF3C41">
        <w:t>ensure the budget is as realistic, deliverable and achievable as possible.</w:t>
      </w:r>
    </w:p>
    <w:p w14:paraId="7341C2D8" w14:textId="34140F17" w:rsidR="001B20EF" w:rsidRPr="00BF3C41" w:rsidRDefault="006B5EDE" w:rsidP="00BF3C41">
      <w:pPr>
        <w:pStyle w:val="PanelPara"/>
      </w:pPr>
      <w:r w:rsidRPr="00BF3C41">
        <w:t xml:space="preserve">The </w:t>
      </w:r>
      <w:r w:rsidR="00C33A64" w:rsidRPr="00BF3C41">
        <w:t xml:space="preserve">Fire Joint Head of Finance has worked closely with the Fire Executive team, </w:t>
      </w:r>
      <w:r w:rsidRPr="00BF3C41">
        <w:t xml:space="preserve">budget holders and the finance team </w:t>
      </w:r>
      <w:r w:rsidR="001B20EF" w:rsidRPr="00BF3C41">
        <w:t>to deliver the draft budget</w:t>
      </w:r>
      <w:r w:rsidR="00C33A64" w:rsidRPr="00BF3C41">
        <w:t xml:space="preserve"> and savings plan, ensuring </w:t>
      </w:r>
      <w:r w:rsidR="001B20EF" w:rsidRPr="00BF3C41">
        <w:t>that effective scrutiny and challenge has taken place</w:t>
      </w:r>
      <w:r w:rsidR="00C33A64" w:rsidRPr="00BF3C41">
        <w:t xml:space="preserve"> throughout</w:t>
      </w:r>
      <w:r w:rsidR="001B20EF" w:rsidRPr="00BF3C41">
        <w:t xml:space="preserve">. </w:t>
      </w:r>
      <w:r w:rsidR="00BF3C41" w:rsidRPr="00BF3C41">
        <w:t xml:space="preserve"> </w:t>
      </w:r>
      <w:r w:rsidR="00C33A64" w:rsidRPr="00BF3C41">
        <w:t>The S151</w:t>
      </w:r>
      <w:r w:rsidR="00BF3C41" w:rsidRPr="00BF3C41">
        <w:t xml:space="preserve"> O</w:t>
      </w:r>
      <w:r w:rsidR="00C33A64" w:rsidRPr="00BF3C41">
        <w:t xml:space="preserve">fficer has worked closely with the Joint Head of Finance and </w:t>
      </w:r>
      <w:r w:rsidR="00BF3C41" w:rsidRPr="00BF3C41">
        <w:t>the</w:t>
      </w:r>
      <w:r w:rsidR="00C33A64" w:rsidRPr="00BF3C41">
        <w:t xml:space="preserve"> </w:t>
      </w:r>
      <w:r w:rsidR="00C9443A" w:rsidRPr="00BF3C41">
        <w:t>PFCC has</w:t>
      </w:r>
      <w:r w:rsidR="008B4D54" w:rsidRPr="00BF3C41">
        <w:t xml:space="preserve"> </w:t>
      </w:r>
      <w:r w:rsidR="00C9443A" w:rsidRPr="00BF3C41">
        <w:t xml:space="preserve">undertaken scrutiny </w:t>
      </w:r>
      <w:r w:rsidR="008B4D54" w:rsidRPr="00BF3C41">
        <w:t>and strategic review of the proposals</w:t>
      </w:r>
      <w:r w:rsidR="00C9443A" w:rsidRPr="00BF3C41">
        <w:t xml:space="preserve"> on two occasions and </w:t>
      </w:r>
      <w:r w:rsidR="008B4D54" w:rsidRPr="00BF3C41">
        <w:t xml:space="preserve">has been </w:t>
      </w:r>
      <w:r w:rsidR="00C9443A" w:rsidRPr="00BF3C41">
        <w:t xml:space="preserve">updated regularly </w:t>
      </w:r>
      <w:r w:rsidR="007029AF" w:rsidRPr="00BF3C41">
        <w:t xml:space="preserve">throughout the budget cycle </w:t>
      </w:r>
      <w:r w:rsidR="00C9443A" w:rsidRPr="00BF3C41">
        <w:t>as appropriate.</w:t>
      </w:r>
    </w:p>
    <w:p w14:paraId="4A328A0C" w14:textId="0319B1F6" w:rsidR="000C2930" w:rsidRPr="00BF3C41" w:rsidRDefault="006B5EDE" w:rsidP="00BF3C41">
      <w:pPr>
        <w:pStyle w:val="PanelPara"/>
      </w:pPr>
      <w:r w:rsidRPr="00BF3C41">
        <w:t>The estimates and assumptions are based on the best information available at the time of formulating the budget in line with the fundamental accounting concepts and are reasonable and prudent.</w:t>
      </w:r>
    </w:p>
    <w:p w14:paraId="7E22461F" w14:textId="420E24AE" w:rsidR="00300676" w:rsidRPr="00BF3C41" w:rsidRDefault="000C2930" w:rsidP="00BF3C41">
      <w:pPr>
        <w:pStyle w:val="PanelPara"/>
      </w:pPr>
      <w:r w:rsidRPr="00BF3C41">
        <w:t xml:space="preserve">The Section 25 Statement of the S151 Chief Finance Officer for Northamptonshire Fire and Rescue Authority is included at Appendix </w:t>
      </w:r>
      <w:r w:rsidR="00BD0B11" w:rsidRPr="00BF3C41">
        <w:t>C</w:t>
      </w:r>
      <w:r w:rsidRPr="00BF3C41">
        <w:t>.</w:t>
      </w:r>
    </w:p>
    <w:p w14:paraId="6757552E" w14:textId="77777777" w:rsidR="00BF3C41" w:rsidRDefault="00BF3C41">
      <w:pPr>
        <w:spacing w:after="0" w:line="240" w:lineRule="auto"/>
        <w:rPr>
          <w:rFonts w:asciiTheme="minorHAnsi" w:hAnsiTheme="minorHAnsi" w:cs="Arial"/>
          <w:sz w:val="24"/>
          <w:szCs w:val="24"/>
          <w:highlight w:val="yellow"/>
        </w:rPr>
      </w:pPr>
      <w:r>
        <w:rPr>
          <w:rFonts w:asciiTheme="minorHAnsi" w:hAnsiTheme="minorHAnsi" w:cs="Arial"/>
          <w:sz w:val="24"/>
          <w:szCs w:val="24"/>
          <w:highlight w:val="yellow"/>
        </w:rPr>
        <w:br w:type="page"/>
      </w:r>
    </w:p>
    <w:p w14:paraId="4F37D2AC" w14:textId="77777777" w:rsidR="00D953AE" w:rsidRPr="00BE6E4F" w:rsidRDefault="00D953AE" w:rsidP="00D953AE">
      <w:pPr>
        <w:spacing w:after="0" w:line="240" w:lineRule="auto"/>
        <w:ind w:left="567"/>
        <w:jc w:val="both"/>
        <w:rPr>
          <w:rFonts w:asciiTheme="minorHAnsi" w:hAnsiTheme="minorHAnsi" w:cstheme="minorHAnsi"/>
          <w:i/>
          <w:sz w:val="24"/>
          <w:szCs w:val="24"/>
        </w:rPr>
      </w:pPr>
      <w:r w:rsidRPr="00BE6E4F">
        <w:rPr>
          <w:rFonts w:asciiTheme="minorHAnsi" w:hAnsiTheme="minorHAnsi" w:cstheme="minorHAnsi"/>
          <w:sz w:val="24"/>
          <w:szCs w:val="24"/>
        </w:rPr>
        <w:lastRenderedPageBreak/>
        <w:t>-------------------------------------------------------------------------------------------------------</w:t>
      </w:r>
    </w:p>
    <w:p w14:paraId="2B99FDBB" w14:textId="77777777" w:rsidR="00D953AE" w:rsidRPr="00BE6E4F" w:rsidRDefault="00D953AE" w:rsidP="00D953AE">
      <w:pPr>
        <w:pStyle w:val="Header"/>
        <w:ind w:right="-990"/>
        <w:rPr>
          <w:rFonts w:asciiTheme="minorHAnsi" w:hAnsiTheme="minorHAnsi" w:cstheme="minorHAnsi"/>
          <w:b/>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953AE" w:rsidRPr="00BE6E4F" w14:paraId="16DDE608" w14:textId="77777777" w:rsidTr="006B3DEA">
        <w:tc>
          <w:tcPr>
            <w:tcW w:w="4814" w:type="dxa"/>
          </w:tcPr>
          <w:p w14:paraId="4DA7C254" w14:textId="77777777" w:rsidR="00D953AE" w:rsidRPr="00BE6E4F" w:rsidRDefault="00D953AE" w:rsidP="006B3DEA">
            <w:pPr>
              <w:pStyle w:val="Header"/>
              <w:ind w:right="-990"/>
              <w:rPr>
                <w:rFonts w:asciiTheme="minorHAnsi" w:hAnsiTheme="minorHAnsi" w:cstheme="minorHAnsi"/>
                <w:b/>
                <w:sz w:val="24"/>
                <w:szCs w:val="24"/>
                <w:u w:val="single"/>
              </w:rPr>
            </w:pPr>
            <w:r w:rsidRPr="00BE6E4F">
              <w:rPr>
                <w:rFonts w:asciiTheme="minorHAnsi" w:hAnsiTheme="minorHAnsi" w:cstheme="minorHAnsi"/>
                <w:b/>
                <w:sz w:val="24"/>
                <w:szCs w:val="24"/>
              </w:rPr>
              <w:t>EQUALITY, DIVERSITY AND HUMAN RIGHTS IMPLICATIONS</w:t>
            </w:r>
          </w:p>
        </w:tc>
        <w:tc>
          <w:tcPr>
            <w:tcW w:w="4814" w:type="dxa"/>
          </w:tcPr>
          <w:p w14:paraId="37D6F0B9" w14:textId="77777777" w:rsidR="00D953AE" w:rsidRPr="00BE6E4F" w:rsidRDefault="00D953AE" w:rsidP="006B3DEA">
            <w:pPr>
              <w:spacing w:after="0" w:line="240" w:lineRule="auto"/>
              <w:jc w:val="both"/>
              <w:rPr>
                <w:rFonts w:asciiTheme="minorHAnsi" w:hAnsiTheme="minorHAnsi" w:cstheme="minorHAnsi"/>
                <w:sz w:val="24"/>
                <w:szCs w:val="24"/>
              </w:rPr>
            </w:pPr>
            <w:r w:rsidRPr="00BE6E4F">
              <w:rPr>
                <w:rFonts w:asciiTheme="minorHAnsi" w:hAnsiTheme="minorHAnsi" w:cstheme="minorHAnsi"/>
                <w:sz w:val="24"/>
                <w:szCs w:val="24"/>
              </w:rPr>
              <w:t>The budget and proposed precept provide the resources for the delivery of the Police, Fire and Crime Plan.  Additionally, the survey is comprised of a representative sample of Northamptonshire residents.</w:t>
            </w:r>
          </w:p>
          <w:p w14:paraId="4BDDCBBD" w14:textId="77777777" w:rsidR="00D953AE" w:rsidRPr="00BE6E4F" w:rsidRDefault="00D953AE" w:rsidP="006B3DEA">
            <w:pPr>
              <w:pStyle w:val="Header"/>
              <w:ind w:right="-990"/>
              <w:rPr>
                <w:rFonts w:asciiTheme="minorHAnsi" w:hAnsiTheme="minorHAnsi" w:cstheme="minorHAnsi"/>
                <w:b/>
                <w:sz w:val="24"/>
                <w:szCs w:val="24"/>
                <w:u w:val="single"/>
              </w:rPr>
            </w:pPr>
          </w:p>
        </w:tc>
      </w:tr>
      <w:tr w:rsidR="00D953AE" w:rsidRPr="00BE6E4F" w14:paraId="6164A842" w14:textId="77777777" w:rsidTr="006B3DEA">
        <w:tc>
          <w:tcPr>
            <w:tcW w:w="4814" w:type="dxa"/>
          </w:tcPr>
          <w:p w14:paraId="59CE889D" w14:textId="77777777" w:rsidR="00D953AE" w:rsidRDefault="00D953AE" w:rsidP="006B3DEA">
            <w:pPr>
              <w:pStyle w:val="Header"/>
              <w:ind w:right="-990"/>
              <w:rPr>
                <w:rFonts w:asciiTheme="minorHAnsi" w:hAnsiTheme="minorHAnsi" w:cstheme="minorHAnsi"/>
                <w:b/>
                <w:sz w:val="24"/>
                <w:szCs w:val="24"/>
              </w:rPr>
            </w:pPr>
            <w:r w:rsidRPr="00BE6E4F">
              <w:rPr>
                <w:rFonts w:asciiTheme="minorHAnsi" w:hAnsiTheme="minorHAnsi" w:cstheme="minorHAnsi"/>
                <w:b/>
                <w:sz w:val="24"/>
                <w:szCs w:val="24"/>
              </w:rPr>
              <w:t>HUMAN RESOURCES IMPLICATIONS</w:t>
            </w:r>
          </w:p>
          <w:p w14:paraId="635BC25B" w14:textId="77777777" w:rsidR="00D953AE" w:rsidRPr="00BE6E4F" w:rsidRDefault="00D953AE" w:rsidP="006B3DEA">
            <w:pPr>
              <w:pStyle w:val="Header"/>
              <w:ind w:right="-990"/>
              <w:rPr>
                <w:rFonts w:asciiTheme="minorHAnsi" w:hAnsiTheme="minorHAnsi" w:cstheme="minorHAnsi"/>
                <w:b/>
                <w:sz w:val="24"/>
                <w:szCs w:val="24"/>
                <w:u w:val="single"/>
              </w:rPr>
            </w:pPr>
          </w:p>
        </w:tc>
        <w:tc>
          <w:tcPr>
            <w:tcW w:w="4814" w:type="dxa"/>
          </w:tcPr>
          <w:p w14:paraId="523BF64C" w14:textId="77777777" w:rsidR="00D953AE" w:rsidRPr="00BE6E4F" w:rsidRDefault="00D953AE" w:rsidP="006B3DEA">
            <w:pPr>
              <w:pStyle w:val="Header"/>
              <w:ind w:right="-990"/>
              <w:rPr>
                <w:rFonts w:asciiTheme="minorHAnsi" w:hAnsiTheme="minorHAnsi" w:cstheme="minorHAnsi"/>
                <w:b/>
                <w:sz w:val="24"/>
                <w:szCs w:val="24"/>
                <w:u w:val="single"/>
              </w:rPr>
            </w:pPr>
            <w:r w:rsidRPr="00BE6E4F">
              <w:rPr>
                <w:rFonts w:asciiTheme="minorHAnsi" w:hAnsiTheme="minorHAnsi" w:cstheme="minorHAnsi"/>
                <w:sz w:val="24"/>
                <w:szCs w:val="24"/>
              </w:rPr>
              <w:t>None</w:t>
            </w:r>
          </w:p>
        </w:tc>
      </w:tr>
      <w:tr w:rsidR="00D953AE" w:rsidRPr="00BE6E4F" w14:paraId="7B5258C1" w14:textId="77777777" w:rsidTr="006B3DEA">
        <w:tc>
          <w:tcPr>
            <w:tcW w:w="4814" w:type="dxa"/>
          </w:tcPr>
          <w:p w14:paraId="6D97E655" w14:textId="77777777" w:rsidR="00D953AE" w:rsidRDefault="00D953AE" w:rsidP="006B3DEA">
            <w:pPr>
              <w:pStyle w:val="Header"/>
              <w:ind w:right="-990"/>
              <w:rPr>
                <w:rFonts w:asciiTheme="minorHAnsi" w:hAnsiTheme="minorHAnsi" w:cstheme="minorHAnsi"/>
                <w:b/>
                <w:sz w:val="24"/>
                <w:szCs w:val="24"/>
              </w:rPr>
            </w:pPr>
            <w:r w:rsidRPr="00BE6E4F">
              <w:rPr>
                <w:rFonts w:asciiTheme="minorHAnsi" w:hAnsiTheme="minorHAnsi" w:cstheme="minorHAnsi"/>
                <w:b/>
                <w:sz w:val="24"/>
                <w:szCs w:val="24"/>
              </w:rPr>
              <w:t>ENVIRONMENTAL IMPLICATIONS</w:t>
            </w:r>
          </w:p>
          <w:p w14:paraId="776C3C78" w14:textId="77777777" w:rsidR="00D953AE" w:rsidRPr="00BE6E4F" w:rsidRDefault="00D953AE" w:rsidP="006B3DEA">
            <w:pPr>
              <w:pStyle w:val="Header"/>
              <w:ind w:right="-990"/>
              <w:rPr>
                <w:rFonts w:asciiTheme="minorHAnsi" w:hAnsiTheme="minorHAnsi" w:cstheme="minorHAnsi"/>
                <w:b/>
                <w:sz w:val="24"/>
                <w:szCs w:val="24"/>
                <w:u w:val="single"/>
              </w:rPr>
            </w:pPr>
          </w:p>
        </w:tc>
        <w:tc>
          <w:tcPr>
            <w:tcW w:w="4814" w:type="dxa"/>
          </w:tcPr>
          <w:p w14:paraId="0E58AF86" w14:textId="77777777" w:rsidR="00D953AE" w:rsidRPr="00BE6E4F" w:rsidRDefault="00D953AE" w:rsidP="006B3DEA">
            <w:pPr>
              <w:pStyle w:val="Header"/>
              <w:ind w:right="-990"/>
              <w:rPr>
                <w:rFonts w:asciiTheme="minorHAnsi" w:hAnsiTheme="minorHAnsi" w:cstheme="minorHAnsi"/>
                <w:b/>
                <w:sz w:val="24"/>
                <w:szCs w:val="24"/>
                <w:u w:val="single"/>
              </w:rPr>
            </w:pPr>
            <w:r w:rsidRPr="00BE6E4F">
              <w:rPr>
                <w:rFonts w:asciiTheme="minorHAnsi" w:hAnsiTheme="minorHAnsi" w:cstheme="minorHAnsi"/>
                <w:sz w:val="24"/>
                <w:szCs w:val="24"/>
              </w:rPr>
              <w:t>None</w:t>
            </w:r>
          </w:p>
        </w:tc>
      </w:tr>
      <w:tr w:rsidR="00D953AE" w:rsidRPr="00BE6E4F" w14:paraId="32AFBA7B" w14:textId="77777777" w:rsidTr="006B3DEA">
        <w:tc>
          <w:tcPr>
            <w:tcW w:w="4814" w:type="dxa"/>
          </w:tcPr>
          <w:p w14:paraId="2123E358" w14:textId="77777777" w:rsidR="00D953AE" w:rsidRPr="00BE6E4F" w:rsidRDefault="00D953AE" w:rsidP="006B3DEA">
            <w:pPr>
              <w:pStyle w:val="Header"/>
              <w:ind w:right="-990"/>
              <w:rPr>
                <w:rFonts w:asciiTheme="minorHAnsi" w:hAnsiTheme="minorHAnsi" w:cstheme="minorHAnsi"/>
                <w:b/>
                <w:sz w:val="24"/>
                <w:szCs w:val="24"/>
                <w:u w:val="single"/>
              </w:rPr>
            </w:pPr>
            <w:r w:rsidRPr="00BE6E4F">
              <w:rPr>
                <w:rFonts w:asciiTheme="minorHAnsi" w:hAnsiTheme="minorHAnsi" w:cstheme="minorHAnsi"/>
                <w:b/>
                <w:sz w:val="24"/>
                <w:szCs w:val="24"/>
              </w:rPr>
              <w:t>RISK MANAGEMENT IMPLICATIONS</w:t>
            </w:r>
          </w:p>
        </w:tc>
        <w:tc>
          <w:tcPr>
            <w:tcW w:w="4814" w:type="dxa"/>
          </w:tcPr>
          <w:p w14:paraId="78D56AED" w14:textId="77777777" w:rsidR="00D953AE" w:rsidRDefault="00D953AE" w:rsidP="006B3DEA">
            <w:pPr>
              <w:spacing w:after="0" w:line="240" w:lineRule="auto"/>
              <w:jc w:val="both"/>
              <w:rPr>
                <w:rFonts w:asciiTheme="minorHAnsi" w:hAnsiTheme="minorHAnsi" w:cstheme="minorHAnsi"/>
                <w:sz w:val="24"/>
                <w:szCs w:val="24"/>
              </w:rPr>
            </w:pPr>
            <w:r w:rsidRPr="00BE6E4F">
              <w:rPr>
                <w:rFonts w:asciiTheme="minorHAnsi" w:hAnsiTheme="minorHAnsi" w:cstheme="minorHAnsi"/>
                <w:sz w:val="24"/>
                <w:szCs w:val="24"/>
              </w:rPr>
              <w:t>Risks and mitigations have been highlighted in the report.</w:t>
            </w:r>
          </w:p>
          <w:p w14:paraId="2E73FCA3" w14:textId="77777777" w:rsidR="00D953AE" w:rsidRPr="00BE6E4F" w:rsidRDefault="00D953AE" w:rsidP="006B3DEA">
            <w:pPr>
              <w:spacing w:after="0" w:line="240" w:lineRule="auto"/>
              <w:jc w:val="both"/>
              <w:rPr>
                <w:rFonts w:asciiTheme="minorHAnsi" w:hAnsiTheme="minorHAnsi" w:cstheme="minorHAnsi"/>
                <w:b/>
                <w:sz w:val="24"/>
                <w:szCs w:val="24"/>
                <w:u w:val="single"/>
              </w:rPr>
            </w:pPr>
          </w:p>
        </w:tc>
      </w:tr>
      <w:tr w:rsidR="00D953AE" w:rsidRPr="00BE6E4F" w14:paraId="7A764E18" w14:textId="77777777" w:rsidTr="006B3DEA">
        <w:tc>
          <w:tcPr>
            <w:tcW w:w="4814" w:type="dxa"/>
          </w:tcPr>
          <w:p w14:paraId="1A91BC2E" w14:textId="77777777" w:rsidR="00D953AE" w:rsidRPr="00BE6E4F" w:rsidRDefault="00D953AE" w:rsidP="006B3DEA">
            <w:pPr>
              <w:pStyle w:val="Header"/>
              <w:ind w:right="-990"/>
              <w:jc w:val="both"/>
              <w:rPr>
                <w:rFonts w:asciiTheme="minorHAnsi" w:hAnsiTheme="minorHAnsi" w:cstheme="minorHAnsi"/>
                <w:b/>
                <w:sz w:val="24"/>
                <w:szCs w:val="24"/>
              </w:rPr>
            </w:pPr>
            <w:r w:rsidRPr="00BE6E4F">
              <w:rPr>
                <w:rFonts w:asciiTheme="minorHAnsi" w:hAnsiTheme="minorHAnsi" w:cstheme="minorHAnsi"/>
                <w:b/>
                <w:sz w:val="24"/>
                <w:szCs w:val="24"/>
              </w:rPr>
              <w:t>LEGAL IMPLICATIONS</w:t>
            </w:r>
          </w:p>
          <w:p w14:paraId="63ECECBA" w14:textId="77777777" w:rsidR="00D953AE" w:rsidRPr="00BE6E4F" w:rsidRDefault="00D953AE" w:rsidP="006B3DEA">
            <w:pPr>
              <w:pStyle w:val="Header"/>
              <w:ind w:right="-990"/>
              <w:rPr>
                <w:rFonts w:asciiTheme="minorHAnsi" w:hAnsiTheme="minorHAnsi" w:cstheme="minorHAnsi"/>
                <w:b/>
                <w:sz w:val="24"/>
                <w:szCs w:val="24"/>
                <w:u w:val="single"/>
              </w:rPr>
            </w:pPr>
          </w:p>
        </w:tc>
        <w:tc>
          <w:tcPr>
            <w:tcW w:w="4814" w:type="dxa"/>
          </w:tcPr>
          <w:p w14:paraId="1342885F" w14:textId="79392BC1" w:rsidR="00D953AE" w:rsidRPr="00BE6E4F" w:rsidRDefault="00D953AE" w:rsidP="006B3DEA">
            <w:pPr>
              <w:spacing w:after="0" w:line="240" w:lineRule="auto"/>
              <w:jc w:val="both"/>
              <w:rPr>
                <w:rFonts w:asciiTheme="minorHAnsi" w:hAnsiTheme="minorHAnsi" w:cstheme="minorHAnsi"/>
                <w:b/>
                <w:sz w:val="24"/>
                <w:szCs w:val="24"/>
                <w:u w:val="single"/>
              </w:rPr>
            </w:pPr>
            <w:r w:rsidRPr="00BE6E4F">
              <w:rPr>
                <w:rFonts w:asciiTheme="minorHAnsi" w:hAnsiTheme="minorHAnsi" w:cstheme="minorHAnsi"/>
                <w:sz w:val="24"/>
                <w:szCs w:val="24"/>
              </w:rPr>
              <w:t>The PFCC is required to notify a precept to the billing authorities by the 1</w:t>
            </w:r>
            <w:r w:rsidRPr="00BE6E4F">
              <w:rPr>
                <w:rFonts w:asciiTheme="minorHAnsi" w:hAnsiTheme="minorHAnsi" w:cstheme="minorHAnsi"/>
                <w:sz w:val="24"/>
                <w:szCs w:val="24"/>
                <w:vertAlign w:val="superscript"/>
              </w:rPr>
              <w:t>st</w:t>
            </w:r>
            <w:r w:rsidR="00E73A1C">
              <w:rPr>
                <w:rFonts w:asciiTheme="minorHAnsi" w:hAnsiTheme="minorHAnsi" w:cstheme="minorHAnsi"/>
                <w:sz w:val="24"/>
                <w:szCs w:val="24"/>
              </w:rPr>
              <w:t xml:space="preserve"> M</w:t>
            </w:r>
            <w:r w:rsidRPr="00BE6E4F">
              <w:rPr>
                <w:rFonts w:asciiTheme="minorHAnsi" w:hAnsiTheme="minorHAnsi" w:cstheme="minorHAnsi"/>
                <w:sz w:val="24"/>
                <w:szCs w:val="24"/>
              </w:rPr>
              <w:t>arch each year.  In doing so, he must set a realistic revenue budget, informed by the report of the Chief Finance Officer</w:t>
            </w:r>
          </w:p>
        </w:tc>
      </w:tr>
    </w:tbl>
    <w:p w14:paraId="279EE7A8" w14:textId="77777777" w:rsidR="00D953AE" w:rsidRPr="00BE6E4F" w:rsidRDefault="00D953AE" w:rsidP="00D953AE">
      <w:pPr>
        <w:pStyle w:val="Header"/>
        <w:ind w:right="-990"/>
        <w:rPr>
          <w:rFonts w:asciiTheme="minorHAnsi" w:hAnsiTheme="minorHAnsi" w:cstheme="minorHAnsi"/>
          <w:b/>
          <w:sz w:val="24"/>
          <w:szCs w:val="24"/>
          <w:u w:val="single"/>
        </w:rPr>
      </w:pPr>
    </w:p>
    <w:p w14:paraId="1629D21B" w14:textId="77777777" w:rsidR="00D953AE" w:rsidRPr="00BE6E4F" w:rsidRDefault="00D953AE" w:rsidP="00D953AE">
      <w:pPr>
        <w:pStyle w:val="Header"/>
        <w:ind w:right="-990"/>
        <w:rPr>
          <w:rFonts w:asciiTheme="minorHAnsi" w:hAnsiTheme="minorHAnsi" w:cstheme="minorHAnsi"/>
          <w:b/>
          <w:sz w:val="24"/>
          <w:szCs w:val="24"/>
          <w:u w:val="single"/>
        </w:rPr>
      </w:pPr>
      <w:r w:rsidRPr="00BE6E4F">
        <w:rPr>
          <w:rFonts w:asciiTheme="minorHAnsi" w:hAnsiTheme="minorHAnsi" w:cstheme="minorHAnsi"/>
          <w:b/>
          <w:sz w:val="24"/>
          <w:szCs w:val="24"/>
          <w:u w:val="single"/>
        </w:rPr>
        <w:t>List of Appendices</w:t>
      </w:r>
    </w:p>
    <w:p w14:paraId="5D6E0084" w14:textId="77777777" w:rsidR="00D953AE" w:rsidRPr="00BE6E4F" w:rsidRDefault="00D953AE" w:rsidP="00D953AE">
      <w:pPr>
        <w:pStyle w:val="Header"/>
        <w:ind w:right="-990"/>
        <w:rPr>
          <w:rFonts w:asciiTheme="minorHAnsi" w:hAnsiTheme="minorHAnsi" w:cstheme="minorHAnsi"/>
          <w:sz w:val="24"/>
          <w:szCs w:val="24"/>
        </w:rPr>
      </w:pPr>
    </w:p>
    <w:p w14:paraId="6016B652" w14:textId="77777777" w:rsidR="00D953AE" w:rsidRPr="00BE6E4F" w:rsidRDefault="00D953AE" w:rsidP="00D953AE">
      <w:pPr>
        <w:pStyle w:val="Header"/>
        <w:ind w:right="-990"/>
        <w:rPr>
          <w:rFonts w:asciiTheme="minorHAnsi" w:hAnsiTheme="minorHAnsi" w:cstheme="minorHAnsi"/>
          <w:sz w:val="24"/>
          <w:szCs w:val="24"/>
        </w:rPr>
      </w:pPr>
      <w:r w:rsidRPr="00BE6E4F">
        <w:rPr>
          <w:rFonts w:asciiTheme="minorHAnsi" w:hAnsiTheme="minorHAnsi" w:cstheme="minorHAnsi"/>
          <w:sz w:val="24"/>
          <w:szCs w:val="24"/>
        </w:rPr>
        <w:t>Appendix A - Consultation on the Precept</w:t>
      </w:r>
    </w:p>
    <w:p w14:paraId="625D56FB" w14:textId="77777777" w:rsidR="00D953AE" w:rsidRPr="00BE6E4F" w:rsidRDefault="00D953AE" w:rsidP="00D953AE">
      <w:pPr>
        <w:pStyle w:val="Header"/>
        <w:ind w:right="-990"/>
        <w:rPr>
          <w:rFonts w:asciiTheme="minorHAnsi" w:hAnsiTheme="minorHAnsi" w:cstheme="minorHAnsi"/>
          <w:sz w:val="24"/>
          <w:szCs w:val="24"/>
        </w:rPr>
      </w:pPr>
      <w:r w:rsidRPr="00BE6E4F">
        <w:rPr>
          <w:rFonts w:asciiTheme="minorHAnsi" w:hAnsiTheme="minorHAnsi" w:cstheme="minorHAnsi"/>
          <w:sz w:val="24"/>
          <w:szCs w:val="24"/>
        </w:rPr>
        <w:t>Appendix B - Medium Term Financial Plan</w:t>
      </w:r>
    </w:p>
    <w:p w14:paraId="31DECA4E" w14:textId="77777777" w:rsidR="00D953AE" w:rsidRPr="00BE6E4F" w:rsidRDefault="00D953AE" w:rsidP="00D953AE">
      <w:pPr>
        <w:pStyle w:val="Header"/>
        <w:ind w:right="-990"/>
        <w:rPr>
          <w:rFonts w:asciiTheme="minorHAnsi" w:hAnsiTheme="minorHAnsi" w:cstheme="minorHAnsi"/>
          <w:sz w:val="24"/>
          <w:szCs w:val="24"/>
        </w:rPr>
      </w:pPr>
      <w:r w:rsidRPr="00BE6E4F">
        <w:rPr>
          <w:rFonts w:asciiTheme="minorHAnsi" w:hAnsiTheme="minorHAnsi" w:cstheme="minorHAnsi"/>
          <w:sz w:val="24"/>
          <w:szCs w:val="24"/>
        </w:rPr>
        <w:t>Appendix C - Section 25 Report of the Section 151 Chief Finance Officer</w:t>
      </w:r>
    </w:p>
    <w:p w14:paraId="4B03D41F" w14:textId="77777777" w:rsidR="00D953AE" w:rsidRPr="00BE6E4F" w:rsidRDefault="00D953AE" w:rsidP="00D953AE">
      <w:pPr>
        <w:pStyle w:val="Header"/>
        <w:ind w:right="-990"/>
        <w:rPr>
          <w:rFonts w:asciiTheme="minorHAnsi" w:hAnsiTheme="minorHAnsi" w:cstheme="minorHAnsi"/>
          <w:sz w:val="24"/>
          <w:szCs w:val="24"/>
        </w:rPr>
      </w:pPr>
      <w:r w:rsidRPr="00BE6E4F">
        <w:rPr>
          <w:rFonts w:asciiTheme="minorHAnsi" w:hAnsiTheme="minorHAnsi" w:cstheme="minorHAnsi"/>
          <w:sz w:val="24"/>
          <w:szCs w:val="24"/>
        </w:rPr>
        <w:t>Appendix D - Reserves Strategy</w:t>
      </w:r>
    </w:p>
    <w:p w14:paraId="27C698A7" w14:textId="77777777" w:rsidR="00375414" w:rsidRPr="00095FC7" w:rsidRDefault="00375414" w:rsidP="00AA06A9">
      <w:pPr>
        <w:pStyle w:val="Header"/>
        <w:ind w:right="-990"/>
        <w:rPr>
          <w:rFonts w:asciiTheme="minorHAnsi" w:hAnsiTheme="minorHAnsi" w:cs="Arial"/>
          <w:b/>
          <w:sz w:val="24"/>
          <w:szCs w:val="24"/>
          <w:highlight w:val="yellow"/>
          <w:u w:val="single"/>
        </w:rPr>
      </w:pPr>
    </w:p>
    <w:p w14:paraId="3664FB18" w14:textId="77777777" w:rsidR="00D953AE" w:rsidRPr="00BE6E4F" w:rsidRDefault="00D953AE" w:rsidP="00D953AE">
      <w:pPr>
        <w:pStyle w:val="Header"/>
        <w:ind w:right="-990"/>
        <w:rPr>
          <w:rFonts w:asciiTheme="minorHAnsi" w:hAnsiTheme="minorHAnsi" w:cstheme="minorHAnsi"/>
          <w:sz w:val="24"/>
          <w:szCs w:val="24"/>
        </w:rPr>
      </w:pPr>
      <w:r w:rsidRPr="00BE6E4F">
        <w:rPr>
          <w:rFonts w:asciiTheme="minorHAnsi" w:hAnsiTheme="minorHAnsi" w:cstheme="minorHAnsi"/>
          <w:b/>
          <w:sz w:val="24"/>
          <w:szCs w:val="24"/>
          <w:u w:val="single"/>
        </w:rPr>
        <w:t>Persons to Contact</w:t>
      </w:r>
    </w:p>
    <w:p w14:paraId="5B019797" w14:textId="77777777" w:rsidR="00D953AE" w:rsidRPr="00BE6E4F" w:rsidRDefault="00D953AE" w:rsidP="00D953AE">
      <w:pPr>
        <w:pStyle w:val="Header"/>
        <w:ind w:right="-990"/>
        <w:rPr>
          <w:rFonts w:asciiTheme="minorHAnsi" w:hAnsiTheme="minorHAnsi" w:cstheme="minorHAnsi"/>
          <w:sz w:val="24"/>
          <w:szCs w:val="24"/>
        </w:rPr>
      </w:pPr>
      <w:r>
        <w:rPr>
          <w:rFonts w:asciiTheme="minorHAnsi" w:hAnsiTheme="minorHAnsi" w:cstheme="minorHAnsi"/>
          <w:sz w:val="24"/>
          <w:szCs w:val="24"/>
        </w:rPr>
        <w:t>Mr V Ashcroft</w:t>
      </w:r>
      <w:r w:rsidRPr="00BE6E4F">
        <w:rPr>
          <w:rFonts w:asciiTheme="minorHAnsi" w:hAnsiTheme="minorHAnsi" w:cstheme="minorHAnsi"/>
          <w:sz w:val="24"/>
          <w:szCs w:val="24"/>
        </w:rPr>
        <w:t xml:space="preserve">, Chief Finance Officer, </w:t>
      </w:r>
    </w:p>
    <w:p w14:paraId="7020CB37" w14:textId="77777777" w:rsidR="00D953AE" w:rsidRPr="00D953AE" w:rsidRDefault="00D953AE" w:rsidP="00D953AE">
      <w:pPr>
        <w:pStyle w:val="Header"/>
        <w:ind w:right="-990"/>
        <w:rPr>
          <w:rFonts w:asciiTheme="minorHAnsi" w:hAnsiTheme="minorHAnsi" w:cstheme="minorHAnsi"/>
          <w:b/>
          <w:bCs/>
          <w:sz w:val="24"/>
          <w:szCs w:val="24"/>
        </w:rPr>
      </w:pPr>
      <w:r w:rsidRPr="00D953AE">
        <w:rPr>
          <w:rFonts w:asciiTheme="minorHAnsi" w:hAnsiTheme="minorHAnsi" w:cstheme="minorHAnsi"/>
          <w:b/>
          <w:bCs/>
          <w:sz w:val="24"/>
          <w:szCs w:val="24"/>
        </w:rPr>
        <w:t>Office of the Police, Fire and Crime Commissioner</w:t>
      </w:r>
    </w:p>
    <w:p w14:paraId="22F056AC" w14:textId="58D4A091" w:rsidR="00840A03" w:rsidRPr="00D953AE" w:rsidRDefault="001B20EF" w:rsidP="00D953AE">
      <w:pPr>
        <w:pStyle w:val="Header"/>
        <w:ind w:right="-990"/>
        <w:rPr>
          <w:rFonts w:asciiTheme="minorHAnsi" w:hAnsiTheme="minorHAnsi" w:cstheme="minorHAnsi"/>
          <w:b/>
          <w:bCs/>
          <w:sz w:val="24"/>
          <w:szCs w:val="24"/>
        </w:rPr>
      </w:pPr>
      <w:r w:rsidRPr="00D953AE">
        <w:rPr>
          <w:rFonts w:asciiTheme="minorHAnsi" w:hAnsiTheme="minorHAnsi" w:cstheme="minorHAnsi"/>
          <w:b/>
          <w:bCs/>
          <w:sz w:val="24"/>
          <w:szCs w:val="24"/>
        </w:rPr>
        <w:t xml:space="preserve">Northamptonshire Commissioner Fire and Rescue Authority </w:t>
      </w:r>
    </w:p>
    <w:p w14:paraId="6789DEB6" w14:textId="3520F671" w:rsidR="00D30F18" w:rsidRPr="00D953AE" w:rsidRDefault="00D30F18" w:rsidP="00933FD8">
      <w:pPr>
        <w:pStyle w:val="Header"/>
        <w:ind w:right="-990"/>
        <w:rPr>
          <w:rFonts w:asciiTheme="minorHAnsi" w:hAnsiTheme="minorHAnsi" w:cstheme="minorHAnsi"/>
          <w:sz w:val="24"/>
          <w:szCs w:val="24"/>
        </w:rPr>
      </w:pPr>
      <w:r w:rsidRPr="00D953AE">
        <w:rPr>
          <w:rFonts w:asciiTheme="minorHAnsi" w:hAnsiTheme="minorHAnsi" w:cstheme="minorHAnsi"/>
          <w:sz w:val="24"/>
          <w:szCs w:val="24"/>
        </w:rPr>
        <w:br w:type="page"/>
      </w:r>
    </w:p>
    <w:p w14:paraId="7249A22E" w14:textId="7CD35EE7" w:rsidR="00D30F18" w:rsidRPr="006B03FC" w:rsidRDefault="00D30F18" w:rsidP="00DB1D88">
      <w:pPr>
        <w:pStyle w:val="Header"/>
        <w:ind w:right="-990"/>
        <w:jc w:val="both"/>
        <w:rPr>
          <w:rFonts w:asciiTheme="minorHAnsi" w:hAnsiTheme="minorHAnsi" w:cstheme="minorHAnsi"/>
          <w:b/>
          <w:bCs/>
          <w:sz w:val="24"/>
          <w:szCs w:val="24"/>
        </w:rPr>
      </w:pPr>
      <w:bookmarkStart w:id="11" w:name="_Hlk157013733"/>
      <w:r w:rsidRPr="006B03FC">
        <w:rPr>
          <w:rFonts w:asciiTheme="minorHAnsi" w:hAnsiTheme="minorHAnsi" w:cstheme="minorHAnsi"/>
          <w:b/>
          <w:bCs/>
          <w:sz w:val="24"/>
          <w:szCs w:val="24"/>
        </w:rPr>
        <w:lastRenderedPageBreak/>
        <w:t>Appendix A</w:t>
      </w:r>
    </w:p>
    <w:p w14:paraId="0DDFAC8F" w14:textId="40970624" w:rsidR="00D30F18" w:rsidRPr="006B03FC" w:rsidRDefault="006B03FC" w:rsidP="00DB1D88">
      <w:pPr>
        <w:pStyle w:val="Header"/>
        <w:ind w:right="-990"/>
        <w:jc w:val="both"/>
        <w:rPr>
          <w:rFonts w:asciiTheme="minorHAnsi" w:hAnsiTheme="minorHAnsi" w:cstheme="minorHAnsi"/>
          <w:b/>
          <w:bCs/>
          <w:sz w:val="24"/>
          <w:szCs w:val="24"/>
        </w:rPr>
      </w:pPr>
      <w:r w:rsidRPr="006B03FC">
        <w:rPr>
          <w:rFonts w:asciiTheme="minorHAnsi" w:hAnsiTheme="minorHAnsi" w:cstheme="minorHAnsi"/>
          <w:b/>
          <w:bCs/>
          <w:sz w:val="24"/>
          <w:szCs w:val="24"/>
        </w:rPr>
        <w:t>Survey</w:t>
      </w:r>
      <w:r w:rsidR="00D30F18" w:rsidRPr="006B03FC">
        <w:rPr>
          <w:rFonts w:asciiTheme="minorHAnsi" w:hAnsiTheme="minorHAnsi" w:cstheme="minorHAnsi"/>
          <w:b/>
          <w:bCs/>
          <w:sz w:val="24"/>
          <w:szCs w:val="24"/>
        </w:rPr>
        <w:t xml:space="preserve"> on the Precept</w:t>
      </w:r>
    </w:p>
    <w:p w14:paraId="58A7C297" w14:textId="77777777" w:rsidR="006B03FC" w:rsidRDefault="006B03FC" w:rsidP="006B03FC">
      <w:pPr>
        <w:pStyle w:val="Header"/>
        <w:ind w:right="-990"/>
        <w:rPr>
          <w:rFonts w:cs="Calibri"/>
          <w:b/>
          <w:bCs/>
          <w:sz w:val="24"/>
          <w:szCs w:val="24"/>
        </w:rPr>
      </w:pPr>
    </w:p>
    <w:p w14:paraId="2B98B90B" w14:textId="36E0F8E4" w:rsidR="006B03FC" w:rsidRPr="006B03FC" w:rsidRDefault="006B03FC" w:rsidP="006B03FC">
      <w:pPr>
        <w:pStyle w:val="Header"/>
        <w:ind w:right="-990"/>
        <w:rPr>
          <w:rFonts w:cs="Calibri"/>
          <w:b/>
          <w:bCs/>
          <w:sz w:val="24"/>
          <w:szCs w:val="24"/>
        </w:rPr>
      </w:pPr>
      <w:r w:rsidRPr="006B03FC">
        <w:rPr>
          <w:rFonts w:cs="Calibri"/>
          <w:b/>
          <w:bCs/>
          <w:sz w:val="24"/>
          <w:szCs w:val="24"/>
        </w:rPr>
        <w:t>Context</w:t>
      </w:r>
    </w:p>
    <w:p w14:paraId="1CFFA062" w14:textId="77777777" w:rsidR="006B03FC" w:rsidRPr="006B03FC" w:rsidRDefault="006B03FC" w:rsidP="006B03FC">
      <w:pPr>
        <w:spacing w:after="0" w:line="240" w:lineRule="auto"/>
        <w:jc w:val="both"/>
        <w:rPr>
          <w:rFonts w:cs="Calibri"/>
          <w:sz w:val="24"/>
          <w:szCs w:val="24"/>
        </w:rPr>
      </w:pPr>
    </w:p>
    <w:bookmarkEnd w:id="11"/>
    <w:p w14:paraId="439D20E0" w14:textId="77777777" w:rsidR="007868AD" w:rsidRPr="006B03FC" w:rsidRDefault="007868AD" w:rsidP="007868AD">
      <w:pPr>
        <w:spacing w:after="0" w:line="240" w:lineRule="auto"/>
        <w:jc w:val="both"/>
        <w:rPr>
          <w:rFonts w:cs="Calibri"/>
          <w:sz w:val="24"/>
          <w:szCs w:val="24"/>
        </w:rPr>
      </w:pPr>
      <w:r w:rsidRPr="006B03FC">
        <w:rPr>
          <w:rFonts w:cs="Calibri"/>
          <w:sz w:val="24"/>
          <w:szCs w:val="24"/>
        </w:rPr>
        <w:t>Embarking on the 2024/25 precept survey at the end of 2023</w:t>
      </w:r>
      <w:r>
        <w:rPr>
          <w:rFonts w:cs="Calibri"/>
          <w:sz w:val="24"/>
          <w:szCs w:val="24"/>
        </w:rPr>
        <w:t>,</w:t>
      </w:r>
      <w:r w:rsidRPr="006B03FC">
        <w:rPr>
          <w:rFonts w:cs="Calibri"/>
          <w:sz w:val="24"/>
          <w:szCs w:val="24"/>
        </w:rPr>
        <w:t xml:space="preserve"> at a time when increased financial challenges are being faced by people across the country, has required a significant amount of input from a communications perspective.</w:t>
      </w:r>
    </w:p>
    <w:p w14:paraId="7E031853" w14:textId="77777777" w:rsidR="007868AD" w:rsidRPr="006B03FC" w:rsidRDefault="007868AD" w:rsidP="007868AD">
      <w:pPr>
        <w:spacing w:after="0" w:line="240" w:lineRule="auto"/>
        <w:jc w:val="both"/>
        <w:rPr>
          <w:rFonts w:cs="Calibri"/>
          <w:sz w:val="24"/>
          <w:szCs w:val="24"/>
        </w:rPr>
      </w:pPr>
    </w:p>
    <w:p w14:paraId="57C91805" w14:textId="77777777" w:rsidR="007868AD" w:rsidRPr="006B03FC" w:rsidRDefault="007868AD" w:rsidP="007868AD">
      <w:pPr>
        <w:spacing w:line="240" w:lineRule="auto"/>
        <w:jc w:val="both"/>
        <w:rPr>
          <w:rFonts w:cs="Calibri"/>
          <w:sz w:val="24"/>
          <w:szCs w:val="24"/>
        </w:rPr>
      </w:pPr>
      <w:r w:rsidRPr="006B03FC">
        <w:rPr>
          <w:rFonts w:cs="Calibri"/>
          <w:sz w:val="24"/>
          <w:szCs w:val="24"/>
        </w:rPr>
        <w:t>An online survey launched on 5</w:t>
      </w:r>
      <w:r w:rsidRPr="006B03FC">
        <w:rPr>
          <w:rFonts w:cs="Calibri"/>
          <w:sz w:val="24"/>
          <w:szCs w:val="24"/>
          <w:vertAlign w:val="superscript"/>
        </w:rPr>
        <w:t>th</w:t>
      </w:r>
      <w:r w:rsidRPr="006B03FC">
        <w:rPr>
          <w:rFonts w:cs="Calibri"/>
          <w:sz w:val="24"/>
          <w:szCs w:val="24"/>
        </w:rPr>
        <w:t xml:space="preserve"> December</w:t>
      </w:r>
      <w:r>
        <w:rPr>
          <w:rFonts w:cs="Calibri"/>
          <w:sz w:val="24"/>
          <w:szCs w:val="24"/>
        </w:rPr>
        <w:t xml:space="preserve"> 2023</w:t>
      </w:r>
      <w:r w:rsidRPr="006B03FC">
        <w:rPr>
          <w:rFonts w:cs="Calibri"/>
          <w:sz w:val="24"/>
          <w:szCs w:val="24"/>
        </w:rPr>
        <w:t xml:space="preserve"> asking questions relating to the precept and to understand confidence in policing and fire and rescue services within Northamptonshire. </w:t>
      </w:r>
      <w:r>
        <w:rPr>
          <w:rFonts w:cs="Calibri"/>
          <w:sz w:val="24"/>
          <w:szCs w:val="24"/>
        </w:rPr>
        <w:t xml:space="preserve"> </w:t>
      </w:r>
      <w:r w:rsidRPr="006B03FC">
        <w:rPr>
          <w:rFonts w:cs="Calibri"/>
          <w:sz w:val="24"/>
          <w:szCs w:val="24"/>
        </w:rPr>
        <w:t>It was communicated widely to stakeholders across the county with a request to share, to ensure a demographically representative group of the county’s population was reached.</w:t>
      </w:r>
    </w:p>
    <w:p w14:paraId="58AB58FF" w14:textId="77777777" w:rsidR="007868AD" w:rsidRPr="006B03FC" w:rsidRDefault="007868AD" w:rsidP="007868AD">
      <w:pPr>
        <w:spacing w:after="0" w:line="240" w:lineRule="auto"/>
        <w:jc w:val="both"/>
        <w:rPr>
          <w:rFonts w:cs="Calibri"/>
          <w:sz w:val="24"/>
          <w:szCs w:val="24"/>
        </w:rPr>
      </w:pPr>
      <w:r w:rsidRPr="006B03FC">
        <w:rPr>
          <w:rFonts w:cs="Calibri"/>
          <w:sz w:val="24"/>
          <w:szCs w:val="24"/>
        </w:rPr>
        <w:t xml:space="preserve">Due to the statutory timeframes, there was no option but to run the survey over the Christmas period. </w:t>
      </w:r>
      <w:r>
        <w:rPr>
          <w:rFonts w:cs="Calibri"/>
          <w:sz w:val="24"/>
          <w:szCs w:val="24"/>
        </w:rPr>
        <w:t xml:space="preserve"> </w:t>
      </w:r>
      <w:r w:rsidRPr="006B03FC">
        <w:rPr>
          <w:rFonts w:cs="Calibri"/>
          <w:sz w:val="24"/>
          <w:szCs w:val="24"/>
        </w:rPr>
        <w:t>We wanted to ensure that the pubic had sufficient time and numerous opportunities to see and complete the survey, so a decision was taken to launch the campaign prior to the Government releasing their financial settlement and proposed council tax levels.</w:t>
      </w:r>
    </w:p>
    <w:p w14:paraId="40821F08" w14:textId="77777777" w:rsidR="007868AD" w:rsidRPr="006B03FC" w:rsidRDefault="007868AD" w:rsidP="007868AD">
      <w:pPr>
        <w:spacing w:after="0" w:line="240" w:lineRule="auto"/>
        <w:jc w:val="both"/>
        <w:rPr>
          <w:rFonts w:cs="Calibri"/>
          <w:sz w:val="24"/>
          <w:szCs w:val="24"/>
        </w:rPr>
      </w:pPr>
    </w:p>
    <w:p w14:paraId="5AED3B10" w14:textId="77777777" w:rsidR="007868AD" w:rsidRPr="006B03FC" w:rsidRDefault="007868AD" w:rsidP="007868AD">
      <w:pPr>
        <w:spacing w:line="240" w:lineRule="auto"/>
        <w:jc w:val="both"/>
        <w:rPr>
          <w:rFonts w:cs="Calibri"/>
          <w:sz w:val="24"/>
          <w:szCs w:val="24"/>
        </w:rPr>
      </w:pPr>
      <w:r w:rsidRPr="006B03FC">
        <w:rPr>
          <w:rFonts w:cs="Calibri"/>
          <w:sz w:val="24"/>
          <w:szCs w:val="24"/>
        </w:rPr>
        <w:t>The survey was open for eight days longer than last year, closing on 16</w:t>
      </w:r>
      <w:r w:rsidRPr="006B03FC">
        <w:rPr>
          <w:rFonts w:cs="Calibri"/>
          <w:sz w:val="24"/>
          <w:szCs w:val="24"/>
          <w:vertAlign w:val="superscript"/>
        </w:rPr>
        <w:t>th</w:t>
      </w:r>
      <w:r w:rsidRPr="006B03FC">
        <w:rPr>
          <w:rFonts w:cs="Calibri"/>
          <w:sz w:val="24"/>
          <w:szCs w:val="24"/>
        </w:rPr>
        <w:t xml:space="preserve"> January</w:t>
      </w:r>
      <w:r>
        <w:rPr>
          <w:rFonts w:cs="Calibri"/>
          <w:sz w:val="24"/>
          <w:szCs w:val="24"/>
        </w:rPr>
        <w:t xml:space="preserve"> 2024</w:t>
      </w:r>
      <w:r w:rsidRPr="006B03FC">
        <w:rPr>
          <w:rFonts w:cs="Calibri"/>
          <w:sz w:val="24"/>
          <w:szCs w:val="24"/>
        </w:rPr>
        <w:t xml:space="preserve">. </w:t>
      </w:r>
      <w:r>
        <w:rPr>
          <w:rFonts w:cs="Calibri"/>
          <w:sz w:val="24"/>
          <w:szCs w:val="24"/>
        </w:rPr>
        <w:t xml:space="preserve"> </w:t>
      </w:r>
      <w:r w:rsidRPr="006B03FC">
        <w:rPr>
          <w:rFonts w:cs="Calibri"/>
          <w:sz w:val="24"/>
          <w:szCs w:val="24"/>
        </w:rPr>
        <w:t xml:space="preserve">It received a total of 1,997 responses, which is an increase of 15% from the 2022/2023 survey and more completions than ever before. </w:t>
      </w:r>
      <w:r>
        <w:rPr>
          <w:rFonts w:cs="Calibri"/>
          <w:sz w:val="24"/>
          <w:szCs w:val="24"/>
        </w:rPr>
        <w:t xml:space="preserve"> </w:t>
      </w:r>
      <w:r w:rsidRPr="006B03FC">
        <w:rPr>
          <w:rFonts w:cs="Calibri"/>
          <w:sz w:val="24"/>
          <w:szCs w:val="24"/>
        </w:rPr>
        <w:t>We benchmarked our survey with other PCC/PFCCs and found that completion rates were broadly falling, and public engagement was a communication challenge experienced right across the country.</w:t>
      </w:r>
    </w:p>
    <w:p w14:paraId="59FFC7C0" w14:textId="77777777" w:rsidR="007868AD" w:rsidRPr="006B03FC" w:rsidRDefault="007868AD" w:rsidP="007868AD">
      <w:pPr>
        <w:spacing w:line="240" w:lineRule="auto"/>
        <w:jc w:val="both"/>
        <w:rPr>
          <w:rFonts w:cs="Calibri"/>
          <w:sz w:val="24"/>
          <w:szCs w:val="24"/>
        </w:rPr>
      </w:pPr>
      <w:r w:rsidRPr="006B03FC">
        <w:rPr>
          <w:rFonts w:cs="Calibri"/>
          <w:sz w:val="24"/>
          <w:szCs w:val="24"/>
        </w:rPr>
        <w:t>To help encourage engagement, it was imperative to have a strong narrative and rationale to explain the difficult decision the PFCC must make in asking for additional funds to continue with the investments being made in both Police and Fire and ensure that the priorities of both services can be delivered.</w:t>
      </w:r>
    </w:p>
    <w:p w14:paraId="449F0304" w14:textId="77777777" w:rsidR="007868AD" w:rsidRPr="006B03FC" w:rsidRDefault="007868AD" w:rsidP="007868AD">
      <w:pPr>
        <w:spacing w:after="160" w:line="240" w:lineRule="auto"/>
        <w:rPr>
          <w:rFonts w:cs="Calibri"/>
          <w:b/>
          <w:bCs/>
          <w:sz w:val="24"/>
          <w:szCs w:val="24"/>
        </w:rPr>
      </w:pPr>
      <w:r w:rsidRPr="006B03FC">
        <w:rPr>
          <w:rFonts w:cs="Calibri"/>
          <w:b/>
          <w:sz w:val="24"/>
          <w:szCs w:val="24"/>
        </w:rPr>
        <w:t xml:space="preserve">Communications </w:t>
      </w:r>
      <w:r>
        <w:rPr>
          <w:rFonts w:cs="Calibri"/>
          <w:b/>
          <w:sz w:val="24"/>
          <w:szCs w:val="24"/>
        </w:rPr>
        <w:t>A</w:t>
      </w:r>
      <w:r w:rsidRPr="006B03FC">
        <w:rPr>
          <w:rFonts w:cs="Calibri"/>
          <w:b/>
          <w:sz w:val="24"/>
          <w:szCs w:val="24"/>
        </w:rPr>
        <w:t>ctivity</w:t>
      </w:r>
    </w:p>
    <w:p w14:paraId="23438A5F" w14:textId="77777777" w:rsidR="007868AD" w:rsidRPr="006B03FC" w:rsidRDefault="007868AD" w:rsidP="007868AD">
      <w:pPr>
        <w:spacing w:line="240" w:lineRule="auto"/>
        <w:rPr>
          <w:rFonts w:cs="Calibri"/>
          <w:b/>
          <w:sz w:val="24"/>
          <w:szCs w:val="24"/>
        </w:rPr>
      </w:pPr>
      <w:r w:rsidRPr="006B03FC">
        <w:rPr>
          <w:rFonts w:cs="Calibri"/>
          <w:sz w:val="24"/>
          <w:szCs w:val="24"/>
        </w:rPr>
        <w:t>Five main communications channels were used to raise awareness of the survey, seek public views and encourage people to take part. The</w:t>
      </w:r>
      <w:r>
        <w:rPr>
          <w:rFonts w:cs="Calibri"/>
          <w:sz w:val="24"/>
          <w:szCs w:val="24"/>
        </w:rPr>
        <w:t>s</w:t>
      </w:r>
      <w:r w:rsidRPr="006B03FC">
        <w:rPr>
          <w:rFonts w:cs="Calibri"/>
          <w:sz w:val="24"/>
          <w:szCs w:val="24"/>
        </w:rPr>
        <w:t>e were:</w:t>
      </w:r>
    </w:p>
    <w:p w14:paraId="712010C9" w14:textId="77777777" w:rsidR="007868AD" w:rsidRPr="006B03FC" w:rsidRDefault="007868AD" w:rsidP="007868AD">
      <w:pPr>
        <w:pStyle w:val="ListParagraph"/>
        <w:numPr>
          <w:ilvl w:val="0"/>
          <w:numId w:val="19"/>
        </w:numPr>
        <w:spacing w:after="160" w:line="240" w:lineRule="auto"/>
        <w:jc w:val="both"/>
        <w:rPr>
          <w:rFonts w:cs="Calibri"/>
          <w:b/>
          <w:sz w:val="24"/>
          <w:szCs w:val="24"/>
        </w:rPr>
      </w:pPr>
      <w:r w:rsidRPr="006B03FC">
        <w:rPr>
          <w:rFonts w:cs="Calibri"/>
          <w:sz w:val="24"/>
          <w:szCs w:val="24"/>
        </w:rPr>
        <w:t>Mainstream media</w:t>
      </w:r>
    </w:p>
    <w:p w14:paraId="7630EAA6" w14:textId="77777777" w:rsidR="007868AD" w:rsidRPr="006B03FC" w:rsidRDefault="007868AD" w:rsidP="007868AD">
      <w:pPr>
        <w:pStyle w:val="ListParagraph"/>
        <w:numPr>
          <w:ilvl w:val="0"/>
          <w:numId w:val="19"/>
        </w:numPr>
        <w:spacing w:after="160" w:line="240" w:lineRule="auto"/>
        <w:jc w:val="both"/>
        <w:rPr>
          <w:rFonts w:cs="Calibri"/>
          <w:b/>
          <w:sz w:val="24"/>
          <w:szCs w:val="24"/>
        </w:rPr>
      </w:pPr>
      <w:r w:rsidRPr="006B03FC">
        <w:rPr>
          <w:rFonts w:cs="Calibri"/>
          <w:sz w:val="24"/>
          <w:szCs w:val="24"/>
        </w:rPr>
        <w:t>Partners and stakeholders</w:t>
      </w:r>
    </w:p>
    <w:p w14:paraId="4DA6D76B" w14:textId="77777777" w:rsidR="007868AD" w:rsidRPr="006B03FC" w:rsidRDefault="007868AD" w:rsidP="007868AD">
      <w:pPr>
        <w:pStyle w:val="ListParagraph"/>
        <w:numPr>
          <w:ilvl w:val="0"/>
          <w:numId w:val="19"/>
        </w:numPr>
        <w:spacing w:after="160" w:line="240" w:lineRule="auto"/>
        <w:jc w:val="both"/>
        <w:rPr>
          <w:rFonts w:cs="Calibri"/>
          <w:b/>
          <w:sz w:val="24"/>
          <w:szCs w:val="24"/>
        </w:rPr>
      </w:pPr>
      <w:r w:rsidRPr="006B03FC">
        <w:rPr>
          <w:rFonts w:cs="Calibri"/>
          <w:sz w:val="24"/>
          <w:szCs w:val="24"/>
        </w:rPr>
        <w:t>Digital and social</w:t>
      </w:r>
    </w:p>
    <w:p w14:paraId="14A2FA1E" w14:textId="77777777" w:rsidR="007868AD" w:rsidRPr="006B03FC" w:rsidRDefault="007868AD" w:rsidP="007868AD">
      <w:pPr>
        <w:pStyle w:val="ListParagraph"/>
        <w:numPr>
          <w:ilvl w:val="0"/>
          <w:numId w:val="19"/>
        </w:numPr>
        <w:spacing w:after="160" w:line="240" w:lineRule="auto"/>
        <w:jc w:val="both"/>
        <w:rPr>
          <w:rFonts w:cs="Calibri"/>
          <w:b/>
          <w:sz w:val="24"/>
          <w:szCs w:val="24"/>
        </w:rPr>
      </w:pPr>
      <w:r w:rsidRPr="006B03FC">
        <w:rPr>
          <w:rFonts w:cs="Calibri"/>
          <w:sz w:val="24"/>
          <w:szCs w:val="24"/>
        </w:rPr>
        <w:t>Paid</w:t>
      </w:r>
      <w:r>
        <w:rPr>
          <w:rFonts w:cs="Calibri"/>
          <w:sz w:val="24"/>
          <w:szCs w:val="24"/>
        </w:rPr>
        <w:t>-</w:t>
      </w:r>
      <w:r w:rsidRPr="006B03FC">
        <w:rPr>
          <w:rFonts w:cs="Calibri"/>
          <w:sz w:val="24"/>
          <w:szCs w:val="24"/>
        </w:rPr>
        <w:t>for social media advertising</w:t>
      </w:r>
    </w:p>
    <w:p w14:paraId="4B6206FF" w14:textId="77777777" w:rsidR="007868AD" w:rsidRPr="006B03FC" w:rsidRDefault="007868AD" w:rsidP="007868AD">
      <w:pPr>
        <w:pStyle w:val="ListParagraph"/>
        <w:numPr>
          <w:ilvl w:val="0"/>
          <w:numId w:val="19"/>
        </w:numPr>
        <w:spacing w:after="160" w:line="240" w:lineRule="auto"/>
        <w:jc w:val="both"/>
        <w:rPr>
          <w:rFonts w:cs="Calibri"/>
          <w:b/>
          <w:sz w:val="24"/>
          <w:szCs w:val="24"/>
        </w:rPr>
      </w:pPr>
      <w:r w:rsidRPr="006B03FC">
        <w:rPr>
          <w:rFonts w:cs="Calibri"/>
          <w:sz w:val="24"/>
          <w:szCs w:val="24"/>
        </w:rPr>
        <w:t>Internal communications for OPFCC, Police and Fire</w:t>
      </w:r>
    </w:p>
    <w:p w14:paraId="0AB34406" w14:textId="77777777" w:rsidR="007868AD" w:rsidRPr="006B03FC" w:rsidRDefault="007868AD" w:rsidP="007868AD">
      <w:pPr>
        <w:spacing w:after="160" w:line="240" w:lineRule="auto"/>
        <w:jc w:val="both"/>
        <w:rPr>
          <w:rFonts w:cs="Calibri"/>
          <w:bCs/>
          <w:sz w:val="24"/>
          <w:szCs w:val="24"/>
        </w:rPr>
      </w:pPr>
      <w:r w:rsidRPr="006B03FC">
        <w:rPr>
          <w:rFonts w:cs="Calibri"/>
          <w:bCs/>
          <w:sz w:val="24"/>
          <w:szCs w:val="24"/>
        </w:rPr>
        <w:t>We contacted our extensive stakeholder database to reach local councillors at all levels, local authority partners, businesses, community and charity groups, various panels and volunteers as well as different policing divisions and police liaison officers.</w:t>
      </w:r>
    </w:p>
    <w:p w14:paraId="1A45566D" w14:textId="77777777" w:rsidR="007868AD" w:rsidRPr="006B03FC" w:rsidRDefault="007868AD" w:rsidP="007868AD">
      <w:pPr>
        <w:spacing w:line="240" w:lineRule="auto"/>
        <w:jc w:val="both"/>
        <w:rPr>
          <w:rFonts w:cs="Calibri"/>
          <w:bCs/>
          <w:sz w:val="24"/>
          <w:szCs w:val="24"/>
        </w:rPr>
      </w:pPr>
      <w:r w:rsidRPr="006B03FC">
        <w:rPr>
          <w:rFonts w:cs="Calibri"/>
          <w:bCs/>
          <w:sz w:val="24"/>
          <w:szCs w:val="24"/>
        </w:rPr>
        <w:lastRenderedPageBreak/>
        <w:t xml:space="preserve">Leaflets outlining the PFCCs priorities were created with a bespoke QR code directing people to the online survey. </w:t>
      </w:r>
      <w:r>
        <w:rPr>
          <w:rFonts w:cs="Calibri"/>
          <w:bCs/>
          <w:sz w:val="24"/>
          <w:szCs w:val="24"/>
        </w:rPr>
        <w:t xml:space="preserve"> </w:t>
      </w:r>
      <w:r w:rsidRPr="006B03FC">
        <w:rPr>
          <w:rFonts w:cs="Calibri"/>
          <w:bCs/>
          <w:sz w:val="24"/>
          <w:szCs w:val="24"/>
        </w:rPr>
        <w:t xml:space="preserve">These were distributed across the county via community engagement teams, colleagues and partners. </w:t>
      </w:r>
      <w:r>
        <w:rPr>
          <w:rFonts w:cs="Calibri"/>
          <w:bCs/>
          <w:sz w:val="24"/>
          <w:szCs w:val="24"/>
        </w:rPr>
        <w:t xml:space="preserve"> </w:t>
      </w:r>
      <w:r w:rsidRPr="006B03FC">
        <w:rPr>
          <w:rFonts w:cs="Calibri"/>
          <w:bCs/>
          <w:sz w:val="24"/>
          <w:szCs w:val="24"/>
        </w:rPr>
        <w:t>We also provided all our public</w:t>
      </w:r>
      <w:r>
        <w:rPr>
          <w:rFonts w:cs="Calibri"/>
          <w:bCs/>
          <w:sz w:val="24"/>
          <w:szCs w:val="24"/>
        </w:rPr>
        <w:t>-</w:t>
      </w:r>
      <w:r w:rsidRPr="006B03FC">
        <w:rPr>
          <w:rFonts w:cs="Calibri"/>
          <w:bCs/>
          <w:sz w:val="24"/>
          <w:szCs w:val="24"/>
        </w:rPr>
        <w:t>facing Police Stations with leaflets so officers could encourage visitors to complete the survey.</w:t>
      </w:r>
    </w:p>
    <w:p w14:paraId="71114892" w14:textId="77777777" w:rsidR="007868AD" w:rsidRPr="006B03FC" w:rsidRDefault="007868AD" w:rsidP="007868AD">
      <w:pPr>
        <w:spacing w:line="240" w:lineRule="auto"/>
        <w:jc w:val="both"/>
        <w:rPr>
          <w:rFonts w:cs="Calibri"/>
          <w:sz w:val="24"/>
          <w:szCs w:val="24"/>
        </w:rPr>
      </w:pPr>
      <w:r w:rsidRPr="006B03FC">
        <w:rPr>
          <w:rFonts w:cs="Calibri"/>
          <w:bCs/>
          <w:sz w:val="24"/>
          <w:szCs w:val="24"/>
        </w:rPr>
        <w:t xml:space="preserve">By monitoring response rates daily, we were able to target further communications to specific areas where completion rates were particularly low. </w:t>
      </w:r>
      <w:r>
        <w:rPr>
          <w:rFonts w:cs="Calibri"/>
          <w:bCs/>
          <w:sz w:val="24"/>
          <w:szCs w:val="24"/>
        </w:rPr>
        <w:t xml:space="preserve"> </w:t>
      </w:r>
      <w:r w:rsidRPr="006B03FC">
        <w:rPr>
          <w:rFonts w:cs="Calibri"/>
          <w:bCs/>
          <w:sz w:val="24"/>
          <w:szCs w:val="24"/>
        </w:rPr>
        <w:t>These areas were sent reminders via Northamptonshire Talking (formerly Neighbourhood Alert) and via parish or town councillors and the relevant police liaison officer.</w:t>
      </w:r>
    </w:p>
    <w:p w14:paraId="3F19F2FD" w14:textId="77777777" w:rsidR="007868AD" w:rsidRDefault="007868AD" w:rsidP="007868AD">
      <w:pPr>
        <w:spacing w:line="240" w:lineRule="auto"/>
        <w:jc w:val="both"/>
        <w:rPr>
          <w:rFonts w:cs="Calibri"/>
          <w:sz w:val="24"/>
          <w:szCs w:val="24"/>
        </w:rPr>
      </w:pPr>
      <w:r w:rsidRPr="006B03FC">
        <w:rPr>
          <w:rFonts w:cs="Calibri"/>
          <w:sz w:val="24"/>
          <w:szCs w:val="24"/>
        </w:rPr>
        <w:t>Social media was used to remind followers to take part in the survey and share key information about the PFCC priorities, the context for an increase of funding and the closing date.</w:t>
      </w:r>
    </w:p>
    <w:p w14:paraId="618BA7C1" w14:textId="34862B85" w:rsidR="007868AD" w:rsidRPr="006B03FC" w:rsidRDefault="007868AD" w:rsidP="007868AD">
      <w:pPr>
        <w:spacing w:line="240" w:lineRule="auto"/>
        <w:jc w:val="both"/>
        <w:rPr>
          <w:rFonts w:cs="Calibri"/>
          <w:sz w:val="24"/>
          <w:szCs w:val="24"/>
        </w:rPr>
      </w:pPr>
      <w:r w:rsidRPr="00D0180F">
        <w:rPr>
          <w:rFonts w:cs="Calibri"/>
          <w:sz w:val="24"/>
          <w:szCs w:val="24"/>
        </w:rPr>
        <w:t>We used the Next</w:t>
      </w:r>
      <w:r w:rsidR="00D92C2F">
        <w:rPr>
          <w:rFonts w:cs="Calibri"/>
          <w:sz w:val="24"/>
          <w:szCs w:val="24"/>
        </w:rPr>
        <w:t>d</w:t>
      </w:r>
      <w:r w:rsidRPr="00D0180F">
        <w:rPr>
          <w:rFonts w:cs="Calibri"/>
          <w:sz w:val="24"/>
          <w:szCs w:val="24"/>
        </w:rPr>
        <w:t xml:space="preserve">oor channel </w:t>
      </w:r>
      <w:r>
        <w:rPr>
          <w:rFonts w:cs="Calibri"/>
          <w:sz w:val="24"/>
          <w:szCs w:val="24"/>
        </w:rPr>
        <w:t>which has an estimated reach of</w:t>
      </w:r>
      <w:r w:rsidRPr="00D0180F">
        <w:rPr>
          <w:rFonts w:cs="Calibri"/>
          <w:sz w:val="24"/>
          <w:szCs w:val="24"/>
        </w:rPr>
        <w:t xml:space="preserve"> 90,000 county residents</w:t>
      </w:r>
      <w:r>
        <w:rPr>
          <w:rFonts w:cs="Calibri"/>
          <w:sz w:val="24"/>
          <w:szCs w:val="24"/>
        </w:rPr>
        <w:t xml:space="preserve"> and</w:t>
      </w:r>
      <w:r w:rsidRPr="00D0180F">
        <w:rPr>
          <w:rFonts w:cs="Calibri"/>
          <w:sz w:val="24"/>
          <w:szCs w:val="24"/>
        </w:rPr>
        <w:t xml:space="preserve"> is a popular alternative to Facebook, for the first time.</w:t>
      </w:r>
      <w:r>
        <w:rPr>
          <w:rFonts w:cs="Calibri"/>
          <w:sz w:val="24"/>
          <w:szCs w:val="24"/>
        </w:rPr>
        <w:t xml:space="preserve">  </w:t>
      </w:r>
      <w:r w:rsidRPr="00D0180F">
        <w:rPr>
          <w:rFonts w:cs="Calibri"/>
          <w:sz w:val="24"/>
          <w:szCs w:val="24"/>
        </w:rPr>
        <w:t>More than 10% of our total responses came from this channel</w:t>
      </w:r>
      <w:r>
        <w:rPr>
          <w:rFonts w:cs="Calibri"/>
          <w:sz w:val="24"/>
          <w:szCs w:val="24"/>
        </w:rPr>
        <w:t>.</w:t>
      </w:r>
    </w:p>
    <w:p w14:paraId="45AF7AC5" w14:textId="77777777" w:rsidR="007868AD" w:rsidRPr="006B03FC" w:rsidRDefault="007868AD" w:rsidP="007868AD">
      <w:pPr>
        <w:jc w:val="both"/>
        <w:rPr>
          <w:rFonts w:cs="Calibri"/>
          <w:bCs/>
          <w:sz w:val="24"/>
          <w:szCs w:val="24"/>
        </w:rPr>
      </w:pPr>
      <w:r w:rsidRPr="006B03FC">
        <w:rPr>
          <w:rFonts w:cs="Calibri"/>
          <w:bCs/>
          <w:sz w:val="24"/>
          <w:szCs w:val="24"/>
        </w:rPr>
        <w:t>We carried out pre-budget engagement with the county’s MPs so that they could understand the financial position and advocate for Northamptonshire Police and Northamptonshire Fire and Rescue Service both at Westminster and in their constituencies.</w:t>
      </w:r>
    </w:p>
    <w:tbl>
      <w:tblPr>
        <w:tblStyle w:val="TableGrid"/>
        <w:tblW w:w="9634" w:type="dxa"/>
        <w:tblLayout w:type="fixed"/>
        <w:tblLook w:val="04A0" w:firstRow="1" w:lastRow="0" w:firstColumn="1" w:lastColumn="0" w:noHBand="0" w:noVBand="1"/>
      </w:tblPr>
      <w:tblGrid>
        <w:gridCol w:w="5665"/>
        <w:gridCol w:w="3969"/>
      </w:tblGrid>
      <w:tr w:rsidR="007868AD" w:rsidRPr="006B03FC" w14:paraId="7C021AED" w14:textId="77777777" w:rsidTr="00A402D2">
        <w:tc>
          <w:tcPr>
            <w:tcW w:w="5665" w:type="dxa"/>
          </w:tcPr>
          <w:p w14:paraId="7805A15E" w14:textId="77777777" w:rsidR="007868AD" w:rsidRPr="006B03FC" w:rsidRDefault="007868AD" w:rsidP="00A402D2">
            <w:pPr>
              <w:spacing w:after="160" w:line="259" w:lineRule="auto"/>
              <w:jc w:val="both"/>
              <w:rPr>
                <w:rFonts w:ascii="Calibri" w:hAnsi="Calibri" w:cs="Calibri"/>
                <w:b/>
                <w:bCs/>
                <w:sz w:val="24"/>
                <w:szCs w:val="24"/>
              </w:rPr>
            </w:pPr>
            <w:r w:rsidRPr="006B03FC">
              <w:rPr>
                <w:rFonts w:ascii="Calibri" w:hAnsi="Calibri" w:cs="Calibri"/>
                <w:b/>
                <w:bCs/>
                <w:sz w:val="24"/>
                <w:szCs w:val="24"/>
              </w:rPr>
              <w:t>Audience</w:t>
            </w:r>
          </w:p>
        </w:tc>
        <w:tc>
          <w:tcPr>
            <w:tcW w:w="3969" w:type="dxa"/>
          </w:tcPr>
          <w:p w14:paraId="0B0C9022" w14:textId="77777777" w:rsidR="007868AD" w:rsidRPr="006B03FC" w:rsidRDefault="007868AD" w:rsidP="00A402D2">
            <w:pPr>
              <w:spacing w:after="160" w:line="259" w:lineRule="auto"/>
              <w:jc w:val="both"/>
              <w:rPr>
                <w:rFonts w:ascii="Calibri" w:hAnsi="Calibri" w:cs="Calibri"/>
                <w:b/>
                <w:bCs/>
                <w:sz w:val="24"/>
                <w:szCs w:val="24"/>
              </w:rPr>
            </w:pPr>
            <w:r w:rsidRPr="006B03FC">
              <w:rPr>
                <w:rFonts w:ascii="Calibri" w:hAnsi="Calibri" w:cs="Calibri"/>
                <w:b/>
                <w:bCs/>
                <w:sz w:val="24"/>
                <w:szCs w:val="24"/>
              </w:rPr>
              <w:t>Reach</w:t>
            </w:r>
          </w:p>
        </w:tc>
      </w:tr>
      <w:tr w:rsidR="007868AD" w:rsidRPr="006B03FC" w14:paraId="66F42588" w14:textId="77777777" w:rsidTr="00A402D2">
        <w:tc>
          <w:tcPr>
            <w:tcW w:w="5665" w:type="dxa"/>
          </w:tcPr>
          <w:p w14:paraId="77CFE73C" w14:textId="77777777" w:rsidR="007868AD" w:rsidRPr="006B03FC" w:rsidRDefault="007868AD" w:rsidP="00A402D2">
            <w:pPr>
              <w:spacing w:after="160" w:line="259" w:lineRule="auto"/>
              <w:jc w:val="both"/>
              <w:rPr>
                <w:rFonts w:ascii="Calibri" w:hAnsi="Calibri" w:cs="Calibri"/>
                <w:b/>
                <w:bCs/>
                <w:sz w:val="24"/>
                <w:szCs w:val="24"/>
              </w:rPr>
            </w:pPr>
            <w:r w:rsidRPr="006B03FC">
              <w:rPr>
                <w:rFonts w:ascii="Calibri" w:hAnsi="Calibri" w:cs="Calibri"/>
                <w:b/>
                <w:bCs/>
                <w:sz w:val="24"/>
                <w:szCs w:val="24"/>
              </w:rPr>
              <w:t>Stakeholders</w:t>
            </w:r>
          </w:p>
          <w:p w14:paraId="7DE6F3C9" w14:textId="77777777" w:rsidR="007868AD" w:rsidRPr="006B03FC" w:rsidRDefault="007868AD" w:rsidP="007868AD">
            <w:pPr>
              <w:pStyle w:val="ListParagraph"/>
              <w:numPr>
                <w:ilvl w:val="0"/>
                <w:numId w:val="20"/>
              </w:numPr>
              <w:spacing w:after="160" w:line="259" w:lineRule="auto"/>
              <w:jc w:val="both"/>
              <w:rPr>
                <w:rFonts w:ascii="Calibri" w:hAnsi="Calibri" w:cs="Calibri"/>
                <w:b/>
                <w:bCs/>
                <w:sz w:val="24"/>
                <w:szCs w:val="24"/>
              </w:rPr>
            </w:pPr>
            <w:r w:rsidRPr="006B03FC">
              <w:rPr>
                <w:rFonts w:ascii="Calibri" w:hAnsi="Calibri" w:cs="Calibri"/>
                <w:bCs/>
                <w:sz w:val="24"/>
                <w:szCs w:val="24"/>
              </w:rPr>
              <w:t>Northamptonshire Talking (formerly known as Neighbourhood Alert)</w:t>
            </w:r>
          </w:p>
          <w:p w14:paraId="20236420" w14:textId="77777777" w:rsidR="007868AD" w:rsidRPr="006B03FC" w:rsidRDefault="007868AD" w:rsidP="007868AD">
            <w:pPr>
              <w:pStyle w:val="ListParagraph"/>
              <w:numPr>
                <w:ilvl w:val="0"/>
                <w:numId w:val="20"/>
              </w:numPr>
              <w:spacing w:after="160" w:line="259" w:lineRule="auto"/>
              <w:jc w:val="both"/>
              <w:rPr>
                <w:rFonts w:ascii="Calibri" w:hAnsi="Calibri" w:cs="Calibri"/>
                <w:b/>
                <w:sz w:val="24"/>
                <w:szCs w:val="24"/>
              </w:rPr>
            </w:pPr>
            <w:r w:rsidRPr="006B03FC">
              <w:rPr>
                <w:rFonts w:ascii="Calibri" w:hAnsi="Calibri" w:cs="Calibri"/>
                <w:sz w:val="24"/>
                <w:szCs w:val="24"/>
              </w:rPr>
              <w:t>Parish Councils and Town Councils</w:t>
            </w:r>
          </w:p>
          <w:p w14:paraId="08C4EE14"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Councillors in North Northamptonshire and West Northamptonshire</w:t>
            </w:r>
          </w:p>
          <w:p w14:paraId="05EE2F90"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Police, Fire and Crime Panel members</w:t>
            </w:r>
          </w:p>
          <w:p w14:paraId="1DA366EE"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MPs</w:t>
            </w:r>
          </w:p>
          <w:p w14:paraId="20B0741B"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Chief Executives and Leaders of Local Authorities</w:t>
            </w:r>
          </w:p>
          <w:p w14:paraId="2C62F9C4"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Neighbourhood Watch Management Committee</w:t>
            </w:r>
          </w:p>
          <w:p w14:paraId="6C149264"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Community Safety Managers for Northamptonshire North and Northamptonshire West</w:t>
            </w:r>
          </w:p>
          <w:p w14:paraId="6C40FD63"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Diversity Forums of West Northamptonshire Council</w:t>
            </w:r>
          </w:p>
          <w:p w14:paraId="1445B0EF"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Northamptonshire Police Community Engagement team</w:t>
            </w:r>
          </w:p>
          <w:p w14:paraId="50A17EF0"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lastRenderedPageBreak/>
              <w:t>Independent Advisory Group members</w:t>
            </w:r>
          </w:p>
          <w:p w14:paraId="5E8FAD47"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Independent Custody Visitors</w:t>
            </w:r>
          </w:p>
          <w:p w14:paraId="48F772CE"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Businesses via the Chamber of Commerce, Northampton BID and the Northamptonshire Business Forums</w:t>
            </w:r>
          </w:p>
          <w:p w14:paraId="57FC25E5"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Secondary Schools and colleges</w:t>
            </w:r>
          </w:p>
          <w:p w14:paraId="7F46B2F4"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Joint Action Groups</w:t>
            </w:r>
          </w:p>
          <w:p w14:paraId="564C4901"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Northamptonshire Association of Local Councils</w:t>
            </w:r>
          </w:p>
          <w:p w14:paraId="479989B3"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Various voluntary and third sector organisations</w:t>
            </w:r>
          </w:p>
          <w:p w14:paraId="684465CD"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Rural interest groups</w:t>
            </w:r>
          </w:p>
          <w:p w14:paraId="23025825" w14:textId="77777777" w:rsidR="007868AD" w:rsidRPr="006B03FC" w:rsidRDefault="007868AD" w:rsidP="007868AD">
            <w:pPr>
              <w:pStyle w:val="ListParagraph"/>
              <w:numPr>
                <w:ilvl w:val="0"/>
                <w:numId w:val="20"/>
              </w:numPr>
              <w:spacing w:after="160" w:line="256" w:lineRule="auto"/>
              <w:rPr>
                <w:rFonts w:ascii="Calibri" w:hAnsi="Calibri" w:cs="Calibri"/>
                <w:b/>
                <w:bCs/>
                <w:sz w:val="24"/>
                <w:szCs w:val="24"/>
              </w:rPr>
            </w:pPr>
            <w:r w:rsidRPr="006B03FC">
              <w:rPr>
                <w:rFonts w:ascii="Calibri" w:hAnsi="Calibri" w:cs="Calibri"/>
                <w:bCs/>
                <w:sz w:val="24"/>
                <w:szCs w:val="24"/>
              </w:rPr>
              <w:t xml:space="preserve">The Police Liaison Representatives on every parish and town council </w:t>
            </w:r>
          </w:p>
          <w:p w14:paraId="2BFC41C9" w14:textId="77777777" w:rsidR="007868AD" w:rsidRPr="006B03FC" w:rsidRDefault="007868AD" w:rsidP="007868AD">
            <w:pPr>
              <w:pStyle w:val="ListParagraph"/>
              <w:numPr>
                <w:ilvl w:val="0"/>
                <w:numId w:val="20"/>
              </w:numPr>
              <w:spacing w:after="160" w:line="256" w:lineRule="auto"/>
              <w:rPr>
                <w:rFonts w:ascii="Calibri" w:hAnsi="Calibri" w:cs="Calibri"/>
                <w:b/>
                <w:bCs/>
                <w:sz w:val="24"/>
                <w:szCs w:val="24"/>
              </w:rPr>
            </w:pPr>
            <w:r w:rsidRPr="006B03FC">
              <w:rPr>
                <w:rFonts w:ascii="Calibri" w:hAnsi="Calibri" w:cs="Calibri"/>
                <w:bCs/>
                <w:sz w:val="24"/>
                <w:szCs w:val="24"/>
              </w:rPr>
              <w:t>All local criminal justice boards</w:t>
            </w:r>
          </w:p>
          <w:p w14:paraId="0774744B" w14:textId="77777777" w:rsidR="007868AD" w:rsidRPr="006B03FC" w:rsidRDefault="007868AD" w:rsidP="00A402D2">
            <w:pPr>
              <w:spacing w:after="160" w:line="256" w:lineRule="auto"/>
              <w:rPr>
                <w:rFonts w:ascii="Calibri" w:hAnsi="Calibri" w:cs="Calibri"/>
                <w:b/>
                <w:bCs/>
                <w:sz w:val="24"/>
                <w:szCs w:val="24"/>
              </w:rPr>
            </w:pPr>
          </w:p>
        </w:tc>
        <w:tc>
          <w:tcPr>
            <w:tcW w:w="3969" w:type="dxa"/>
          </w:tcPr>
          <w:p w14:paraId="199E2489" w14:textId="77777777" w:rsidR="007868AD" w:rsidRPr="006B03FC" w:rsidRDefault="007868AD" w:rsidP="00A402D2">
            <w:pPr>
              <w:spacing w:after="160" w:line="259" w:lineRule="auto"/>
              <w:rPr>
                <w:rFonts w:ascii="Calibri" w:hAnsi="Calibri" w:cs="Calibri"/>
                <w:sz w:val="24"/>
                <w:szCs w:val="24"/>
              </w:rPr>
            </w:pPr>
            <w:r w:rsidRPr="006B03FC">
              <w:rPr>
                <w:rFonts w:ascii="Calibri" w:hAnsi="Calibri" w:cs="Calibri"/>
                <w:sz w:val="24"/>
                <w:szCs w:val="24"/>
              </w:rPr>
              <w:lastRenderedPageBreak/>
              <w:t>The survey was sent to more than 25,000 stakeholders, with a request that they further cascade.</w:t>
            </w:r>
          </w:p>
          <w:p w14:paraId="62EC5397" w14:textId="77777777" w:rsidR="007868AD" w:rsidRDefault="007868AD" w:rsidP="00A402D2">
            <w:pPr>
              <w:spacing w:after="160" w:line="259" w:lineRule="auto"/>
              <w:rPr>
                <w:rFonts w:ascii="Calibri" w:hAnsi="Calibri" w:cs="Calibri"/>
                <w:sz w:val="24"/>
                <w:szCs w:val="24"/>
              </w:rPr>
            </w:pPr>
            <w:r w:rsidRPr="006B03FC">
              <w:rPr>
                <w:rFonts w:ascii="Calibri" w:hAnsi="Calibri" w:cs="Calibri"/>
                <w:sz w:val="24"/>
                <w:szCs w:val="24"/>
              </w:rPr>
              <w:t>A message on Northamptonshire Talking was sent to residents across the county, while further targeted communications were sent to the following areas where a lower response rate had been identified: Corby, Wellingborough and Daventry</w:t>
            </w:r>
            <w:r>
              <w:rPr>
                <w:rFonts w:ascii="Calibri" w:hAnsi="Calibri" w:cs="Calibri"/>
                <w:sz w:val="24"/>
                <w:szCs w:val="24"/>
              </w:rPr>
              <w:t xml:space="preserve">.  </w:t>
            </w:r>
          </w:p>
          <w:p w14:paraId="1F4FAE0F" w14:textId="77777777" w:rsidR="007868AD" w:rsidRPr="006B03FC" w:rsidRDefault="007868AD" w:rsidP="00A402D2">
            <w:pPr>
              <w:spacing w:after="160" w:line="259" w:lineRule="auto"/>
              <w:rPr>
                <w:rFonts w:ascii="Calibri" w:hAnsi="Calibri" w:cs="Calibri"/>
                <w:sz w:val="24"/>
                <w:szCs w:val="24"/>
              </w:rPr>
            </w:pPr>
            <w:r>
              <w:rPr>
                <w:rFonts w:ascii="Calibri" w:hAnsi="Calibri" w:cs="Calibri"/>
                <w:sz w:val="24"/>
                <w:szCs w:val="24"/>
              </w:rPr>
              <w:t>More than 38,000 people opened the email we sent via this channel.</w:t>
            </w:r>
          </w:p>
          <w:p w14:paraId="4ED545FF" w14:textId="77777777" w:rsidR="007868AD" w:rsidRPr="006B03FC" w:rsidRDefault="007868AD" w:rsidP="00A402D2">
            <w:pPr>
              <w:spacing w:after="160" w:line="259" w:lineRule="auto"/>
              <w:rPr>
                <w:rFonts w:ascii="Calibri" w:hAnsi="Calibri" w:cs="Calibri"/>
                <w:sz w:val="24"/>
                <w:szCs w:val="24"/>
              </w:rPr>
            </w:pPr>
          </w:p>
          <w:p w14:paraId="66EB2B97" w14:textId="77777777" w:rsidR="007868AD" w:rsidRPr="006B03FC" w:rsidRDefault="007868AD" w:rsidP="00A402D2">
            <w:pPr>
              <w:spacing w:after="160" w:line="259" w:lineRule="auto"/>
              <w:rPr>
                <w:rFonts w:ascii="Calibri" w:hAnsi="Calibri" w:cs="Calibri"/>
                <w:sz w:val="24"/>
                <w:szCs w:val="24"/>
              </w:rPr>
            </w:pPr>
          </w:p>
        </w:tc>
      </w:tr>
      <w:tr w:rsidR="007868AD" w:rsidRPr="006B03FC" w14:paraId="3A7490AB" w14:textId="77777777" w:rsidTr="00A402D2">
        <w:tc>
          <w:tcPr>
            <w:tcW w:w="5665" w:type="dxa"/>
          </w:tcPr>
          <w:p w14:paraId="3F50BEE7" w14:textId="77777777" w:rsidR="007868AD" w:rsidRPr="006B03FC" w:rsidRDefault="007868AD" w:rsidP="00A402D2">
            <w:pPr>
              <w:spacing w:after="160" w:line="259" w:lineRule="auto"/>
              <w:jc w:val="both"/>
              <w:rPr>
                <w:rFonts w:ascii="Calibri" w:hAnsi="Calibri" w:cs="Calibri"/>
                <w:b/>
                <w:bCs/>
                <w:sz w:val="24"/>
                <w:szCs w:val="24"/>
              </w:rPr>
            </w:pPr>
            <w:r w:rsidRPr="006B03FC">
              <w:rPr>
                <w:rFonts w:ascii="Calibri" w:hAnsi="Calibri" w:cs="Calibri"/>
                <w:b/>
                <w:bCs/>
                <w:sz w:val="24"/>
                <w:szCs w:val="24"/>
              </w:rPr>
              <w:t>Internal</w:t>
            </w:r>
          </w:p>
          <w:p w14:paraId="17B87E5C"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News item on Forcenet – The Northamptonshire Police intranet viewed by all officers and staff – repeated twice during survey period</w:t>
            </w:r>
          </w:p>
          <w:p w14:paraId="1BD44C1E"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All staff email to OPFCC</w:t>
            </w:r>
          </w:p>
          <w:p w14:paraId="3A78D352"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News item on Northamptonshire Fire and Rescue Service intranet for Firefighters and staff – repeated twice during the survey period</w:t>
            </w:r>
          </w:p>
          <w:p w14:paraId="484FC203"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Daily Orders – link to item on Forcenet directing police staff to survey</w:t>
            </w:r>
          </w:p>
          <w:p w14:paraId="36D2C309"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Chief Officer Vlogs in both Northamptonshire Police and Northamptonshire Fire and Rescue Service</w:t>
            </w:r>
          </w:p>
          <w:p w14:paraId="4E90F0DB"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Message and link displayed on December payslip and portal for Northamptonshire Police officers and staff and Northamptonshire Fire and Rescue Service Firefighters and staff, and OPFCC staff</w:t>
            </w:r>
          </w:p>
          <w:p w14:paraId="2974F16E"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Splash screen survey message on every computer across OPFCC, Fire and Police</w:t>
            </w:r>
          </w:p>
          <w:p w14:paraId="065EC3B5" w14:textId="77777777" w:rsidR="007868AD" w:rsidRPr="006B03FC" w:rsidRDefault="007868AD" w:rsidP="007868AD">
            <w:pPr>
              <w:pStyle w:val="ListParagraph"/>
              <w:numPr>
                <w:ilvl w:val="0"/>
                <w:numId w:val="20"/>
              </w:numPr>
              <w:spacing w:after="160" w:line="259" w:lineRule="auto"/>
              <w:rPr>
                <w:rFonts w:ascii="Calibri" w:hAnsi="Calibri" w:cs="Calibri"/>
                <w:b/>
                <w:sz w:val="24"/>
                <w:szCs w:val="24"/>
              </w:rPr>
            </w:pPr>
            <w:r w:rsidRPr="006B03FC">
              <w:rPr>
                <w:rFonts w:ascii="Calibri" w:hAnsi="Calibri" w:cs="Calibri"/>
                <w:sz w:val="24"/>
                <w:szCs w:val="24"/>
              </w:rPr>
              <w:t xml:space="preserve">Repeated messaging during bi-weekly Pacesetter meetings for senior firefighters with </w:t>
            </w:r>
            <w:r w:rsidRPr="006B03FC">
              <w:rPr>
                <w:rFonts w:ascii="Calibri" w:hAnsi="Calibri" w:cs="Calibri"/>
                <w:sz w:val="24"/>
                <w:szCs w:val="24"/>
              </w:rPr>
              <w:lastRenderedPageBreak/>
              <w:t>requests to cascade through the Fire Community Risk Group (CRG)</w:t>
            </w:r>
          </w:p>
        </w:tc>
        <w:tc>
          <w:tcPr>
            <w:tcW w:w="3969" w:type="dxa"/>
          </w:tcPr>
          <w:p w14:paraId="7C86B9D0" w14:textId="77777777" w:rsidR="007868AD" w:rsidRPr="00FA6EA5" w:rsidRDefault="007868AD" w:rsidP="00A402D2">
            <w:pPr>
              <w:rPr>
                <w:rFonts w:ascii="Calibri" w:hAnsi="Calibri" w:cs="Calibri"/>
                <w:sz w:val="24"/>
                <w:szCs w:val="24"/>
              </w:rPr>
            </w:pPr>
          </w:p>
          <w:p w14:paraId="57935034" w14:textId="77777777" w:rsidR="007868AD" w:rsidRPr="006B03FC" w:rsidRDefault="007868AD" w:rsidP="00A402D2">
            <w:pPr>
              <w:rPr>
                <w:rFonts w:ascii="Calibri" w:hAnsi="Calibri" w:cs="Calibri"/>
                <w:sz w:val="24"/>
                <w:szCs w:val="24"/>
              </w:rPr>
            </w:pPr>
            <w:r w:rsidRPr="00FA6EA5">
              <w:rPr>
                <w:rFonts w:ascii="Calibri" w:hAnsi="Calibri" w:cs="Calibri"/>
                <w:sz w:val="24"/>
                <w:szCs w:val="24"/>
              </w:rPr>
              <w:t xml:space="preserve">The survey potentially reached over 2,500 people (including police </w:t>
            </w:r>
            <w:r w:rsidRPr="006B03FC">
              <w:rPr>
                <w:rFonts w:ascii="Calibri" w:hAnsi="Calibri" w:cs="Calibri"/>
                <w:sz w:val="24"/>
                <w:szCs w:val="24"/>
              </w:rPr>
              <w:t xml:space="preserve">officers, </w:t>
            </w:r>
            <w:r>
              <w:rPr>
                <w:rFonts w:ascii="Calibri" w:hAnsi="Calibri" w:cs="Calibri"/>
                <w:sz w:val="24"/>
                <w:szCs w:val="24"/>
              </w:rPr>
              <w:t xml:space="preserve">firefighters, </w:t>
            </w:r>
            <w:r w:rsidRPr="006B03FC">
              <w:rPr>
                <w:rFonts w:ascii="Calibri" w:hAnsi="Calibri" w:cs="Calibri"/>
                <w:sz w:val="24"/>
                <w:szCs w:val="24"/>
              </w:rPr>
              <w:t>staff, and volunteers), with a request that they further cascade</w:t>
            </w:r>
            <w:r>
              <w:rPr>
                <w:rFonts w:ascii="Calibri" w:hAnsi="Calibri" w:cs="Calibri"/>
                <w:sz w:val="24"/>
                <w:szCs w:val="24"/>
              </w:rPr>
              <w:t>.</w:t>
            </w:r>
          </w:p>
          <w:p w14:paraId="4978CD9B" w14:textId="77777777" w:rsidR="007868AD" w:rsidRPr="006B03FC" w:rsidRDefault="007868AD" w:rsidP="00A402D2">
            <w:pPr>
              <w:spacing w:after="160" w:line="259" w:lineRule="auto"/>
              <w:jc w:val="both"/>
              <w:rPr>
                <w:rFonts w:ascii="Calibri" w:hAnsi="Calibri" w:cs="Calibri"/>
                <w:sz w:val="24"/>
                <w:szCs w:val="24"/>
              </w:rPr>
            </w:pPr>
          </w:p>
        </w:tc>
      </w:tr>
      <w:tr w:rsidR="007868AD" w:rsidRPr="006B03FC" w14:paraId="68E59493" w14:textId="77777777" w:rsidTr="00A402D2">
        <w:tc>
          <w:tcPr>
            <w:tcW w:w="5665" w:type="dxa"/>
          </w:tcPr>
          <w:p w14:paraId="24DED666" w14:textId="77777777" w:rsidR="007868AD" w:rsidRPr="006B03FC" w:rsidRDefault="007868AD" w:rsidP="00A402D2">
            <w:pPr>
              <w:rPr>
                <w:rFonts w:ascii="Calibri" w:hAnsi="Calibri" w:cs="Calibri"/>
                <w:b/>
                <w:bCs/>
                <w:sz w:val="24"/>
                <w:szCs w:val="24"/>
              </w:rPr>
            </w:pPr>
            <w:r w:rsidRPr="006B03FC">
              <w:rPr>
                <w:rFonts w:ascii="Calibri" w:hAnsi="Calibri" w:cs="Calibri"/>
                <w:b/>
                <w:bCs/>
                <w:sz w:val="24"/>
                <w:szCs w:val="24"/>
              </w:rPr>
              <w:t>Key Internal Stakeholders</w:t>
            </w:r>
          </w:p>
          <w:p w14:paraId="13D3DE93" w14:textId="77777777" w:rsidR="007868AD" w:rsidRPr="006B03FC" w:rsidRDefault="007868AD" w:rsidP="007868AD">
            <w:pPr>
              <w:numPr>
                <w:ilvl w:val="0"/>
                <w:numId w:val="18"/>
              </w:numPr>
              <w:spacing w:after="0" w:line="240" w:lineRule="auto"/>
              <w:rPr>
                <w:rFonts w:ascii="Calibri" w:hAnsi="Calibri" w:cs="Calibri"/>
                <w:sz w:val="24"/>
                <w:szCs w:val="24"/>
              </w:rPr>
            </w:pPr>
            <w:r w:rsidRPr="006B03FC">
              <w:rPr>
                <w:rFonts w:ascii="Calibri" w:hAnsi="Calibri" w:cs="Calibri"/>
                <w:sz w:val="24"/>
                <w:szCs w:val="24"/>
              </w:rPr>
              <w:t>Northamptonshire Police Chief Officers</w:t>
            </w:r>
          </w:p>
          <w:p w14:paraId="420E66DF" w14:textId="77777777" w:rsidR="007868AD" w:rsidRPr="006B03FC" w:rsidRDefault="007868AD" w:rsidP="007868AD">
            <w:pPr>
              <w:numPr>
                <w:ilvl w:val="0"/>
                <w:numId w:val="18"/>
              </w:numPr>
              <w:spacing w:after="0" w:line="240" w:lineRule="auto"/>
              <w:rPr>
                <w:rFonts w:ascii="Calibri" w:hAnsi="Calibri" w:cs="Calibri"/>
                <w:sz w:val="24"/>
                <w:szCs w:val="24"/>
              </w:rPr>
            </w:pPr>
            <w:r w:rsidRPr="006B03FC">
              <w:rPr>
                <w:rFonts w:ascii="Calibri" w:hAnsi="Calibri" w:cs="Calibri"/>
                <w:sz w:val="24"/>
                <w:szCs w:val="24"/>
              </w:rPr>
              <w:t xml:space="preserve">Northamptonshire Fire and Rescue Service (NFRS) Senior Fire Officers </w:t>
            </w:r>
          </w:p>
          <w:p w14:paraId="3D8D5F11" w14:textId="77777777" w:rsidR="007868AD" w:rsidRPr="006B03FC" w:rsidRDefault="007868AD" w:rsidP="007868AD">
            <w:pPr>
              <w:numPr>
                <w:ilvl w:val="0"/>
                <w:numId w:val="18"/>
              </w:numPr>
              <w:spacing w:after="0" w:line="240" w:lineRule="auto"/>
              <w:rPr>
                <w:rFonts w:ascii="Calibri" w:hAnsi="Calibri" w:cs="Calibri"/>
                <w:sz w:val="24"/>
                <w:szCs w:val="24"/>
              </w:rPr>
            </w:pPr>
            <w:r w:rsidRPr="006B03FC">
              <w:rPr>
                <w:rFonts w:ascii="Calibri" w:hAnsi="Calibri" w:cs="Calibri"/>
                <w:sz w:val="24"/>
                <w:szCs w:val="24"/>
              </w:rPr>
              <w:t>Directors in the Office of the Police, Fire and Crime Commissioner (OPFCC)</w:t>
            </w:r>
          </w:p>
          <w:p w14:paraId="7384D1C9" w14:textId="77777777" w:rsidR="007868AD" w:rsidRPr="006B03FC" w:rsidRDefault="007868AD" w:rsidP="007868AD">
            <w:pPr>
              <w:numPr>
                <w:ilvl w:val="0"/>
                <w:numId w:val="18"/>
              </w:numPr>
              <w:spacing w:after="0" w:line="240" w:lineRule="auto"/>
              <w:rPr>
                <w:rFonts w:ascii="Calibri" w:hAnsi="Calibri" w:cs="Calibri"/>
                <w:sz w:val="24"/>
                <w:szCs w:val="24"/>
              </w:rPr>
            </w:pPr>
            <w:r w:rsidRPr="006B03FC">
              <w:rPr>
                <w:rFonts w:ascii="Calibri" w:hAnsi="Calibri" w:cs="Calibri"/>
                <w:sz w:val="24"/>
                <w:szCs w:val="24"/>
              </w:rPr>
              <w:t>OPFCC Customer Service team</w:t>
            </w:r>
          </w:p>
          <w:p w14:paraId="4970F837" w14:textId="77777777" w:rsidR="007868AD" w:rsidRPr="006B03FC" w:rsidRDefault="007868AD" w:rsidP="007868AD">
            <w:pPr>
              <w:numPr>
                <w:ilvl w:val="0"/>
                <w:numId w:val="18"/>
              </w:numPr>
              <w:spacing w:after="0" w:line="240" w:lineRule="auto"/>
              <w:rPr>
                <w:rFonts w:ascii="Calibri" w:hAnsi="Calibri" w:cs="Calibri"/>
                <w:sz w:val="24"/>
                <w:szCs w:val="24"/>
              </w:rPr>
            </w:pPr>
            <w:r w:rsidRPr="006B03FC">
              <w:rPr>
                <w:rFonts w:ascii="Calibri" w:hAnsi="Calibri" w:cs="Calibri"/>
                <w:sz w:val="24"/>
                <w:szCs w:val="24"/>
              </w:rPr>
              <w:t>Police Federation</w:t>
            </w:r>
          </w:p>
          <w:p w14:paraId="0DEF3AEA" w14:textId="77777777" w:rsidR="007868AD" w:rsidRPr="006B03FC" w:rsidRDefault="007868AD" w:rsidP="007868AD">
            <w:pPr>
              <w:numPr>
                <w:ilvl w:val="0"/>
                <w:numId w:val="18"/>
              </w:numPr>
              <w:spacing w:after="0" w:line="240" w:lineRule="auto"/>
              <w:rPr>
                <w:rFonts w:ascii="Calibri" w:hAnsi="Calibri" w:cs="Calibri"/>
                <w:sz w:val="24"/>
                <w:szCs w:val="24"/>
              </w:rPr>
            </w:pPr>
            <w:r w:rsidRPr="006B03FC">
              <w:rPr>
                <w:rFonts w:ascii="Calibri" w:hAnsi="Calibri" w:cs="Calibri"/>
                <w:sz w:val="24"/>
                <w:szCs w:val="24"/>
              </w:rPr>
              <w:t>Unison</w:t>
            </w:r>
          </w:p>
          <w:p w14:paraId="2DB3C9D2" w14:textId="77777777" w:rsidR="007868AD" w:rsidRPr="006B03FC" w:rsidRDefault="007868AD" w:rsidP="007868AD">
            <w:pPr>
              <w:numPr>
                <w:ilvl w:val="0"/>
                <w:numId w:val="18"/>
              </w:numPr>
              <w:spacing w:after="0" w:line="240" w:lineRule="auto"/>
              <w:rPr>
                <w:rFonts w:ascii="Calibri" w:hAnsi="Calibri" w:cs="Calibri"/>
                <w:sz w:val="24"/>
                <w:szCs w:val="24"/>
              </w:rPr>
            </w:pPr>
            <w:r w:rsidRPr="006B03FC">
              <w:rPr>
                <w:rFonts w:ascii="Calibri" w:hAnsi="Calibri" w:cs="Calibri"/>
                <w:sz w:val="24"/>
                <w:szCs w:val="24"/>
              </w:rPr>
              <w:t>Police Superintendents’ Association</w:t>
            </w:r>
          </w:p>
          <w:p w14:paraId="65525A93" w14:textId="77777777" w:rsidR="007868AD" w:rsidRPr="006B03FC" w:rsidRDefault="007868AD" w:rsidP="007868AD">
            <w:pPr>
              <w:numPr>
                <w:ilvl w:val="0"/>
                <w:numId w:val="18"/>
              </w:numPr>
              <w:spacing w:after="0" w:line="240" w:lineRule="auto"/>
              <w:rPr>
                <w:rFonts w:ascii="Calibri" w:hAnsi="Calibri" w:cs="Calibri"/>
                <w:sz w:val="24"/>
                <w:szCs w:val="24"/>
              </w:rPr>
            </w:pPr>
            <w:r w:rsidRPr="006B03FC">
              <w:rPr>
                <w:rFonts w:ascii="Calibri" w:hAnsi="Calibri" w:cs="Calibri"/>
                <w:sz w:val="24"/>
                <w:szCs w:val="24"/>
              </w:rPr>
              <w:t>Voice</w:t>
            </w:r>
          </w:p>
          <w:p w14:paraId="236998B7" w14:textId="77777777" w:rsidR="007868AD" w:rsidRPr="006B03FC" w:rsidRDefault="007868AD" w:rsidP="00A402D2">
            <w:pPr>
              <w:spacing w:after="0" w:line="240" w:lineRule="auto"/>
              <w:ind w:left="720"/>
              <w:rPr>
                <w:rFonts w:ascii="Calibri" w:hAnsi="Calibri" w:cs="Calibri"/>
                <w:sz w:val="24"/>
                <w:szCs w:val="24"/>
              </w:rPr>
            </w:pPr>
          </w:p>
        </w:tc>
        <w:tc>
          <w:tcPr>
            <w:tcW w:w="3969" w:type="dxa"/>
          </w:tcPr>
          <w:p w14:paraId="251459C2" w14:textId="77777777" w:rsidR="007868AD" w:rsidRPr="006B03FC" w:rsidRDefault="007868AD" w:rsidP="00A402D2">
            <w:pPr>
              <w:spacing w:after="160" w:line="259" w:lineRule="auto"/>
              <w:jc w:val="both"/>
              <w:rPr>
                <w:rFonts w:ascii="Calibri" w:hAnsi="Calibri" w:cs="Calibri"/>
                <w:sz w:val="24"/>
                <w:szCs w:val="24"/>
              </w:rPr>
            </w:pPr>
          </w:p>
          <w:p w14:paraId="18C42093" w14:textId="77777777" w:rsidR="007868AD" w:rsidRPr="006B03FC" w:rsidRDefault="007868AD" w:rsidP="00A402D2">
            <w:pPr>
              <w:spacing w:after="160" w:line="259" w:lineRule="auto"/>
              <w:jc w:val="both"/>
              <w:rPr>
                <w:rFonts w:ascii="Calibri" w:hAnsi="Calibri" w:cs="Calibri"/>
                <w:sz w:val="24"/>
                <w:szCs w:val="24"/>
              </w:rPr>
            </w:pPr>
            <w:r w:rsidRPr="006B03FC">
              <w:rPr>
                <w:rFonts w:ascii="Calibri" w:hAnsi="Calibri" w:cs="Calibri"/>
                <w:sz w:val="24"/>
                <w:szCs w:val="24"/>
              </w:rPr>
              <w:t>Email request to cascade to their members/contacts</w:t>
            </w:r>
          </w:p>
          <w:p w14:paraId="37226A9D" w14:textId="77777777" w:rsidR="007868AD" w:rsidRPr="006B03FC" w:rsidRDefault="007868AD" w:rsidP="00A402D2">
            <w:pPr>
              <w:spacing w:after="160" w:line="259" w:lineRule="auto"/>
              <w:jc w:val="both"/>
              <w:rPr>
                <w:rFonts w:ascii="Calibri" w:hAnsi="Calibri" w:cs="Calibri"/>
                <w:sz w:val="24"/>
                <w:szCs w:val="24"/>
              </w:rPr>
            </w:pPr>
          </w:p>
          <w:p w14:paraId="3E60E041" w14:textId="77777777" w:rsidR="007868AD" w:rsidRPr="006B03FC" w:rsidRDefault="007868AD" w:rsidP="00A402D2">
            <w:pPr>
              <w:spacing w:after="160" w:line="259" w:lineRule="auto"/>
              <w:jc w:val="both"/>
              <w:rPr>
                <w:rFonts w:ascii="Calibri" w:hAnsi="Calibri" w:cs="Calibri"/>
                <w:sz w:val="24"/>
                <w:szCs w:val="24"/>
              </w:rPr>
            </w:pPr>
          </w:p>
          <w:p w14:paraId="2587E193" w14:textId="77777777" w:rsidR="007868AD" w:rsidRPr="006B03FC" w:rsidRDefault="007868AD" w:rsidP="00A402D2">
            <w:pPr>
              <w:spacing w:after="160" w:line="259" w:lineRule="auto"/>
              <w:jc w:val="both"/>
              <w:rPr>
                <w:rFonts w:ascii="Calibri" w:hAnsi="Calibri" w:cs="Calibri"/>
                <w:sz w:val="24"/>
                <w:szCs w:val="24"/>
              </w:rPr>
            </w:pPr>
          </w:p>
        </w:tc>
      </w:tr>
      <w:tr w:rsidR="007868AD" w:rsidRPr="006B03FC" w14:paraId="24E68DC8" w14:textId="77777777" w:rsidTr="00A402D2">
        <w:tc>
          <w:tcPr>
            <w:tcW w:w="5665" w:type="dxa"/>
          </w:tcPr>
          <w:p w14:paraId="6CB835A8" w14:textId="77777777" w:rsidR="007868AD" w:rsidRPr="006B03FC" w:rsidRDefault="007868AD" w:rsidP="00A402D2">
            <w:pPr>
              <w:spacing w:after="160" w:line="259" w:lineRule="auto"/>
              <w:rPr>
                <w:rFonts w:ascii="Calibri" w:hAnsi="Calibri" w:cs="Calibri"/>
                <w:b/>
                <w:bCs/>
                <w:sz w:val="24"/>
                <w:szCs w:val="24"/>
              </w:rPr>
            </w:pPr>
            <w:r w:rsidRPr="006B03FC">
              <w:rPr>
                <w:rFonts w:ascii="Calibri" w:hAnsi="Calibri" w:cs="Calibri"/>
                <w:b/>
                <w:bCs/>
                <w:sz w:val="24"/>
                <w:szCs w:val="24"/>
              </w:rPr>
              <w:t>Mainstream media</w:t>
            </w:r>
          </w:p>
          <w:p w14:paraId="71EF58A7" w14:textId="77777777" w:rsidR="007868AD" w:rsidRPr="006B03FC" w:rsidRDefault="007868AD" w:rsidP="007868AD">
            <w:pPr>
              <w:pStyle w:val="ListParagraph"/>
              <w:numPr>
                <w:ilvl w:val="0"/>
                <w:numId w:val="21"/>
              </w:numPr>
              <w:spacing w:after="160" w:line="259" w:lineRule="auto"/>
              <w:rPr>
                <w:rFonts w:ascii="Calibri" w:hAnsi="Calibri" w:cs="Calibri"/>
                <w:b/>
                <w:bCs/>
                <w:sz w:val="24"/>
                <w:szCs w:val="24"/>
              </w:rPr>
            </w:pPr>
            <w:r w:rsidRPr="006B03FC">
              <w:rPr>
                <w:rFonts w:ascii="Calibri" w:hAnsi="Calibri" w:cs="Calibri"/>
                <w:bCs/>
                <w:sz w:val="24"/>
                <w:szCs w:val="24"/>
              </w:rPr>
              <w:t>A news release was issued to all local and regional media across Northamptonshire</w:t>
            </w:r>
            <w:r>
              <w:rPr>
                <w:rFonts w:ascii="Calibri" w:hAnsi="Calibri" w:cs="Calibri"/>
                <w:bCs/>
                <w:sz w:val="24"/>
                <w:szCs w:val="24"/>
              </w:rPr>
              <w:t>.</w:t>
            </w:r>
          </w:p>
          <w:p w14:paraId="0628EACB" w14:textId="77777777" w:rsidR="007868AD" w:rsidRPr="006B03FC" w:rsidRDefault="007868AD" w:rsidP="007868AD">
            <w:pPr>
              <w:pStyle w:val="ListParagraph"/>
              <w:numPr>
                <w:ilvl w:val="0"/>
                <w:numId w:val="21"/>
              </w:numPr>
              <w:spacing w:after="160" w:line="259" w:lineRule="auto"/>
              <w:rPr>
                <w:rFonts w:ascii="Calibri" w:hAnsi="Calibri" w:cs="Calibri"/>
                <w:b/>
                <w:bCs/>
                <w:sz w:val="24"/>
                <w:szCs w:val="24"/>
              </w:rPr>
            </w:pPr>
            <w:r w:rsidRPr="006B03FC">
              <w:rPr>
                <w:rFonts w:ascii="Calibri" w:hAnsi="Calibri" w:cs="Calibri"/>
                <w:bCs/>
                <w:sz w:val="24"/>
                <w:szCs w:val="24"/>
              </w:rPr>
              <w:t>News release was sent to hyper local publications</w:t>
            </w:r>
            <w:r>
              <w:rPr>
                <w:rFonts w:ascii="Calibri" w:hAnsi="Calibri" w:cs="Calibri"/>
                <w:bCs/>
                <w:sz w:val="24"/>
                <w:szCs w:val="24"/>
              </w:rPr>
              <w:t>.</w:t>
            </w:r>
          </w:p>
          <w:p w14:paraId="6AC4256A" w14:textId="77777777" w:rsidR="007868AD" w:rsidRPr="006B03FC" w:rsidRDefault="007868AD" w:rsidP="007868AD">
            <w:pPr>
              <w:pStyle w:val="ListParagraph"/>
              <w:numPr>
                <w:ilvl w:val="0"/>
                <w:numId w:val="21"/>
              </w:numPr>
              <w:spacing w:after="160" w:line="259" w:lineRule="auto"/>
              <w:rPr>
                <w:rFonts w:ascii="Calibri" w:hAnsi="Calibri" w:cs="Calibri"/>
                <w:b/>
                <w:bCs/>
                <w:sz w:val="24"/>
                <w:szCs w:val="24"/>
              </w:rPr>
            </w:pPr>
            <w:r w:rsidRPr="006B03FC">
              <w:rPr>
                <w:rFonts w:ascii="Calibri" w:hAnsi="Calibri" w:cs="Calibri"/>
                <w:bCs/>
                <w:sz w:val="24"/>
                <w:szCs w:val="24"/>
              </w:rPr>
              <w:t>The survey was trailed in the December edition of the PFCC newsletter</w:t>
            </w:r>
            <w:r>
              <w:rPr>
                <w:rFonts w:ascii="Calibri" w:hAnsi="Calibri" w:cs="Calibri"/>
                <w:bCs/>
                <w:sz w:val="24"/>
                <w:szCs w:val="24"/>
              </w:rPr>
              <w:t>.</w:t>
            </w:r>
          </w:p>
          <w:p w14:paraId="01DC5224" w14:textId="77777777" w:rsidR="007868AD" w:rsidRPr="006B03FC" w:rsidRDefault="007868AD" w:rsidP="007868AD">
            <w:pPr>
              <w:pStyle w:val="ListParagraph"/>
              <w:numPr>
                <w:ilvl w:val="0"/>
                <w:numId w:val="21"/>
              </w:numPr>
              <w:spacing w:after="160" w:line="259" w:lineRule="auto"/>
              <w:rPr>
                <w:rFonts w:ascii="Calibri" w:hAnsi="Calibri" w:cs="Calibri"/>
                <w:b/>
                <w:bCs/>
                <w:sz w:val="24"/>
                <w:szCs w:val="24"/>
              </w:rPr>
            </w:pPr>
            <w:r w:rsidRPr="006B03FC">
              <w:rPr>
                <w:rFonts w:ascii="Calibri" w:hAnsi="Calibri" w:cs="Calibri"/>
                <w:bCs/>
                <w:sz w:val="24"/>
                <w:szCs w:val="24"/>
              </w:rPr>
              <w:t>Further targeted news release to areas where response rate had been lower</w:t>
            </w:r>
            <w:r>
              <w:rPr>
                <w:rFonts w:ascii="Calibri" w:hAnsi="Calibri" w:cs="Calibri"/>
                <w:bCs/>
                <w:sz w:val="24"/>
                <w:szCs w:val="24"/>
              </w:rPr>
              <w:t>.</w:t>
            </w:r>
          </w:p>
        </w:tc>
        <w:tc>
          <w:tcPr>
            <w:tcW w:w="3969" w:type="dxa"/>
          </w:tcPr>
          <w:p w14:paraId="7C47E180" w14:textId="77777777" w:rsidR="007868AD" w:rsidRPr="006B03FC" w:rsidRDefault="007868AD" w:rsidP="00A402D2">
            <w:pPr>
              <w:rPr>
                <w:rFonts w:ascii="Calibri" w:hAnsi="Calibri" w:cs="Calibri"/>
                <w:sz w:val="24"/>
                <w:szCs w:val="24"/>
              </w:rPr>
            </w:pPr>
            <w:r w:rsidRPr="006B03FC">
              <w:rPr>
                <w:rFonts w:ascii="Calibri" w:hAnsi="Calibri" w:cs="Calibri"/>
                <w:sz w:val="24"/>
                <w:szCs w:val="24"/>
              </w:rPr>
              <w:t xml:space="preserve">The news release went to over 60 newsrooms (print and broadcast including the Northampton Chronicle and Echo and BBC Radio Northampton), plus individual reporters and other local news sites. </w:t>
            </w:r>
          </w:p>
          <w:p w14:paraId="6CA2F511" w14:textId="77777777" w:rsidR="007868AD" w:rsidRPr="006B03FC" w:rsidRDefault="007868AD" w:rsidP="00A402D2">
            <w:pPr>
              <w:rPr>
                <w:rFonts w:ascii="Calibri" w:hAnsi="Calibri" w:cs="Calibri"/>
                <w:sz w:val="24"/>
                <w:szCs w:val="24"/>
              </w:rPr>
            </w:pPr>
            <w:r w:rsidRPr="006B03FC">
              <w:rPr>
                <w:rFonts w:ascii="Calibri" w:hAnsi="Calibri" w:cs="Calibri"/>
                <w:sz w:val="24"/>
                <w:szCs w:val="24"/>
              </w:rPr>
              <w:t>Coverage on Northampton Chronicle, Northamptonshire Telegraph and Daventry Express on December 12.</w:t>
            </w:r>
          </w:p>
          <w:p w14:paraId="42A090FA" w14:textId="77777777" w:rsidR="007868AD" w:rsidRPr="006B03FC" w:rsidRDefault="007868AD" w:rsidP="00A402D2">
            <w:pPr>
              <w:rPr>
                <w:rFonts w:ascii="Calibri" w:hAnsi="Calibri" w:cs="Calibri"/>
                <w:sz w:val="24"/>
                <w:szCs w:val="24"/>
              </w:rPr>
            </w:pPr>
            <w:r w:rsidRPr="006B03FC">
              <w:rPr>
                <w:rFonts w:ascii="Calibri" w:hAnsi="Calibri" w:cs="Calibri"/>
                <w:sz w:val="24"/>
                <w:szCs w:val="24"/>
              </w:rPr>
              <w:t>A further targeted news release to encourage more residents in Wellingborough and Corby to fill in the survey was sent to Northamptonshire Telegraph and published on January 9.</w:t>
            </w:r>
          </w:p>
        </w:tc>
      </w:tr>
      <w:tr w:rsidR="007868AD" w:rsidRPr="006B03FC" w14:paraId="1702FFA9" w14:textId="77777777" w:rsidTr="00A402D2">
        <w:tc>
          <w:tcPr>
            <w:tcW w:w="5665" w:type="dxa"/>
          </w:tcPr>
          <w:p w14:paraId="3BD9E5A8" w14:textId="77777777" w:rsidR="007868AD" w:rsidRPr="006B03FC" w:rsidRDefault="007868AD" w:rsidP="00A402D2">
            <w:pPr>
              <w:spacing w:after="160" w:line="259" w:lineRule="auto"/>
              <w:jc w:val="both"/>
              <w:rPr>
                <w:rFonts w:ascii="Calibri" w:hAnsi="Calibri" w:cs="Calibri"/>
                <w:b/>
                <w:bCs/>
                <w:sz w:val="24"/>
                <w:szCs w:val="24"/>
              </w:rPr>
            </w:pPr>
            <w:r w:rsidRPr="006B03FC">
              <w:rPr>
                <w:rFonts w:ascii="Calibri" w:hAnsi="Calibri" w:cs="Calibri"/>
                <w:b/>
                <w:bCs/>
                <w:sz w:val="24"/>
                <w:szCs w:val="24"/>
              </w:rPr>
              <w:t xml:space="preserve">Digital and Social </w:t>
            </w:r>
          </w:p>
          <w:p w14:paraId="314C3A1F"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t>X (formerly Twitter) OPFCC account (native)</w:t>
            </w:r>
          </w:p>
          <w:p w14:paraId="545E73CE" w14:textId="77777777" w:rsidR="007868AD" w:rsidRDefault="007868AD" w:rsidP="00A402D2">
            <w:pPr>
              <w:spacing w:after="0" w:line="240" w:lineRule="auto"/>
              <w:rPr>
                <w:rFonts w:ascii="Calibri" w:hAnsi="Calibri" w:cs="Calibri"/>
                <w:sz w:val="24"/>
                <w:szCs w:val="24"/>
              </w:rPr>
            </w:pPr>
          </w:p>
          <w:p w14:paraId="468D76AF" w14:textId="77777777" w:rsidR="007868AD" w:rsidRPr="006B03FC" w:rsidRDefault="007868AD" w:rsidP="00A402D2">
            <w:pPr>
              <w:spacing w:after="0" w:line="240" w:lineRule="auto"/>
              <w:rPr>
                <w:rFonts w:ascii="Calibri" w:hAnsi="Calibri" w:cs="Calibri"/>
                <w:sz w:val="24"/>
                <w:szCs w:val="24"/>
              </w:rPr>
            </w:pPr>
          </w:p>
          <w:p w14:paraId="3C0EF10A"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t>X (formerly Twitter) NFRS account</w:t>
            </w:r>
          </w:p>
          <w:p w14:paraId="2441E1D4" w14:textId="77777777" w:rsidR="007868AD" w:rsidRPr="006B03FC" w:rsidRDefault="007868AD" w:rsidP="00A402D2">
            <w:pPr>
              <w:spacing w:after="0" w:line="240" w:lineRule="auto"/>
              <w:rPr>
                <w:rFonts w:ascii="Calibri" w:hAnsi="Calibri" w:cs="Calibri"/>
                <w:sz w:val="24"/>
                <w:szCs w:val="24"/>
              </w:rPr>
            </w:pPr>
          </w:p>
          <w:p w14:paraId="0E8149A7" w14:textId="77777777" w:rsidR="007868AD" w:rsidRPr="006B03FC" w:rsidRDefault="007868AD" w:rsidP="00A402D2">
            <w:pPr>
              <w:spacing w:after="0" w:line="240" w:lineRule="auto"/>
              <w:rPr>
                <w:rFonts w:ascii="Calibri" w:hAnsi="Calibri" w:cs="Calibri"/>
                <w:sz w:val="24"/>
                <w:szCs w:val="24"/>
              </w:rPr>
            </w:pPr>
          </w:p>
          <w:p w14:paraId="10F331A9"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lastRenderedPageBreak/>
              <w:t>Meta (Facebook/Instagram) account native</w:t>
            </w:r>
          </w:p>
          <w:p w14:paraId="5CC4D764" w14:textId="77777777" w:rsidR="007868AD" w:rsidRDefault="007868AD" w:rsidP="00A402D2">
            <w:pPr>
              <w:spacing w:after="0" w:line="240" w:lineRule="auto"/>
              <w:rPr>
                <w:rFonts w:ascii="Calibri" w:hAnsi="Calibri" w:cs="Calibri"/>
                <w:sz w:val="24"/>
                <w:szCs w:val="24"/>
              </w:rPr>
            </w:pPr>
          </w:p>
          <w:p w14:paraId="0687FD9C" w14:textId="77777777" w:rsidR="007868AD" w:rsidRPr="006B03FC" w:rsidRDefault="007868AD" w:rsidP="00A402D2">
            <w:pPr>
              <w:spacing w:after="0" w:line="240" w:lineRule="auto"/>
              <w:rPr>
                <w:rFonts w:ascii="Calibri" w:hAnsi="Calibri" w:cs="Calibri"/>
                <w:sz w:val="24"/>
                <w:szCs w:val="24"/>
              </w:rPr>
            </w:pPr>
          </w:p>
          <w:p w14:paraId="2A18FAD4"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t>Meta adverts including Facebook (paid, £72.07)</w:t>
            </w:r>
          </w:p>
          <w:p w14:paraId="1B5B507D" w14:textId="77777777" w:rsidR="007868AD" w:rsidRDefault="007868AD" w:rsidP="00A402D2">
            <w:pPr>
              <w:spacing w:after="0" w:line="240" w:lineRule="auto"/>
              <w:rPr>
                <w:rFonts w:ascii="Calibri" w:hAnsi="Calibri" w:cs="Calibri"/>
                <w:sz w:val="24"/>
                <w:szCs w:val="24"/>
              </w:rPr>
            </w:pPr>
            <w:r>
              <w:rPr>
                <w:rFonts w:ascii="Calibri" w:hAnsi="Calibri" w:cs="Calibri"/>
                <w:sz w:val="24"/>
                <w:szCs w:val="24"/>
              </w:rPr>
              <w:t xml:space="preserve"> </w:t>
            </w:r>
          </w:p>
          <w:p w14:paraId="192B8B1A"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t>Google ads including YouTube (paid, £75.70)</w:t>
            </w:r>
          </w:p>
          <w:p w14:paraId="3684270F" w14:textId="77777777" w:rsidR="007868AD" w:rsidRPr="006B03FC" w:rsidRDefault="007868AD" w:rsidP="00A402D2">
            <w:pPr>
              <w:spacing w:after="0" w:line="240" w:lineRule="auto"/>
              <w:rPr>
                <w:rFonts w:ascii="Calibri" w:hAnsi="Calibri" w:cs="Calibri"/>
                <w:sz w:val="24"/>
                <w:szCs w:val="24"/>
              </w:rPr>
            </w:pPr>
          </w:p>
          <w:p w14:paraId="06DB3049" w14:textId="77777777" w:rsidR="007868AD" w:rsidRPr="006B03FC" w:rsidRDefault="007868AD" w:rsidP="00A402D2">
            <w:pPr>
              <w:spacing w:after="0" w:line="240" w:lineRule="auto"/>
              <w:rPr>
                <w:rFonts w:ascii="Calibri" w:hAnsi="Calibri" w:cs="Calibri"/>
                <w:sz w:val="24"/>
                <w:szCs w:val="24"/>
              </w:rPr>
            </w:pPr>
          </w:p>
          <w:p w14:paraId="21D81F16"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t>OPFCC &amp; Fire Website views - 4 different pages / news stories</w:t>
            </w:r>
          </w:p>
          <w:p w14:paraId="7B2D5C2A" w14:textId="77777777" w:rsidR="007868AD" w:rsidRPr="006B03FC" w:rsidRDefault="007868AD" w:rsidP="00A402D2">
            <w:pPr>
              <w:spacing w:after="0" w:line="240" w:lineRule="auto"/>
              <w:rPr>
                <w:rFonts w:ascii="Calibri" w:hAnsi="Calibri" w:cs="Calibri"/>
                <w:sz w:val="24"/>
                <w:szCs w:val="24"/>
              </w:rPr>
            </w:pPr>
          </w:p>
          <w:p w14:paraId="1635BAE9"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t>LinkedIn – OPFCC and NFRS</w:t>
            </w:r>
          </w:p>
          <w:p w14:paraId="265035AB" w14:textId="77777777" w:rsidR="007868AD" w:rsidRPr="006B03FC" w:rsidRDefault="007868AD" w:rsidP="00A402D2">
            <w:pPr>
              <w:spacing w:after="0" w:line="240" w:lineRule="auto"/>
              <w:rPr>
                <w:rFonts w:ascii="Calibri" w:hAnsi="Calibri" w:cs="Calibri"/>
                <w:sz w:val="24"/>
                <w:szCs w:val="24"/>
              </w:rPr>
            </w:pPr>
          </w:p>
          <w:p w14:paraId="6E279D5C"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t>Northamptonshire Talking (formerly Neighbourhood Alert) for OPFCC</w:t>
            </w:r>
          </w:p>
          <w:p w14:paraId="00CCD420" w14:textId="77777777" w:rsidR="007868AD" w:rsidRPr="006B03FC" w:rsidRDefault="007868AD" w:rsidP="00A402D2">
            <w:pPr>
              <w:spacing w:after="0" w:line="240" w:lineRule="auto"/>
              <w:rPr>
                <w:rFonts w:ascii="Calibri" w:hAnsi="Calibri" w:cs="Calibri"/>
                <w:sz w:val="24"/>
                <w:szCs w:val="24"/>
              </w:rPr>
            </w:pPr>
          </w:p>
          <w:p w14:paraId="4CF29349"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t>Next Door</w:t>
            </w:r>
          </w:p>
          <w:p w14:paraId="11093230" w14:textId="77777777" w:rsidR="007868AD" w:rsidRPr="006B03FC" w:rsidRDefault="007868AD" w:rsidP="00A402D2">
            <w:pPr>
              <w:spacing w:after="0" w:line="240" w:lineRule="auto"/>
              <w:rPr>
                <w:rFonts w:ascii="Calibri" w:hAnsi="Calibri" w:cs="Calibri"/>
                <w:b/>
                <w:sz w:val="24"/>
                <w:szCs w:val="24"/>
              </w:rPr>
            </w:pPr>
          </w:p>
        </w:tc>
        <w:tc>
          <w:tcPr>
            <w:tcW w:w="3969" w:type="dxa"/>
          </w:tcPr>
          <w:p w14:paraId="28D71223" w14:textId="77777777" w:rsidR="007868AD" w:rsidRPr="006B03FC" w:rsidRDefault="007868AD" w:rsidP="00A402D2">
            <w:pPr>
              <w:spacing w:after="160" w:line="259" w:lineRule="auto"/>
              <w:jc w:val="both"/>
              <w:rPr>
                <w:rFonts w:ascii="Calibri" w:hAnsi="Calibri" w:cs="Calibri"/>
                <w:b/>
                <w:bCs/>
                <w:sz w:val="24"/>
                <w:szCs w:val="24"/>
              </w:rPr>
            </w:pPr>
          </w:p>
          <w:p w14:paraId="5DDF931E"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t>34,380 impressions</w:t>
            </w:r>
          </w:p>
          <w:p w14:paraId="651BCDE6"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t>520 engagements</w:t>
            </w:r>
          </w:p>
          <w:p w14:paraId="76B6CEE3" w14:textId="77777777" w:rsidR="007868AD" w:rsidRPr="006B03FC" w:rsidRDefault="007868AD" w:rsidP="00A402D2">
            <w:pPr>
              <w:spacing w:after="0" w:line="240" w:lineRule="auto"/>
              <w:rPr>
                <w:rFonts w:ascii="Calibri" w:hAnsi="Calibri" w:cs="Calibri"/>
                <w:color w:val="FF0000"/>
                <w:sz w:val="24"/>
                <w:szCs w:val="24"/>
              </w:rPr>
            </w:pPr>
          </w:p>
          <w:p w14:paraId="5E2BCE9A"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t>2,748 impressions</w:t>
            </w:r>
          </w:p>
          <w:p w14:paraId="51A1D8C3"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t>32 engagements</w:t>
            </w:r>
          </w:p>
          <w:p w14:paraId="4905A37B" w14:textId="77777777" w:rsidR="007868AD" w:rsidRPr="006B03FC" w:rsidRDefault="007868AD" w:rsidP="00A402D2">
            <w:pPr>
              <w:spacing w:after="0" w:line="240" w:lineRule="auto"/>
              <w:rPr>
                <w:rFonts w:ascii="Calibri" w:hAnsi="Calibri" w:cs="Calibri"/>
                <w:color w:val="FF0000"/>
                <w:sz w:val="24"/>
                <w:szCs w:val="24"/>
              </w:rPr>
            </w:pPr>
          </w:p>
          <w:p w14:paraId="785D7C13"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lastRenderedPageBreak/>
              <w:t>12,931 impressions</w:t>
            </w:r>
          </w:p>
          <w:p w14:paraId="356DCF4D"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t>37 engagements</w:t>
            </w:r>
          </w:p>
          <w:p w14:paraId="50B6941D" w14:textId="77777777" w:rsidR="007868AD" w:rsidRPr="006B03FC" w:rsidRDefault="007868AD" w:rsidP="00A402D2">
            <w:pPr>
              <w:spacing w:after="0" w:line="240" w:lineRule="auto"/>
              <w:rPr>
                <w:rFonts w:ascii="Calibri" w:hAnsi="Calibri" w:cs="Calibri"/>
                <w:color w:val="FF0000"/>
                <w:sz w:val="24"/>
                <w:szCs w:val="24"/>
              </w:rPr>
            </w:pPr>
          </w:p>
          <w:p w14:paraId="075CFFE5"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t>10,375 reach</w:t>
            </w:r>
          </w:p>
          <w:p w14:paraId="15D1A220" w14:textId="77777777" w:rsidR="007868AD" w:rsidRPr="006B03FC" w:rsidRDefault="007868AD" w:rsidP="00A402D2">
            <w:pPr>
              <w:spacing w:after="0" w:line="240" w:lineRule="auto"/>
              <w:rPr>
                <w:rFonts w:ascii="Calibri" w:hAnsi="Calibri" w:cs="Calibri"/>
                <w:color w:val="FF0000"/>
                <w:sz w:val="24"/>
                <w:szCs w:val="24"/>
              </w:rPr>
            </w:pPr>
          </w:p>
          <w:p w14:paraId="2645665D"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t>479 impressions</w:t>
            </w:r>
          </w:p>
          <w:p w14:paraId="4F74D53A"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t>29 engagements</w:t>
            </w:r>
          </w:p>
          <w:p w14:paraId="5024EAEF" w14:textId="77777777" w:rsidR="007868AD" w:rsidRDefault="007868AD" w:rsidP="00A402D2">
            <w:pPr>
              <w:spacing w:after="0" w:line="240" w:lineRule="auto"/>
              <w:rPr>
                <w:rFonts w:ascii="Calibri" w:hAnsi="Calibri" w:cs="Calibri"/>
                <w:sz w:val="24"/>
                <w:szCs w:val="24"/>
              </w:rPr>
            </w:pPr>
          </w:p>
          <w:p w14:paraId="3355BD00"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t>745 hits</w:t>
            </w:r>
          </w:p>
          <w:p w14:paraId="7B406B3C" w14:textId="77777777" w:rsidR="007868AD" w:rsidRPr="006B03FC" w:rsidRDefault="007868AD" w:rsidP="00A402D2">
            <w:pPr>
              <w:spacing w:after="0" w:line="240" w:lineRule="auto"/>
              <w:rPr>
                <w:rFonts w:ascii="Calibri" w:hAnsi="Calibri" w:cs="Calibri"/>
                <w:color w:val="FF0000"/>
                <w:sz w:val="24"/>
                <w:szCs w:val="24"/>
              </w:rPr>
            </w:pPr>
          </w:p>
          <w:p w14:paraId="715ECC83" w14:textId="77777777" w:rsidR="007868AD" w:rsidRPr="006B03FC" w:rsidRDefault="007868AD" w:rsidP="00A402D2">
            <w:pPr>
              <w:spacing w:after="0" w:line="240" w:lineRule="auto"/>
              <w:rPr>
                <w:rFonts w:ascii="Calibri" w:hAnsi="Calibri" w:cs="Calibri"/>
                <w:color w:val="FF0000"/>
                <w:sz w:val="24"/>
                <w:szCs w:val="24"/>
              </w:rPr>
            </w:pPr>
          </w:p>
          <w:p w14:paraId="5CD8B732"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t>185 impressions</w:t>
            </w:r>
          </w:p>
          <w:p w14:paraId="00F8F1E1" w14:textId="77777777" w:rsidR="007868AD" w:rsidRPr="006B03FC" w:rsidRDefault="007868AD" w:rsidP="00A402D2">
            <w:pPr>
              <w:spacing w:after="0" w:line="240" w:lineRule="auto"/>
              <w:jc w:val="both"/>
              <w:rPr>
                <w:rFonts w:ascii="Calibri" w:hAnsi="Calibri" w:cs="Calibri"/>
                <w:color w:val="FF0000"/>
                <w:sz w:val="24"/>
                <w:szCs w:val="24"/>
              </w:rPr>
            </w:pPr>
          </w:p>
          <w:p w14:paraId="6963E9C0"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t>37,668 emails read</w:t>
            </w:r>
          </w:p>
          <w:p w14:paraId="390B609D"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t>1,471 clicks to survey</w:t>
            </w:r>
          </w:p>
          <w:p w14:paraId="048641A1" w14:textId="77777777" w:rsidR="007868AD" w:rsidRPr="006B03FC" w:rsidRDefault="007868AD" w:rsidP="00A402D2">
            <w:pPr>
              <w:spacing w:after="0" w:line="240" w:lineRule="auto"/>
              <w:rPr>
                <w:rFonts w:ascii="Calibri" w:hAnsi="Calibri" w:cs="Calibri"/>
                <w:color w:val="FF0000"/>
                <w:sz w:val="24"/>
                <w:szCs w:val="24"/>
              </w:rPr>
            </w:pPr>
          </w:p>
          <w:p w14:paraId="2D9061C1" w14:textId="77777777" w:rsidR="007868AD" w:rsidRPr="006B03FC" w:rsidRDefault="007868AD" w:rsidP="00A402D2">
            <w:pPr>
              <w:spacing w:after="0" w:line="240" w:lineRule="auto"/>
              <w:rPr>
                <w:rFonts w:ascii="Calibri" w:hAnsi="Calibri" w:cs="Calibri"/>
                <w:sz w:val="24"/>
                <w:szCs w:val="24"/>
              </w:rPr>
            </w:pPr>
            <w:r w:rsidRPr="006B03FC">
              <w:rPr>
                <w:rFonts w:ascii="Calibri" w:hAnsi="Calibri" w:cs="Calibri"/>
                <w:sz w:val="24"/>
                <w:szCs w:val="24"/>
              </w:rPr>
              <w:t>90,340 reach</w:t>
            </w:r>
          </w:p>
        </w:tc>
      </w:tr>
    </w:tbl>
    <w:p w14:paraId="6916A200" w14:textId="77777777" w:rsidR="007868AD" w:rsidRPr="006B03FC" w:rsidRDefault="007868AD" w:rsidP="007868AD">
      <w:pPr>
        <w:spacing w:after="160" w:line="259" w:lineRule="auto"/>
        <w:jc w:val="both"/>
        <w:rPr>
          <w:rFonts w:cs="Calibri"/>
          <w:sz w:val="24"/>
          <w:szCs w:val="24"/>
        </w:rPr>
      </w:pPr>
    </w:p>
    <w:p w14:paraId="2451CF44" w14:textId="77777777" w:rsidR="007868AD" w:rsidRPr="006B03FC" w:rsidRDefault="007868AD" w:rsidP="007868AD">
      <w:pPr>
        <w:rPr>
          <w:rFonts w:cs="Calibri"/>
          <w:b/>
          <w:bCs/>
          <w:sz w:val="24"/>
          <w:szCs w:val="24"/>
        </w:rPr>
      </w:pPr>
      <w:r w:rsidRPr="006B03FC">
        <w:rPr>
          <w:rFonts w:cs="Calibri"/>
          <w:b/>
          <w:bCs/>
          <w:sz w:val="24"/>
          <w:szCs w:val="24"/>
        </w:rPr>
        <w:t>Future consideration: WNC and NNC council tax survey</w:t>
      </w:r>
    </w:p>
    <w:p w14:paraId="71892171" w14:textId="77777777" w:rsidR="007868AD" w:rsidRPr="006B03FC" w:rsidRDefault="007868AD" w:rsidP="007868AD">
      <w:pPr>
        <w:jc w:val="both"/>
        <w:rPr>
          <w:rFonts w:cs="Calibri"/>
          <w:sz w:val="24"/>
          <w:szCs w:val="24"/>
        </w:rPr>
      </w:pPr>
      <w:r w:rsidRPr="006B03FC">
        <w:rPr>
          <w:rFonts w:cs="Calibri"/>
          <w:sz w:val="24"/>
          <w:szCs w:val="24"/>
        </w:rPr>
        <w:t>Both West and North Northamptonshire Council also consulted on their council tax at the same time as the Commissioner is consulting on his precept.</w:t>
      </w:r>
    </w:p>
    <w:p w14:paraId="34D4DFAB" w14:textId="77777777" w:rsidR="007868AD" w:rsidRDefault="007868AD" w:rsidP="007868AD">
      <w:pPr>
        <w:jc w:val="both"/>
        <w:rPr>
          <w:rFonts w:cs="Calibri"/>
          <w:sz w:val="24"/>
          <w:szCs w:val="24"/>
        </w:rPr>
      </w:pPr>
      <w:r w:rsidRPr="006B03FC">
        <w:rPr>
          <w:rFonts w:cs="Calibri"/>
          <w:sz w:val="24"/>
          <w:szCs w:val="24"/>
        </w:rPr>
        <w:t>We are actively engaging with our colleagues in the unitary authorities to see how we can work together more effectively to maximise the opportunity for residents to have their say and increase the numbers who respond still further.</w:t>
      </w:r>
    </w:p>
    <w:p w14:paraId="65956116" w14:textId="77777777" w:rsidR="007868AD" w:rsidRPr="006B03FC" w:rsidRDefault="007868AD" w:rsidP="007868AD">
      <w:pPr>
        <w:jc w:val="both"/>
        <w:rPr>
          <w:rFonts w:cs="Calibri"/>
          <w:sz w:val="24"/>
          <w:szCs w:val="24"/>
        </w:rPr>
      </w:pPr>
    </w:p>
    <w:p w14:paraId="2EBA6B26" w14:textId="77777777" w:rsidR="007868AD" w:rsidRPr="006B03FC" w:rsidRDefault="007868AD" w:rsidP="007868AD">
      <w:pPr>
        <w:spacing w:line="240" w:lineRule="auto"/>
        <w:jc w:val="both"/>
        <w:rPr>
          <w:rFonts w:cs="Calibri"/>
          <w:sz w:val="24"/>
          <w:szCs w:val="24"/>
        </w:rPr>
      </w:pPr>
      <w:bookmarkStart w:id="12" w:name="_Hlk157075825"/>
      <w:r w:rsidRPr="006B03FC">
        <w:rPr>
          <w:rFonts w:cs="Calibri"/>
          <w:sz w:val="24"/>
          <w:szCs w:val="24"/>
        </w:rPr>
        <w:t xml:space="preserve">The full report will be published on the PFCC website </w:t>
      </w:r>
      <w:r>
        <w:rPr>
          <w:rFonts w:cs="Calibri"/>
          <w:sz w:val="24"/>
          <w:szCs w:val="24"/>
        </w:rPr>
        <w:t>when all the analysis has been completed</w:t>
      </w:r>
      <w:r w:rsidRPr="006B03FC">
        <w:rPr>
          <w:rFonts w:cs="Calibri"/>
          <w:sz w:val="24"/>
          <w:szCs w:val="24"/>
        </w:rPr>
        <w:t>.</w:t>
      </w:r>
    </w:p>
    <w:bookmarkEnd w:id="12"/>
    <w:p w14:paraId="2F682DC0" w14:textId="1B80DAD8" w:rsidR="00D30F18" w:rsidRPr="003621E3" w:rsidRDefault="00D30F18" w:rsidP="003621E3">
      <w:pPr>
        <w:spacing w:after="160" w:line="259" w:lineRule="auto"/>
        <w:jc w:val="both"/>
        <w:rPr>
          <w:rFonts w:cs="Calibri"/>
          <w:sz w:val="24"/>
          <w:szCs w:val="24"/>
          <w:highlight w:val="yellow"/>
        </w:rPr>
      </w:pPr>
    </w:p>
    <w:p w14:paraId="3BDAC72A" w14:textId="77777777" w:rsidR="00D30F18" w:rsidRPr="00095FC7" w:rsidRDefault="00D30F18" w:rsidP="00B63812">
      <w:pPr>
        <w:spacing w:after="0" w:line="240" w:lineRule="auto"/>
        <w:jc w:val="both"/>
        <w:rPr>
          <w:rFonts w:asciiTheme="minorHAnsi" w:hAnsiTheme="minorHAnsi" w:cstheme="minorHAnsi"/>
          <w:b/>
          <w:sz w:val="24"/>
          <w:szCs w:val="24"/>
          <w:highlight w:val="yellow"/>
        </w:rPr>
      </w:pPr>
      <w:r w:rsidRPr="00095FC7">
        <w:rPr>
          <w:rFonts w:asciiTheme="minorHAnsi" w:hAnsiTheme="minorHAnsi" w:cstheme="minorHAnsi"/>
          <w:b/>
          <w:sz w:val="24"/>
          <w:szCs w:val="24"/>
          <w:highlight w:val="yellow"/>
        </w:rPr>
        <w:br w:type="page"/>
      </w:r>
    </w:p>
    <w:p w14:paraId="0E67361F" w14:textId="67D39A7E" w:rsidR="004B3B2B" w:rsidRPr="00D953AE" w:rsidRDefault="00430ADC" w:rsidP="00C242D6">
      <w:pPr>
        <w:pStyle w:val="Header"/>
        <w:ind w:right="-990"/>
        <w:rPr>
          <w:rFonts w:asciiTheme="minorHAnsi" w:hAnsiTheme="minorHAnsi" w:cs="Arial"/>
          <w:b/>
          <w:sz w:val="24"/>
          <w:szCs w:val="24"/>
        </w:rPr>
      </w:pPr>
      <w:r w:rsidRPr="00D953AE">
        <w:rPr>
          <w:rFonts w:asciiTheme="minorHAnsi" w:hAnsiTheme="minorHAnsi" w:cs="Arial"/>
          <w:b/>
          <w:sz w:val="24"/>
          <w:szCs w:val="24"/>
        </w:rPr>
        <w:lastRenderedPageBreak/>
        <w:t xml:space="preserve">Appendix </w:t>
      </w:r>
      <w:r w:rsidR="00375414" w:rsidRPr="00D953AE">
        <w:rPr>
          <w:rFonts w:asciiTheme="minorHAnsi" w:hAnsiTheme="minorHAnsi" w:cs="Arial"/>
          <w:b/>
          <w:sz w:val="24"/>
          <w:szCs w:val="24"/>
        </w:rPr>
        <w:t>B</w:t>
      </w:r>
    </w:p>
    <w:p w14:paraId="2893EEDF" w14:textId="629C952F" w:rsidR="00CA6DD9" w:rsidRPr="00D953AE" w:rsidRDefault="00430ADC" w:rsidP="00D72DFE">
      <w:pPr>
        <w:pStyle w:val="Header"/>
        <w:ind w:right="-990"/>
        <w:rPr>
          <w:rFonts w:asciiTheme="minorHAnsi" w:hAnsiTheme="minorHAnsi" w:cs="Arial"/>
          <w:b/>
          <w:sz w:val="24"/>
          <w:szCs w:val="24"/>
        </w:rPr>
      </w:pPr>
      <w:r w:rsidRPr="00D953AE">
        <w:rPr>
          <w:rFonts w:asciiTheme="minorHAnsi" w:hAnsiTheme="minorHAnsi" w:cs="Arial"/>
          <w:b/>
          <w:sz w:val="24"/>
          <w:szCs w:val="24"/>
        </w:rPr>
        <w:t xml:space="preserve">Medium Term Financial Plan </w:t>
      </w:r>
      <w:r w:rsidR="00D72DFE">
        <w:rPr>
          <w:rFonts w:asciiTheme="minorHAnsi" w:hAnsiTheme="minorHAnsi" w:cs="Arial"/>
          <w:b/>
          <w:sz w:val="24"/>
          <w:szCs w:val="24"/>
        </w:rPr>
        <w:t>2024/25 - 2028/29</w:t>
      </w:r>
    </w:p>
    <w:p w14:paraId="4E3FAFE9" w14:textId="77777777" w:rsidR="009E48A8" w:rsidRPr="00D953AE" w:rsidRDefault="009E48A8" w:rsidP="00F85DB4">
      <w:pPr>
        <w:pStyle w:val="Header"/>
        <w:ind w:right="-990"/>
        <w:jc w:val="center"/>
        <w:rPr>
          <w:rFonts w:ascii="Arial" w:hAnsi="Arial" w:cs="Arial"/>
          <w:b/>
        </w:rPr>
      </w:pPr>
    </w:p>
    <w:tbl>
      <w:tblPr>
        <w:tblW w:w="10276" w:type="dxa"/>
        <w:tblLook w:val="04A0" w:firstRow="1" w:lastRow="0" w:firstColumn="1" w:lastColumn="0" w:noHBand="0" w:noVBand="1"/>
      </w:tblPr>
      <w:tblGrid>
        <w:gridCol w:w="1128"/>
        <w:gridCol w:w="3508"/>
        <w:gridCol w:w="1128"/>
        <w:gridCol w:w="1128"/>
        <w:gridCol w:w="1128"/>
        <w:gridCol w:w="1128"/>
        <w:gridCol w:w="1128"/>
      </w:tblGrid>
      <w:tr w:rsidR="00D72DFE" w:rsidRPr="00D72DFE" w14:paraId="05AFC3B4" w14:textId="77777777" w:rsidTr="00D72DFE">
        <w:trPr>
          <w:trHeight w:val="315"/>
        </w:trPr>
        <w:tc>
          <w:tcPr>
            <w:tcW w:w="1128" w:type="dxa"/>
            <w:tcBorders>
              <w:top w:val="nil"/>
              <w:left w:val="nil"/>
              <w:bottom w:val="nil"/>
              <w:right w:val="nil"/>
            </w:tcBorders>
            <w:shd w:val="clear" w:color="000000" w:fill="FFFFFF"/>
            <w:noWrap/>
            <w:vAlign w:val="bottom"/>
            <w:hideMark/>
          </w:tcPr>
          <w:p w14:paraId="5CF2B8A6"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3508" w:type="dxa"/>
            <w:tcBorders>
              <w:top w:val="nil"/>
              <w:left w:val="nil"/>
              <w:bottom w:val="nil"/>
              <w:right w:val="nil"/>
            </w:tcBorders>
            <w:shd w:val="clear" w:color="000000" w:fill="FFFFFF"/>
            <w:noWrap/>
            <w:vAlign w:val="bottom"/>
            <w:hideMark/>
          </w:tcPr>
          <w:p w14:paraId="66A2A660"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5640" w:type="dxa"/>
            <w:gridSpan w:val="5"/>
            <w:tcBorders>
              <w:top w:val="single" w:sz="4" w:space="0" w:color="auto"/>
              <w:left w:val="single" w:sz="4" w:space="0" w:color="auto"/>
              <w:bottom w:val="single" w:sz="4" w:space="0" w:color="auto"/>
              <w:right w:val="single" w:sz="4" w:space="0" w:color="000000"/>
            </w:tcBorders>
            <w:shd w:val="clear" w:color="000000" w:fill="FFDDDD"/>
            <w:noWrap/>
            <w:vAlign w:val="center"/>
            <w:hideMark/>
          </w:tcPr>
          <w:p w14:paraId="08D59B34" w14:textId="77777777" w:rsidR="00D72DFE" w:rsidRPr="00D72DFE" w:rsidRDefault="00D72DFE" w:rsidP="00D72DFE">
            <w:pPr>
              <w:spacing w:after="0" w:line="240" w:lineRule="auto"/>
              <w:jc w:val="center"/>
              <w:rPr>
                <w:rFonts w:eastAsia="Times New Roman" w:cs="Calibri"/>
                <w:b/>
                <w:bCs/>
                <w:i/>
                <w:iCs/>
                <w:color w:val="000000"/>
                <w:sz w:val="20"/>
                <w:szCs w:val="20"/>
                <w:lang w:eastAsia="en-GB"/>
              </w:rPr>
            </w:pPr>
            <w:r w:rsidRPr="00D72DFE">
              <w:rPr>
                <w:rFonts w:eastAsia="Times New Roman" w:cs="Calibri"/>
                <w:b/>
                <w:bCs/>
                <w:i/>
                <w:iCs/>
                <w:color w:val="000000"/>
                <w:sz w:val="20"/>
                <w:szCs w:val="20"/>
                <w:lang w:eastAsia="en-GB"/>
              </w:rPr>
              <w:t>MTFP - 2.99% Precept</w:t>
            </w:r>
          </w:p>
        </w:tc>
      </w:tr>
      <w:tr w:rsidR="00D72DFE" w:rsidRPr="00D72DFE" w14:paraId="57C0709F" w14:textId="77777777" w:rsidTr="00D72DFE">
        <w:trPr>
          <w:trHeight w:val="300"/>
        </w:trPr>
        <w:tc>
          <w:tcPr>
            <w:tcW w:w="1128" w:type="dxa"/>
            <w:tcBorders>
              <w:top w:val="single" w:sz="4" w:space="0" w:color="auto"/>
              <w:left w:val="single" w:sz="4" w:space="0" w:color="auto"/>
              <w:bottom w:val="nil"/>
              <w:right w:val="single" w:sz="4" w:space="0" w:color="auto"/>
            </w:tcBorders>
            <w:shd w:val="clear" w:color="000000" w:fill="FFFFFF"/>
            <w:noWrap/>
            <w:vAlign w:val="bottom"/>
            <w:hideMark/>
          </w:tcPr>
          <w:p w14:paraId="42F39181" w14:textId="77777777" w:rsidR="00D72DFE" w:rsidRPr="00D72DFE" w:rsidRDefault="00D72DFE" w:rsidP="00D72DFE">
            <w:pPr>
              <w:spacing w:after="0" w:line="240" w:lineRule="auto"/>
              <w:jc w:val="center"/>
              <w:rPr>
                <w:rFonts w:eastAsia="Times New Roman" w:cs="Calibri"/>
                <w:b/>
                <w:bCs/>
                <w:color w:val="000000"/>
                <w:sz w:val="20"/>
                <w:szCs w:val="20"/>
                <w:lang w:eastAsia="en-GB"/>
              </w:rPr>
            </w:pPr>
            <w:r w:rsidRPr="00D72DFE">
              <w:rPr>
                <w:rFonts w:eastAsia="Times New Roman" w:cs="Calibri"/>
                <w:b/>
                <w:bCs/>
                <w:color w:val="000000"/>
                <w:sz w:val="20"/>
                <w:szCs w:val="20"/>
                <w:lang w:eastAsia="en-GB"/>
              </w:rPr>
              <w:t>2023/24</w:t>
            </w:r>
          </w:p>
        </w:tc>
        <w:tc>
          <w:tcPr>
            <w:tcW w:w="3508" w:type="dxa"/>
            <w:tcBorders>
              <w:top w:val="single" w:sz="4" w:space="0" w:color="auto"/>
              <w:left w:val="nil"/>
              <w:bottom w:val="nil"/>
              <w:right w:val="single" w:sz="4" w:space="0" w:color="auto"/>
            </w:tcBorders>
            <w:shd w:val="clear" w:color="000000" w:fill="FFFFFF"/>
            <w:noWrap/>
            <w:vAlign w:val="bottom"/>
            <w:hideMark/>
          </w:tcPr>
          <w:p w14:paraId="1521D5C9" w14:textId="77777777" w:rsidR="00D72DFE" w:rsidRPr="00D72DFE" w:rsidRDefault="00D72DFE" w:rsidP="00D72DFE">
            <w:pPr>
              <w:spacing w:after="0" w:line="240" w:lineRule="auto"/>
              <w:jc w:val="center"/>
              <w:rPr>
                <w:rFonts w:eastAsia="Times New Roman" w:cs="Calibri"/>
                <w:b/>
                <w:bCs/>
                <w:color w:val="000000"/>
                <w:sz w:val="20"/>
                <w:szCs w:val="20"/>
                <w:lang w:eastAsia="en-GB"/>
              </w:rPr>
            </w:pPr>
            <w:r w:rsidRPr="00D72DFE">
              <w:rPr>
                <w:rFonts w:eastAsia="Times New Roman" w:cs="Calibri"/>
                <w:b/>
                <w:bCs/>
                <w:color w:val="000000"/>
                <w:sz w:val="20"/>
                <w:szCs w:val="20"/>
                <w:lang w:eastAsia="en-GB"/>
              </w:rPr>
              <w:t> </w:t>
            </w:r>
          </w:p>
        </w:tc>
        <w:tc>
          <w:tcPr>
            <w:tcW w:w="1128" w:type="dxa"/>
            <w:tcBorders>
              <w:top w:val="single" w:sz="4" w:space="0" w:color="auto"/>
              <w:left w:val="nil"/>
              <w:bottom w:val="nil"/>
              <w:right w:val="single" w:sz="4" w:space="0" w:color="auto"/>
            </w:tcBorders>
            <w:shd w:val="clear" w:color="000000" w:fill="FFFFFF"/>
            <w:noWrap/>
            <w:vAlign w:val="bottom"/>
            <w:hideMark/>
          </w:tcPr>
          <w:p w14:paraId="4E134447" w14:textId="77777777" w:rsidR="00D72DFE" w:rsidRPr="00D72DFE" w:rsidRDefault="00D72DFE" w:rsidP="00D72DFE">
            <w:pPr>
              <w:spacing w:after="0" w:line="240" w:lineRule="auto"/>
              <w:jc w:val="center"/>
              <w:rPr>
                <w:rFonts w:eastAsia="Times New Roman" w:cs="Calibri"/>
                <w:b/>
                <w:bCs/>
                <w:color w:val="000000"/>
                <w:sz w:val="20"/>
                <w:szCs w:val="20"/>
                <w:lang w:eastAsia="en-GB"/>
              </w:rPr>
            </w:pPr>
            <w:r w:rsidRPr="00D72DFE">
              <w:rPr>
                <w:rFonts w:eastAsia="Times New Roman" w:cs="Calibri"/>
                <w:b/>
                <w:bCs/>
                <w:color w:val="000000"/>
                <w:sz w:val="20"/>
                <w:szCs w:val="20"/>
                <w:lang w:eastAsia="en-GB"/>
              </w:rPr>
              <w:t>2024/25</w:t>
            </w:r>
          </w:p>
        </w:tc>
        <w:tc>
          <w:tcPr>
            <w:tcW w:w="1128" w:type="dxa"/>
            <w:tcBorders>
              <w:top w:val="single" w:sz="4" w:space="0" w:color="auto"/>
              <w:left w:val="nil"/>
              <w:bottom w:val="nil"/>
              <w:right w:val="single" w:sz="4" w:space="0" w:color="auto"/>
            </w:tcBorders>
            <w:shd w:val="clear" w:color="000000" w:fill="FFFFFF"/>
            <w:noWrap/>
            <w:vAlign w:val="bottom"/>
            <w:hideMark/>
          </w:tcPr>
          <w:p w14:paraId="542F43D7" w14:textId="77777777" w:rsidR="00D72DFE" w:rsidRPr="00D72DFE" w:rsidRDefault="00D72DFE" w:rsidP="00D72DFE">
            <w:pPr>
              <w:spacing w:after="0" w:line="240" w:lineRule="auto"/>
              <w:jc w:val="center"/>
              <w:rPr>
                <w:rFonts w:eastAsia="Times New Roman" w:cs="Calibri"/>
                <w:b/>
                <w:bCs/>
                <w:color w:val="000000"/>
                <w:sz w:val="20"/>
                <w:szCs w:val="20"/>
                <w:lang w:eastAsia="en-GB"/>
              </w:rPr>
            </w:pPr>
            <w:r w:rsidRPr="00D72DFE">
              <w:rPr>
                <w:rFonts w:eastAsia="Times New Roman" w:cs="Calibri"/>
                <w:b/>
                <w:bCs/>
                <w:color w:val="000000"/>
                <w:sz w:val="20"/>
                <w:szCs w:val="20"/>
                <w:lang w:eastAsia="en-GB"/>
              </w:rPr>
              <w:t>2025/26</w:t>
            </w:r>
          </w:p>
        </w:tc>
        <w:tc>
          <w:tcPr>
            <w:tcW w:w="1128" w:type="dxa"/>
            <w:tcBorders>
              <w:top w:val="single" w:sz="4" w:space="0" w:color="auto"/>
              <w:left w:val="nil"/>
              <w:bottom w:val="nil"/>
              <w:right w:val="single" w:sz="4" w:space="0" w:color="auto"/>
            </w:tcBorders>
            <w:shd w:val="clear" w:color="000000" w:fill="FFFFFF"/>
            <w:noWrap/>
            <w:vAlign w:val="bottom"/>
            <w:hideMark/>
          </w:tcPr>
          <w:p w14:paraId="344A6619" w14:textId="77777777" w:rsidR="00D72DFE" w:rsidRPr="00D72DFE" w:rsidRDefault="00D72DFE" w:rsidP="00D72DFE">
            <w:pPr>
              <w:spacing w:after="0" w:line="240" w:lineRule="auto"/>
              <w:jc w:val="center"/>
              <w:rPr>
                <w:rFonts w:eastAsia="Times New Roman" w:cs="Calibri"/>
                <w:b/>
                <w:bCs/>
                <w:color w:val="000000"/>
                <w:sz w:val="20"/>
                <w:szCs w:val="20"/>
                <w:lang w:eastAsia="en-GB"/>
              </w:rPr>
            </w:pPr>
            <w:r w:rsidRPr="00D72DFE">
              <w:rPr>
                <w:rFonts w:eastAsia="Times New Roman" w:cs="Calibri"/>
                <w:b/>
                <w:bCs/>
                <w:color w:val="000000"/>
                <w:sz w:val="20"/>
                <w:szCs w:val="20"/>
                <w:lang w:eastAsia="en-GB"/>
              </w:rPr>
              <w:t>2026/27</w:t>
            </w:r>
          </w:p>
        </w:tc>
        <w:tc>
          <w:tcPr>
            <w:tcW w:w="1128" w:type="dxa"/>
            <w:tcBorders>
              <w:top w:val="single" w:sz="4" w:space="0" w:color="auto"/>
              <w:left w:val="nil"/>
              <w:bottom w:val="nil"/>
              <w:right w:val="single" w:sz="4" w:space="0" w:color="auto"/>
            </w:tcBorders>
            <w:shd w:val="clear" w:color="000000" w:fill="FFFFFF"/>
            <w:noWrap/>
            <w:vAlign w:val="bottom"/>
            <w:hideMark/>
          </w:tcPr>
          <w:p w14:paraId="253BA281" w14:textId="77777777" w:rsidR="00D72DFE" w:rsidRPr="00D72DFE" w:rsidRDefault="00D72DFE" w:rsidP="00D72DFE">
            <w:pPr>
              <w:spacing w:after="0" w:line="240" w:lineRule="auto"/>
              <w:jc w:val="center"/>
              <w:rPr>
                <w:rFonts w:eastAsia="Times New Roman" w:cs="Calibri"/>
                <w:b/>
                <w:bCs/>
                <w:color w:val="000000"/>
                <w:sz w:val="20"/>
                <w:szCs w:val="20"/>
                <w:lang w:eastAsia="en-GB"/>
              </w:rPr>
            </w:pPr>
            <w:r w:rsidRPr="00D72DFE">
              <w:rPr>
                <w:rFonts w:eastAsia="Times New Roman" w:cs="Calibri"/>
                <w:b/>
                <w:bCs/>
                <w:color w:val="000000"/>
                <w:sz w:val="20"/>
                <w:szCs w:val="20"/>
                <w:lang w:eastAsia="en-GB"/>
              </w:rPr>
              <w:t>2027/28</w:t>
            </w:r>
          </w:p>
        </w:tc>
        <w:tc>
          <w:tcPr>
            <w:tcW w:w="1128" w:type="dxa"/>
            <w:tcBorders>
              <w:top w:val="single" w:sz="4" w:space="0" w:color="auto"/>
              <w:left w:val="nil"/>
              <w:bottom w:val="nil"/>
              <w:right w:val="single" w:sz="4" w:space="0" w:color="auto"/>
            </w:tcBorders>
            <w:shd w:val="clear" w:color="000000" w:fill="FFFFFF"/>
            <w:noWrap/>
            <w:vAlign w:val="bottom"/>
            <w:hideMark/>
          </w:tcPr>
          <w:p w14:paraId="7BD5E508" w14:textId="77777777" w:rsidR="00D72DFE" w:rsidRPr="00D72DFE" w:rsidRDefault="00D72DFE" w:rsidP="00D72DFE">
            <w:pPr>
              <w:spacing w:after="0" w:line="240" w:lineRule="auto"/>
              <w:jc w:val="center"/>
              <w:rPr>
                <w:rFonts w:eastAsia="Times New Roman" w:cs="Calibri"/>
                <w:b/>
                <w:bCs/>
                <w:color w:val="000000"/>
                <w:sz w:val="20"/>
                <w:szCs w:val="20"/>
                <w:lang w:eastAsia="en-GB"/>
              </w:rPr>
            </w:pPr>
            <w:r w:rsidRPr="00D72DFE">
              <w:rPr>
                <w:rFonts w:eastAsia="Times New Roman" w:cs="Calibri"/>
                <w:b/>
                <w:bCs/>
                <w:color w:val="000000"/>
                <w:sz w:val="20"/>
                <w:szCs w:val="20"/>
                <w:lang w:eastAsia="en-GB"/>
              </w:rPr>
              <w:t>2028/29</w:t>
            </w:r>
          </w:p>
        </w:tc>
      </w:tr>
      <w:tr w:rsidR="00D72DFE" w:rsidRPr="00D72DFE" w14:paraId="2597737D" w14:textId="77777777" w:rsidTr="00D72DFE">
        <w:trPr>
          <w:trHeight w:val="300"/>
        </w:trPr>
        <w:tc>
          <w:tcPr>
            <w:tcW w:w="1128" w:type="dxa"/>
            <w:tcBorders>
              <w:top w:val="nil"/>
              <w:left w:val="single" w:sz="4" w:space="0" w:color="auto"/>
              <w:bottom w:val="single" w:sz="4" w:space="0" w:color="auto"/>
              <w:right w:val="single" w:sz="4" w:space="0" w:color="auto"/>
            </w:tcBorders>
            <w:shd w:val="clear" w:color="000000" w:fill="FFFFFF"/>
            <w:noWrap/>
            <w:vAlign w:val="bottom"/>
            <w:hideMark/>
          </w:tcPr>
          <w:p w14:paraId="0CAD6266" w14:textId="77777777" w:rsidR="00D72DFE" w:rsidRPr="00D72DFE" w:rsidRDefault="00D72DFE" w:rsidP="00D72DFE">
            <w:pPr>
              <w:spacing w:after="0" w:line="240" w:lineRule="auto"/>
              <w:jc w:val="center"/>
              <w:rPr>
                <w:rFonts w:eastAsia="Times New Roman" w:cs="Calibri"/>
                <w:b/>
                <w:bCs/>
                <w:color w:val="000000"/>
                <w:sz w:val="20"/>
                <w:szCs w:val="20"/>
                <w:lang w:eastAsia="en-GB"/>
              </w:rPr>
            </w:pPr>
            <w:r w:rsidRPr="00D72DFE">
              <w:rPr>
                <w:rFonts w:eastAsia="Times New Roman" w:cs="Calibri"/>
                <w:b/>
                <w:bCs/>
                <w:color w:val="000000"/>
                <w:sz w:val="20"/>
                <w:szCs w:val="20"/>
                <w:lang w:eastAsia="en-GB"/>
              </w:rPr>
              <w:t>£'000</w:t>
            </w:r>
          </w:p>
        </w:tc>
        <w:tc>
          <w:tcPr>
            <w:tcW w:w="3508" w:type="dxa"/>
            <w:tcBorders>
              <w:top w:val="nil"/>
              <w:left w:val="nil"/>
              <w:bottom w:val="single" w:sz="4" w:space="0" w:color="auto"/>
              <w:right w:val="single" w:sz="4" w:space="0" w:color="auto"/>
            </w:tcBorders>
            <w:shd w:val="clear" w:color="000000" w:fill="FFFFFF"/>
            <w:noWrap/>
            <w:vAlign w:val="bottom"/>
            <w:hideMark/>
          </w:tcPr>
          <w:p w14:paraId="72A4A656" w14:textId="77777777" w:rsidR="00D72DFE" w:rsidRPr="00D72DFE" w:rsidRDefault="00D72DFE" w:rsidP="00D72DFE">
            <w:pPr>
              <w:spacing w:after="0" w:line="240" w:lineRule="auto"/>
              <w:jc w:val="center"/>
              <w:rPr>
                <w:rFonts w:eastAsia="Times New Roman" w:cs="Calibri"/>
                <w:b/>
                <w:bCs/>
                <w:color w:val="000000"/>
                <w:sz w:val="20"/>
                <w:szCs w:val="20"/>
                <w:lang w:eastAsia="en-GB"/>
              </w:rPr>
            </w:pPr>
            <w:r w:rsidRPr="00D72DFE">
              <w:rPr>
                <w:rFonts w:eastAsia="Times New Roman" w:cs="Calibri"/>
                <w:b/>
                <w:bCs/>
                <w:color w:val="000000"/>
                <w:sz w:val="20"/>
                <w:szCs w:val="20"/>
                <w:lang w:eastAsia="en-GB"/>
              </w:rPr>
              <w:t> </w:t>
            </w:r>
          </w:p>
        </w:tc>
        <w:tc>
          <w:tcPr>
            <w:tcW w:w="1128" w:type="dxa"/>
            <w:tcBorders>
              <w:top w:val="nil"/>
              <w:left w:val="nil"/>
              <w:bottom w:val="single" w:sz="4" w:space="0" w:color="auto"/>
              <w:right w:val="single" w:sz="4" w:space="0" w:color="auto"/>
            </w:tcBorders>
            <w:shd w:val="clear" w:color="000000" w:fill="FFFFFF"/>
            <w:noWrap/>
            <w:vAlign w:val="bottom"/>
            <w:hideMark/>
          </w:tcPr>
          <w:p w14:paraId="318E35CB" w14:textId="77777777" w:rsidR="00D72DFE" w:rsidRPr="00D72DFE" w:rsidRDefault="00D72DFE" w:rsidP="00D72DFE">
            <w:pPr>
              <w:spacing w:after="0" w:line="240" w:lineRule="auto"/>
              <w:jc w:val="center"/>
              <w:rPr>
                <w:rFonts w:eastAsia="Times New Roman" w:cs="Calibri"/>
                <w:b/>
                <w:bCs/>
                <w:color w:val="000000"/>
                <w:sz w:val="20"/>
                <w:szCs w:val="20"/>
                <w:lang w:eastAsia="en-GB"/>
              </w:rPr>
            </w:pPr>
            <w:r w:rsidRPr="00D72DFE">
              <w:rPr>
                <w:rFonts w:eastAsia="Times New Roman" w:cs="Calibri"/>
                <w:b/>
                <w:bCs/>
                <w:color w:val="000000"/>
                <w:sz w:val="20"/>
                <w:szCs w:val="20"/>
                <w:lang w:eastAsia="en-GB"/>
              </w:rPr>
              <w:t>£'000</w:t>
            </w:r>
          </w:p>
        </w:tc>
        <w:tc>
          <w:tcPr>
            <w:tcW w:w="1128" w:type="dxa"/>
            <w:tcBorders>
              <w:top w:val="nil"/>
              <w:left w:val="nil"/>
              <w:bottom w:val="single" w:sz="4" w:space="0" w:color="auto"/>
              <w:right w:val="single" w:sz="4" w:space="0" w:color="auto"/>
            </w:tcBorders>
            <w:shd w:val="clear" w:color="000000" w:fill="FFFFFF"/>
            <w:noWrap/>
            <w:vAlign w:val="bottom"/>
            <w:hideMark/>
          </w:tcPr>
          <w:p w14:paraId="37B26CA9" w14:textId="77777777" w:rsidR="00D72DFE" w:rsidRPr="00D72DFE" w:rsidRDefault="00D72DFE" w:rsidP="00D72DFE">
            <w:pPr>
              <w:spacing w:after="0" w:line="240" w:lineRule="auto"/>
              <w:jc w:val="center"/>
              <w:rPr>
                <w:rFonts w:eastAsia="Times New Roman" w:cs="Calibri"/>
                <w:b/>
                <w:bCs/>
                <w:color w:val="000000"/>
                <w:sz w:val="20"/>
                <w:szCs w:val="20"/>
                <w:lang w:eastAsia="en-GB"/>
              </w:rPr>
            </w:pPr>
            <w:r w:rsidRPr="00D72DFE">
              <w:rPr>
                <w:rFonts w:eastAsia="Times New Roman" w:cs="Calibri"/>
                <w:b/>
                <w:bCs/>
                <w:color w:val="000000"/>
                <w:sz w:val="20"/>
                <w:szCs w:val="20"/>
                <w:lang w:eastAsia="en-GB"/>
              </w:rPr>
              <w:t>£'000</w:t>
            </w:r>
          </w:p>
        </w:tc>
        <w:tc>
          <w:tcPr>
            <w:tcW w:w="1128" w:type="dxa"/>
            <w:tcBorders>
              <w:top w:val="nil"/>
              <w:left w:val="nil"/>
              <w:bottom w:val="single" w:sz="4" w:space="0" w:color="auto"/>
              <w:right w:val="single" w:sz="4" w:space="0" w:color="auto"/>
            </w:tcBorders>
            <w:shd w:val="clear" w:color="000000" w:fill="FFFFFF"/>
            <w:noWrap/>
            <w:vAlign w:val="bottom"/>
            <w:hideMark/>
          </w:tcPr>
          <w:p w14:paraId="52FF66E9" w14:textId="77777777" w:rsidR="00D72DFE" w:rsidRPr="00D72DFE" w:rsidRDefault="00D72DFE" w:rsidP="00D72DFE">
            <w:pPr>
              <w:spacing w:after="0" w:line="240" w:lineRule="auto"/>
              <w:jc w:val="center"/>
              <w:rPr>
                <w:rFonts w:eastAsia="Times New Roman" w:cs="Calibri"/>
                <w:b/>
                <w:bCs/>
                <w:color w:val="000000"/>
                <w:sz w:val="20"/>
                <w:szCs w:val="20"/>
                <w:lang w:eastAsia="en-GB"/>
              </w:rPr>
            </w:pPr>
            <w:r w:rsidRPr="00D72DFE">
              <w:rPr>
                <w:rFonts w:eastAsia="Times New Roman" w:cs="Calibri"/>
                <w:b/>
                <w:bCs/>
                <w:color w:val="000000"/>
                <w:sz w:val="20"/>
                <w:szCs w:val="20"/>
                <w:lang w:eastAsia="en-GB"/>
              </w:rPr>
              <w:t>£'000</w:t>
            </w:r>
          </w:p>
        </w:tc>
        <w:tc>
          <w:tcPr>
            <w:tcW w:w="1128" w:type="dxa"/>
            <w:tcBorders>
              <w:top w:val="nil"/>
              <w:left w:val="nil"/>
              <w:bottom w:val="single" w:sz="4" w:space="0" w:color="auto"/>
              <w:right w:val="single" w:sz="4" w:space="0" w:color="auto"/>
            </w:tcBorders>
            <w:shd w:val="clear" w:color="000000" w:fill="FFFFFF"/>
            <w:noWrap/>
            <w:vAlign w:val="bottom"/>
            <w:hideMark/>
          </w:tcPr>
          <w:p w14:paraId="2B1BD87B" w14:textId="77777777" w:rsidR="00D72DFE" w:rsidRPr="00D72DFE" w:rsidRDefault="00D72DFE" w:rsidP="00D72DFE">
            <w:pPr>
              <w:spacing w:after="0" w:line="240" w:lineRule="auto"/>
              <w:jc w:val="center"/>
              <w:rPr>
                <w:rFonts w:eastAsia="Times New Roman" w:cs="Calibri"/>
                <w:b/>
                <w:bCs/>
                <w:color w:val="000000"/>
                <w:sz w:val="20"/>
                <w:szCs w:val="20"/>
                <w:lang w:eastAsia="en-GB"/>
              </w:rPr>
            </w:pPr>
            <w:r w:rsidRPr="00D72DFE">
              <w:rPr>
                <w:rFonts w:eastAsia="Times New Roman" w:cs="Calibri"/>
                <w:b/>
                <w:bCs/>
                <w:color w:val="000000"/>
                <w:sz w:val="20"/>
                <w:szCs w:val="20"/>
                <w:lang w:eastAsia="en-GB"/>
              </w:rPr>
              <w:t>£'000</w:t>
            </w:r>
          </w:p>
        </w:tc>
        <w:tc>
          <w:tcPr>
            <w:tcW w:w="1128" w:type="dxa"/>
            <w:tcBorders>
              <w:top w:val="nil"/>
              <w:left w:val="nil"/>
              <w:bottom w:val="single" w:sz="4" w:space="0" w:color="auto"/>
              <w:right w:val="single" w:sz="4" w:space="0" w:color="auto"/>
            </w:tcBorders>
            <w:shd w:val="clear" w:color="000000" w:fill="FFFFFF"/>
            <w:noWrap/>
            <w:vAlign w:val="bottom"/>
            <w:hideMark/>
          </w:tcPr>
          <w:p w14:paraId="664CA65F" w14:textId="77777777" w:rsidR="00D72DFE" w:rsidRPr="00D72DFE" w:rsidRDefault="00D72DFE" w:rsidP="00D72DFE">
            <w:pPr>
              <w:spacing w:after="0" w:line="240" w:lineRule="auto"/>
              <w:jc w:val="center"/>
              <w:rPr>
                <w:rFonts w:eastAsia="Times New Roman" w:cs="Calibri"/>
                <w:b/>
                <w:bCs/>
                <w:color w:val="000000"/>
                <w:sz w:val="20"/>
                <w:szCs w:val="20"/>
                <w:lang w:eastAsia="en-GB"/>
              </w:rPr>
            </w:pPr>
            <w:r w:rsidRPr="00D72DFE">
              <w:rPr>
                <w:rFonts w:eastAsia="Times New Roman" w:cs="Calibri"/>
                <w:b/>
                <w:bCs/>
                <w:color w:val="000000"/>
                <w:sz w:val="20"/>
                <w:szCs w:val="20"/>
                <w:lang w:eastAsia="en-GB"/>
              </w:rPr>
              <w:t>£'000</w:t>
            </w:r>
          </w:p>
        </w:tc>
      </w:tr>
      <w:tr w:rsidR="00D72DFE" w:rsidRPr="00D72DFE" w14:paraId="51842430" w14:textId="77777777" w:rsidTr="00D72DFE">
        <w:trPr>
          <w:trHeight w:val="300"/>
        </w:trPr>
        <w:tc>
          <w:tcPr>
            <w:tcW w:w="1128" w:type="dxa"/>
            <w:tcBorders>
              <w:top w:val="single" w:sz="4" w:space="0" w:color="auto"/>
              <w:left w:val="single" w:sz="4" w:space="0" w:color="auto"/>
              <w:bottom w:val="nil"/>
              <w:right w:val="single" w:sz="4" w:space="0" w:color="auto"/>
            </w:tcBorders>
            <w:shd w:val="clear" w:color="000000" w:fill="FFFFFF"/>
            <w:noWrap/>
            <w:vAlign w:val="bottom"/>
            <w:hideMark/>
          </w:tcPr>
          <w:p w14:paraId="3E36483E"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17,052</w:t>
            </w:r>
          </w:p>
        </w:tc>
        <w:tc>
          <w:tcPr>
            <w:tcW w:w="3508" w:type="dxa"/>
            <w:tcBorders>
              <w:top w:val="single" w:sz="4" w:space="0" w:color="auto"/>
              <w:left w:val="nil"/>
              <w:bottom w:val="nil"/>
              <w:right w:val="single" w:sz="4" w:space="0" w:color="auto"/>
            </w:tcBorders>
            <w:shd w:val="clear" w:color="000000" w:fill="FFFFFF"/>
            <w:noWrap/>
            <w:vAlign w:val="bottom"/>
            <w:hideMark/>
          </w:tcPr>
          <w:p w14:paraId="437E5774"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Fire Fighters</w:t>
            </w:r>
          </w:p>
        </w:tc>
        <w:tc>
          <w:tcPr>
            <w:tcW w:w="1128" w:type="dxa"/>
            <w:tcBorders>
              <w:top w:val="single" w:sz="4" w:space="0" w:color="auto"/>
              <w:left w:val="nil"/>
              <w:bottom w:val="nil"/>
              <w:right w:val="single" w:sz="4" w:space="0" w:color="auto"/>
            </w:tcBorders>
            <w:shd w:val="clear" w:color="000000" w:fill="FFFFFF"/>
            <w:noWrap/>
            <w:vAlign w:val="bottom"/>
            <w:hideMark/>
          </w:tcPr>
          <w:p w14:paraId="60EDCA51"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18,484</w:t>
            </w:r>
          </w:p>
        </w:tc>
        <w:tc>
          <w:tcPr>
            <w:tcW w:w="1128" w:type="dxa"/>
            <w:tcBorders>
              <w:top w:val="single" w:sz="4" w:space="0" w:color="auto"/>
              <w:left w:val="nil"/>
              <w:bottom w:val="nil"/>
              <w:right w:val="single" w:sz="4" w:space="0" w:color="auto"/>
            </w:tcBorders>
            <w:shd w:val="clear" w:color="000000" w:fill="FFFFFF"/>
            <w:noWrap/>
            <w:vAlign w:val="bottom"/>
            <w:hideMark/>
          </w:tcPr>
          <w:p w14:paraId="1D7762B7"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19,471</w:t>
            </w:r>
          </w:p>
        </w:tc>
        <w:tc>
          <w:tcPr>
            <w:tcW w:w="1128" w:type="dxa"/>
            <w:tcBorders>
              <w:top w:val="single" w:sz="4" w:space="0" w:color="auto"/>
              <w:left w:val="nil"/>
              <w:bottom w:val="nil"/>
              <w:right w:val="single" w:sz="4" w:space="0" w:color="auto"/>
            </w:tcBorders>
            <w:shd w:val="clear" w:color="000000" w:fill="FFFFFF"/>
            <w:noWrap/>
            <w:vAlign w:val="bottom"/>
            <w:hideMark/>
          </w:tcPr>
          <w:p w14:paraId="0812BF6E"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20,165</w:t>
            </w:r>
          </w:p>
        </w:tc>
        <w:tc>
          <w:tcPr>
            <w:tcW w:w="1128" w:type="dxa"/>
            <w:tcBorders>
              <w:top w:val="single" w:sz="4" w:space="0" w:color="auto"/>
              <w:left w:val="nil"/>
              <w:bottom w:val="nil"/>
              <w:right w:val="single" w:sz="4" w:space="0" w:color="auto"/>
            </w:tcBorders>
            <w:shd w:val="clear" w:color="000000" w:fill="FFFFFF"/>
            <w:noWrap/>
            <w:vAlign w:val="bottom"/>
            <w:hideMark/>
          </w:tcPr>
          <w:p w14:paraId="5246943C"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20,757</w:t>
            </w:r>
          </w:p>
        </w:tc>
        <w:tc>
          <w:tcPr>
            <w:tcW w:w="1128" w:type="dxa"/>
            <w:tcBorders>
              <w:top w:val="single" w:sz="4" w:space="0" w:color="auto"/>
              <w:left w:val="nil"/>
              <w:bottom w:val="nil"/>
              <w:right w:val="single" w:sz="4" w:space="0" w:color="auto"/>
            </w:tcBorders>
            <w:shd w:val="clear" w:color="000000" w:fill="FFFFFF"/>
            <w:noWrap/>
            <w:vAlign w:val="bottom"/>
            <w:hideMark/>
          </w:tcPr>
          <w:p w14:paraId="78B1A141"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21,103</w:t>
            </w:r>
          </w:p>
        </w:tc>
      </w:tr>
      <w:tr w:rsidR="00D72DFE" w:rsidRPr="00D72DFE" w14:paraId="013C19BD"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556D1CBA"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2,900</w:t>
            </w:r>
          </w:p>
        </w:tc>
        <w:tc>
          <w:tcPr>
            <w:tcW w:w="3508" w:type="dxa"/>
            <w:tcBorders>
              <w:top w:val="nil"/>
              <w:left w:val="nil"/>
              <w:bottom w:val="nil"/>
              <w:right w:val="single" w:sz="4" w:space="0" w:color="auto"/>
            </w:tcBorders>
            <w:shd w:val="clear" w:color="000000" w:fill="FFFFFF"/>
            <w:noWrap/>
            <w:vAlign w:val="bottom"/>
            <w:hideMark/>
          </w:tcPr>
          <w:p w14:paraId="55F3FCDC"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Staff</w:t>
            </w:r>
          </w:p>
        </w:tc>
        <w:tc>
          <w:tcPr>
            <w:tcW w:w="1128" w:type="dxa"/>
            <w:tcBorders>
              <w:top w:val="nil"/>
              <w:left w:val="nil"/>
              <w:bottom w:val="nil"/>
              <w:right w:val="single" w:sz="4" w:space="0" w:color="auto"/>
            </w:tcBorders>
            <w:shd w:val="clear" w:color="000000" w:fill="FFFFFF"/>
            <w:noWrap/>
            <w:vAlign w:val="bottom"/>
            <w:hideMark/>
          </w:tcPr>
          <w:p w14:paraId="0C387657"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3,068</w:t>
            </w:r>
          </w:p>
        </w:tc>
        <w:tc>
          <w:tcPr>
            <w:tcW w:w="1128" w:type="dxa"/>
            <w:tcBorders>
              <w:top w:val="nil"/>
              <w:left w:val="nil"/>
              <w:bottom w:val="nil"/>
              <w:right w:val="single" w:sz="4" w:space="0" w:color="auto"/>
            </w:tcBorders>
            <w:shd w:val="clear" w:color="000000" w:fill="FFFFFF"/>
            <w:noWrap/>
            <w:vAlign w:val="bottom"/>
            <w:hideMark/>
          </w:tcPr>
          <w:p w14:paraId="6D20A917"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3,145</w:t>
            </w:r>
          </w:p>
        </w:tc>
        <w:tc>
          <w:tcPr>
            <w:tcW w:w="1128" w:type="dxa"/>
            <w:tcBorders>
              <w:top w:val="nil"/>
              <w:left w:val="nil"/>
              <w:bottom w:val="nil"/>
              <w:right w:val="single" w:sz="4" w:space="0" w:color="auto"/>
            </w:tcBorders>
            <w:shd w:val="clear" w:color="000000" w:fill="FFFFFF"/>
            <w:noWrap/>
            <w:vAlign w:val="bottom"/>
            <w:hideMark/>
          </w:tcPr>
          <w:p w14:paraId="1903CE1F"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3,225</w:t>
            </w:r>
          </w:p>
        </w:tc>
        <w:tc>
          <w:tcPr>
            <w:tcW w:w="1128" w:type="dxa"/>
            <w:tcBorders>
              <w:top w:val="nil"/>
              <w:left w:val="nil"/>
              <w:bottom w:val="nil"/>
              <w:right w:val="single" w:sz="4" w:space="0" w:color="auto"/>
            </w:tcBorders>
            <w:shd w:val="clear" w:color="000000" w:fill="FFFFFF"/>
            <w:noWrap/>
            <w:vAlign w:val="bottom"/>
            <w:hideMark/>
          </w:tcPr>
          <w:p w14:paraId="42072AFE"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3,298</w:t>
            </w:r>
          </w:p>
        </w:tc>
        <w:tc>
          <w:tcPr>
            <w:tcW w:w="1128" w:type="dxa"/>
            <w:tcBorders>
              <w:top w:val="nil"/>
              <w:left w:val="nil"/>
              <w:bottom w:val="nil"/>
              <w:right w:val="single" w:sz="4" w:space="0" w:color="auto"/>
            </w:tcBorders>
            <w:shd w:val="clear" w:color="000000" w:fill="FFFFFF"/>
            <w:noWrap/>
            <w:vAlign w:val="bottom"/>
            <w:hideMark/>
          </w:tcPr>
          <w:p w14:paraId="280920CD"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3,372</w:t>
            </w:r>
          </w:p>
        </w:tc>
      </w:tr>
      <w:tr w:rsidR="00D72DFE" w:rsidRPr="00D72DFE" w14:paraId="4C0DFD8C"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79B42326"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94</w:t>
            </w:r>
          </w:p>
        </w:tc>
        <w:tc>
          <w:tcPr>
            <w:tcW w:w="3508" w:type="dxa"/>
            <w:tcBorders>
              <w:top w:val="nil"/>
              <w:left w:val="nil"/>
              <w:bottom w:val="nil"/>
              <w:right w:val="single" w:sz="4" w:space="0" w:color="auto"/>
            </w:tcBorders>
            <w:shd w:val="clear" w:color="000000" w:fill="FFFFFF"/>
            <w:noWrap/>
            <w:vAlign w:val="bottom"/>
            <w:hideMark/>
          </w:tcPr>
          <w:p w14:paraId="0EB5718E"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Other Pension Costs</w:t>
            </w:r>
          </w:p>
        </w:tc>
        <w:tc>
          <w:tcPr>
            <w:tcW w:w="1128" w:type="dxa"/>
            <w:tcBorders>
              <w:top w:val="nil"/>
              <w:left w:val="nil"/>
              <w:bottom w:val="nil"/>
              <w:right w:val="single" w:sz="4" w:space="0" w:color="auto"/>
            </w:tcBorders>
            <w:shd w:val="clear" w:color="000000" w:fill="FFFFFF"/>
            <w:noWrap/>
            <w:vAlign w:val="bottom"/>
            <w:hideMark/>
          </w:tcPr>
          <w:p w14:paraId="61D20044"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101</w:t>
            </w:r>
          </w:p>
        </w:tc>
        <w:tc>
          <w:tcPr>
            <w:tcW w:w="1128" w:type="dxa"/>
            <w:tcBorders>
              <w:top w:val="nil"/>
              <w:left w:val="nil"/>
              <w:bottom w:val="nil"/>
              <w:right w:val="single" w:sz="4" w:space="0" w:color="auto"/>
            </w:tcBorders>
            <w:shd w:val="clear" w:color="000000" w:fill="FFFFFF"/>
            <w:noWrap/>
            <w:vAlign w:val="bottom"/>
            <w:hideMark/>
          </w:tcPr>
          <w:p w14:paraId="50612CEF"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104</w:t>
            </w:r>
          </w:p>
        </w:tc>
        <w:tc>
          <w:tcPr>
            <w:tcW w:w="1128" w:type="dxa"/>
            <w:tcBorders>
              <w:top w:val="nil"/>
              <w:left w:val="nil"/>
              <w:bottom w:val="nil"/>
              <w:right w:val="single" w:sz="4" w:space="0" w:color="auto"/>
            </w:tcBorders>
            <w:shd w:val="clear" w:color="000000" w:fill="FFFFFF"/>
            <w:noWrap/>
            <w:vAlign w:val="bottom"/>
            <w:hideMark/>
          </w:tcPr>
          <w:p w14:paraId="3B05ACCF"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108</w:t>
            </w:r>
          </w:p>
        </w:tc>
        <w:tc>
          <w:tcPr>
            <w:tcW w:w="1128" w:type="dxa"/>
            <w:tcBorders>
              <w:top w:val="nil"/>
              <w:left w:val="nil"/>
              <w:bottom w:val="nil"/>
              <w:right w:val="single" w:sz="4" w:space="0" w:color="auto"/>
            </w:tcBorders>
            <w:shd w:val="clear" w:color="000000" w:fill="FFFFFF"/>
            <w:noWrap/>
            <w:vAlign w:val="bottom"/>
            <w:hideMark/>
          </w:tcPr>
          <w:p w14:paraId="63C34ED3"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111</w:t>
            </w:r>
          </w:p>
        </w:tc>
        <w:tc>
          <w:tcPr>
            <w:tcW w:w="1128" w:type="dxa"/>
            <w:tcBorders>
              <w:top w:val="nil"/>
              <w:left w:val="nil"/>
              <w:bottom w:val="nil"/>
              <w:right w:val="single" w:sz="4" w:space="0" w:color="auto"/>
            </w:tcBorders>
            <w:shd w:val="clear" w:color="000000" w:fill="FFFFFF"/>
            <w:noWrap/>
            <w:vAlign w:val="bottom"/>
            <w:hideMark/>
          </w:tcPr>
          <w:p w14:paraId="56B3D562"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114</w:t>
            </w:r>
          </w:p>
        </w:tc>
      </w:tr>
      <w:tr w:rsidR="00D72DFE" w:rsidRPr="00D72DFE" w14:paraId="2614FF28"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4FC4C1BE"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983</w:t>
            </w:r>
          </w:p>
        </w:tc>
        <w:tc>
          <w:tcPr>
            <w:tcW w:w="3508" w:type="dxa"/>
            <w:tcBorders>
              <w:top w:val="nil"/>
              <w:left w:val="nil"/>
              <w:bottom w:val="nil"/>
              <w:right w:val="single" w:sz="4" w:space="0" w:color="auto"/>
            </w:tcBorders>
            <w:shd w:val="clear" w:color="000000" w:fill="FFFFFF"/>
            <w:noWrap/>
            <w:vAlign w:val="bottom"/>
            <w:hideMark/>
          </w:tcPr>
          <w:p w14:paraId="4A4986B7"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Other Employee Costs/Contingencies</w:t>
            </w:r>
          </w:p>
        </w:tc>
        <w:tc>
          <w:tcPr>
            <w:tcW w:w="1128" w:type="dxa"/>
            <w:tcBorders>
              <w:top w:val="nil"/>
              <w:left w:val="nil"/>
              <w:bottom w:val="nil"/>
              <w:right w:val="single" w:sz="4" w:space="0" w:color="auto"/>
            </w:tcBorders>
            <w:shd w:val="clear" w:color="000000" w:fill="FFFFFF"/>
            <w:noWrap/>
            <w:vAlign w:val="bottom"/>
            <w:hideMark/>
          </w:tcPr>
          <w:p w14:paraId="01C1FB84"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1,371</w:t>
            </w:r>
          </w:p>
        </w:tc>
        <w:tc>
          <w:tcPr>
            <w:tcW w:w="1128" w:type="dxa"/>
            <w:tcBorders>
              <w:top w:val="nil"/>
              <w:left w:val="nil"/>
              <w:bottom w:val="nil"/>
              <w:right w:val="single" w:sz="4" w:space="0" w:color="auto"/>
            </w:tcBorders>
            <w:shd w:val="clear" w:color="000000" w:fill="FFFFFF"/>
            <w:noWrap/>
            <w:vAlign w:val="bottom"/>
            <w:hideMark/>
          </w:tcPr>
          <w:p w14:paraId="09DAB30D"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1,382</w:t>
            </w:r>
          </w:p>
        </w:tc>
        <w:tc>
          <w:tcPr>
            <w:tcW w:w="1128" w:type="dxa"/>
            <w:tcBorders>
              <w:top w:val="nil"/>
              <w:left w:val="nil"/>
              <w:bottom w:val="nil"/>
              <w:right w:val="single" w:sz="4" w:space="0" w:color="auto"/>
            </w:tcBorders>
            <w:shd w:val="clear" w:color="000000" w:fill="FFFFFF"/>
            <w:noWrap/>
            <w:vAlign w:val="bottom"/>
            <w:hideMark/>
          </w:tcPr>
          <w:p w14:paraId="2613A0C4"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1,394</w:t>
            </w:r>
          </w:p>
        </w:tc>
        <w:tc>
          <w:tcPr>
            <w:tcW w:w="1128" w:type="dxa"/>
            <w:tcBorders>
              <w:top w:val="nil"/>
              <w:left w:val="nil"/>
              <w:bottom w:val="nil"/>
              <w:right w:val="single" w:sz="4" w:space="0" w:color="auto"/>
            </w:tcBorders>
            <w:shd w:val="clear" w:color="000000" w:fill="FFFFFF"/>
            <w:noWrap/>
            <w:vAlign w:val="bottom"/>
            <w:hideMark/>
          </w:tcPr>
          <w:p w14:paraId="5A0B3BA9"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1,406</w:t>
            </w:r>
          </w:p>
        </w:tc>
        <w:tc>
          <w:tcPr>
            <w:tcW w:w="1128" w:type="dxa"/>
            <w:tcBorders>
              <w:top w:val="nil"/>
              <w:left w:val="nil"/>
              <w:bottom w:val="nil"/>
              <w:right w:val="single" w:sz="4" w:space="0" w:color="auto"/>
            </w:tcBorders>
            <w:shd w:val="clear" w:color="000000" w:fill="FFFFFF"/>
            <w:noWrap/>
            <w:vAlign w:val="bottom"/>
            <w:hideMark/>
          </w:tcPr>
          <w:p w14:paraId="7BFCA363"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1,416</w:t>
            </w:r>
          </w:p>
        </w:tc>
      </w:tr>
      <w:tr w:rsidR="00D72DFE" w:rsidRPr="00D72DFE" w14:paraId="217B7847"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0E8D747B"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1,559</w:t>
            </w:r>
          </w:p>
        </w:tc>
        <w:tc>
          <w:tcPr>
            <w:tcW w:w="3508" w:type="dxa"/>
            <w:tcBorders>
              <w:top w:val="nil"/>
              <w:left w:val="nil"/>
              <w:bottom w:val="nil"/>
              <w:right w:val="single" w:sz="4" w:space="0" w:color="auto"/>
            </w:tcBorders>
            <w:shd w:val="clear" w:color="000000" w:fill="FFFFFF"/>
            <w:noWrap/>
            <w:vAlign w:val="bottom"/>
            <w:hideMark/>
          </w:tcPr>
          <w:p w14:paraId="63BA4914"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Estates</w:t>
            </w:r>
          </w:p>
        </w:tc>
        <w:tc>
          <w:tcPr>
            <w:tcW w:w="1128" w:type="dxa"/>
            <w:tcBorders>
              <w:top w:val="nil"/>
              <w:left w:val="nil"/>
              <w:bottom w:val="nil"/>
              <w:right w:val="single" w:sz="4" w:space="0" w:color="auto"/>
            </w:tcBorders>
            <w:shd w:val="clear" w:color="000000" w:fill="FFFFFF"/>
            <w:noWrap/>
            <w:vAlign w:val="bottom"/>
            <w:hideMark/>
          </w:tcPr>
          <w:p w14:paraId="7C927F85"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2,088</w:t>
            </w:r>
          </w:p>
        </w:tc>
        <w:tc>
          <w:tcPr>
            <w:tcW w:w="1128" w:type="dxa"/>
            <w:tcBorders>
              <w:top w:val="nil"/>
              <w:left w:val="nil"/>
              <w:bottom w:val="nil"/>
              <w:right w:val="single" w:sz="4" w:space="0" w:color="auto"/>
            </w:tcBorders>
            <w:shd w:val="clear" w:color="000000" w:fill="FFFFFF"/>
            <w:noWrap/>
            <w:vAlign w:val="bottom"/>
            <w:hideMark/>
          </w:tcPr>
          <w:p w14:paraId="1B3309CE"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1,944</w:t>
            </w:r>
          </w:p>
        </w:tc>
        <w:tc>
          <w:tcPr>
            <w:tcW w:w="1128" w:type="dxa"/>
            <w:tcBorders>
              <w:top w:val="nil"/>
              <w:left w:val="nil"/>
              <w:bottom w:val="nil"/>
              <w:right w:val="single" w:sz="4" w:space="0" w:color="auto"/>
            </w:tcBorders>
            <w:shd w:val="clear" w:color="000000" w:fill="FFFFFF"/>
            <w:noWrap/>
            <w:vAlign w:val="bottom"/>
            <w:hideMark/>
          </w:tcPr>
          <w:p w14:paraId="100BDA50"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1,986</w:t>
            </w:r>
          </w:p>
        </w:tc>
        <w:tc>
          <w:tcPr>
            <w:tcW w:w="1128" w:type="dxa"/>
            <w:tcBorders>
              <w:top w:val="nil"/>
              <w:left w:val="nil"/>
              <w:bottom w:val="nil"/>
              <w:right w:val="single" w:sz="4" w:space="0" w:color="auto"/>
            </w:tcBorders>
            <w:shd w:val="clear" w:color="000000" w:fill="FFFFFF"/>
            <w:noWrap/>
            <w:vAlign w:val="bottom"/>
            <w:hideMark/>
          </w:tcPr>
          <w:p w14:paraId="31C2E490"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2,024</w:t>
            </w:r>
          </w:p>
        </w:tc>
        <w:tc>
          <w:tcPr>
            <w:tcW w:w="1128" w:type="dxa"/>
            <w:tcBorders>
              <w:top w:val="nil"/>
              <w:left w:val="nil"/>
              <w:bottom w:val="nil"/>
              <w:right w:val="single" w:sz="4" w:space="0" w:color="auto"/>
            </w:tcBorders>
            <w:shd w:val="clear" w:color="000000" w:fill="FFFFFF"/>
            <w:noWrap/>
            <w:vAlign w:val="bottom"/>
            <w:hideMark/>
          </w:tcPr>
          <w:p w14:paraId="1CC73651"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2,089</w:t>
            </w:r>
          </w:p>
        </w:tc>
      </w:tr>
      <w:tr w:rsidR="00D72DFE" w:rsidRPr="00D72DFE" w14:paraId="0CF5969B"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18C1EDC6"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1,699</w:t>
            </w:r>
          </w:p>
        </w:tc>
        <w:tc>
          <w:tcPr>
            <w:tcW w:w="3508" w:type="dxa"/>
            <w:tcBorders>
              <w:top w:val="nil"/>
              <w:left w:val="nil"/>
              <w:bottom w:val="nil"/>
              <w:right w:val="single" w:sz="4" w:space="0" w:color="auto"/>
            </w:tcBorders>
            <w:shd w:val="clear" w:color="000000" w:fill="FFFFFF"/>
            <w:noWrap/>
            <w:vAlign w:val="bottom"/>
            <w:hideMark/>
          </w:tcPr>
          <w:p w14:paraId="62CB7E53"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ICT</w:t>
            </w:r>
          </w:p>
        </w:tc>
        <w:tc>
          <w:tcPr>
            <w:tcW w:w="1128" w:type="dxa"/>
            <w:tcBorders>
              <w:top w:val="nil"/>
              <w:left w:val="nil"/>
              <w:bottom w:val="nil"/>
              <w:right w:val="single" w:sz="4" w:space="0" w:color="auto"/>
            </w:tcBorders>
            <w:shd w:val="clear" w:color="000000" w:fill="FFFFFF"/>
            <w:noWrap/>
            <w:vAlign w:val="bottom"/>
            <w:hideMark/>
          </w:tcPr>
          <w:p w14:paraId="33BA153D"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1,911</w:t>
            </w:r>
          </w:p>
        </w:tc>
        <w:tc>
          <w:tcPr>
            <w:tcW w:w="1128" w:type="dxa"/>
            <w:tcBorders>
              <w:top w:val="nil"/>
              <w:left w:val="nil"/>
              <w:bottom w:val="nil"/>
              <w:right w:val="single" w:sz="4" w:space="0" w:color="auto"/>
            </w:tcBorders>
            <w:shd w:val="clear" w:color="000000" w:fill="FFFFFF"/>
            <w:noWrap/>
            <w:vAlign w:val="bottom"/>
            <w:hideMark/>
          </w:tcPr>
          <w:p w14:paraId="04CD8BE5"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2,012</w:t>
            </w:r>
          </w:p>
        </w:tc>
        <w:tc>
          <w:tcPr>
            <w:tcW w:w="1128" w:type="dxa"/>
            <w:tcBorders>
              <w:top w:val="nil"/>
              <w:left w:val="nil"/>
              <w:bottom w:val="nil"/>
              <w:right w:val="single" w:sz="4" w:space="0" w:color="auto"/>
            </w:tcBorders>
            <w:shd w:val="clear" w:color="000000" w:fill="FFFFFF"/>
            <w:noWrap/>
            <w:vAlign w:val="bottom"/>
            <w:hideMark/>
          </w:tcPr>
          <w:p w14:paraId="5C7C95A6"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2,150</w:t>
            </w:r>
          </w:p>
        </w:tc>
        <w:tc>
          <w:tcPr>
            <w:tcW w:w="1128" w:type="dxa"/>
            <w:tcBorders>
              <w:top w:val="nil"/>
              <w:left w:val="nil"/>
              <w:bottom w:val="nil"/>
              <w:right w:val="single" w:sz="4" w:space="0" w:color="auto"/>
            </w:tcBorders>
            <w:shd w:val="clear" w:color="000000" w:fill="FFFFFF"/>
            <w:noWrap/>
            <w:vAlign w:val="bottom"/>
            <w:hideMark/>
          </w:tcPr>
          <w:p w14:paraId="3285E9C2"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2,191</w:t>
            </w:r>
          </w:p>
        </w:tc>
        <w:tc>
          <w:tcPr>
            <w:tcW w:w="1128" w:type="dxa"/>
            <w:tcBorders>
              <w:top w:val="nil"/>
              <w:left w:val="nil"/>
              <w:bottom w:val="nil"/>
              <w:right w:val="single" w:sz="4" w:space="0" w:color="auto"/>
            </w:tcBorders>
            <w:shd w:val="clear" w:color="000000" w:fill="FFFFFF"/>
            <w:noWrap/>
            <w:vAlign w:val="bottom"/>
            <w:hideMark/>
          </w:tcPr>
          <w:p w14:paraId="566572E5"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2,212</w:t>
            </w:r>
          </w:p>
        </w:tc>
      </w:tr>
      <w:tr w:rsidR="00D72DFE" w:rsidRPr="00D72DFE" w14:paraId="7FEC61F8"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449F82DD"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536</w:t>
            </w:r>
          </w:p>
        </w:tc>
        <w:tc>
          <w:tcPr>
            <w:tcW w:w="3508" w:type="dxa"/>
            <w:tcBorders>
              <w:top w:val="nil"/>
              <w:left w:val="nil"/>
              <w:bottom w:val="nil"/>
              <w:right w:val="single" w:sz="4" w:space="0" w:color="auto"/>
            </w:tcBorders>
            <w:shd w:val="clear" w:color="000000" w:fill="FFFFFF"/>
            <w:noWrap/>
            <w:vAlign w:val="bottom"/>
            <w:hideMark/>
          </w:tcPr>
          <w:p w14:paraId="366C27DC"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Vehicles</w:t>
            </w:r>
          </w:p>
        </w:tc>
        <w:tc>
          <w:tcPr>
            <w:tcW w:w="1128" w:type="dxa"/>
            <w:tcBorders>
              <w:top w:val="nil"/>
              <w:left w:val="nil"/>
              <w:bottom w:val="nil"/>
              <w:right w:val="single" w:sz="4" w:space="0" w:color="auto"/>
            </w:tcBorders>
            <w:shd w:val="clear" w:color="000000" w:fill="FFFFFF"/>
            <w:noWrap/>
            <w:vAlign w:val="bottom"/>
            <w:hideMark/>
          </w:tcPr>
          <w:p w14:paraId="6E41F903"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609</w:t>
            </w:r>
          </w:p>
        </w:tc>
        <w:tc>
          <w:tcPr>
            <w:tcW w:w="1128" w:type="dxa"/>
            <w:tcBorders>
              <w:top w:val="nil"/>
              <w:left w:val="nil"/>
              <w:bottom w:val="nil"/>
              <w:right w:val="single" w:sz="4" w:space="0" w:color="auto"/>
            </w:tcBorders>
            <w:shd w:val="clear" w:color="000000" w:fill="FFFFFF"/>
            <w:noWrap/>
            <w:vAlign w:val="bottom"/>
            <w:hideMark/>
          </w:tcPr>
          <w:p w14:paraId="73FADCFA"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622</w:t>
            </w:r>
          </w:p>
        </w:tc>
        <w:tc>
          <w:tcPr>
            <w:tcW w:w="1128" w:type="dxa"/>
            <w:tcBorders>
              <w:top w:val="nil"/>
              <w:left w:val="nil"/>
              <w:bottom w:val="nil"/>
              <w:right w:val="single" w:sz="4" w:space="0" w:color="auto"/>
            </w:tcBorders>
            <w:shd w:val="clear" w:color="000000" w:fill="FFFFFF"/>
            <w:noWrap/>
            <w:vAlign w:val="bottom"/>
            <w:hideMark/>
          </w:tcPr>
          <w:p w14:paraId="79FC4A71"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634</w:t>
            </w:r>
          </w:p>
        </w:tc>
        <w:tc>
          <w:tcPr>
            <w:tcW w:w="1128" w:type="dxa"/>
            <w:tcBorders>
              <w:top w:val="nil"/>
              <w:left w:val="nil"/>
              <w:bottom w:val="nil"/>
              <w:right w:val="single" w:sz="4" w:space="0" w:color="auto"/>
            </w:tcBorders>
            <w:shd w:val="clear" w:color="000000" w:fill="FFFFFF"/>
            <w:noWrap/>
            <w:vAlign w:val="bottom"/>
            <w:hideMark/>
          </w:tcPr>
          <w:p w14:paraId="5EC0D958"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679</w:t>
            </w:r>
          </w:p>
        </w:tc>
        <w:tc>
          <w:tcPr>
            <w:tcW w:w="1128" w:type="dxa"/>
            <w:tcBorders>
              <w:top w:val="nil"/>
              <w:left w:val="nil"/>
              <w:bottom w:val="nil"/>
              <w:right w:val="single" w:sz="4" w:space="0" w:color="auto"/>
            </w:tcBorders>
            <w:shd w:val="clear" w:color="000000" w:fill="FFFFFF"/>
            <w:noWrap/>
            <w:vAlign w:val="bottom"/>
            <w:hideMark/>
          </w:tcPr>
          <w:p w14:paraId="275EEE65"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889</w:t>
            </w:r>
          </w:p>
        </w:tc>
      </w:tr>
      <w:tr w:rsidR="00D72DFE" w:rsidRPr="00D72DFE" w14:paraId="21D83B12"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2A7759A9"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899</w:t>
            </w:r>
          </w:p>
        </w:tc>
        <w:tc>
          <w:tcPr>
            <w:tcW w:w="3508" w:type="dxa"/>
            <w:tcBorders>
              <w:top w:val="nil"/>
              <w:left w:val="nil"/>
              <w:bottom w:val="nil"/>
              <w:right w:val="single" w:sz="4" w:space="0" w:color="auto"/>
            </w:tcBorders>
            <w:shd w:val="clear" w:color="000000" w:fill="FFFFFF"/>
            <w:noWrap/>
            <w:vAlign w:val="bottom"/>
            <w:hideMark/>
          </w:tcPr>
          <w:p w14:paraId="3FB777E5"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Equipment and Clothing</w:t>
            </w:r>
          </w:p>
        </w:tc>
        <w:tc>
          <w:tcPr>
            <w:tcW w:w="1128" w:type="dxa"/>
            <w:tcBorders>
              <w:top w:val="nil"/>
              <w:left w:val="nil"/>
              <w:bottom w:val="nil"/>
              <w:right w:val="single" w:sz="4" w:space="0" w:color="auto"/>
            </w:tcBorders>
            <w:shd w:val="clear" w:color="000000" w:fill="FFFFFF"/>
            <w:noWrap/>
            <w:vAlign w:val="bottom"/>
            <w:hideMark/>
          </w:tcPr>
          <w:p w14:paraId="7C7F5B50"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1,001</w:t>
            </w:r>
          </w:p>
        </w:tc>
        <w:tc>
          <w:tcPr>
            <w:tcW w:w="1128" w:type="dxa"/>
            <w:tcBorders>
              <w:top w:val="nil"/>
              <w:left w:val="nil"/>
              <w:bottom w:val="nil"/>
              <w:right w:val="single" w:sz="4" w:space="0" w:color="auto"/>
            </w:tcBorders>
            <w:shd w:val="clear" w:color="000000" w:fill="FFFFFF"/>
            <w:noWrap/>
            <w:vAlign w:val="bottom"/>
            <w:hideMark/>
          </w:tcPr>
          <w:p w14:paraId="3CDF0512"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1,021</w:t>
            </w:r>
          </w:p>
        </w:tc>
        <w:tc>
          <w:tcPr>
            <w:tcW w:w="1128" w:type="dxa"/>
            <w:tcBorders>
              <w:top w:val="nil"/>
              <w:left w:val="nil"/>
              <w:bottom w:val="nil"/>
              <w:right w:val="single" w:sz="4" w:space="0" w:color="auto"/>
            </w:tcBorders>
            <w:shd w:val="clear" w:color="000000" w:fill="FFFFFF"/>
            <w:noWrap/>
            <w:vAlign w:val="bottom"/>
            <w:hideMark/>
          </w:tcPr>
          <w:p w14:paraId="52D26ADD"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1,027</w:t>
            </w:r>
          </w:p>
        </w:tc>
        <w:tc>
          <w:tcPr>
            <w:tcW w:w="1128" w:type="dxa"/>
            <w:tcBorders>
              <w:top w:val="nil"/>
              <w:left w:val="nil"/>
              <w:bottom w:val="nil"/>
              <w:right w:val="single" w:sz="4" w:space="0" w:color="auto"/>
            </w:tcBorders>
            <w:shd w:val="clear" w:color="000000" w:fill="FFFFFF"/>
            <w:noWrap/>
            <w:vAlign w:val="bottom"/>
            <w:hideMark/>
          </w:tcPr>
          <w:p w14:paraId="6D5A8CA1"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1,034</w:t>
            </w:r>
          </w:p>
        </w:tc>
        <w:tc>
          <w:tcPr>
            <w:tcW w:w="1128" w:type="dxa"/>
            <w:tcBorders>
              <w:top w:val="nil"/>
              <w:left w:val="nil"/>
              <w:bottom w:val="nil"/>
              <w:right w:val="single" w:sz="4" w:space="0" w:color="auto"/>
            </w:tcBorders>
            <w:shd w:val="clear" w:color="000000" w:fill="FFFFFF"/>
            <w:noWrap/>
            <w:vAlign w:val="bottom"/>
            <w:hideMark/>
          </w:tcPr>
          <w:p w14:paraId="45D1EF5A"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1,041</w:t>
            </w:r>
          </w:p>
        </w:tc>
      </w:tr>
      <w:tr w:rsidR="00D72DFE" w:rsidRPr="00D72DFE" w14:paraId="359AA28E"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7F5EE02D"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797</w:t>
            </w:r>
          </w:p>
        </w:tc>
        <w:tc>
          <w:tcPr>
            <w:tcW w:w="3508" w:type="dxa"/>
            <w:tcBorders>
              <w:top w:val="nil"/>
              <w:left w:val="nil"/>
              <w:bottom w:val="nil"/>
              <w:right w:val="single" w:sz="4" w:space="0" w:color="auto"/>
            </w:tcBorders>
            <w:shd w:val="clear" w:color="000000" w:fill="FFFFFF"/>
            <w:noWrap/>
            <w:vAlign w:val="bottom"/>
            <w:hideMark/>
          </w:tcPr>
          <w:p w14:paraId="75CB18DA"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Other Non-Pay</w:t>
            </w:r>
          </w:p>
        </w:tc>
        <w:tc>
          <w:tcPr>
            <w:tcW w:w="1128" w:type="dxa"/>
            <w:tcBorders>
              <w:top w:val="nil"/>
              <w:left w:val="nil"/>
              <w:bottom w:val="nil"/>
              <w:right w:val="single" w:sz="4" w:space="0" w:color="auto"/>
            </w:tcBorders>
            <w:shd w:val="clear" w:color="000000" w:fill="FFFFFF"/>
            <w:noWrap/>
            <w:vAlign w:val="bottom"/>
            <w:hideMark/>
          </w:tcPr>
          <w:p w14:paraId="0B8562CD"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790</w:t>
            </w:r>
          </w:p>
        </w:tc>
        <w:tc>
          <w:tcPr>
            <w:tcW w:w="1128" w:type="dxa"/>
            <w:tcBorders>
              <w:top w:val="nil"/>
              <w:left w:val="nil"/>
              <w:bottom w:val="nil"/>
              <w:right w:val="single" w:sz="4" w:space="0" w:color="auto"/>
            </w:tcBorders>
            <w:shd w:val="clear" w:color="000000" w:fill="FFFFFF"/>
            <w:noWrap/>
            <w:vAlign w:val="bottom"/>
            <w:hideMark/>
          </w:tcPr>
          <w:p w14:paraId="172C12D7"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658</w:t>
            </w:r>
          </w:p>
        </w:tc>
        <w:tc>
          <w:tcPr>
            <w:tcW w:w="1128" w:type="dxa"/>
            <w:tcBorders>
              <w:top w:val="nil"/>
              <w:left w:val="nil"/>
              <w:bottom w:val="nil"/>
              <w:right w:val="single" w:sz="4" w:space="0" w:color="auto"/>
            </w:tcBorders>
            <w:shd w:val="clear" w:color="000000" w:fill="FFFFFF"/>
            <w:noWrap/>
            <w:vAlign w:val="bottom"/>
            <w:hideMark/>
          </w:tcPr>
          <w:p w14:paraId="10DB76B5"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663</w:t>
            </w:r>
          </w:p>
        </w:tc>
        <w:tc>
          <w:tcPr>
            <w:tcW w:w="1128" w:type="dxa"/>
            <w:tcBorders>
              <w:top w:val="nil"/>
              <w:left w:val="nil"/>
              <w:bottom w:val="nil"/>
              <w:right w:val="single" w:sz="4" w:space="0" w:color="auto"/>
            </w:tcBorders>
            <w:shd w:val="clear" w:color="000000" w:fill="FFFFFF"/>
            <w:noWrap/>
            <w:vAlign w:val="bottom"/>
            <w:hideMark/>
          </w:tcPr>
          <w:p w14:paraId="4E65C4DC"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669</w:t>
            </w:r>
          </w:p>
        </w:tc>
        <w:tc>
          <w:tcPr>
            <w:tcW w:w="1128" w:type="dxa"/>
            <w:tcBorders>
              <w:top w:val="nil"/>
              <w:left w:val="nil"/>
              <w:bottom w:val="nil"/>
              <w:right w:val="single" w:sz="4" w:space="0" w:color="auto"/>
            </w:tcBorders>
            <w:shd w:val="clear" w:color="000000" w:fill="FFFFFF"/>
            <w:noWrap/>
            <w:vAlign w:val="bottom"/>
            <w:hideMark/>
          </w:tcPr>
          <w:p w14:paraId="313E1439"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681</w:t>
            </w:r>
          </w:p>
        </w:tc>
      </w:tr>
      <w:tr w:rsidR="00D72DFE" w:rsidRPr="00D72DFE" w14:paraId="159B30EF"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085ADEE2"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(1,016)</w:t>
            </w:r>
          </w:p>
        </w:tc>
        <w:tc>
          <w:tcPr>
            <w:tcW w:w="3508" w:type="dxa"/>
            <w:tcBorders>
              <w:top w:val="nil"/>
              <w:left w:val="nil"/>
              <w:bottom w:val="nil"/>
              <w:right w:val="single" w:sz="4" w:space="0" w:color="auto"/>
            </w:tcBorders>
            <w:shd w:val="clear" w:color="000000" w:fill="FFFFFF"/>
            <w:noWrap/>
            <w:vAlign w:val="bottom"/>
            <w:hideMark/>
          </w:tcPr>
          <w:p w14:paraId="2125278B"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Income</w:t>
            </w:r>
          </w:p>
        </w:tc>
        <w:tc>
          <w:tcPr>
            <w:tcW w:w="1128" w:type="dxa"/>
            <w:tcBorders>
              <w:top w:val="nil"/>
              <w:left w:val="nil"/>
              <w:bottom w:val="nil"/>
              <w:right w:val="single" w:sz="4" w:space="0" w:color="auto"/>
            </w:tcBorders>
            <w:shd w:val="clear" w:color="000000" w:fill="FFFFFF"/>
            <w:noWrap/>
            <w:vAlign w:val="bottom"/>
            <w:hideMark/>
          </w:tcPr>
          <w:p w14:paraId="296AD61D"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(1,204)</w:t>
            </w:r>
          </w:p>
        </w:tc>
        <w:tc>
          <w:tcPr>
            <w:tcW w:w="1128" w:type="dxa"/>
            <w:tcBorders>
              <w:top w:val="nil"/>
              <w:left w:val="nil"/>
              <w:bottom w:val="nil"/>
              <w:right w:val="single" w:sz="4" w:space="0" w:color="auto"/>
            </w:tcBorders>
            <w:shd w:val="clear" w:color="000000" w:fill="FFFFFF"/>
            <w:noWrap/>
            <w:vAlign w:val="bottom"/>
            <w:hideMark/>
          </w:tcPr>
          <w:p w14:paraId="02A4EF7B"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(1,164)</w:t>
            </w:r>
          </w:p>
        </w:tc>
        <w:tc>
          <w:tcPr>
            <w:tcW w:w="1128" w:type="dxa"/>
            <w:tcBorders>
              <w:top w:val="nil"/>
              <w:left w:val="nil"/>
              <w:bottom w:val="nil"/>
              <w:right w:val="single" w:sz="4" w:space="0" w:color="auto"/>
            </w:tcBorders>
            <w:shd w:val="clear" w:color="000000" w:fill="FFFFFF"/>
            <w:noWrap/>
            <w:vAlign w:val="bottom"/>
            <w:hideMark/>
          </w:tcPr>
          <w:p w14:paraId="0C83E61A"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(1,122)</w:t>
            </w:r>
          </w:p>
        </w:tc>
        <w:tc>
          <w:tcPr>
            <w:tcW w:w="1128" w:type="dxa"/>
            <w:tcBorders>
              <w:top w:val="nil"/>
              <w:left w:val="nil"/>
              <w:bottom w:val="nil"/>
              <w:right w:val="single" w:sz="4" w:space="0" w:color="auto"/>
            </w:tcBorders>
            <w:shd w:val="clear" w:color="000000" w:fill="FFFFFF"/>
            <w:noWrap/>
            <w:vAlign w:val="bottom"/>
            <w:hideMark/>
          </w:tcPr>
          <w:p w14:paraId="3B1F3190"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(1,081)</w:t>
            </w:r>
          </w:p>
        </w:tc>
        <w:tc>
          <w:tcPr>
            <w:tcW w:w="1128" w:type="dxa"/>
            <w:tcBorders>
              <w:top w:val="nil"/>
              <w:left w:val="nil"/>
              <w:bottom w:val="nil"/>
              <w:right w:val="single" w:sz="4" w:space="0" w:color="auto"/>
            </w:tcBorders>
            <w:shd w:val="clear" w:color="000000" w:fill="FFFFFF"/>
            <w:noWrap/>
            <w:vAlign w:val="bottom"/>
            <w:hideMark/>
          </w:tcPr>
          <w:p w14:paraId="36BD4209"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(1,105)</w:t>
            </w:r>
          </w:p>
        </w:tc>
      </w:tr>
      <w:tr w:rsidR="00D72DFE" w:rsidRPr="00D72DFE" w14:paraId="5FEF8AB9"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7DB0F63F"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3,484</w:t>
            </w:r>
          </w:p>
        </w:tc>
        <w:tc>
          <w:tcPr>
            <w:tcW w:w="3508" w:type="dxa"/>
            <w:tcBorders>
              <w:top w:val="nil"/>
              <w:left w:val="nil"/>
              <w:bottom w:val="nil"/>
              <w:right w:val="single" w:sz="4" w:space="0" w:color="auto"/>
            </w:tcBorders>
            <w:shd w:val="clear" w:color="000000" w:fill="FFFFFF"/>
            <w:noWrap/>
            <w:vAlign w:val="bottom"/>
            <w:hideMark/>
          </w:tcPr>
          <w:p w14:paraId="08E3BC49"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Governance/Support Services</w:t>
            </w:r>
          </w:p>
        </w:tc>
        <w:tc>
          <w:tcPr>
            <w:tcW w:w="1128" w:type="dxa"/>
            <w:tcBorders>
              <w:top w:val="nil"/>
              <w:left w:val="nil"/>
              <w:bottom w:val="nil"/>
              <w:right w:val="single" w:sz="4" w:space="0" w:color="auto"/>
            </w:tcBorders>
            <w:shd w:val="clear" w:color="000000" w:fill="FFFFFF"/>
            <w:noWrap/>
            <w:vAlign w:val="bottom"/>
            <w:hideMark/>
          </w:tcPr>
          <w:p w14:paraId="23BAF77D"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3,920</w:t>
            </w:r>
          </w:p>
        </w:tc>
        <w:tc>
          <w:tcPr>
            <w:tcW w:w="1128" w:type="dxa"/>
            <w:tcBorders>
              <w:top w:val="nil"/>
              <w:left w:val="nil"/>
              <w:bottom w:val="nil"/>
              <w:right w:val="single" w:sz="4" w:space="0" w:color="auto"/>
            </w:tcBorders>
            <w:shd w:val="clear" w:color="000000" w:fill="FFFFFF"/>
            <w:noWrap/>
            <w:vAlign w:val="bottom"/>
            <w:hideMark/>
          </w:tcPr>
          <w:p w14:paraId="56B54E60"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3,918</w:t>
            </w:r>
          </w:p>
        </w:tc>
        <w:tc>
          <w:tcPr>
            <w:tcW w:w="1128" w:type="dxa"/>
            <w:tcBorders>
              <w:top w:val="nil"/>
              <w:left w:val="nil"/>
              <w:bottom w:val="nil"/>
              <w:right w:val="single" w:sz="4" w:space="0" w:color="auto"/>
            </w:tcBorders>
            <w:shd w:val="clear" w:color="000000" w:fill="FFFFFF"/>
            <w:noWrap/>
            <w:vAlign w:val="bottom"/>
            <w:hideMark/>
          </w:tcPr>
          <w:p w14:paraId="048C9C29"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4,055</w:t>
            </w:r>
          </w:p>
        </w:tc>
        <w:tc>
          <w:tcPr>
            <w:tcW w:w="1128" w:type="dxa"/>
            <w:tcBorders>
              <w:top w:val="nil"/>
              <w:left w:val="nil"/>
              <w:bottom w:val="nil"/>
              <w:right w:val="single" w:sz="4" w:space="0" w:color="auto"/>
            </w:tcBorders>
            <w:shd w:val="clear" w:color="000000" w:fill="FFFFFF"/>
            <w:noWrap/>
            <w:vAlign w:val="bottom"/>
            <w:hideMark/>
          </w:tcPr>
          <w:p w14:paraId="214F77DC"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4,138</w:t>
            </w:r>
          </w:p>
        </w:tc>
        <w:tc>
          <w:tcPr>
            <w:tcW w:w="1128" w:type="dxa"/>
            <w:tcBorders>
              <w:top w:val="nil"/>
              <w:left w:val="nil"/>
              <w:bottom w:val="nil"/>
              <w:right w:val="single" w:sz="4" w:space="0" w:color="auto"/>
            </w:tcBorders>
            <w:shd w:val="clear" w:color="000000" w:fill="FFFFFF"/>
            <w:noWrap/>
            <w:vAlign w:val="bottom"/>
            <w:hideMark/>
          </w:tcPr>
          <w:p w14:paraId="00B5F7C9"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4,221</w:t>
            </w:r>
          </w:p>
        </w:tc>
      </w:tr>
      <w:tr w:rsidR="00D72DFE" w:rsidRPr="00D72DFE" w14:paraId="0282DA9D" w14:textId="77777777" w:rsidTr="00D72DFE">
        <w:trPr>
          <w:trHeight w:val="300"/>
        </w:trPr>
        <w:tc>
          <w:tcPr>
            <w:tcW w:w="11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A9B799"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28,987</w:t>
            </w:r>
          </w:p>
        </w:tc>
        <w:tc>
          <w:tcPr>
            <w:tcW w:w="3508" w:type="dxa"/>
            <w:tcBorders>
              <w:top w:val="single" w:sz="4" w:space="0" w:color="auto"/>
              <w:left w:val="nil"/>
              <w:bottom w:val="single" w:sz="4" w:space="0" w:color="auto"/>
              <w:right w:val="single" w:sz="4" w:space="0" w:color="auto"/>
            </w:tcBorders>
            <w:shd w:val="clear" w:color="000000" w:fill="FFFFFF"/>
            <w:noWrap/>
            <w:vAlign w:val="bottom"/>
            <w:hideMark/>
          </w:tcPr>
          <w:p w14:paraId="20F5261A" w14:textId="77777777" w:rsidR="00D72DFE" w:rsidRPr="00D72DFE" w:rsidRDefault="00D72DFE" w:rsidP="00D72DFE">
            <w:pPr>
              <w:spacing w:after="0" w:line="240" w:lineRule="auto"/>
              <w:rPr>
                <w:rFonts w:eastAsia="Times New Roman" w:cs="Calibri"/>
                <w:b/>
                <w:bCs/>
                <w:color w:val="000000"/>
                <w:sz w:val="20"/>
                <w:szCs w:val="20"/>
                <w:lang w:eastAsia="en-GB"/>
              </w:rPr>
            </w:pPr>
            <w:r w:rsidRPr="00D72DFE">
              <w:rPr>
                <w:rFonts w:eastAsia="Times New Roman" w:cs="Calibri"/>
                <w:b/>
                <w:bCs/>
                <w:color w:val="000000"/>
                <w:sz w:val="20"/>
                <w:szCs w:val="20"/>
                <w:lang w:eastAsia="en-GB"/>
              </w:rPr>
              <w:t>OPERATIONAL BUDGET</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77C36BCA"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32,139</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1F0B1501"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33,113</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07317B24"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34,285</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104DDB43"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35,226</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15E1623F"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36,033</w:t>
            </w:r>
          </w:p>
        </w:tc>
      </w:tr>
      <w:tr w:rsidR="00D72DFE" w:rsidRPr="00D72DFE" w14:paraId="40149D9F" w14:textId="77777777" w:rsidTr="00D72DFE">
        <w:trPr>
          <w:trHeight w:val="300"/>
        </w:trPr>
        <w:tc>
          <w:tcPr>
            <w:tcW w:w="1128" w:type="dxa"/>
            <w:tcBorders>
              <w:top w:val="nil"/>
              <w:left w:val="nil"/>
              <w:bottom w:val="nil"/>
              <w:right w:val="nil"/>
            </w:tcBorders>
            <w:shd w:val="clear" w:color="000000" w:fill="FFFFFF"/>
            <w:noWrap/>
            <w:vAlign w:val="bottom"/>
            <w:hideMark/>
          </w:tcPr>
          <w:p w14:paraId="710976B3"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3508" w:type="dxa"/>
            <w:tcBorders>
              <w:top w:val="nil"/>
              <w:left w:val="nil"/>
              <w:bottom w:val="nil"/>
              <w:right w:val="nil"/>
            </w:tcBorders>
            <w:shd w:val="clear" w:color="000000" w:fill="FFFFFF"/>
            <w:noWrap/>
            <w:vAlign w:val="bottom"/>
            <w:hideMark/>
          </w:tcPr>
          <w:p w14:paraId="131B9DAE"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257CCEF0"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401BA5E7"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7FB86B27"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60F3A802"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7E8143D7"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r>
      <w:tr w:rsidR="00D72DFE" w:rsidRPr="00D72DFE" w14:paraId="4B95E03A" w14:textId="77777777" w:rsidTr="00D72DFE">
        <w:trPr>
          <w:trHeight w:val="300"/>
        </w:trPr>
        <w:tc>
          <w:tcPr>
            <w:tcW w:w="1128" w:type="dxa"/>
            <w:tcBorders>
              <w:top w:val="single" w:sz="4" w:space="0" w:color="auto"/>
              <w:left w:val="single" w:sz="4" w:space="0" w:color="auto"/>
              <w:bottom w:val="nil"/>
              <w:right w:val="single" w:sz="4" w:space="0" w:color="auto"/>
            </w:tcBorders>
            <w:shd w:val="clear" w:color="000000" w:fill="FFFFFF"/>
            <w:noWrap/>
            <w:vAlign w:val="bottom"/>
            <w:hideMark/>
          </w:tcPr>
          <w:p w14:paraId="71EFA2D1"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384</w:t>
            </w:r>
          </w:p>
        </w:tc>
        <w:tc>
          <w:tcPr>
            <w:tcW w:w="3508" w:type="dxa"/>
            <w:tcBorders>
              <w:top w:val="single" w:sz="4" w:space="0" w:color="auto"/>
              <w:left w:val="nil"/>
              <w:bottom w:val="nil"/>
              <w:right w:val="single" w:sz="4" w:space="0" w:color="auto"/>
            </w:tcBorders>
            <w:shd w:val="clear" w:color="000000" w:fill="FFFFFF"/>
            <w:noWrap/>
            <w:vAlign w:val="bottom"/>
            <w:hideMark/>
          </w:tcPr>
          <w:p w14:paraId="114625C3"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Capital Financing - MRP</w:t>
            </w:r>
          </w:p>
        </w:tc>
        <w:tc>
          <w:tcPr>
            <w:tcW w:w="1128" w:type="dxa"/>
            <w:tcBorders>
              <w:top w:val="single" w:sz="4" w:space="0" w:color="auto"/>
              <w:left w:val="nil"/>
              <w:bottom w:val="nil"/>
              <w:right w:val="single" w:sz="4" w:space="0" w:color="auto"/>
            </w:tcBorders>
            <w:shd w:val="clear" w:color="000000" w:fill="FFFFFF"/>
            <w:noWrap/>
            <w:vAlign w:val="bottom"/>
            <w:hideMark/>
          </w:tcPr>
          <w:p w14:paraId="4B236ACD"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259</w:t>
            </w:r>
          </w:p>
        </w:tc>
        <w:tc>
          <w:tcPr>
            <w:tcW w:w="1128" w:type="dxa"/>
            <w:tcBorders>
              <w:top w:val="single" w:sz="4" w:space="0" w:color="auto"/>
              <w:left w:val="nil"/>
              <w:bottom w:val="nil"/>
              <w:right w:val="single" w:sz="4" w:space="0" w:color="auto"/>
            </w:tcBorders>
            <w:shd w:val="clear" w:color="000000" w:fill="FFFFFF"/>
            <w:noWrap/>
            <w:vAlign w:val="bottom"/>
            <w:hideMark/>
          </w:tcPr>
          <w:p w14:paraId="28C526D2"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370</w:t>
            </w:r>
          </w:p>
        </w:tc>
        <w:tc>
          <w:tcPr>
            <w:tcW w:w="1128" w:type="dxa"/>
            <w:tcBorders>
              <w:top w:val="single" w:sz="4" w:space="0" w:color="auto"/>
              <w:left w:val="nil"/>
              <w:bottom w:val="nil"/>
              <w:right w:val="single" w:sz="4" w:space="0" w:color="auto"/>
            </w:tcBorders>
            <w:shd w:val="clear" w:color="000000" w:fill="FFFFFF"/>
            <w:noWrap/>
            <w:vAlign w:val="bottom"/>
            <w:hideMark/>
          </w:tcPr>
          <w:p w14:paraId="2E6F12CB"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426</w:t>
            </w:r>
          </w:p>
        </w:tc>
        <w:tc>
          <w:tcPr>
            <w:tcW w:w="1128" w:type="dxa"/>
            <w:tcBorders>
              <w:top w:val="single" w:sz="4" w:space="0" w:color="auto"/>
              <w:left w:val="nil"/>
              <w:bottom w:val="nil"/>
              <w:right w:val="single" w:sz="4" w:space="0" w:color="auto"/>
            </w:tcBorders>
            <w:shd w:val="clear" w:color="000000" w:fill="FFFFFF"/>
            <w:noWrap/>
            <w:vAlign w:val="bottom"/>
            <w:hideMark/>
          </w:tcPr>
          <w:p w14:paraId="7630BAAD"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521</w:t>
            </w:r>
          </w:p>
        </w:tc>
        <w:tc>
          <w:tcPr>
            <w:tcW w:w="1128" w:type="dxa"/>
            <w:tcBorders>
              <w:top w:val="single" w:sz="4" w:space="0" w:color="auto"/>
              <w:left w:val="nil"/>
              <w:bottom w:val="nil"/>
              <w:right w:val="single" w:sz="4" w:space="0" w:color="auto"/>
            </w:tcBorders>
            <w:shd w:val="clear" w:color="000000" w:fill="FFFFFF"/>
            <w:noWrap/>
            <w:vAlign w:val="bottom"/>
            <w:hideMark/>
          </w:tcPr>
          <w:p w14:paraId="4676833F"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609</w:t>
            </w:r>
          </w:p>
        </w:tc>
      </w:tr>
      <w:tr w:rsidR="00D72DFE" w:rsidRPr="00D72DFE" w14:paraId="097706A7"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4FC7F0D4"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60</w:t>
            </w:r>
          </w:p>
        </w:tc>
        <w:tc>
          <w:tcPr>
            <w:tcW w:w="3508" w:type="dxa"/>
            <w:tcBorders>
              <w:top w:val="nil"/>
              <w:left w:val="nil"/>
              <w:bottom w:val="nil"/>
              <w:right w:val="single" w:sz="4" w:space="0" w:color="auto"/>
            </w:tcBorders>
            <w:shd w:val="clear" w:color="000000" w:fill="FFFFFF"/>
            <w:noWrap/>
            <w:vAlign w:val="bottom"/>
            <w:hideMark/>
          </w:tcPr>
          <w:p w14:paraId="446ED41A"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Capital Financing - Interest</w:t>
            </w:r>
          </w:p>
        </w:tc>
        <w:tc>
          <w:tcPr>
            <w:tcW w:w="1128" w:type="dxa"/>
            <w:tcBorders>
              <w:top w:val="nil"/>
              <w:left w:val="nil"/>
              <w:bottom w:val="nil"/>
              <w:right w:val="single" w:sz="4" w:space="0" w:color="auto"/>
            </w:tcBorders>
            <w:shd w:val="clear" w:color="000000" w:fill="FFFFFF"/>
            <w:noWrap/>
            <w:vAlign w:val="bottom"/>
            <w:hideMark/>
          </w:tcPr>
          <w:p w14:paraId="6ACBB02D"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59</w:t>
            </w:r>
          </w:p>
        </w:tc>
        <w:tc>
          <w:tcPr>
            <w:tcW w:w="1128" w:type="dxa"/>
            <w:tcBorders>
              <w:top w:val="nil"/>
              <w:left w:val="nil"/>
              <w:bottom w:val="nil"/>
              <w:right w:val="single" w:sz="4" w:space="0" w:color="auto"/>
            </w:tcBorders>
            <w:shd w:val="clear" w:color="000000" w:fill="FFFFFF"/>
            <w:noWrap/>
            <w:vAlign w:val="bottom"/>
            <w:hideMark/>
          </w:tcPr>
          <w:p w14:paraId="23329A2C"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86</w:t>
            </w:r>
          </w:p>
        </w:tc>
        <w:tc>
          <w:tcPr>
            <w:tcW w:w="1128" w:type="dxa"/>
            <w:tcBorders>
              <w:top w:val="nil"/>
              <w:left w:val="nil"/>
              <w:bottom w:val="nil"/>
              <w:right w:val="single" w:sz="4" w:space="0" w:color="auto"/>
            </w:tcBorders>
            <w:shd w:val="clear" w:color="000000" w:fill="FFFFFF"/>
            <w:noWrap/>
            <w:vAlign w:val="bottom"/>
            <w:hideMark/>
          </w:tcPr>
          <w:p w14:paraId="67514C25"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93</w:t>
            </w:r>
          </w:p>
        </w:tc>
        <w:tc>
          <w:tcPr>
            <w:tcW w:w="1128" w:type="dxa"/>
            <w:tcBorders>
              <w:top w:val="nil"/>
              <w:left w:val="nil"/>
              <w:bottom w:val="nil"/>
              <w:right w:val="single" w:sz="4" w:space="0" w:color="auto"/>
            </w:tcBorders>
            <w:shd w:val="clear" w:color="000000" w:fill="FFFFFF"/>
            <w:noWrap/>
            <w:vAlign w:val="bottom"/>
            <w:hideMark/>
          </w:tcPr>
          <w:p w14:paraId="34E31031"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98</w:t>
            </w:r>
          </w:p>
        </w:tc>
        <w:tc>
          <w:tcPr>
            <w:tcW w:w="1128" w:type="dxa"/>
            <w:tcBorders>
              <w:top w:val="nil"/>
              <w:left w:val="nil"/>
              <w:bottom w:val="nil"/>
              <w:right w:val="single" w:sz="4" w:space="0" w:color="auto"/>
            </w:tcBorders>
            <w:shd w:val="clear" w:color="000000" w:fill="FFFFFF"/>
            <w:noWrap/>
            <w:vAlign w:val="bottom"/>
            <w:hideMark/>
          </w:tcPr>
          <w:p w14:paraId="05F0FF19"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103</w:t>
            </w:r>
          </w:p>
        </w:tc>
      </w:tr>
      <w:tr w:rsidR="00D72DFE" w:rsidRPr="00D72DFE" w14:paraId="29E6C37B"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3646DA5C"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w:t>
            </w:r>
          </w:p>
        </w:tc>
        <w:tc>
          <w:tcPr>
            <w:tcW w:w="3508" w:type="dxa"/>
            <w:tcBorders>
              <w:top w:val="nil"/>
              <w:left w:val="nil"/>
              <w:bottom w:val="nil"/>
              <w:right w:val="single" w:sz="4" w:space="0" w:color="auto"/>
            </w:tcBorders>
            <w:shd w:val="clear" w:color="000000" w:fill="FFFFFF"/>
            <w:noWrap/>
            <w:vAlign w:val="bottom"/>
            <w:hideMark/>
          </w:tcPr>
          <w:p w14:paraId="5733BCE8"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Capital Financing - RCCO</w:t>
            </w:r>
          </w:p>
        </w:tc>
        <w:tc>
          <w:tcPr>
            <w:tcW w:w="1128" w:type="dxa"/>
            <w:tcBorders>
              <w:top w:val="nil"/>
              <w:left w:val="nil"/>
              <w:bottom w:val="nil"/>
              <w:right w:val="single" w:sz="4" w:space="0" w:color="auto"/>
            </w:tcBorders>
            <w:shd w:val="clear" w:color="000000" w:fill="FFFFFF"/>
            <w:noWrap/>
            <w:vAlign w:val="bottom"/>
            <w:hideMark/>
          </w:tcPr>
          <w:p w14:paraId="76E3070A"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300</w:t>
            </w:r>
          </w:p>
        </w:tc>
        <w:tc>
          <w:tcPr>
            <w:tcW w:w="1128" w:type="dxa"/>
            <w:tcBorders>
              <w:top w:val="nil"/>
              <w:left w:val="nil"/>
              <w:bottom w:val="nil"/>
              <w:right w:val="single" w:sz="4" w:space="0" w:color="auto"/>
            </w:tcBorders>
            <w:shd w:val="clear" w:color="000000" w:fill="FFFFFF"/>
            <w:noWrap/>
            <w:vAlign w:val="bottom"/>
            <w:hideMark/>
          </w:tcPr>
          <w:p w14:paraId="7E920703"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300</w:t>
            </w:r>
          </w:p>
        </w:tc>
        <w:tc>
          <w:tcPr>
            <w:tcW w:w="1128" w:type="dxa"/>
            <w:tcBorders>
              <w:top w:val="nil"/>
              <w:left w:val="nil"/>
              <w:bottom w:val="nil"/>
              <w:right w:val="single" w:sz="4" w:space="0" w:color="auto"/>
            </w:tcBorders>
            <w:shd w:val="clear" w:color="000000" w:fill="FFFFFF"/>
            <w:noWrap/>
            <w:vAlign w:val="bottom"/>
            <w:hideMark/>
          </w:tcPr>
          <w:p w14:paraId="4323EC03"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300</w:t>
            </w:r>
          </w:p>
        </w:tc>
        <w:tc>
          <w:tcPr>
            <w:tcW w:w="1128" w:type="dxa"/>
            <w:tcBorders>
              <w:top w:val="nil"/>
              <w:left w:val="nil"/>
              <w:bottom w:val="nil"/>
              <w:right w:val="single" w:sz="4" w:space="0" w:color="auto"/>
            </w:tcBorders>
            <w:shd w:val="clear" w:color="000000" w:fill="FFFFFF"/>
            <w:noWrap/>
            <w:vAlign w:val="bottom"/>
            <w:hideMark/>
          </w:tcPr>
          <w:p w14:paraId="5421F48C"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300</w:t>
            </w:r>
          </w:p>
        </w:tc>
        <w:tc>
          <w:tcPr>
            <w:tcW w:w="1128" w:type="dxa"/>
            <w:tcBorders>
              <w:top w:val="nil"/>
              <w:left w:val="nil"/>
              <w:bottom w:val="nil"/>
              <w:right w:val="single" w:sz="4" w:space="0" w:color="auto"/>
            </w:tcBorders>
            <w:shd w:val="clear" w:color="000000" w:fill="FFFFFF"/>
            <w:noWrap/>
            <w:vAlign w:val="bottom"/>
            <w:hideMark/>
          </w:tcPr>
          <w:p w14:paraId="35AF874F"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300</w:t>
            </w:r>
          </w:p>
        </w:tc>
      </w:tr>
      <w:tr w:rsidR="00D72DFE" w:rsidRPr="00D72DFE" w14:paraId="75D44CC8"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14E62119"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120</w:t>
            </w:r>
          </w:p>
        </w:tc>
        <w:tc>
          <w:tcPr>
            <w:tcW w:w="3508" w:type="dxa"/>
            <w:tcBorders>
              <w:top w:val="nil"/>
              <w:left w:val="nil"/>
              <w:bottom w:val="nil"/>
              <w:right w:val="single" w:sz="4" w:space="0" w:color="auto"/>
            </w:tcBorders>
            <w:shd w:val="clear" w:color="000000" w:fill="FFFFFF"/>
            <w:noWrap/>
            <w:vAlign w:val="bottom"/>
            <w:hideMark/>
          </w:tcPr>
          <w:p w14:paraId="5B9086A2"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Inflation contingency</w:t>
            </w:r>
          </w:p>
        </w:tc>
        <w:tc>
          <w:tcPr>
            <w:tcW w:w="1128" w:type="dxa"/>
            <w:tcBorders>
              <w:top w:val="nil"/>
              <w:left w:val="nil"/>
              <w:bottom w:val="nil"/>
              <w:right w:val="single" w:sz="4" w:space="0" w:color="auto"/>
            </w:tcBorders>
            <w:shd w:val="clear" w:color="000000" w:fill="FFFFFF"/>
            <w:noWrap/>
            <w:vAlign w:val="bottom"/>
            <w:hideMark/>
          </w:tcPr>
          <w:p w14:paraId="5289EACA"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120</w:t>
            </w:r>
          </w:p>
        </w:tc>
        <w:tc>
          <w:tcPr>
            <w:tcW w:w="1128" w:type="dxa"/>
            <w:tcBorders>
              <w:top w:val="nil"/>
              <w:left w:val="nil"/>
              <w:bottom w:val="nil"/>
              <w:right w:val="single" w:sz="4" w:space="0" w:color="auto"/>
            </w:tcBorders>
            <w:shd w:val="clear" w:color="000000" w:fill="FFFFFF"/>
            <w:noWrap/>
            <w:vAlign w:val="bottom"/>
            <w:hideMark/>
          </w:tcPr>
          <w:p w14:paraId="10011D7B"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124</w:t>
            </w:r>
          </w:p>
        </w:tc>
        <w:tc>
          <w:tcPr>
            <w:tcW w:w="1128" w:type="dxa"/>
            <w:tcBorders>
              <w:top w:val="nil"/>
              <w:left w:val="nil"/>
              <w:bottom w:val="nil"/>
              <w:right w:val="single" w:sz="4" w:space="0" w:color="auto"/>
            </w:tcBorders>
            <w:shd w:val="clear" w:color="000000" w:fill="FFFFFF"/>
            <w:noWrap/>
            <w:vAlign w:val="bottom"/>
            <w:hideMark/>
          </w:tcPr>
          <w:p w14:paraId="15D49FD9"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128</w:t>
            </w:r>
          </w:p>
        </w:tc>
        <w:tc>
          <w:tcPr>
            <w:tcW w:w="1128" w:type="dxa"/>
            <w:tcBorders>
              <w:top w:val="nil"/>
              <w:left w:val="nil"/>
              <w:bottom w:val="nil"/>
              <w:right w:val="single" w:sz="4" w:space="0" w:color="auto"/>
            </w:tcBorders>
            <w:shd w:val="clear" w:color="000000" w:fill="FFFFFF"/>
            <w:noWrap/>
            <w:vAlign w:val="bottom"/>
            <w:hideMark/>
          </w:tcPr>
          <w:p w14:paraId="19050919"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132</w:t>
            </w:r>
          </w:p>
        </w:tc>
        <w:tc>
          <w:tcPr>
            <w:tcW w:w="1128" w:type="dxa"/>
            <w:tcBorders>
              <w:top w:val="nil"/>
              <w:left w:val="nil"/>
              <w:bottom w:val="nil"/>
              <w:right w:val="single" w:sz="4" w:space="0" w:color="auto"/>
            </w:tcBorders>
            <w:shd w:val="clear" w:color="000000" w:fill="FFFFFF"/>
            <w:noWrap/>
            <w:vAlign w:val="bottom"/>
            <w:hideMark/>
          </w:tcPr>
          <w:p w14:paraId="713ABF93"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136</w:t>
            </w:r>
          </w:p>
        </w:tc>
      </w:tr>
      <w:tr w:rsidR="00D72DFE" w:rsidRPr="00D72DFE" w14:paraId="4595045A"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6C928186"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525</w:t>
            </w:r>
          </w:p>
        </w:tc>
        <w:tc>
          <w:tcPr>
            <w:tcW w:w="3508" w:type="dxa"/>
            <w:tcBorders>
              <w:top w:val="nil"/>
              <w:left w:val="nil"/>
              <w:bottom w:val="nil"/>
              <w:right w:val="single" w:sz="4" w:space="0" w:color="auto"/>
            </w:tcBorders>
            <w:shd w:val="clear" w:color="000000" w:fill="FFFFFF"/>
            <w:noWrap/>
            <w:vAlign w:val="bottom"/>
            <w:hideMark/>
          </w:tcPr>
          <w:p w14:paraId="4B7FEF09"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Transfer to Reserves</w:t>
            </w:r>
          </w:p>
        </w:tc>
        <w:tc>
          <w:tcPr>
            <w:tcW w:w="1128" w:type="dxa"/>
            <w:tcBorders>
              <w:top w:val="nil"/>
              <w:left w:val="nil"/>
              <w:bottom w:val="nil"/>
              <w:right w:val="single" w:sz="4" w:space="0" w:color="auto"/>
            </w:tcBorders>
            <w:shd w:val="clear" w:color="000000" w:fill="FFFFFF"/>
            <w:noWrap/>
            <w:vAlign w:val="bottom"/>
            <w:hideMark/>
          </w:tcPr>
          <w:p w14:paraId="060201C4"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119</w:t>
            </w:r>
          </w:p>
        </w:tc>
        <w:tc>
          <w:tcPr>
            <w:tcW w:w="1128" w:type="dxa"/>
            <w:tcBorders>
              <w:top w:val="nil"/>
              <w:left w:val="nil"/>
              <w:bottom w:val="nil"/>
              <w:right w:val="single" w:sz="4" w:space="0" w:color="auto"/>
            </w:tcBorders>
            <w:shd w:val="clear" w:color="000000" w:fill="FFFFFF"/>
            <w:noWrap/>
            <w:vAlign w:val="bottom"/>
            <w:hideMark/>
          </w:tcPr>
          <w:p w14:paraId="160A7959"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100</w:t>
            </w:r>
          </w:p>
        </w:tc>
        <w:tc>
          <w:tcPr>
            <w:tcW w:w="1128" w:type="dxa"/>
            <w:tcBorders>
              <w:top w:val="nil"/>
              <w:left w:val="nil"/>
              <w:bottom w:val="nil"/>
              <w:right w:val="single" w:sz="4" w:space="0" w:color="auto"/>
            </w:tcBorders>
            <w:shd w:val="clear" w:color="000000" w:fill="FFFFFF"/>
            <w:noWrap/>
            <w:vAlign w:val="bottom"/>
            <w:hideMark/>
          </w:tcPr>
          <w:p w14:paraId="2ADE0734"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100</w:t>
            </w:r>
          </w:p>
        </w:tc>
        <w:tc>
          <w:tcPr>
            <w:tcW w:w="1128" w:type="dxa"/>
            <w:tcBorders>
              <w:top w:val="nil"/>
              <w:left w:val="nil"/>
              <w:bottom w:val="nil"/>
              <w:right w:val="single" w:sz="4" w:space="0" w:color="auto"/>
            </w:tcBorders>
            <w:shd w:val="clear" w:color="000000" w:fill="FFFFFF"/>
            <w:noWrap/>
            <w:vAlign w:val="bottom"/>
            <w:hideMark/>
          </w:tcPr>
          <w:p w14:paraId="22C70E63"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100</w:t>
            </w:r>
          </w:p>
        </w:tc>
        <w:tc>
          <w:tcPr>
            <w:tcW w:w="1128" w:type="dxa"/>
            <w:tcBorders>
              <w:top w:val="nil"/>
              <w:left w:val="nil"/>
              <w:bottom w:val="nil"/>
              <w:right w:val="single" w:sz="4" w:space="0" w:color="auto"/>
            </w:tcBorders>
            <w:shd w:val="clear" w:color="000000" w:fill="FFFFFF"/>
            <w:noWrap/>
            <w:vAlign w:val="bottom"/>
            <w:hideMark/>
          </w:tcPr>
          <w:p w14:paraId="497FC428"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100</w:t>
            </w:r>
          </w:p>
        </w:tc>
      </w:tr>
      <w:tr w:rsidR="00D72DFE" w:rsidRPr="00D72DFE" w14:paraId="58FDC4CB"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00D4D807"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(518)</w:t>
            </w:r>
          </w:p>
        </w:tc>
        <w:tc>
          <w:tcPr>
            <w:tcW w:w="3508" w:type="dxa"/>
            <w:tcBorders>
              <w:top w:val="nil"/>
              <w:left w:val="nil"/>
              <w:bottom w:val="nil"/>
              <w:right w:val="single" w:sz="4" w:space="0" w:color="auto"/>
            </w:tcBorders>
            <w:shd w:val="clear" w:color="000000" w:fill="FFFFFF"/>
            <w:noWrap/>
            <w:vAlign w:val="bottom"/>
            <w:hideMark/>
          </w:tcPr>
          <w:p w14:paraId="0070242B"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Transfer from Reserves</w:t>
            </w:r>
          </w:p>
        </w:tc>
        <w:tc>
          <w:tcPr>
            <w:tcW w:w="1128" w:type="dxa"/>
            <w:tcBorders>
              <w:top w:val="nil"/>
              <w:left w:val="nil"/>
              <w:bottom w:val="nil"/>
              <w:right w:val="single" w:sz="4" w:space="0" w:color="auto"/>
            </w:tcBorders>
            <w:shd w:val="clear" w:color="000000" w:fill="FFFFFF"/>
            <w:noWrap/>
            <w:vAlign w:val="bottom"/>
            <w:hideMark/>
          </w:tcPr>
          <w:p w14:paraId="69282BC2"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(184)</w:t>
            </w:r>
          </w:p>
        </w:tc>
        <w:tc>
          <w:tcPr>
            <w:tcW w:w="1128" w:type="dxa"/>
            <w:tcBorders>
              <w:top w:val="nil"/>
              <w:left w:val="nil"/>
              <w:bottom w:val="nil"/>
              <w:right w:val="single" w:sz="4" w:space="0" w:color="auto"/>
            </w:tcBorders>
            <w:shd w:val="clear" w:color="000000" w:fill="FFFFFF"/>
            <w:noWrap/>
            <w:vAlign w:val="bottom"/>
            <w:hideMark/>
          </w:tcPr>
          <w:p w14:paraId="4523A846"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w:t>
            </w:r>
          </w:p>
        </w:tc>
        <w:tc>
          <w:tcPr>
            <w:tcW w:w="1128" w:type="dxa"/>
            <w:tcBorders>
              <w:top w:val="nil"/>
              <w:left w:val="nil"/>
              <w:bottom w:val="nil"/>
              <w:right w:val="single" w:sz="4" w:space="0" w:color="auto"/>
            </w:tcBorders>
            <w:shd w:val="clear" w:color="000000" w:fill="FFFFFF"/>
            <w:noWrap/>
            <w:vAlign w:val="bottom"/>
            <w:hideMark/>
          </w:tcPr>
          <w:p w14:paraId="03FB5B27"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w:t>
            </w:r>
          </w:p>
        </w:tc>
        <w:tc>
          <w:tcPr>
            <w:tcW w:w="1128" w:type="dxa"/>
            <w:tcBorders>
              <w:top w:val="nil"/>
              <w:left w:val="nil"/>
              <w:bottom w:val="nil"/>
              <w:right w:val="single" w:sz="4" w:space="0" w:color="auto"/>
            </w:tcBorders>
            <w:shd w:val="clear" w:color="000000" w:fill="FFFFFF"/>
            <w:noWrap/>
            <w:vAlign w:val="bottom"/>
            <w:hideMark/>
          </w:tcPr>
          <w:p w14:paraId="5CE492DA"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w:t>
            </w:r>
          </w:p>
        </w:tc>
        <w:tc>
          <w:tcPr>
            <w:tcW w:w="1128" w:type="dxa"/>
            <w:tcBorders>
              <w:top w:val="nil"/>
              <w:left w:val="nil"/>
              <w:bottom w:val="nil"/>
              <w:right w:val="single" w:sz="4" w:space="0" w:color="auto"/>
            </w:tcBorders>
            <w:shd w:val="clear" w:color="000000" w:fill="FFFFFF"/>
            <w:noWrap/>
            <w:vAlign w:val="bottom"/>
            <w:hideMark/>
          </w:tcPr>
          <w:p w14:paraId="47E28B10"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w:t>
            </w:r>
          </w:p>
        </w:tc>
      </w:tr>
      <w:tr w:rsidR="00D72DFE" w:rsidRPr="00D72DFE" w14:paraId="4D4D2EE0" w14:textId="77777777" w:rsidTr="00D72DFE">
        <w:trPr>
          <w:trHeight w:val="90"/>
        </w:trPr>
        <w:tc>
          <w:tcPr>
            <w:tcW w:w="1128" w:type="dxa"/>
            <w:tcBorders>
              <w:top w:val="nil"/>
              <w:left w:val="single" w:sz="4" w:space="0" w:color="auto"/>
              <w:bottom w:val="nil"/>
              <w:right w:val="single" w:sz="4" w:space="0" w:color="auto"/>
            </w:tcBorders>
            <w:shd w:val="clear" w:color="000000" w:fill="FFFFFF"/>
            <w:noWrap/>
            <w:vAlign w:val="bottom"/>
            <w:hideMark/>
          </w:tcPr>
          <w:p w14:paraId="1A7393BD"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3508" w:type="dxa"/>
            <w:tcBorders>
              <w:top w:val="nil"/>
              <w:left w:val="nil"/>
              <w:bottom w:val="nil"/>
              <w:right w:val="single" w:sz="4" w:space="0" w:color="auto"/>
            </w:tcBorders>
            <w:shd w:val="clear" w:color="000000" w:fill="FFFFFF"/>
            <w:noWrap/>
            <w:vAlign w:val="bottom"/>
            <w:hideMark/>
          </w:tcPr>
          <w:p w14:paraId="5EF77407"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single" w:sz="4" w:space="0" w:color="auto"/>
            </w:tcBorders>
            <w:shd w:val="clear" w:color="000000" w:fill="FFFFFF"/>
            <w:noWrap/>
            <w:vAlign w:val="bottom"/>
            <w:hideMark/>
          </w:tcPr>
          <w:p w14:paraId="562B1D7D"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single" w:sz="4" w:space="0" w:color="auto"/>
            </w:tcBorders>
            <w:shd w:val="clear" w:color="000000" w:fill="FFFFFF"/>
            <w:noWrap/>
            <w:vAlign w:val="bottom"/>
            <w:hideMark/>
          </w:tcPr>
          <w:p w14:paraId="4F17224B"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single" w:sz="4" w:space="0" w:color="auto"/>
            </w:tcBorders>
            <w:shd w:val="clear" w:color="000000" w:fill="FFFFFF"/>
            <w:noWrap/>
            <w:vAlign w:val="bottom"/>
            <w:hideMark/>
          </w:tcPr>
          <w:p w14:paraId="458B87F0"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single" w:sz="4" w:space="0" w:color="auto"/>
            </w:tcBorders>
            <w:shd w:val="clear" w:color="000000" w:fill="FFFFFF"/>
            <w:noWrap/>
            <w:vAlign w:val="bottom"/>
            <w:hideMark/>
          </w:tcPr>
          <w:p w14:paraId="14EAE339"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single" w:sz="4" w:space="0" w:color="auto"/>
            </w:tcBorders>
            <w:shd w:val="clear" w:color="000000" w:fill="FFFFFF"/>
            <w:noWrap/>
            <w:vAlign w:val="bottom"/>
            <w:hideMark/>
          </w:tcPr>
          <w:p w14:paraId="121BBDCD"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r>
      <w:tr w:rsidR="00D72DFE" w:rsidRPr="00D72DFE" w14:paraId="383B8F4C" w14:textId="77777777" w:rsidTr="00D72DFE">
        <w:trPr>
          <w:trHeight w:val="300"/>
        </w:trPr>
        <w:tc>
          <w:tcPr>
            <w:tcW w:w="11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0C1334"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571</w:t>
            </w:r>
          </w:p>
        </w:tc>
        <w:tc>
          <w:tcPr>
            <w:tcW w:w="3508" w:type="dxa"/>
            <w:tcBorders>
              <w:top w:val="single" w:sz="4" w:space="0" w:color="auto"/>
              <w:left w:val="nil"/>
              <w:bottom w:val="single" w:sz="4" w:space="0" w:color="auto"/>
              <w:right w:val="single" w:sz="4" w:space="0" w:color="auto"/>
            </w:tcBorders>
            <w:shd w:val="clear" w:color="000000" w:fill="FFFFFF"/>
            <w:noWrap/>
            <w:vAlign w:val="bottom"/>
            <w:hideMark/>
          </w:tcPr>
          <w:p w14:paraId="5B4984D6" w14:textId="77777777" w:rsidR="00D72DFE" w:rsidRPr="00D72DFE" w:rsidRDefault="00D72DFE" w:rsidP="00D72DFE">
            <w:pPr>
              <w:spacing w:after="0" w:line="240" w:lineRule="auto"/>
              <w:rPr>
                <w:rFonts w:eastAsia="Times New Roman" w:cs="Calibri"/>
                <w:b/>
                <w:bCs/>
                <w:color w:val="000000"/>
                <w:sz w:val="20"/>
                <w:szCs w:val="20"/>
                <w:lang w:eastAsia="en-GB"/>
              </w:rPr>
            </w:pPr>
            <w:r w:rsidRPr="00D72DFE">
              <w:rPr>
                <w:rFonts w:eastAsia="Times New Roman" w:cs="Calibri"/>
                <w:b/>
                <w:bCs/>
                <w:color w:val="000000"/>
                <w:sz w:val="20"/>
                <w:szCs w:val="20"/>
                <w:lang w:eastAsia="en-GB"/>
              </w:rPr>
              <w:t>OTHER (Budgets managed by the OPFCC)</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2E79E281"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673</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14F343C3"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980</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537B3B99"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1,047</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39AA396B"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1,151</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526999BB"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1,248</w:t>
            </w:r>
          </w:p>
        </w:tc>
      </w:tr>
      <w:tr w:rsidR="00D72DFE" w:rsidRPr="00D72DFE" w14:paraId="3C8E5995" w14:textId="77777777" w:rsidTr="00D72DFE">
        <w:trPr>
          <w:trHeight w:val="300"/>
        </w:trPr>
        <w:tc>
          <w:tcPr>
            <w:tcW w:w="1128" w:type="dxa"/>
            <w:tcBorders>
              <w:top w:val="nil"/>
              <w:left w:val="nil"/>
              <w:bottom w:val="nil"/>
              <w:right w:val="nil"/>
            </w:tcBorders>
            <w:shd w:val="clear" w:color="000000" w:fill="FFFFFF"/>
            <w:noWrap/>
            <w:vAlign w:val="bottom"/>
            <w:hideMark/>
          </w:tcPr>
          <w:p w14:paraId="5FF533D2"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3508" w:type="dxa"/>
            <w:tcBorders>
              <w:top w:val="nil"/>
              <w:left w:val="nil"/>
              <w:bottom w:val="nil"/>
              <w:right w:val="nil"/>
            </w:tcBorders>
            <w:shd w:val="clear" w:color="000000" w:fill="FFFFFF"/>
            <w:noWrap/>
            <w:vAlign w:val="bottom"/>
            <w:hideMark/>
          </w:tcPr>
          <w:p w14:paraId="5CD1D7A1"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794A1B3E"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2B041EF9"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5824FD43"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1E14E622"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22CD6452"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r>
      <w:tr w:rsidR="00D72DFE" w:rsidRPr="00D72DFE" w14:paraId="2508E3D3" w14:textId="77777777" w:rsidTr="00D72DFE">
        <w:trPr>
          <w:trHeight w:val="300"/>
        </w:trPr>
        <w:tc>
          <w:tcPr>
            <w:tcW w:w="1128" w:type="dxa"/>
            <w:tcBorders>
              <w:top w:val="single" w:sz="4" w:space="0" w:color="auto"/>
              <w:left w:val="single" w:sz="4" w:space="0" w:color="auto"/>
              <w:bottom w:val="nil"/>
              <w:right w:val="single" w:sz="4" w:space="0" w:color="auto"/>
            </w:tcBorders>
            <w:shd w:val="clear" w:color="000000" w:fill="FFFFFF"/>
            <w:noWrap/>
            <w:vAlign w:val="bottom"/>
            <w:hideMark/>
          </w:tcPr>
          <w:p w14:paraId="3C0F8105"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w:t>
            </w:r>
          </w:p>
        </w:tc>
        <w:tc>
          <w:tcPr>
            <w:tcW w:w="3508" w:type="dxa"/>
            <w:tcBorders>
              <w:top w:val="single" w:sz="4" w:space="0" w:color="auto"/>
              <w:left w:val="nil"/>
              <w:bottom w:val="nil"/>
              <w:right w:val="single" w:sz="4" w:space="0" w:color="auto"/>
            </w:tcBorders>
            <w:shd w:val="clear" w:color="000000" w:fill="FFFFFF"/>
            <w:noWrap/>
            <w:vAlign w:val="bottom"/>
            <w:hideMark/>
          </w:tcPr>
          <w:p w14:paraId="39D57921"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New Investment Proposals</w:t>
            </w:r>
          </w:p>
        </w:tc>
        <w:tc>
          <w:tcPr>
            <w:tcW w:w="1128" w:type="dxa"/>
            <w:tcBorders>
              <w:top w:val="single" w:sz="4" w:space="0" w:color="auto"/>
              <w:left w:val="nil"/>
              <w:bottom w:val="nil"/>
              <w:right w:val="single" w:sz="4" w:space="0" w:color="auto"/>
            </w:tcBorders>
            <w:shd w:val="clear" w:color="000000" w:fill="FFFFFF"/>
            <w:noWrap/>
            <w:vAlign w:val="bottom"/>
            <w:hideMark/>
          </w:tcPr>
          <w:p w14:paraId="4D94B86F"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126</w:t>
            </w:r>
          </w:p>
        </w:tc>
        <w:tc>
          <w:tcPr>
            <w:tcW w:w="1128" w:type="dxa"/>
            <w:tcBorders>
              <w:top w:val="single" w:sz="4" w:space="0" w:color="auto"/>
              <w:left w:val="nil"/>
              <w:bottom w:val="nil"/>
              <w:right w:val="single" w:sz="4" w:space="0" w:color="auto"/>
            </w:tcBorders>
            <w:shd w:val="clear" w:color="000000" w:fill="FFFFFF"/>
            <w:noWrap/>
            <w:vAlign w:val="bottom"/>
            <w:hideMark/>
          </w:tcPr>
          <w:p w14:paraId="5D74652C"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130</w:t>
            </w:r>
          </w:p>
        </w:tc>
        <w:tc>
          <w:tcPr>
            <w:tcW w:w="1128" w:type="dxa"/>
            <w:tcBorders>
              <w:top w:val="single" w:sz="4" w:space="0" w:color="auto"/>
              <w:left w:val="nil"/>
              <w:bottom w:val="nil"/>
              <w:right w:val="single" w:sz="4" w:space="0" w:color="auto"/>
            </w:tcBorders>
            <w:shd w:val="clear" w:color="000000" w:fill="FFFFFF"/>
            <w:noWrap/>
            <w:vAlign w:val="bottom"/>
            <w:hideMark/>
          </w:tcPr>
          <w:p w14:paraId="555A2392"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132</w:t>
            </w:r>
          </w:p>
        </w:tc>
        <w:tc>
          <w:tcPr>
            <w:tcW w:w="1128" w:type="dxa"/>
            <w:tcBorders>
              <w:top w:val="single" w:sz="4" w:space="0" w:color="auto"/>
              <w:left w:val="nil"/>
              <w:bottom w:val="nil"/>
              <w:right w:val="single" w:sz="4" w:space="0" w:color="auto"/>
            </w:tcBorders>
            <w:shd w:val="clear" w:color="000000" w:fill="FFFFFF"/>
            <w:noWrap/>
            <w:vAlign w:val="bottom"/>
            <w:hideMark/>
          </w:tcPr>
          <w:p w14:paraId="7E138907"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135</w:t>
            </w:r>
          </w:p>
        </w:tc>
        <w:tc>
          <w:tcPr>
            <w:tcW w:w="1128" w:type="dxa"/>
            <w:tcBorders>
              <w:top w:val="single" w:sz="4" w:space="0" w:color="auto"/>
              <w:left w:val="nil"/>
              <w:bottom w:val="nil"/>
              <w:right w:val="single" w:sz="4" w:space="0" w:color="auto"/>
            </w:tcBorders>
            <w:shd w:val="clear" w:color="000000" w:fill="FFFFFF"/>
            <w:noWrap/>
            <w:vAlign w:val="bottom"/>
            <w:hideMark/>
          </w:tcPr>
          <w:p w14:paraId="4E7CCE73"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138</w:t>
            </w:r>
          </w:p>
        </w:tc>
      </w:tr>
      <w:tr w:rsidR="00D72DFE" w:rsidRPr="00D72DFE" w14:paraId="65A4E7D1"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6118EB85"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w:t>
            </w:r>
          </w:p>
        </w:tc>
        <w:tc>
          <w:tcPr>
            <w:tcW w:w="3508" w:type="dxa"/>
            <w:tcBorders>
              <w:top w:val="nil"/>
              <w:left w:val="nil"/>
              <w:bottom w:val="nil"/>
              <w:right w:val="single" w:sz="4" w:space="0" w:color="auto"/>
            </w:tcBorders>
            <w:shd w:val="clear" w:color="000000" w:fill="FFFFFF"/>
            <w:noWrap/>
            <w:vAlign w:val="bottom"/>
            <w:hideMark/>
          </w:tcPr>
          <w:p w14:paraId="14102D4D"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Efficiencies to be identified</w:t>
            </w:r>
          </w:p>
        </w:tc>
        <w:tc>
          <w:tcPr>
            <w:tcW w:w="1128" w:type="dxa"/>
            <w:tcBorders>
              <w:top w:val="nil"/>
              <w:left w:val="nil"/>
              <w:bottom w:val="nil"/>
              <w:right w:val="single" w:sz="4" w:space="0" w:color="auto"/>
            </w:tcBorders>
            <w:shd w:val="clear" w:color="000000" w:fill="FFFFFF"/>
            <w:noWrap/>
            <w:vAlign w:val="bottom"/>
            <w:hideMark/>
          </w:tcPr>
          <w:p w14:paraId="4BA6B099"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(329)</w:t>
            </w:r>
          </w:p>
        </w:tc>
        <w:tc>
          <w:tcPr>
            <w:tcW w:w="1128" w:type="dxa"/>
            <w:tcBorders>
              <w:top w:val="nil"/>
              <w:left w:val="nil"/>
              <w:bottom w:val="nil"/>
              <w:right w:val="single" w:sz="4" w:space="0" w:color="auto"/>
            </w:tcBorders>
            <w:shd w:val="clear" w:color="000000" w:fill="FFFFFF"/>
            <w:noWrap/>
            <w:vAlign w:val="bottom"/>
            <w:hideMark/>
          </w:tcPr>
          <w:p w14:paraId="54D1BE50"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(665)</w:t>
            </w:r>
          </w:p>
        </w:tc>
        <w:tc>
          <w:tcPr>
            <w:tcW w:w="1128" w:type="dxa"/>
            <w:tcBorders>
              <w:top w:val="nil"/>
              <w:left w:val="nil"/>
              <w:bottom w:val="nil"/>
              <w:right w:val="single" w:sz="4" w:space="0" w:color="auto"/>
            </w:tcBorders>
            <w:shd w:val="clear" w:color="000000" w:fill="FFFFFF"/>
            <w:noWrap/>
            <w:vAlign w:val="bottom"/>
            <w:hideMark/>
          </w:tcPr>
          <w:p w14:paraId="0D7EF003"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(665)</w:t>
            </w:r>
          </w:p>
        </w:tc>
        <w:tc>
          <w:tcPr>
            <w:tcW w:w="1128" w:type="dxa"/>
            <w:tcBorders>
              <w:top w:val="nil"/>
              <w:left w:val="nil"/>
              <w:bottom w:val="nil"/>
              <w:right w:val="single" w:sz="4" w:space="0" w:color="auto"/>
            </w:tcBorders>
            <w:shd w:val="clear" w:color="000000" w:fill="FFFFFF"/>
            <w:noWrap/>
            <w:vAlign w:val="bottom"/>
            <w:hideMark/>
          </w:tcPr>
          <w:p w14:paraId="59CA5A9C"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(665)</w:t>
            </w:r>
          </w:p>
        </w:tc>
        <w:tc>
          <w:tcPr>
            <w:tcW w:w="1128" w:type="dxa"/>
            <w:tcBorders>
              <w:top w:val="nil"/>
              <w:left w:val="nil"/>
              <w:bottom w:val="nil"/>
              <w:right w:val="single" w:sz="4" w:space="0" w:color="auto"/>
            </w:tcBorders>
            <w:shd w:val="clear" w:color="000000" w:fill="FFFFFF"/>
            <w:noWrap/>
            <w:vAlign w:val="bottom"/>
            <w:hideMark/>
          </w:tcPr>
          <w:p w14:paraId="4303035D"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(665)</w:t>
            </w:r>
          </w:p>
        </w:tc>
      </w:tr>
      <w:tr w:rsidR="00D72DFE" w:rsidRPr="00D72DFE" w14:paraId="4AAD66BA"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025E1F63"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w:t>
            </w:r>
          </w:p>
        </w:tc>
        <w:tc>
          <w:tcPr>
            <w:tcW w:w="3508" w:type="dxa"/>
            <w:tcBorders>
              <w:top w:val="nil"/>
              <w:left w:val="nil"/>
              <w:bottom w:val="nil"/>
              <w:right w:val="single" w:sz="4" w:space="0" w:color="auto"/>
            </w:tcBorders>
            <w:shd w:val="clear" w:color="000000" w:fill="FFFFFF"/>
            <w:noWrap/>
            <w:vAlign w:val="bottom"/>
            <w:hideMark/>
          </w:tcPr>
          <w:p w14:paraId="6FE6C000"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Efficiencies already identified</w:t>
            </w:r>
          </w:p>
        </w:tc>
        <w:tc>
          <w:tcPr>
            <w:tcW w:w="1128" w:type="dxa"/>
            <w:tcBorders>
              <w:top w:val="nil"/>
              <w:left w:val="nil"/>
              <w:bottom w:val="nil"/>
              <w:right w:val="single" w:sz="4" w:space="0" w:color="auto"/>
            </w:tcBorders>
            <w:shd w:val="clear" w:color="000000" w:fill="FFFFFF"/>
            <w:noWrap/>
            <w:vAlign w:val="bottom"/>
            <w:hideMark/>
          </w:tcPr>
          <w:p w14:paraId="0260B232"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(1,155)</w:t>
            </w:r>
          </w:p>
        </w:tc>
        <w:tc>
          <w:tcPr>
            <w:tcW w:w="1128" w:type="dxa"/>
            <w:tcBorders>
              <w:top w:val="nil"/>
              <w:left w:val="nil"/>
              <w:bottom w:val="nil"/>
              <w:right w:val="single" w:sz="4" w:space="0" w:color="auto"/>
            </w:tcBorders>
            <w:shd w:val="clear" w:color="000000" w:fill="FFFFFF"/>
            <w:noWrap/>
            <w:vAlign w:val="bottom"/>
            <w:hideMark/>
          </w:tcPr>
          <w:p w14:paraId="52A0EBD3"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(866)</w:t>
            </w:r>
          </w:p>
        </w:tc>
        <w:tc>
          <w:tcPr>
            <w:tcW w:w="1128" w:type="dxa"/>
            <w:tcBorders>
              <w:top w:val="nil"/>
              <w:left w:val="nil"/>
              <w:bottom w:val="nil"/>
              <w:right w:val="single" w:sz="4" w:space="0" w:color="auto"/>
            </w:tcBorders>
            <w:shd w:val="clear" w:color="000000" w:fill="FFFFFF"/>
            <w:noWrap/>
            <w:vAlign w:val="bottom"/>
            <w:hideMark/>
          </w:tcPr>
          <w:p w14:paraId="0283D852"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(888)</w:t>
            </w:r>
          </w:p>
        </w:tc>
        <w:tc>
          <w:tcPr>
            <w:tcW w:w="1128" w:type="dxa"/>
            <w:tcBorders>
              <w:top w:val="nil"/>
              <w:left w:val="nil"/>
              <w:bottom w:val="nil"/>
              <w:right w:val="single" w:sz="4" w:space="0" w:color="auto"/>
            </w:tcBorders>
            <w:shd w:val="clear" w:color="000000" w:fill="FFFFFF"/>
            <w:noWrap/>
            <w:vAlign w:val="bottom"/>
            <w:hideMark/>
          </w:tcPr>
          <w:p w14:paraId="170E8407"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(935)</w:t>
            </w:r>
          </w:p>
        </w:tc>
        <w:tc>
          <w:tcPr>
            <w:tcW w:w="1128" w:type="dxa"/>
            <w:tcBorders>
              <w:top w:val="nil"/>
              <w:left w:val="nil"/>
              <w:bottom w:val="nil"/>
              <w:right w:val="single" w:sz="4" w:space="0" w:color="auto"/>
            </w:tcBorders>
            <w:shd w:val="clear" w:color="000000" w:fill="FFFFFF"/>
            <w:noWrap/>
            <w:vAlign w:val="bottom"/>
            <w:hideMark/>
          </w:tcPr>
          <w:p w14:paraId="22EBC9E7"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(951)</w:t>
            </w:r>
          </w:p>
        </w:tc>
      </w:tr>
      <w:tr w:rsidR="00D72DFE" w:rsidRPr="00D72DFE" w14:paraId="66714F39" w14:textId="77777777" w:rsidTr="00D72DFE">
        <w:trPr>
          <w:trHeight w:val="300"/>
        </w:trPr>
        <w:tc>
          <w:tcPr>
            <w:tcW w:w="1128" w:type="dxa"/>
            <w:tcBorders>
              <w:top w:val="single" w:sz="4" w:space="0" w:color="auto"/>
              <w:left w:val="nil"/>
              <w:bottom w:val="single" w:sz="4" w:space="0" w:color="auto"/>
              <w:right w:val="nil"/>
            </w:tcBorders>
            <w:shd w:val="clear" w:color="000000" w:fill="FFFFFF"/>
            <w:noWrap/>
            <w:vAlign w:val="bottom"/>
            <w:hideMark/>
          </w:tcPr>
          <w:p w14:paraId="794AD62B"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3508" w:type="dxa"/>
            <w:tcBorders>
              <w:top w:val="single" w:sz="4" w:space="0" w:color="auto"/>
              <w:left w:val="nil"/>
              <w:bottom w:val="single" w:sz="4" w:space="0" w:color="auto"/>
              <w:right w:val="nil"/>
            </w:tcBorders>
            <w:shd w:val="clear" w:color="000000" w:fill="FFFFFF"/>
            <w:noWrap/>
            <w:vAlign w:val="bottom"/>
            <w:hideMark/>
          </w:tcPr>
          <w:p w14:paraId="47071F57"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774A1FD9"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71B4C077"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3E488027"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7E6939CC"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25DB3AF3"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r>
      <w:tr w:rsidR="00D72DFE" w:rsidRPr="00D72DFE" w14:paraId="4D06A7E4" w14:textId="77777777" w:rsidTr="00D72DFE">
        <w:trPr>
          <w:trHeight w:val="315"/>
        </w:trPr>
        <w:tc>
          <w:tcPr>
            <w:tcW w:w="1128" w:type="dxa"/>
            <w:tcBorders>
              <w:top w:val="nil"/>
              <w:left w:val="single" w:sz="4" w:space="0" w:color="auto"/>
              <w:bottom w:val="single" w:sz="8" w:space="0" w:color="auto"/>
              <w:right w:val="single" w:sz="4" w:space="0" w:color="auto"/>
            </w:tcBorders>
            <w:shd w:val="clear" w:color="000000" w:fill="FFFFFF"/>
            <w:noWrap/>
            <w:vAlign w:val="bottom"/>
            <w:hideMark/>
          </w:tcPr>
          <w:p w14:paraId="23F91A78"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29,558</w:t>
            </w:r>
          </w:p>
        </w:tc>
        <w:tc>
          <w:tcPr>
            <w:tcW w:w="3508" w:type="dxa"/>
            <w:tcBorders>
              <w:top w:val="nil"/>
              <w:left w:val="nil"/>
              <w:bottom w:val="single" w:sz="8" w:space="0" w:color="auto"/>
              <w:right w:val="single" w:sz="4" w:space="0" w:color="auto"/>
            </w:tcBorders>
            <w:shd w:val="clear" w:color="000000" w:fill="FFFFFF"/>
            <w:noWrap/>
            <w:vAlign w:val="bottom"/>
            <w:hideMark/>
          </w:tcPr>
          <w:p w14:paraId="2679427D" w14:textId="77777777" w:rsidR="00D72DFE" w:rsidRPr="00D72DFE" w:rsidRDefault="00D72DFE" w:rsidP="00D72DFE">
            <w:pPr>
              <w:spacing w:after="0" w:line="240" w:lineRule="auto"/>
              <w:rPr>
                <w:rFonts w:eastAsia="Times New Roman" w:cs="Calibri"/>
                <w:b/>
                <w:bCs/>
                <w:color w:val="000000"/>
                <w:sz w:val="20"/>
                <w:szCs w:val="20"/>
                <w:lang w:eastAsia="en-GB"/>
              </w:rPr>
            </w:pPr>
            <w:r w:rsidRPr="00D72DFE">
              <w:rPr>
                <w:rFonts w:eastAsia="Times New Roman" w:cs="Calibri"/>
                <w:b/>
                <w:bCs/>
                <w:color w:val="000000"/>
                <w:sz w:val="20"/>
                <w:szCs w:val="20"/>
                <w:lang w:eastAsia="en-GB"/>
              </w:rPr>
              <w:t>TOTAL</w:t>
            </w:r>
          </w:p>
        </w:tc>
        <w:tc>
          <w:tcPr>
            <w:tcW w:w="1128" w:type="dxa"/>
            <w:tcBorders>
              <w:top w:val="nil"/>
              <w:left w:val="nil"/>
              <w:bottom w:val="single" w:sz="8" w:space="0" w:color="auto"/>
              <w:right w:val="single" w:sz="4" w:space="0" w:color="auto"/>
            </w:tcBorders>
            <w:shd w:val="clear" w:color="000000" w:fill="FFFFFF"/>
            <w:noWrap/>
            <w:vAlign w:val="bottom"/>
            <w:hideMark/>
          </w:tcPr>
          <w:p w14:paraId="14F88789"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31,454</w:t>
            </w:r>
          </w:p>
        </w:tc>
        <w:tc>
          <w:tcPr>
            <w:tcW w:w="1128" w:type="dxa"/>
            <w:tcBorders>
              <w:top w:val="nil"/>
              <w:left w:val="nil"/>
              <w:bottom w:val="single" w:sz="8" w:space="0" w:color="auto"/>
              <w:right w:val="single" w:sz="4" w:space="0" w:color="auto"/>
            </w:tcBorders>
            <w:shd w:val="clear" w:color="000000" w:fill="FFFFFF"/>
            <w:noWrap/>
            <w:vAlign w:val="bottom"/>
            <w:hideMark/>
          </w:tcPr>
          <w:p w14:paraId="1D74493F"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32,692</w:t>
            </w:r>
          </w:p>
        </w:tc>
        <w:tc>
          <w:tcPr>
            <w:tcW w:w="1128" w:type="dxa"/>
            <w:tcBorders>
              <w:top w:val="nil"/>
              <w:left w:val="nil"/>
              <w:bottom w:val="single" w:sz="8" w:space="0" w:color="auto"/>
              <w:right w:val="single" w:sz="4" w:space="0" w:color="auto"/>
            </w:tcBorders>
            <w:shd w:val="clear" w:color="000000" w:fill="FFFFFF"/>
            <w:noWrap/>
            <w:vAlign w:val="bottom"/>
            <w:hideMark/>
          </w:tcPr>
          <w:p w14:paraId="112AAB64"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33,911</w:t>
            </w:r>
          </w:p>
        </w:tc>
        <w:tc>
          <w:tcPr>
            <w:tcW w:w="1128" w:type="dxa"/>
            <w:tcBorders>
              <w:top w:val="nil"/>
              <w:left w:val="nil"/>
              <w:bottom w:val="single" w:sz="8" w:space="0" w:color="auto"/>
              <w:right w:val="single" w:sz="4" w:space="0" w:color="auto"/>
            </w:tcBorders>
            <w:shd w:val="clear" w:color="000000" w:fill="FFFFFF"/>
            <w:noWrap/>
            <w:vAlign w:val="bottom"/>
            <w:hideMark/>
          </w:tcPr>
          <w:p w14:paraId="2CFDC2F7"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34,912</w:t>
            </w:r>
          </w:p>
        </w:tc>
        <w:tc>
          <w:tcPr>
            <w:tcW w:w="1128" w:type="dxa"/>
            <w:tcBorders>
              <w:top w:val="nil"/>
              <w:left w:val="nil"/>
              <w:bottom w:val="single" w:sz="8" w:space="0" w:color="auto"/>
              <w:right w:val="single" w:sz="4" w:space="0" w:color="auto"/>
            </w:tcBorders>
            <w:shd w:val="clear" w:color="000000" w:fill="FFFFFF"/>
            <w:noWrap/>
            <w:vAlign w:val="bottom"/>
            <w:hideMark/>
          </w:tcPr>
          <w:p w14:paraId="1E2D5AF2"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35,803</w:t>
            </w:r>
          </w:p>
        </w:tc>
      </w:tr>
      <w:tr w:rsidR="00D72DFE" w:rsidRPr="00D72DFE" w14:paraId="73396C02" w14:textId="77777777" w:rsidTr="00D72DFE">
        <w:trPr>
          <w:trHeight w:val="90"/>
        </w:trPr>
        <w:tc>
          <w:tcPr>
            <w:tcW w:w="1128" w:type="dxa"/>
            <w:tcBorders>
              <w:top w:val="nil"/>
              <w:left w:val="nil"/>
              <w:bottom w:val="nil"/>
              <w:right w:val="nil"/>
            </w:tcBorders>
            <w:shd w:val="clear" w:color="000000" w:fill="FFFFFF"/>
            <w:noWrap/>
            <w:vAlign w:val="bottom"/>
            <w:hideMark/>
          </w:tcPr>
          <w:p w14:paraId="1363B597" w14:textId="77777777" w:rsidR="00D72DFE" w:rsidRPr="00D72DFE" w:rsidRDefault="00D72DFE" w:rsidP="00D72DFE">
            <w:pPr>
              <w:spacing w:after="0" w:line="240" w:lineRule="auto"/>
              <w:rPr>
                <w:rFonts w:eastAsia="Times New Roman" w:cs="Calibri"/>
                <w:b/>
                <w:bCs/>
                <w:color w:val="FF0000"/>
                <w:sz w:val="20"/>
                <w:szCs w:val="20"/>
                <w:lang w:eastAsia="en-GB"/>
              </w:rPr>
            </w:pPr>
            <w:r w:rsidRPr="00D72DFE">
              <w:rPr>
                <w:rFonts w:eastAsia="Times New Roman" w:cs="Calibri"/>
                <w:b/>
                <w:bCs/>
                <w:color w:val="FF0000"/>
                <w:sz w:val="20"/>
                <w:szCs w:val="20"/>
                <w:lang w:eastAsia="en-GB"/>
              </w:rPr>
              <w:t> </w:t>
            </w:r>
          </w:p>
        </w:tc>
        <w:tc>
          <w:tcPr>
            <w:tcW w:w="3508" w:type="dxa"/>
            <w:tcBorders>
              <w:top w:val="nil"/>
              <w:left w:val="nil"/>
              <w:bottom w:val="nil"/>
              <w:right w:val="nil"/>
            </w:tcBorders>
            <w:shd w:val="clear" w:color="000000" w:fill="FFFFFF"/>
            <w:noWrap/>
            <w:vAlign w:val="bottom"/>
            <w:hideMark/>
          </w:tcPr>
          <w:p w14:paraId="733A1A93" w14:textId="77777777" w:rsidR="00D72DFE" w:rsidRPr="00D72DFE" w:rsidRDefault="00D72DFE" w:rsidP="00D72DFE">
            <w:pPr>
              <w:spacing w:after="0" w:line="240" w:lineRule="auto"/>
              <w:rPr>
                <w:rFonts w:eastAsia="Times New Roman" w:cs="Calibri"/>
                <w:b/>
                <w:bCs/>
                <w:color w:val="FF0000"/>
                <w:sz w:val="20"/>
                <w:szCs w:val="20"/>
                <w:lang w:eastAsia="en-GB"/>
              </w:rPr>
            </w:pPr>
            <w:r w:rsidRPr="00D72DFE">
              <w:rPr>
                <w:rFonts w:eastAsia="Times New Roman" w:cs="Calibri"/>
                <w:b/>
                <w:bCs/>
                <w:color w:val="FF0000"/>
                <w:sz w:val="20"/>
                <w:szCs w:val="20"/>
                <w:lang w:eastAsia="en-GB"/>
              </w:rPr>
              <w:t> </w:t>
            </w:r>
          </w:p>
        </w:tc>
        <w:tc>
          <w:tcPr>
            <w:tcW w:w="1128" w:type="dxa"/>
            <w:tcBorders>
              <w:top w:val="nil"/>
              <w:left w:val="nil"/>
              <w:bottom w:val="nil"/>
              <w:right w:val="nil"/>
            </w:tcBorders>
            <w:shd w:val="clear" w:color="000000" w:fill="FFFFFF"/>
            <w:noWrap/>
            <w:vAlign w:val="bottom"/>
            <w:hideMark/>
          </w:tcPr>
          <w:p w14:paraId="171A6680" w14:textId="77777777" w:rsidR="00D72DFE" w:rsidRPr="00D72DFE" w:rsidRDefault="00D72DFE" w:rsidP="00D72DFE">
            <w:pPr>
              <w:spacing w:after="0" w:line="240" w:lineRule="auto"/>
              <w:rPr>
                <w:rFonts w:eastAsia="Times New Roman" w:cs="Calibri"/>
                <w:b/>
                <w:bCs/>
                <w:color w:val="FF0000"/>
                <w:sz w:val="20"/>
                <w:szCs w:val="20"/>
                <w:lang w:eastAsia="en-GB"/>
              </w:rPr>
            </w:pPr>
            <w:r w:rsidRPr="00D72DFE">
              <w:rPr>
                <w:rFonts w:eastAsia="Times New Roman" w:cs="Calibri"/>
                <w:b/>
                <w:bCs/>
                <w:color w:val="FF0000"/>
                <w:sz w:val="20"/>
                <w:szCs w:val="20"/>
                <w:lang w:eastAsia="en-GB"/>
              </w:rPr>
              <w:t> </w:t>
            </w:r>
          </w:p>
        </w:tc>
        <w:tc>
          <w:tcPr>
            <w:tcW w:w="1128" w:type="dxa"/>
            <w:tcBorders>
              <w:top w:val="nil"/>
              <w:left w:val="nil"/>
              <w:bottom w:val="nil"/>
              <w:right w:val="nil"/>
            </w:tcBorders>
            <w:shd w:val="clear" w:color="000000" w:fill="FFFFFF"/>
            <w:noWrap/>
            <w:vAlign w:val="bottom"/>
            <w:hideMark/>
          </w:tcPr>
          <w:p w14:paraId="6ADB01F5" w14:textId="77777777" w:rsidR="00D72DFE" w:rsidRPr="00D72DFE" w:rsidRDefault="00D72DFE" w:rsidP="00D72DFE">
            <w:pPr>
              <w:spacing w:after="0" w:line="240" w:lineRule="auto"/>
              <w:rPr>
                <w:rFonts w:eastAsia="Times New Roman" w:cs="Calibri"/>
                <w:b/>
                <w:bCs/>
                <w:color w:val="FF0000"/>
                <w:sz w:val="20"/>
                <w:szCs w:val="20"/>
                <w:lang w:eastAsia="en-GB"/>
              </w:rPr>
            </w:pPr>
            <w:r w:rsidRPr="00D72DFE">
              <w:rPr>
                <w:rFonts w:eastAsia="Times New Roman" w:cs="Calibri"/>
                <w:b/>
                <w:bCs/>
                <w:color w:val="FF0000"/>
                <w:sz w:val="20"/>
                <w:szCs w:val="20"/>
                <w:lang w:eastAsia="en-GB"/>
              </w:rPr>
              <w:t> </w:t>
            </w:r>
          </w:p>
        </w:tc>
        <w:tc>
          <w:tcPr>
            <w:tcW w:w="1128" w:type="dxa"/>
            <w:tcBorders>
              <w:top w:val="nil"/>
              <w:left w:val="nil"/>
              <w:bottom w:val="nil"/>
              <w:right w:val="nil"/>
            </w:tcBorders>
            <w:shd w:val="clear" w:color="000000" w:fill="FFFFFF"/>
            <w:noWrap/>
            <w:vAlign w:val="bottom"/>
            <w:hideMark/>
          </w:tcPr>
          <w:p w14:paraId="6EE6FC74" w14:textId="77777777" w:rsidR="00D72DFE" w:rsidRPr="00D72DFE" w:rsidRDefault="00D72DFE" w:rsidP="00D72DFE">
            <w:pPr>
              <w:spacing w:after="0" w:line="240" w:lineRule="auto"/>
              <w:rPr>
                <w:rFonts w:eastAsia="Times New Roman" w:cs="Calibri"/>
                <w:b/>
                <w:bCs/>
                <w:color w:val="FF0000"/>
                <w:sz w:val="20"/>
                <w:szCs w:val="20"/>
                <w:lang w:eastAsia="en-GB"/>
              </w:rPr>
            </w:pPr>
            <w:r w:rsidRPr="00D72DFE">
              <w:rPr>
                <w:rFonts w:eastAsia="Times New Roman" w:cs="Calibri"/>
                <w:b/>
                <w:bCs/>
                <w:color w:val="FF0000"/>
                <w:sz w:val="20"/>
                <w:szCs w:val="20"/>
                <w:lang w:eastAsia="en-GB"/>
              </w:rPr>
              <w:t> </w:t>
            </w:r>
          </w:p>
        </w:tc>
        <w:tc>
          <w:tcPr>
            <w:tcW w:w="1128" w:type="dxa"/>
            <w:tcBorders>
              <w:top w:val="nil"/>
              <w:left w:val="nil"/>
              <w:bottom w:val="nil"/>
              <w:right w:val="nil"/>
            </w:tcBorders>
            <w:shd w:val="clear" w:color="000000" w:fill="FFFFFF"/>
            <w:noWrap/>
            <w:vAlign w:val="bottom"/>
            <w:hideMark/>
          </w:tcPr>
          <w:p w14:paraId="2E6FD013" w14:textId="77777777" w:rsidR="00D72DFE" w:rsidRPr="00D72DFE" w:rsidRDefault="00D72DFE" w:rsidP="00D72DFE">
            <w:pPr>
              <w:spacing w:after="0" w:line="240" w:lineRule="auto"/>
              <w:rPr>
                <w:rFonts w:eastAsia="Times New Roman" w:cs="Calibri"/>
                <w:b/>
                <w:bCs/>
                <w:color w:val="FF0000"/>
                <w:sz w:val="20"/>
                <w:szCs w:val="20"/>
                <w:lang w:eastAsia="en-GB"/>
              </w:rPr>
            </w:pPr>
            <w:r w:rsidRPr="00D72DFE">
              <w:rPr>
                <w:rFonts w:eastAsia="Times New Roman" w:cs="Calibri"/>
                <w:b/>
                <w:bCs/>
                <w:color w:val="FF0000"/>
                <w:sz w:val="20"/>
                <w:szCs w:val="20"/>
                <w:lang w:eastAsia="en-GB"/>
              </w:rPr>
              <w:t> </w:t>
            </w:r>
          </w:p>
        </w:tc>
        <w:tc>
          <w:tcPr>
            <w:tcW w:w="1128" w:type="dxa"/>
            <w:tcBorders>
              <w:top w:val="nil"/>
              <w:left w:val="nil"/>
              <w:bottom w:val="nil"/>
              <w:right w:val="nil"/>
            </w:tcBorders>
            <w:shd w:val="clear" w:color="000000" w:fill="FFFFFF"/>
            <w:noWrap/>
            <w:vAlign w:val="bottom"/>
            <w:hideMark/>
          </w:tcPr>
          <w:p w14:paraId="128E2BF7" w14:textId="700315BF" w:rsidR="00D72DFE" w:rsidRPr="00D72DFE" w:rsidRDefault="00D72DFE" w:rsidP="00D72DFE">
            <w:pPr>
              <w:spacing w:after="0" w:line="240" w:lineRule="auto"/>
              <w:rPr>
                <w:rFonts w:eastAsia="Times New Roman" w:cs="Calibri"/>
                <w:b/>
                <w:bCs/>
                <w:color w:val="FF0000"/>
                <w:sz w:val="20"/>
                <w:szCs w:val="20"/>
                <w:lang w:eastAsia="en-GB"/>
              </w:rPr>
            </w:pPr>
            <w:r w:rsidRPr="00D72DFE">
              <w:rPr>
                <w:rFonts w:eastAsia="Times New Roman" w:cs="Calibri"/>
                <w:b/>
                <w:bCs/>
                <w:color w:val="FF0000"/>
                <w:sz w:val="20"/>
                <w:szCs w:val="20"/>
                <w:lang w:eastAsia="en-GB"/>
              </w:rPr>
              <w:t> </w:t>
            </w:r>
            <w:r w:rsidRPr="00D72DFE">
              <w:rPr>
                <w:rFonts w:eastAsia="Times New Roman" w:cs="Calibri"/>
                <w:b/>
                <w:bCs/>
                <w:sz w:val="20"/>
                <w:szCs w:val="20"/>
                <w:lang w:eastAsia="en-GB"/>
              </w:rPr>
              <w:t>PTO</w:t>
            </w:r>
          </w:p>
        </w:tc>
      </w:tr>
    </w:tbl>
    <w:p w14:paraId="49A0FAB8" w14:textId="7BE791F7" w:rsidR="00D72DFE" w:rsidRDefault="00D72DFE" w:rsidP="00D72DFE">
      <w:pPr>
        <w:jc w:val="right"/>
      </w:pPr>
      <w:r>
        <w:br w:type="page"/>
      </w:r>
    </w:p>
    <w:tbl>
      <w:tblPr>
        <w:tblW w:w="10276" w:type="dxa"/>
        <w:tblLook w:val="04A0" w:firstRow="1" w:lastRow="0" w:firstColumn="1" w:lastColumn="0" w:noHBand="0" w:noVBand="1"/>
      </w:tblPr>
      <w:tblGrid>
        <w:gridCol w:w="1128"/>
        <w:gridCol w:w="3508"/>
        <w:gridCol w:w="1128"/>
        <w:gridCol w:w="1128"/>
        <w:gridCol w:w="1128"/>
        <w:gridCol w:w="1128"/>
        <w:gridCol w:w="1128"/>
      </w:tblGrid>
      <w:tr w:rsidR="00D72DFE" w:rsidRPr="00D72DFE" w14:paraId="1E5DADCE" w14:textId="77777777" w:rsidTr="00D72DFE">
        <w:trPr>
          <w:trHeight w:val="300"/>
        </w:trPr>
        <w:tc>
          <w:tcPr>
            <w:tcW w:w="1128" w:type="dxa"/>
            <w:tcBorders>
              <w:top w:val="nil"/>
              <w:left w:val="nil"/>
              <w:bottom w:val="nil"/>
              <w:right w:val="nil"/>
            </w:tcBorders>
            <w:shd w:val="clear" w:color="000000" w:fill="FFFFFF"/>
            <w:noWrap/>
            <w:vAlign w:val="bottom"/>
            <w:hideMark/>
          </w:tcPr>
          <w:p w14:paraId="7CF17B4A" w14:textId="0BE775DB"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3508" w:type="dxa"/>
            <w:tcBorders>
              <w:top w:val="nil"/>
              <w:left w:val="nil"/>
              <w:bottom w:val="nil"/>
              <w:right w:val="nil"/>
            </w:tcBorders>
            <w:shd w:val="clear" w:color="000000" w:fill="FFFFFF"/>
            <w:noWrap/>
            <w:vAlign w:val="bottom"/>
            <w:hideMark/>
          </w:tcPr>
          <w:p w14:paraId="5713BBBE" w14:textId="77777777" w:rsidR="00D72DFE" w:rsidRPr="00D72DFE" w:rsidRDefault="00D72DFE" w:rsidP="00D72DFE">
            <w:pPr>
              <w:spacing w:after="0" w:line="240" w:lineRule="auto"/>
              <w:rPr>
                <w:rFonts w:eastAsia="Times New Roman" w:cs="Calibri"/>
                <w:b/>
                <w:bCs/>
                <w:color w:val="000000"/>
                <w:sz w:val="20"/>
                <w:szCs w:val="20"/>
                <w:lang w:eastAsia="en-GB"/>
              </w:rPr>
            </w:pPr>
            <w:r w:rsidRPr="00D72DFE">
              <w:rPr>
                <w:rFonts w:eastAsia="Times New Roman" w:cs="Calibri"/>
                <w:b/>
                <w:bCs/>
                <w:color w:val="000000"/>
                <w:sz w:val="24"/>
                <w:szCs w:val="24"/>
                <w:lang w:eastAsia="en-GB"/>
              </w:rPr>
              <w:t>FUNDING</w:t>
            </w:r>
          </w:p>
        </w:tc>
        <w:tc>
          <w:tcPr>
            <w:tcW w:w="1128" w:type="dxa"/>
            <w:tcBorders>
              <w:top w:val="nil"/>
              <w:left w:val="nil"/>
              <w:bottom w:val="nil"/>
              <w:right w:val="nil"/>
            </w:tcBorders>
            <w:shd w:val="clear" w:color="000000" w:fill="FFFFFF"/>
            <w:noWrap/>
            <w:vAlign w:val="bottom"/>
            <w:hideMark/>
          </w:tcPr>
          <w:p w14:paraId="2B165D96"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14111D1C"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6F9677F0"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7A8417F0"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389745CD"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r>
      <w:tr w:rsidR="00D72DFE" w:rsidRPr="00D72DFE" w14:paraId="5257A56F" w14:textId="77777777" w:rsidTr="00D72DFE">
        <w:trPr>
          <w:trHeight w:val="300"/>
        </w:trPr>
        <w:tc>
          <w:tcPr>
            <w:tcW w:w="1128" w:type="dxa"/>
            <w:tcBorders>
              <w:top w:val="single" w:sz="4" w:space="0" w:color="auto"/>
              <w:left w:val="single" w:sz="4" w:space="0" w:color="auto"/>
              <w:bottom w:val="nil"/>
              <w:right w:val="single" w:sz="4" w:space="0" w:color="auto"/>
            </w:tcBorders>
            <w:shd w:val="clear" w:color="000000" w:fill="FFFFFF"/>
            <w:noWrap/>
            <w:vAlign w:val="bottom"/>
            <w:hideMark/>
          </w:tcPr>
          <w:p w14:paraId="0AE173A2"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(2,563)</w:t>
            </w:r>
          </w:p>
        </w:tc>
        <w:tc>
          <w:tcPr>
            <w:tcW w:w="3508" w:type="dxa"/>
            <w:tcBorders>
              <w:top w:val="single" w:sz="4" w:space="0" w:color="auto"/>
              <w:left w:val="nil"/>
              <w:bottom w:val="nil"/>
              <w:right w:val="single" w:sz="4" w:space="0" w:color="auto"/>
            </w:tcBorders>
            <w:shd w:val="clear" w:color="000000" w:fill="FFFFFF"/>
            <w:noWrap/>
            <w:vAlign w:val="bottom"/>
            <w:hideMark/>
          </w:tcPr>
          <w:p w14:paraId="061DBF62"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Top Up Grant</w:t>
            </w:r>
          </w:p>
        </w:tc>
        <w:tc>
          <w:tcPr>
            <w:tcW w:w="1128" w:type="dxa"/>
            <w:tcBorders>
              <w:top w:val="single" w:sz="4" w:space="0" w:color="auto"/>
              <w:left w:val="nil"/>
              <w:bottom w:val="nil"/>
              <w:right w:val="single" w:sz="4" w:space="0" w:color="auto"/>
            </w:tcBorders>
            <w:shd w:val="clear" w:color="000000" w:fill="FFFFFF"/>
            <w:noWrap/>
            <w:vAlign w:val="bottom"/>
            <w:hideMark/>
          </w:tcPr>
          <w:p w14:paraId="3E43C88D"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(2,665)</w:t>
            </w:r>
          </w:p>
        </w:tc>
        <w:tc>
          <w:tcPr>
            <w:tcW w:w="1128" w:type="dxa"/>
            <w:tcBorders>
              <w:top w:val="single" w:sz="4" w:space="0" w:color="auto"/>
              <w:left w:val="nil"/>
              <w:bottom w:val="nil"/>
              <w:right w:val="single" w:sz="4" w:space="0" w:color="auto"/>
            </w:tcBorders>
            <w:shd w:val="clear" w:color="000000" w:fill="FFFFFF"/>
            <w:noWrap/>
            <w:vAlign w:val="bottom"/>
            <w:hideMark/>
          </w:tcPr>
          <w:p w14:paraId="49719AAB"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(2,692)</w:t>
            </w:r>
          </w:p>
        </w:tc>
        <w:tc>
          <w:tcPr>
            <w:tcW w:w="1128" w:type="dxa"/>
            <w:tcBorders>
              <w:top w:val="single" w:sz="4" w:space="0" w:color="auto"/>
              <w:left w:val="nil"/>
              <w:bottom w:val="nil"/>
              <w:right w:val="single" w:sz="4" w:space="0" w:color="auto"/>
            </w:tcBorders>
            <w:shd w:val="clear" w:color="000000" w:fill="FFFFFF"/>
            <w:noWrap/>
            <w:vAlign w:val="bottom"/>
            <w:hideMark/>
          </w:tcPr>
          <w:p w14:paraId="26477CF9"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(2,719)</w:t>
            </w:r>
          </w:p>
        </w:tc>
        <w:tc>
          <w:tcPr>
            <w:tcW w:w="1128" w:type="dxa"/>
            <w:tcBorders>
              <w:top w:val="single" w:sz="4" w:space="0" w:color="auto"/>
              <w:left w:val="nil"/>
              <w:bottom w:val="nil"/>
              <w:right w:val="single" w:sz="4" w:space="0" w:color="auto"/>
            </w:tcBorders>
            <w:shd w:val="clear" w:color="000000" w:fill="FFFFFF"/>
            <w:noWrap/>
            <w:vAlign w:val="bottom"/>
            <w:hideMark/>
          </w:tcPr>
          <w:p w14:paraId="1F9210AF"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(2,746)</w:t>
            </w:r>
          </w:p>
        </w:tc>
        <w:tc>
          <w:tcPr>
            <w:tcW w:w="1128" w:type="dxa"/>
            <w:tcBorders>
              <w:top w:val="single" w:sz="4" w:space="0" w:color="auto"/>
              <w:left w:val="nil"/>
              <w:bottom w:val="nil"/>
              <w:right w:val="single" w:sz="4" w:space="0" w:color="auto"/>
            </w:tcBorders>
            <w:shd w:val="clear" w:color="000000" w:fill="FFFFFF"/>
            <w:noWrap/>
            <w:vAlign w:val="bottom"/>
            <w:hideMark/>
          </w:tcPr>
          <w:p w14:paraId="4196D434"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(2,773)</w:t>
            </w:r>
          </w:p>
        </w:tc>
      </w:tr>
      <w:tr w:rsidR="00D72DFE" w:rsidRPr="00D72DFE" w14:paraId="2821FEDC"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0772654D"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(1,186)</w:t>
            </w:r>
          </w:p>
        </w:tc>
        <w:tc>
          <w:tcPr>
            <w:tcW w:w="3508" w:type="dxa"/>
            <w:tcBorders>
              <w:top w:val="nil"/>
              <w:left w:val="nil"/>
              <w:bottom w:val="nil"/>
              <w:right w:val="single" w:sz="4" w:space="0" w:color="auto"/>
            </w:tcBorders>
            <w:shd w:val="clear" w:color="000000" w:fill="FFFFFF"/>
            <w:noWrap/>
            <w:vAlign w:val="bottom"/>
            <w:hideMark/>
          </w:tcPr>
          <w:p w14:paraId="4AA4E382"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Pension Grant</w:t>
            </w:r>
          </w:p>
        </w:tc>
        <w:tc>
          <w:tcPr>
            <w:tcW w:w="1128" w:type="dxa"/>
            <w:tcBorders>
              <w:top w:val="nil"/>
              <w:left w:val="nil"/>
              <w:bottom w:val="nil"/>
              <w:right w:val="single" w:sz="4" w:space="0" w:color="auto"/>
            </w:tcBorders>
            <w:shd w:val="clear" w:color="000000" w:fill="FFFFFF"/>
            <w:noWrap/>
            <w:vAlign w:val="bottom"/>
            <w:hideMark/>
          </w:tcPr>
          <w:p w14:paraId="32B8D655"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single" w:sz="4" w:space="0" w:color="auto"/>
            </w:tcBorders>
            <w:shd w:val="clear" w:color="000000" w:fill="FFFFFF"/>
            <w:noWrap/>
            <w:vAlign w:val="bottom"/>
            <w:hideMark/>
          </w:tcPr>
          <w:p w14:paraId="78034820"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w:t>
            </w:r>
          </w:p>
        </w:tc>
        <w:tc>
          <w:tcPr>
            <w:tcW w:w="1128" w:type="dxa"/>
            <w:tcBorders>
              <w:top w:val="nil"/>
              <w:left w:val="nil"/>
              <w:bottom w:val="nil"/>
              <w:right w:val="single" w:sz="4" w:space="0" w:color="auto"/>
            </w:tcBorders>
            <w:shd w:val="clear" w:color="000000" w:fill="FFFFFF"/>
            <w:noWrap/>
            <w:vAlign w:val="bottom"/>
            <w:hideMark/>
          </w:tcPr>
          <w:p w14:paraId="30F2FE3E"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w:t>
            </w:r>
          </w:p>
        </w:tc>
        <w:tc>
          <w:tcPr>
            <w:tcW w:w="1128" w:type="dxa"/>
            <w:tcBorders>
              <w:top w:val="nil"/>
              <w:left w:val="nil"/>
              <w:bottom w:val="nil"/>
              <w:right w:val="single" w:sz="4" w:space="0" w:color="auto"/>
            </w:tcBorders>
            <w:shd w:val="clear" w:color="000000" w:fill="FFFFFF"/>
            <w:noWrap/>
            <w:vAlign w:val="bottom"/>
            <w:hideMark/>
          </w:tcPr>
          <w:p w14:paraId="75106BDC"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w:t>
            </w:r>
          </w:p>
        </w:tc>
        <w:tc>
          <w:tcPr>
            <w:tcW w:w="1128" w:type="dxa"/>
            <w:tcBorders>
              <w:top w:val="nil"/>
              <w:left w:val="nil"/>
              <w:bottom w:val="nil"/>
              <w:right w:val="single" w:sz="4" w:space="0" w:color="auto"/>
            </w:tcBorders>
            <w:shd w:val="clear" w:color="000000" w:fill="FFFFFF"/>
            <w:noWrap/>
            <w:vAlign w:val="bottom"/>
            <w:hideMark/>
          </w:tcPr>
          <w:p w14:paraId="1206C0E0"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w:t>
            </w:r>
          </w:p>
        </w:tc>
      </w:tr>
      <w:tr w:rsidR="00D72DFE" w:rsidRPr="00D72DFE" w14:paraId="34D6C57C"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3B3AFB37"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(2,587)</w:t>
            </w:r>
          </w:p>
        </w:tc>
        <w:tc>
          <w:tcPr>
            <w:tcW w:w="3508" w:type="dxa"/>
            <w:tcBorders>
              <w:top w:val="nil"/>
              <w:left w:val="nil"/>
              <w:bottom w:val="nil"/>
              <w:right w:val="single" w:sz="4" w:space="0" w:color="auto"/>
            </w:tcBorders>
            <w:shd w:val="clear" w:color="000000" w:fill="FFFFFF"/>
            <w:noWrap/>
            <w:vAlign w:val="bottom"/>
            <w:hideMark/>
          </w:tcPr>
          <w:p w14:paraId="60C436C8"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Revenue Support Grant</w:t>
            </w:r>
          </w:p>
        </w:tc>
        <w:tc>
          <w:tcPr>
            <w:tcW w:w="1128" w:type="dxa"/>
            <w:tcBorders>
              <w:top w:val="nil"/>
              <w:left w:val="nil"/>
              <w:bottom w:val="nil"/>
              <w:right w:val="single" w:sz="4" w:space="0" w:color="auto"/>
            </w:tcBorders>
            <w:shd w:val="clear" w:color="000000" w:fill="FFFFFF"/>
            <w:noWrap/>
            <w:vAlign w:val="bottom"/>
            <w:hideMark/>
          </w:tcPr>
          <w:p w14:paraId="627693A3"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(3,944)</w:t>
            </w:r>
          </w:p>
        </w:tc>
        <w:tc>
          <w:tcPr>
            <w:tcW w:w="1128" w:type="dxa"/>
            <w:tcBorders>
              <w:top w:val="nil"/>
              <w:left w:val="nil"/>
              <w:bottom w:val="nil"/>
              <w:right w:val="single" w:sz="4" w:space="0" w:color="auto"/>
            </w:tcBorders>
            <w:shd w:val="clear" w:color="000000" w:fill="FFFFFF"/>
            <w:noWrap/>
            <w:vAlign w:val="bottom"/>
            <w:hideMark/>
          </w:tcPr>
          <w:p w14:paraId="7A0AAD27"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(3,984)</w:t>
            </w:r>
          </w:p>
        </w:tc>
        <w:tc>
          <w:tcPr>
            <w:tcW w:w="1128" w:type="dxa"/>
            <w:tcBorders>
              <w:top w:val="nil"/>
              <w:left w:val="nil"/>
              <w:bottom w:val="nil"/>
              <w:right w:val="single" w:sz="4" w:space="0" w:color="auto"/>
            </w:tcBorders>
            <w:shd w:val="clear" w:color="000000" w:fill="FFFFFF"/>
            <w:noWrap/>
            <w:vAlign w:val="bottom"/>
            <w:hideMark/>
          </w:tcPr>
          <w:p w14:paraId="06A1A250"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(4,024)</w:t>
            </w:r>
          </w:p>
        </w:tc>
        <w:tc>
          <w:tcPr>
            <w:tcW w:w="1128" w:type="dxa"/>
            <w:tcBorders>
              <w:top w:val="nil"/>
              <w:left w:val="nil"/>
              <w:bottom w:val="nil"/>
              <w:right w:val="single" w:sz="4" w:space="0" w:color="auto"/>
            </w:tcBorders>
            <w:shd w:val="clear" w:color="000000" w:fill="FFFFFF"/>
            <w:noWrap/>
            <w:vAlign w:val="bottom"/>
            <w:hideMark/>
          </w:tcPr>
          <w:p w14:paraId="01DC9555"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(4,064)</w:t>
            </w:r>
          </w:p>
        </w:tc>
        <w:tc>
          <w:tcPr>
            <w:tcW w:w="1128" w:type="dxa"/>
            <w:tcBorders>
              <w:top w:val="nil"/>
              <w:left w:val="nil"/>
              <w:bottom w:val="nil"/>
              <w:right w:val="single" w:sz="4" w:space="0" w:color="auto"/>
            </w:tcBorders>
            <w:shd w:val="clear" w:color="000000" w:fill="FFFFFF"/>
            <w:noWrap/>
            <w:vAlign w:val="bottom"/>
            <w:hideMark/>
          </w:tcPr>
          <w:p w14:paraId="06598F30"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(4,105)</w:t>
            </w:r>
          </w:p>
        </w:tc>
      </w:tr>
      <w:tr w:rsidR="00D72DFE" w:rsidRPr="00D72DFE" w14:paraId="0F14F92D"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2E62F47D"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(3,039)</w:t>
            </w:r>
          </w:p>
        </w:tc>
        <w:tc>
          <w:tcPr>
            <w:tcW w:w="3508" w:type="dxa"/>
            <w:tcBorders>
              <w:top w:val="nil"/>
              <w:left w:val="nil"/>
              <w:bottom w:val="nil"/>
              <w:right w:val="single" w:sz="4" w:space="0" w:color="auto"/>
            </w:tcBorders>
            <w:shd w:val="clear" w:color="000000" w:fill="FFFFFF"/>
            <w:noWrap/>
            <w:vAlign w:val="bottom"/>
            <w:hideMark/>
          </w:tcPr>
          <w:p w14:paraId="254A30D2"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Business Rates</w:t>
            </w:r>
          </w:p>
        </w:tc>
        <w:tc>
          <w:tcPr>
            <w:tcW w:w="1128" w:type="dxa"/>
            <w:tcBorders>
              <w:top w:val="nil"/>
              <w:left w:val="nil"/>
              <w:bottom w:val="nil"/>
              <w:right w:val="single" w:sz="4" w:space="0" w:color="auto"/>
            </w:tcBorders>
            <w:shd w:val="clear" w:color="000000" w:fill="FFFFFF"/>
            <w:noWrap/>
            <w:vAlign w:val="bottom"/>
            <w:hideMark/>
          </w:tcPr>
          <w:p w14:paraId="2A3FBC79"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(3,686)</w:t>
            </w:r>
          </w:p>
        </w:tc>
        <w:tc>
          <w:tcPr>
            <w:tcW w:w="1128" w:type="dxa"/>
            <w:tcBorders>
              <w:top w:val="nil"/>
              <w:left w:val="nil"/>
              <w:bottom w:val="nil"/>
              <w:right w:val="single" w:sz="4" w:space="0" w:color="auto"/>
            </w:tcBorders>
            <w:shd w:val="clear" w:color="000000" w:fill="FFFFFF"/>
            <w:noWrap/>
            <w:vAlign w:val="bottom"/>
            <w:hideMark/>
          </w:tcPr>
          <w:p w14:paraId="6A2E376C"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(3,760)</w:t>
            </w:r>
          </w:p>
        </w:tc>
        <w:tc>
          <w:tcPr>
            <w:tcW w:w="1128" w:type="dxa"/>
            <w:tcBorders>
              <w:top w:val="nil"/>
              <w:left w:val="nil"/>
              <w:bottom w:val="nil"/>
              <w:right w:val="single" w:sz="4" w:space="0" w:color="auto"/>
            </w:tcBorders>
            <w:shd w:val="clear" w:color="000000" w:fill="FFFFFF"/>
            <w:noWrap/>
            <w:vAlign w:val="bottom"/>
            <w:hideMark/>
          </w:tcPr>
          <w:p w14:paraId="0A111B0B"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(3,835)</w:t>
            </w:r>
          </w:p>
        </w:tc>
        <w:tc>
          <w:tcPr>
            <w:tcW w:w="1128" w:type="dxa"/>
            <w:tcBorders>
              <w:top w:val="nil"/>
              <w:left w:val="nil"/>
              <w:bottom w:val="nil"/>
              <w:right w:val="single" w:sz="4" w:space="0" w:color="auto"/>
            </w:tcBorders>
            <w:shd w:val="clear" w:color="000000" w:fill="FFFFFF"/>
            <w:noWrap/>
            <w:vAlign w:val="bottom"/>
            <w:hideMark/>
          </w:tcPr>
          <w:p w14:paraId="4D4726E6"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(3,912)</w:t>
            </w:r>
          </w:p>
        </w:tc>
        <w:tc>
          <w:tcPr>
            <w:tcW w:w="1128" w:type="dxa"/>
            <w:tcBorders>
              <w:top w:val="nil"/>
              <w:left w:val="nil"/>
              <w:bottom w:val="nil"/>
              <w:right w:val="single" w:sz="4" w:space="0" w:color="auto"/>
            </w:tcBorders>
            <w:shd w:val="clear" w:color="000000" w:fill="FFFFFF"/>
            <w:noWrap/>
            <w:vAlign w:val="bottom"/>
            <w:hideMark/>
          </w:tcPr>
          <w:p w14:paraId="3DAC1E58"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(3,990)</w:t>
            </w:r>
          </w:p>
        </w:tc>
      </w:tr>
      <w:tr w:rsidR="00D72DFE" w:rsidRPr="00D72DFE" w14:paraId="73CC99E8"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32A7F9B5"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w:t>
            </w:r>
          </w:p>
        </w:tc>
        <w:tc>
          <w:tcPr>
            <w:tcW w:w="3508" w:type="dxa"/>
            <w:tcBorders>
              <w:top w:val="nil"/>
              <w:left w:val="nil"/>
              <w:bottom w:val="nil"/>
              <w:right w:val="single" w:sz="4" w:space="0" w:color="auto"/>
            </w:tcBorders>
            <w:shd w:val="clear" w:color="000000" w:fill="FFFFFF"/>
            <w:noWrap/>
            <w:vAlign w:val="bottom"/>
            <w:hideMark/>
          </w:tcPr>
          <w:p w14:paraId="71235DBB"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Funding Guarantee</w:t>
            </w:r>
          </w:p>
        </w:tc>
        <w:tc>
          <w:tcPr>
            <w:tcW w:w="1128" w:type="dxa"/>
            <w:tcBorders>
              <w:top w:val="nil"/>
              <w:left w:val="nil"/>
              <w:bottom w:val="nil"/>
              <w:right w:val="single" w:sz="4" w:space="0" w:color="auto"/>
            </w:tcBorders>
            <w:shd w:val="clear" w:color="000000" w:fill="FFFFFF"/>
            <w:noWrap/>
            <w:vAlign w:val="bottom"/>
            <w:hideMark/>
          </w:tcPr>
          <w:p w14:paraId="74CFCBFC"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(231)</w:t>
            </w:r>
          </w:p>
        </w:tc>
        <w:tc>
          <w:tcPr>
            <w:tcW w:w="1128" w:type="dxa"/>
            <w:tcBorders>
              <w:top w:val="nil"/>
              <w:left w:val="nil"/>
              <w:bottom w:val="nil"/>
              <w:right w:val="single" w:sz="4" w:space="0" w:color="auto"/>
            </w:tcBorders>
            <w:shd w:val="clear" w:color="000000" w:fill="FFFFFF"/>
            <w:noWrap/>
            <w:vAlign w:val="bottom"/>
            <w:hideMark/>
          </w:tcPr>
          <w:p w14:paraId="62D188E4"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(231)</w:t>
            </w:r>
          </w:p>
        </w:tc>
        <w:tc>
          <w:tcPr>
            <w:tcW w:w="1128" w:type="dxa"/>
            <w:tcBorders>
              <w:top w:val="nil"/>
              <w:left w:val="nil"/>
              <w:bottom w:val="nil"/>
              <w:right w:val="single" w:sz="4" w:space="0" w:color="auto"/>
            </w:tcBorders>
            <w:shd w:val="clear" w:color="000000" w:fill="FFFFFF"/>
            <w:noWrap/>
            <w:vAlign w:val="bottom"/>
            <w:hideMark/>
          </w:tcPr>
          <w:p w14:paraId="1B7D86E5"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(231)</w:t>
            </w:r>
          </w:p>
        </w:tc>
        <w:tc>
          <w:tcPr>
            <w:tcW w:w="1128" w:type="dxa"/>
            <w:tcBorders>
              <w:top w:val="nil"/>
              <w:left w:val="nil"/>
              <w:bottom w:val="nil"/>
              <w:right w:val="single" w:sz="4" w:space="0" w:color="auto"/>
            </w:tcBorders>
            <w:shd w:val="clear" w:color="000000" w:fill="FFFFFF"/>
            <w:noWrap/>
            <w:vAlign w:val="bottom"/>
            <w:hideMark/>
          </w:tcPr>
          <w:p w14:paraId="39ACC088"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(231)</w:t>
            </w:r>
          </w:p>
        </w:tc>
        <w:tc>
          <w:tcPr>
            <w:tcW w:w="1128" w:type="dxa"/>
            <w:tcBorders>
              <w:top w:val="nil"/>
              <w:left w:val="nil"/>
              <w:bottom w:val="nil"/>
              <w:right w:val="single" w:sz="4" w:space="0" w:color="auto"/>
            </w:tcBorders>
            <w:shd w:val="clear" w:color="000000" w:fill="FFFFFF"/>
            <w:noWrap/>
            <w:vAlign w:val="bottom"/>
            <w:hideMark/>
          </w:tcPr>
          <w:p w14:paraId="3362E3DE"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(231)</w:t>
            </w:r>
          </w:p>
        </w:tc>
      </w:tr>
      <w:tr w:rsidR="00D72DFE" w:rsidRPr="00D72DFE" w14:paraId="13C8F644"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0B394675"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(954)</w:t>
            </w:r>
          </w:p>
        </w:tc>
        <w:tc>
          <w:tcPr>
            <w:tcW w:w="3508" w:type="dxa"/>
            <w:tcBorders>
              <w:top w:val="nil"/>
              <w:left w:val="nil"/>
              <w:bottom w:val="nil"/>
              <w:right w:val="single" w:sz="4" w:space="0" w:color="auto"/>
            </w:tcBorders>
            <w:shd w:val="clear" w:color="000000" w:fill="FFFFFF"/>
            <w:noWrap/>
            <w:vAlign w:val="bottom"/>
            <w:hideMark/>
          </w:tcPr>
          <w:p w14:paraId="2F509CA5"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S31 Grant - Compensation</w:t>
            </w:r>
          </w:p>
        </w:tc>
        <w:tc>
          <w:tcPr>
            <w:tcW w:w="1128" w:type="dxa"/>
            <w:tcBorders>
              <w:top w:val="nil"/>
              <w:left w:val="nil"/>
              <w:bottom w:val="nil"/>
              <w:right w:val="single" w:sz="4" w:space="0" w:color="auto"/>
            </w:tcBorders>
            <w:shd w:val="clear" w:color="000000" w:fill="FFFFFF"/>
            <w:noWrap/>
            <w:vAlign w:val="bottom"/>
            <w:hideMark/>
          </w:tcPr>
          <w:p w14:paraId="42962AE0"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(1,089)</w:t>
            </w:r>
          </w:p>
        </w:tc>
        <w:tc>
          <w:tcPr>
            <w:tcW w:w="1128" w:type="dxa"/>
            <w:tcBorders>
              <w:top w:val="nil"/>
              <w:left w:val="nil"/>
              <w:bottom w:val="nil"/>
              <w:right w:val="single" w:sz="4" w:space="0" w:color="auto"/>
            </w:tcBorders>
            <w:shd w:val="clear" w:color="000000" w:fill="FFFFFF"/>
            <w:noWrap/>
            <w:vAlign w:val="bottom"/>
            <w:hideMark/>
          </w:tcPr>
          <w:p w14:paraId="15F7B16A"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(1,089)</w:t>
            </w:r>
          </w:p>
        </w:tc>
        <w:tc>
          <w:tcPr>
            <w:tcW w:w="1128" w:type="dxa"/>
            <w:tcBorders>
              <w:top w:val="nil"/>
              <w:left w:val="nil"/>
              <w:bottom w:val="nil"/>
              <w:right w:val="single" w:sz="4" w:space="0" w:color="auto"/>
            </w:tcBorders>
            <w:shd w:val="clear" w:color="000000" w:fill="FFFFFF"/>
            <w:noWrap/>
            <w:vAlign w:val="bottom"/>
            <w:hideMark/>
          </w:tcPr>
          <w:p w14:paraId="5A5DE169"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(1,089)</w:t>
            </w:r>
          </w:p>
        </w:tc>
        <w:tc>
          <w:tcPr>
            <w:tcW w:w="1128" w:type="dxa"/>
            <w:tcBorders>
              <w:top w:val="nil"/>
              <w:left w:val="nil"/>
              <w:bottom w:val="nil"/>
              <w:right w:val="single" w:sz="4" w:space="0" w:color="auto"/>
            </w:tcBorders>
            <w:shd w:val="clear" w:color="000000" w:fill="FFFFFF"/>
            <w:noWrap/>
            <w:vAlign w:val="bottom"/>
            <w:hideMark/>
          </w:tcPr>
          <w:p w14:paraId="5E9D51EF"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(1,089)</w:t>
            </w:r>
          </w:p>
        </w:tc>
        <w:tc>
          <w:tcPr>
            <w:tcW w:w="1128" w:type="dxa"/>
            <w:tcBorders>
              <w:top w:val="nil"/>
              <w:left w:val="nil"/>
              <w:bottom w:val="nil"/>
              <w:right w:val="single" w:sz="4" w:space="0" w:color="auto"/>
            </w:tcBorders>
            <w:shd w:val="clear" w:color="000000" w:fill="FFFFFF"/>
            <w:noWrap/>
            <w:vAlign w:val="bottom"/>
            <w:hideMark/>
          </w:tcPr>
          <w:p w14:paraId="545D2107"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(1,089)</w:t>
            </w:r>
          </w:p>
        </w:tc>
      </w:tr>
      <w:tr w:rsidR="00D72DFE" w:rsidRPr="00D72DFE" w14:paraId="37536434"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1F9C57B0"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(210)</w:t>
            </w:r>
          </w:p>
        </w:tc>
        <w:tc>
          <w:tcPr>
            <w:tcW w:w="3508" w:type="dxa"/>
            <w:tcBorders>
              <w:top w:val="nil"/>
              <w:left w:val="nil"/>
              <w:bottom w:val="nil"/>
              <w:right w:val="single" w:sz="4" w:space="0" w:color="auto"/>
            </w:tcBorders>
            <w:shd w:val="clear" w:color="000000" w:fill="FFFFFF"/>
            <w:noWrap/>
            <w:vAlign w:val="bottom"/>
            <w:hideMark/>
          </w:tcPr>
          <w:p w14:paraId="4BDCAB44"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Services Grant</w:t>
            </w:r>
          </w:p>
        </w:tc>
        <w:tc>
          <w:tcPr>
            <w:tcW w:w="1128" w:type="dxa"/>
            <w:tcBorders>
              <w:top w:val="nil"/>
              <w:left w:val="nil"/>
              <w:bottom w:val="nil"/>
              <w:right w:val="single" w:sz="4" w:space="0" w:color="auto"/>
            </w:tcBorders>
            <w:shd w:val="clear" w:color="000000" w:fill="FFFFFF"/>
            <w:noWrap/>
            <w:vAlign w:val="bottom"/>
            <w:hideMark/>
          </w:tcPr>
          <w:p w14:paraId="6BA32F9C"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(34)</w:t>
            </w:r>
          </w:p>
        </w:tc>
        <w:tc>
          <w:tcPr>
            <w:tcW w:w="1128" w:type="dxa"/>
            <w:tcBorders>
              <w:top w:val="nil"/>
              <w:left w:val="nil"/>
              <w:bottom w:val="nil"/>
              <w:right w:val="single" w:sz="4" w:space="0" w:color="auto"/>
            </w:tcBorders>
            <w:shd w:val="clear" w:color="000000" w:fill="FFFFFF"/>
            <w:noWrap/>
            <w:vAlign w:val="bottom"/>
            <w:hideMark/>
          </w:tcPr>
          <w:p w14:paraId="6E6660B1"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w:t>
            </w:r>
          </w:p>
        </w:tc>
        <w:tc>
          <w:tcPr>
            <w:tcW w:w="1128" w:type="dxa"/>
            <w:tcBorders>
              <w:top w:val="nil"/>
              <w:left w:val="nil"/>
              <w:bottom w:val="nil"/>
              <w:right w:val="single" w:sz="4" w:space="0" w:color="auto"/>
            </w:tcBorders>
            <w:shd w:val="clear" w:color="000000" w:fill="FFFFFF"/>
            <w:noWrap/>
            <w:vAlign w:val="bottom"/>
            <w:hideMark/>
          </w:tcPr>
          <w:p w14:paraId="68984B3A"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w:t>
            </w:r>
          </w:p>
        </w:tc>
        <w:tc>
          <w:tcPr>
            <w:tcW w:w="1128" w:type="dxa"/>
            <w:tcBorders>
              <w:top w:val="nil"/>
              <w:left w:val="nil"/>
              <w:bottom w:val="nil"/>
              <w:right w:val="single" w:sz="4" w:space="0" w:color="auto"/>
            </w:tcBorders>
            <w:shd w:val="clear" w:color="000000" w:fill="FFFFFF"/>
            <w:noWrap/>
            <w:vAlign w:val="bottom"/>
            <w:hideMark/>
          </w:tcPr>
          <w:p w14:paraId="358AE3B0"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w:t>
            </w:r>
          </w:p>
        </w:tc>
        <w:tc>
          <w:tcPr>
            <w:tcW w:w="1128" w:type="dxa"/>
            <w:tcBorders>
              <w:top w:val="nil"/>
              <w:left w:val="nil"/>
              <w:bottom w:val="nil"/>
              <w:right w:val="single" w:sz="4" w:space="0" w:color="auto"/>
            </w:tcBorders>
            <w:shd w:val="clear" w:color="000000" w:fill="FFFFFF"/>
            <w:noWrap/>
            <w:vAlign w:val="bottom"/>
            <w:hideMark/>
          </w:tcPr>
          <w:p w14:paraId="2C4D94D4"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w:t>
            </w:r>
          </w:p>
        </w:tc>
      </w:tr>
      <w:tr w:rsidR="00D72DFE" w:rsidRPr="00D72DFE" w14:paraId="2E8FE084"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1537FAE8"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(18,764)</w:t>
            </w:r>
          </w:p>
        </w:tc>
        <w:tc>
          <w:tcPr>
            <w:tcW w:w="3508" w:type="dxa"/>
            <w:tcBorders>
              <w:top w:val="nil"/>
              <w:left w:val="nil"/>
              <w:bottom w:val="nil"/>
              <w:right w:val="single" w:sz="4" w:space="0" w:color="auto"/>
            </w:tcBorders>
            <w:shd w:val="clear" w:color="000000" w:fill="FFFFFF"/>
            <w:noWrap/>
            <w:vAlign w:val="bottom"/>
            <w:hideMark/>
          </w:tcPr>
          <w:p w14:paraId="1FA14BDB"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Precept</w:t>
            </w:r>
          </w:p>
        </w:tc>
        <w:tc>
          <w:tcPr>
            <w:tcW w:w="1128" w:type="dxa"/>
            <w:tcBorders>
              <w:top w:val="nil"/>
              <w:left w:val="nil"/>
              <w:bottom w:val="nil"/>
              <w:right w:val="single" w:sz="4" w:space="0" w:color="auto"/>
            </w:tcBorders>
            <w:shd w:val="clear" w:color="000000" w:fill="FFFFFF"/>
            <w:noWrap/>
            <w:vAlign w:val="bottom"/>
            <w:hideMark/>
          </w:tcPr>
          <w:p w14:paraId="09E7E588"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(19,489)</w:t>
            </w:r>
          </w:p>
        </w:tc>
        <w:tc>
          <w:tcPr>
            <w:tcW w:w="1128" w:type="dxa"/>
            <w:tcBorders>
              <w:top w:val="nil"/>
              <w:left w:val="nil"/>
              <w:bottom w:val="nil"/>
              <w:right w:val="single" w:sz="4" w:space="0" w:color="auto"/>
            </w:tcBorders>
            <w:shd w:val="clear" w:color="000000" w:fill="FFFFFF"/>
            <w:noWrap/>
            <w:vAlign w:val="bottom"/>
            <w:hideMark/>
          </w:tcPr>
          <w:p w14:paraId="205D4523"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(20,175)</w:t>
            </w:r>
          </w:p>
        </w:tc>
        <w:tc>
          <w:tcPr>
            <w:tcW w:w="1128" w:type="dxa"/>
            <w:tcBorders>
              <w:top w:val="nil"/>
              <w:left w:val="nil"/>
              <w:bottom w:val="nil"/>
              <w:right w:val="single" w:sz="4" w:space="0" w:color="auto"/>
            </w:tcBorders>
            <w:shd w:val="clear" w:color="000000" w:fill="FFFFFF"/>
            <w:noWrap/>
            <w:vAlign w:val="bottom"/>
            <w:hideMark/>
          </w:tcPr>
          <w:p w14:paraId="35320211"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(20,885)</w:t>
            </w:r>
          </w:p>
        </w:tc>
        <w:tc>
          <w:tcPr>
            <w:tcW w:w="1128" w:type="dxa"/>
            <w:tcBorders>
              <w:top w:val="nil"/>
              <w:left w:val="nil"/>
              <w:bottom w:val="nil"/>
              <w:right w:val="single" w:sz="4" w:space="0" w:color="auto"/>
            </w:tcBorders>
            <w:shd w:val="clear" w:color="000000" w:fill="FFFFFF"/>
            <w:noWrap/>
            <w:vAlign w:val="bottom"/>
            <w:hideMark/>
          </w:tcPr>
          <w:p w14:paraId="5A862269"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(21,620)</w:t>
            </w:r>
          </w:p>
        </w:tc>
        <w:tc>
          <w:tcPr>
            <w:tcW w:w="1128" w:type="dxa"/>
            <w:tcBorders>
              <w:top w:val="nil"/>
              <w:left w:val="nil"/>
              <w:bottom w:val="nil"/>
              <w:right w:val="single" w:sz="4" w:space="0" w:color="auto"/>
            </w:tcBorders>
            <w:shd w:val="clear" w:color="000000" w:fill="FFFFFF"/>
            <w:noWrap/>
            <w:vAlign w:val="bottom"/>
            <w:hideMark/>
          </w:tcPr>
          <w:p w14:paraId="66E306FC"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(22,381)</w:t>
            </w:r>
          </w:p>
        </w:tc>
      </w:tr>
      <w:tr w:rsidR="00D72DFE" w:rsidRPr="00D72DFE" w14:paraId="1621A8E1" w14:textId="77777777" w:rsidTr="00D72DFE">
        <w:trPr>
          <w:trHeight w:val="300"/>
        </w:trPr>
        <w:tc>
          <w:tcPr>
            <w:tcW w:w="1128" w:type="dxa"/>
            <w:tcBorders>
              <w:top w:val="nil"/>
              <w:left w:val="single" w:sz="4" w:space="0" w:color="auto"/>
              <w:bottom w:val="nil"/>
              <w:right w:val="single" w:sz="4" w:space="0" w:color="auto"/>
            </w:tcBorders>
            <w:shd w:val="clear" w:color="000000" w:fill="FFFFFF"/>
            <w:noWrap/>
            <w:vAlign w:val="bottom"/>
            <w:hideMark/>
          </w:tcPr>
          <w:p w14:paraId="60A5022A"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(255)</w:t>
            </w:r>
          </w:p>
        </w:tc>
        <w:tc>
          <w:tcPr>
            <w:tcW w:w="3508" w:type="dxa"/>
            <w:tcBorders>
              <w:top w:val="nil"/>
              <w:left w:val="nil"/>
              <w:bottom w:val="nil"/>
              <w:right w:val="single" w:sz="4" w:space="0" w:color="auto"/>
            </w:tcBorders>
            <w:shd w:val="clear" w:color="000000" w:fill="FFFFFF"/>
            <w:noWrap/>
            <w:vAlign w:val="bottom"/>
            <w:hideMark/>
          </w:tcPr>
          <w:p w14:paraId="3550F9C6"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Collection Fund (Surplus)/Deficit</w:t>
            </w:r>
          </w:p>
        </w:tc>
        <w:tc>
          <w:tcPr>
            <w:tcW w:w="1128" w:type="dxa"/>
            <w:tcBorders>
              <w:top w:val="nil"/>
              <w:left w:val="nil"/>
              <w:bottom w:val="nil"/>
              <w:right w:val="single" w:sz="4" w:space="0" w:color="auto"/>
            </w:tcBorders>
            <w:shd w:val="clear" w:color="000000" w:fill="FFFFFF"/>
            <w:noWrap/>
            <w:vAlign w:val="bottom"/>
            <w:hideMark/>
          </w:tcPr>
          <w:p w14:paraId="7E8AE5B6"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(315)</w:t>
            </w:r>
          </w:p>
        </w:tc>
        <w:tc>
          <w:tcPr>
            <w:tcW w:w="1128" w:type="dxa"/>
            <w:tcBorders>
              <w:top w:val="nil"/>
              <w:left w:val="nil"/>
              <w:bottom w:val="nil"/>
              <w:right w:val="single" w:sz="4" w:space="0" w:color="auto"/>
            </w:tcBorders>
            <w:shd w:val="clear" w:color="000000" w:fill="FFFFFF"/>
            <w:noWrap/>
            <w:vAlign w:val="bottom"/>
            <w:hideMark/>
          </w:tcPr>
          <w:p w14:paraId="319B6D94"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(92)</w:t>
            </w:r>
          </w:p>
        </w:tc>
        <w:tc>
          <w:tcPr>
            <w:tcW w:w="1128" w:type="dxa"/>
            <w:tcBorders>
              <w:top w:val="nil"/>
              <w:left w:val="nil"/>
              <w:bottom w:val="nil"/>
              <w:right w:val="single" w:sz="4" w:space="0" w:color="auto"/>
            </w:tcBorders>
            <w:shd w:val="clear" w:color="000000" w:fill="FFFFFF"/>
            <w:noWrap/>
            <w:vAlign w:val="bottom"/>
            <w:hideMark/>
          </w:tcPr>
          <w:p w14:paraId="32C7A759"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(92)</w:t>
            </w:r>
          </w:p>
        </w:tc>
        <w:tc>
          <w:tcPr>
            <w:tcW w:w="1128" w:type="dxa"/>
            <w:tcBorders>
              <w:top w:val="nil"/>
              <w:left w:val="nil"/>
              <w:bottom w:val="nil"/>
              <w:right w:val="single" w:sz="4" w:space="0" w:color="auto"/>
            </w:tcBorders>
            <w:shd w:val="clear" w:color="000000" w:fill="FFFFFF"/>
            <w:noWrap/>
            <w:vAlign w:val="bottom"/>
            <w:hideMark/>
          </w:tcPr>
          <w:p w14:paraId="306BE058"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(92)</w:t>
            </w:r>
          </w:p>
        </w:tc>
        <w:tc>
          <w:tcPr>
            <w:tcW w:w="1128" w:type="dxa"/>
            <w:tcBorders>
              <w:top w:val="nil"/>
              <w:left w:val="nil"/>
              <w:bottom w:val="nil"/>
              <w:right w:val="single" w:sz="4" w:space="0" w:color="auto"/>
            </w:tcBorders>
            <w:shd w:val="clear" w:color="000000" w:fill="FFFFFF"/>
            <w:noWrap/>
            <w:vAlign w:val="bottom"/>
            <w:hideMark/>
          </w:tcPr>
          <w:p w14:paraId="358A4FBC"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(92)</w:t>
            </w:r>
          </w:p>
        </w:tc>
      </w:tr>
      <w:tr w:rsidR="00D72DFE" w:rsidRPr="00D72DFE" w14:paraId="4785A88C" w14:textId="77777777" w:rsidTr="00D72DFE">
        <w:trPr>
          <w:trHeight w:val="300"/>
        </w:trPr>
        <w:tc>
          <w:tcPr>
            <w:tcW w:w="1128" w:type="dxa"/>
            <w:tcBorders>
              <w:top w:val="single" w:sz="4" w:space="0" w:color="auto"/>
              <w:left w:val="nil"/>
              <w:bottom w:val="single" w:sz="4" w:space="0" w:color="auto"/>
              <w:right w:val="nil"/>
            </w:tcBorders>
            <w:shd w:val="clear" w:color="000000" w:fill="FFFFFF"/>
            <w:noWrap/>
            <w:vAlign w:val="bottom"/>
            <w:hideMark/>
          </w:tcPr>
          <w:p w14:paraId="24588174"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3508" w:type="dxa"/>
            <w:tcBorders>
              <w:top w:val="single" w:sz="4" w:space="0" w:color="auto"/>
              <w:left w:val="nil"/>
              <w:bottom w:val="single" w:sz="4" w:space="0" w:color="auto"/>
              <w:right w:val="nil"/>
            </w:tcBorders>
            <w:shd w:val="clear" w:color="000000" w:fill="FFFFFF"/>
            <w:noWrap/>
            <w:vAlign w:val="bottom"/>
            <w:hideMark/>
          </w:tcPr>
          <w:p w14:paraId="726AFE14"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0DA23549"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22E2FA47"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78A83794"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68691509"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single" w:sz="4" w:space="0" w:color="auto"/>
              <w:left w:val="nil"/>
              <w:bottom w:val="single" w:sz="4" w:space="0" w:color="auto"/>
              <w:right w:val="nil"/>
            </w:tcBorders>
            <w:shd w:val="clear" w:color="000000" w:fill="FFFFFF"/>
            <w:noWrap/>
            <w:vAlign w:val="bottom"/>
            <w:hideMark/>
          </w:tcPr>
          <w:p w14:paraId="2258E63E"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r>
      <w:tr w:rsidR="00D72DFE" w:rsidRPr="00D72DFE" w14:paraId="16365736" w14:textId="77777777" w:rsidTr="00D72DFE">
        <w:trPr>
          <w:trHeight w:val="300"/>
        </w:trPr>
        <w:tc>
          <w:tcPr>
            <w:tcW w:w="11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9FDC65"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(29,558)</w:t>
            </w:r>
          </w:p>
        </w:tc>
        <w:tc>
          <w:tcPr>
            <w:tcW w:w="3508" w:type="dxa"/>
            <w:tcBorders>
              <w:top w:val="single" w:sz="4" w:space="0" w:color="auto"/>
              <w:left w:val="nil"/>
              <w:bottom w:val="single" w:sz="4" w:space="0" w:color="auto"/>
              <w:right w:val="single" w:sz="4" w:space="0" w:color="auto"/>
            </w:tcBorders>
            <w:shd w:val="clear" w:color="000000" w:fill="FFFFFF"/>
            <w:noWrap/>
            <w:vAlign w:val="bottom"/>
            <w:hideMark/>
          </w:tcPr>
          <w:p w14:paraId="28D71138" w14:textId="77777777" w:rsidR="00D72DFE" w:rsidRPr="00D72DFE" w:rsidRDefault="00D72DFE" w:rsidP="00D72DFE">
            <w:pPr>
              <w:spacing w:after="0" w:line="240" w:lineRule="auto"/>
              <w:rPr>
                <w:rFonts w:eastAsia="Times New Roman" w:cs="Calibri"/>
                <w:b/>
                <w:bCs/>
                <w:color w:val="000000"/>
                <w:sz w:val="20"/>
                <w:szCs w:val="20"/>
                <w:lang w:eastAsia="en-GB"/>
              </w:rPr>
            </w:pPr>
            <w:r w:rsidRPr="00D72DFE">
              <w:rPr>
                <w:rFonts w:eastAsia="Times New Roman" w:cs="Calibri"/>
                <w:b/>
                <w:bCs/>
                <w:color w:val="000000"/>
                <w:sz w:val="20"/>
                <w:szCs w:val="20"/>
                <w:lang w:eastAsia="en-GB"/>
              </w:rPr>
              <w:t>TOTAL FUNDING</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5DBC5501"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(31,454)</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1D15E207"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(32,023)</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6B8CF823"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(32,875)</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1A184F80"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(33,754)</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31AEB3D9"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(34,661)</w:t>
            </w:r>
          </w:p>
        </w:tc>
      </w:tr>
      <w:tr w:rsidR="00D72DFE" w:rsidRPr="00D72DFE" w14:paraId="1ACC969E" w14:textId="77777777" w:rsidTr="00D72DFE">
        <w:trPr>
          <w:trHeight w:val="300"/>
        </w:trPr>
        <w:tc>
          <w:tcPr>
            <w:tcW w:w="1128" w:type="dxa"/>
            <w:tcBorders>
              <w:top w:val="nil"/>
              <w:left w:val="nil"/>
              <w:bottom w:val="nil"/>
              <w:right w:val="nil"/>
            </w:tcBorders>
            <w:shd w:val="clear" w:color="000000" w:fill="FFFFFF"/>
            <w:noWrap/>
            <w:vAlign w:val="bottom"/>
            <w:hideMark/>
          </w:tcPr>
          <w:p w14:paraId="3DBC821E"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3508" w:type="dxa"/>
            <w:tcBorders>
              <w:top w:val="nil"/>
              <w:left w:val="nil"/>
              <w:bottom w:val="nil"/>
              <w:right w:val="nil"/>
            </w:tcBorders>
            <w:shd w:val="clear" w:color="000000" w:fill="FFFFFF"/>
            <w:noWrap/>
            <w:vAlign w:val="bottom"/>
            <w:hideMark/>
          </w:tcPr>
          <w:p w14:paraId="03D88807"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24E720D4"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51E325E7"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1231F44D"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2175D83C"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40F53A5B"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r>
      <w:tr w:rsidR="00D72DFE" w:rsidRPr="00D72DFE" w14:paraId="36992840" w14:textId="77777777" w:rsidTr="00D72DFE">
        <w:trPr>
          <w:trHeight w:val="300"/>
        </w:trPr>
        <w:tc>
          <w:tcPr>
            <w:tcW w:w="11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BAF1E8"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w:t>
            </w:r>
          </w:p>
        </w:tc>
        <w:tc>
          <w:tcPr>
            <w:tcW w:w="3508" w:type="dxa"/>
            <w:tcBorders>
              <w:top w:val="single" w:sz="4" w:space="0" w:color="auto"/>
              <w:left w:val="nil"/>
              <w:bottom w:val="single" w:sz="4" w:space="0" w:color="auto"/>
              <w:right w:val="single" w:sz="4" w:space="0" w:color="auto"/>
            </w:tcBorders>
            <w:shd w:val="clear" w:color="000000" w:fill="FFFFFF"/>
            <w:noWrap/>
            <w:vAlign w:val="center"/>
            <w:hideMark/>
          </w:tcPr>
          <w:p w14:paraId="5FDF2832" w14:textId="77777777" w:rsidR="00D72DFE" w:rsidRPr="00D72DFE" w:rsidRDefault="00D72DFE" w:rsidP="00D72DFE">
            <w:pPr>
              <w:spacing w:after="0" w:line="240" w:lineRule="auto"/>
              <w:rPr>
                <w:rFonts w:eastAsia="Times New Roman" w:cs="Calibri"/>
                <w:b/>
                <w:bCs/>
                <w:color w:val="000000"/>
                <w:sz w:val="20"/>
                <w:szCs w:val="20"/>
                <w:lang w:eastAsia="en-GB"/>
              </w:rPr>
            </w:pPr>
            <w:r w:rsidRPr="00D72DFE">
              <w:rPr>
                <w:rFonts w:eastAsia="Times New Roman" w:cs="Calibri"/>
                <w:b/>
                <w:bCs/>
                <w:color w:val="000000"/>
                <w:sz w:val="20"/>
                <w:szCs w:val="20"/>
                <w:lang w:eastAsia="en-GB"/>
              </w:rPr>
              <w:t>FUNDING (SURPLUS) / DEFICIT</w:t>
            </w:r>
          </w:p>
        </w:tc>
        <w:tc>
          <w:tcPr>
            <w:tcW w:w="1128" w:type="dxa"/>
            <w:tcBorders>
              <w:top w:val="single" w:sz="4" w:space="0" w:color="auto"/>
              <w:left w:val="nil"/>
              <w:bottom w:val="single" w:sz="4" w:space="0" w:color="auto"/>
              <w:right w:val="single" w:sz="4" w:space="0" w:color="auto"/>
            </w:tcBorders>
            <w:shd w:val="clear" w:color="000000" w:fill="FFDDDD"/>
            <w:noWrap/>
            <w:vAlign w:val="center"/>
            <w:hideMark/>
          </w:tcPr>
          <w:p w14:paraId="0F15FAFB"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0</w:t>
            </w:r>
          </w:p>
        </w:tc>
        <w:tc>
          <w:tcPr>
            <w:tcW w:w="1128" w:type="dxa"/>
            <w:tcBorders>
              <w:top w:val="single" w:sz="4" w:space="0" w:color="auto"/>
              <w:left w:val="nil"/>
              <w:bottom w:val="single" w:sz="4" w:space="0" w:color="auto"/>
              <w:right w:val="single" w:sz="4" w:space="0" w:color="auto"/>
            </w:tcBorders>
            <w:shd w:val="clear" w:color="000000" w:fill="FFDDDD"/>
            <w:noWrap/>
            <w:vAlign w:val="center"/>
            <w:hideMark/>
          </w:tcPr>
          <w:p w14:paraId="594A297A"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669</w:t>
            </w:r>
          </w:p>
        </w:tc>
        <w:tc>
          <w:tcPr>
            <w:tcW w:w="1128" w:type="dxa"/>
            <w:tcBorders>
              <w:top w:val="single" w:sz="4" w:space="0" w:color="auto"/>
              <w:left w:val="nil"/>
              <w:bottom w:val="single" w:sz="4" w:space="0" w:color="auto"/>
              <w:right w:val="single" w:sz="4" w:space="0" w:color="auto"/>
            </w:tcBorders>
            <w:shd w:val="clear" w:color="000000" w:fill="FFDDDD"/>
            <w:noWrap/>
            <w:vAlign w:val="center"/>
            <w:hideMark/>
          </w:tcPr>
          <w:p w14:paraId="0D26134D"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1,036</w:t>
            </w:r>
          </w:p>
        </w:tc>
        <w:tc>
          <w:tcPr>
            <w:tcW w:w="1128" w:type="dxa"/>
            <w:tcBorders>
              <w:top w:val="single" w:sz="4" w:space="0" w:color="auto"/>
              <w:left w:val="nil"/>
              <w:bottom w:val="single" w:sz="4" w:space="0" w:color="auto"/>
              <w:right w:val="single" w:sz="4" w:space="0" w:color="auto"/>
            </w:tcBorders>
            <w:shd w:val="clear" w:color="000000" w:fill="FFDDDD"/>
            <w:noWrap/>
            <w:vAlign w:val="center"/>
            <w:hideMark/>
          </w:tcPr>
          <w:p w14:paraId="08BF2C9F"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1,158</w:t>
            </w:r>
          </w:p>
        </w:tc>
        <w:tc>
          <w:tcPr>
            <w:tcW w:w="1128" w:type="dxa"/>
            <w:tcBorders>
              <w:top w:val="single" w:sz="4" w:space="0" w:color="auto"/>
              <w:left w:val="nil"/>
              <w:bottom w:val="single" w:sz="4" w:space="0" w:color="auto"/>
              <w:right w:val="single" w:sz="4" w:space="0" w:color="auto"/>
            </w:tcBorders>
            <w:shd w:val="clear" w:color="000000" w:fill="FFDDDD"/>
            <w:noWrap/>
            <w:vAlign w:val="center"/>
            <w:hideMark/>
          </w:tcPr>
          <w:p w14:paraId="291F735B" w14:textId="77777777" w:rsidR="00D72DFE" w:rsidRPr="00D72DFE" w:rsidRDefault="00D72DFE" w:rsidP="00D72DFE">
            <w:pPr>
              <w:spacing w:after="0" w:line="240" w:lineRule="auto"/>
              <w:jc w:val="right"/>
              <w:rPr>
                <w:rFonts w:eastAsia="Times New Roman" w:cs="Calibri"/>
                <w:b/>
                <w:bCs/>
                <w:color w:val="000000"/>
                <w:sz w:val="20"/>
                <w:szCs w:val="20"/>
                <w:lang w:eastAsia="en-GB"/>
              </w:rPr>
            </w:pPr>
            <w:r w:rsidRPr="00D72DFE">
              <w:rPr>
                <w:rFonts w:eastAsia="Times New Roman" w:cs="Calibri"/>
                <w:b/>
                <w:bCs/>
                <w:color w:val="000000"/>
                <w:sz w:val="20"/>
                <w:szCs w:val="20"/>
                <w:lang w:eastAsia="en-GB"/>
              </w:rPr>
              <w:t>1,142</w:t>
            </w:r>
          </w:p>
        </w:tc>
      </w:tr>
      <w:tr w:rsidR="00D72DFE" w:rsidRPr="00D72DFE" w14:paraId="6CC74CAC" w14:textId="77777777" w:rsidTr="00D72DFE">
        <w:trPr>
          <w:trHeight w:val="300"/>
        </w:trPr>
        <w:tc>
          <w:tcPr>
            <w:tcW w:w="1128" w:type="dxa"/>
            <w:tcBorders>
              <w:top w:val="nil"/>
              <w:left w:val="nil"/>
              <w:bottom w:val="nil"/>
              <w:right w:val="nil"/>
            </w:tcBorders>
            <w:shd w:val="clear" w:color="000000" w:fill="FFFFFF"/>
            <w:noWrap/>
            <w:vAlign w:val="bottom"/>
            <w:hideMark/>
          </w:tcPr>
          <w:p w14:paraId="2CA9EFF3"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3508" w:type="dxa"/>
            <w:tcBorders>
              <w:top w:val="nil"/>
              <w:left w:val="nil"/>
              <w:bottom w:val="nil"/>
              <w:right w:val="nil"/>
            </w:tcBorders>
            <w:shd w:val="clear" w:color="000000" w:fill="FFFFFF"/>
            <w:noWrap/>
            <w:vAlign w:val="bottom"/>
            <w:hideMark/>
          </w:tcPr>
          <w:p w14:paraId="0E6708CF"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21C9A446"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4FAFD850"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280A4876"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2D8A90B7"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37DE78A6"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r>
      <w:tr w:rsidR="00D72DFE" w:rsidRPr="00D72DFE" w14:paraId="73B5B263" w14:textId="77777777" w:rsidTr="00D72DFE">
        <w:trPr>
          <w:trHeight w:val="300"/>
        </w:trPr>
        <w:tc>
          <w:tcPr>
            <w:tcW w:w="1128" w:type="dxa"/>
            <w:tcBorders>
              <w:top w:val="nil"/>
              <w:left w:val="nil"/>
              <w:bottom w:val="nil"/>
              <w:right w:val="nil"/>
            </w:tcBorders>
            <w:shd w:val="clear" w:color="000000" w:fill="FFFFFF"/>
            <w:noWrap/>
            <w:vAlign w:val="bottom"/>
            <w:hideMark/>
          </w:tcPr>
          <w:p w14:paraId="34D5508E"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3508" w:type="dxa"/>
            <w:tcBorders>
              <w:top w:val="nil"/>
              <w:left w:val="nil"/>
              <w:bottom w:val="nil"/>
              <w:right w:val="nil"/>
            </w:tcBorders>
            <w:shd w:val="clear" w:color="000000" w:fill="FFFFFF"/>
            <w:noWrap/>
            <w:vAlign w:val="bottom"/>
            <w:hideMark/>
          </w:tcPr>
          <w:p w14:paraId="76802AFA" w14:textId="77777777" w:rsidR="00D72DFE" w:rsidRPr="00D72DFE" w:rsidRDefault="00D72DFE" w:rsidP="00D72DFE">
            <w:pPr>
              <w:spacing w:after="0" w:line="240" w:lineRule="auto"/>
              <w:rPr>
                <w:rFonts w:eastAsia="Times New Roman" w:cs="Calibri"/>
                <w:b/>
                <w:bCs/>
                <w:color w:val="000000"/>
                <w:sz w:val="20"/>
                <w:szCs w:val="20"/>
                <w:lang w:eastAsia="en-GB"/>
              </w:rPr>
            </w:pPr>
            <w:r w:rsidRPr="00D72DFE">
              <w:rPr>
                <w:rFonts w:eastAsia="Times New Roman" w:cs="Calibri"/>
                <w:b/>
                <w:bCs/>
                <w:color w:val="000000"/>
                <w:sz w:val="24"/>
                <w:szCs w:val="24"/>
                <w:lang w:eastAsia="en-GB"/>
              </w:rPr>
              <w:t>PRECEPT</w:t>
            </w:r>
          </w:p>
        </w:tc>
        <w:tc>
          <w:tcPr>
            <w:tcW w:w="1128" w:type="dxa"/>
            <w:tcBorders>
              <w:top w:val="nil"/>
              <w:left w:val="nil"/>
              <w:bottom w:val="nil"/>
              <w:right w:val="nil"/>
            </w:tcBorders>
            <w:shd w:val="clear" w:color="000000" w:fill="FFFFFF"/>
            <w:noWrap/>
            <w:vAlign w:val="bottom"/>
            <w:hideMark/>
          </w:tcPr>
          <w:p w14:paraId="2DFDBF65"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7AA441DB"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0A7F694B"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54F72A1A"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291708B4"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r>
      <w:tr w:rsidR="00D72DFE" w:rsidRPr="00D72DFE" w14:paraId="0B006064" w14:textId="77777777" w:rsidTr="00D72DFE">
        <w:trPr>
          <w:trHeight w:val="300"/>
        </w:trPr>
        <w:tc>
          <w:tcPr>
            <w:tcW w:w="11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89675E"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£73.20</w:t>
            </w:r>
          </w:p>
        </w:tc>
        <w:tc>
          <w:tcPr>
            <w:tcW w:w="3508" w:type="dxa"/>
            <w:tcBorders>
              <w:top w:val="single" w:sz="4" w:space="0" w:color="auto"/>
              <w:left w:val="nil"/>
              <w:bottom w:val="single" w:sz="4" w:space="0" w:color="auto"/>
              <w:right w:val="single" w:sz="4" w:space="0" w:color="auto"/>
            </w:tcBorders>
            <w:shd w:val="clear" w:color="000000" w:fill="FFFFFF"/>
            <w:noWrap/>
            <w:vAlign w:val="bottom"/>
            <w:hideMark/>
          </w:tcPr>
          <w:p w14:paraId="5E4F4E19"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Band D Council Tax</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237403D4"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£75.39</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34C3A153"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£76.89</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5010C7AA"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£78.42</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2EC8AEC8"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£79.98</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14:paraId="63E60951"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£81.57</w:t>
            </w:r>
          </w:p>
        </w:tc>
      </w:tr>
      <w:tr w:rsidR="00D72DFE" w:rsidRPr="00D72DFE" w14:paraId="18A2ABEB" w14:textId="77777777" w:rsidTr="00D72DFE">
        <w:trPr>
          <w:trHeight w:val="300"/>
        </w:trPr>
        <w:tc>
          <w:tcPr>
            <w:tcW w:w="1128" w:type="dxa"/>
            <w:tcBorders>
              <w:top w:val="nil"/>
              <w:left w:val="single" w:sz="4" w:space="0" w:color="auto"/>
              <w:bottom w:val="single" w:sz="4" w:space="0" w:color="auto"/>
              <w:right w:val="single" w:sz="4" w:space="0" w:color="auto"/>
            </w:tcBorders>
            <w:shd w:val="clear" w:color="000000" w:fill="FFFFFF"/>
            <w:noWrap/>
            <w:vAlign w:val="bottom"/>
            <w:hideMark/>
          </w:tcPr>
          <w:p w14:paraId="287E8863"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256,339.80</w:t>
            </w:r>
          </w:p>
        </w:tc>
        <w:tc>
          <w:tcPr>
            <w:tcW w:w="3508" w:type="dxa"/>
            <w:tcBorders>
              <w:top w:val="nil"/>
              <w:left w:val="nil"/>
              <w:bottom w:val="single" w:sz="4" w:space="0" w:color="auto"/>
              <w:right w:val="single" w:sz="4" w:space="0" w:color="auto"/>
            </w:tcBorders>
            <w:shd w:val="clear" w:color="000000" w:fill="FFFFFF"/>
            <w:noWrap/>
            <w:vAlign w:val="bottom"/>
            <w:hideMark/>
          </w:tcPr>
          <w:p w14:paraId="19431050"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Total</w:t>
            </w:r>
          </w:p>
        </w:tc>
        <w:tc>
          <w:tcPr>
            <w:tcW w:w="1128" w:type="dxa"/>
            <w:tcBorders>
              <w:top w:val="nil"/>
              <w:left w:val="nil"/>
              <w:bottom w:val="single" w:sz="4" w:space="0" w:color="auto"/>
              <w:right w:val="single" w:sz="4" w:space="0" w:color="auto"/>
            </w:tcBorders>
            <w:shd w:val="clear" w:color="000000" w:fill="FFFFFF"/>
            <w:noWrap/>
            <w:vAlign w:val="bottom"/>
            <w:hideMark/>
          </w:tcPr>
          <w:p w14:paraId="3CD59871"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258,511.60</w:t>
            </w:r>
          </w:p>
        </w:tc>
        <w:tc>
          <w:tcPr>
            <w:tcW w:w="1128" w:type="dxa"/>
            <w:tcBorders>
              <w:top w:val="nil"/>
              <w:left w:val="nil"/>
              <w:bottom w:val="single" w:sz="4" w:space="0" w:color="auto"/>
              <w:right w:val="single" w:sz="4" w:space="0" w:color="auto"/>
            </w:tcBorders>
            <w:shd w:val="clear" w:color="000000" w:fill="FFFFFF"/>
            <w:noWrap/>
            <w:vAlign w:val="bottom"/>
            <w:hideMark/>
          </w:tcPr>
          <w:p w14:paraId="6945F68C"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262,389.28</w:t>
            </w:r>
          </w:p>
        </w:tc>
        <w:tc>
          <w:tcPr>
            <w:tcW w:w="1128" w:type="dxa"/>
            <w:tcBorders>
              <w:top w:val="nil"/>
              <w:left w:val="nil"/>
              <w:bottom w:val="single" w:sz="4" w:space="0" w:color="auto"/>
              <w:right w:val="single" w:sz="4" w:space="0" w:color="auto"/>
            </w:tcBorders>
            <w:shd w:val="clear" w:color="000000" w:fill="FFFFFF"/>
            <w:noWrap/>
            <w:vAlign w:val="bottom"/>
            <w:hideMark/>
          </w:tcPr>
          <w:p w14:paraId="3C104E59"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266,325.12</w:t>
            </w:r>
          </w:p>
        </w:tc>
        <w:tc>
          <w:tcPr>
            <w:tcW w:w="1128" w:type="dxa"/>
            <w:tcBorders>
              <w:top w:val="nil"/>
              <w:left w:val="nil"/>
              <w:bottom w:val="single" w:sz="4" w:space="0" w:color="auto"/>
              <w:right w:val="single" w:sz="4" w:space="0" w:color="auto"/>
            </w:tcBorders>
            <w:shd w:val="clear" w:color="000000" w:fill="FFFFFF"/>
            <w:noWrap/>
            <w:vAlign w:val="bottom"/>
            <w:hideMark/>
          </w:tcPr>
          <w:p w14:paraId="589A7EFA"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270,320.00</w:t>
            </w:r>
          </w:p>
        </w:tc>
        <w:tc>
          <w:tcPr>
            <w:tcW w:w="1128" w:type="dxa"/>
            <w:tcBorders>
              <w:top w:val="nil"/>
              <w:left w:val="nil"/>
              <w:bottom w:val="single" w:sz="4" w:space="0" w:color="auto"/>
              <w:right w:val="single" w:sz="4" w:space="0" w:color="auto"/>
            </w:tcBorders>
            <w:shd w:val="clear" w:color="000000" w:fill="FFFFFF"/>
            <w:noWrap/>
            <w:vAlign w:val="bottom"/>
            <w:hideMark/>
          </w:tcPr>
          <w:p w14:paraId="3A062412"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274,374.80</w:t>
            </w:r>
          </w:p>
        </w:tc>
      </w:tr>
      <w:tr w:rsidR="00D72DFE" w:rsidRPr="00D72DFE" w14:paraId="4C3EB64B" w14:textId="77777777" w:rsidTr="00D72DFE">
        <w:trPr>
          <w:trHeight w:val="300"/>
        </w:trPr>
        <w:tc>
          <w:tcPr>
            <w:tcW w:w="1128" w:type="dxa"/>
            <w:tcBorders>
              <w:top w:val="nil"/>
              <w:left w:val="nil"/>
              <w:bottom w:val="nil"/>
              <w:right w:val="nil"/>
            </w:tcBorders>
            <w:shd w:val="clear" w:color="000000" w:fill="FFFFFF"/>
            <w:noWrap/>
            <w:vAlign w:val="bottom"/>
            <w:hideMark/>
          </w:tcPr>
          <w:p w14:paraId="33AA26FF"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3508" w:type="dxa"/>
            <w:tcBorders>
              <w:top w:val="nil"/>
              <w:left w:val="nil"/>
              <w:bottom w:val="nil"/>
              <w:right w:val="nil"/>
            </w:tcBorders>
            <w:shd w:val="clear" w:color="000000" w:fill="FFFFFF"/>
            <w:noWrap/>
            <w:vAlign w:val="bottom"/>
            <w:hideMark/>
          </w:tcPr>
          <w:p w14:paraId="21A6C933"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168164B9"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7D01D3B6"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4A23EA66"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5EE41981"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nil"/>
              <w:right w:val="nil"/>
            </w:tcBorders>
            <w:shd w:val="clear" w:color="000000" w:fill="FFFFFF"/>
            <w:noWrap/>
            <w:vAlign w:val="bottom"/>
            <w:hideMark/>
          </w:tcPr>
          <w:p w14:paraId="6FB34A85"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r>
      <w:tr w:rsidR="00D72DFE" w:rsidRPr="00D72DFE" w14:paraId="00B3C754" w14:textId="77777777" w:rsidTr="00D72DFE">
        <w:trPr>
          <w:trHeight w:val="300"/>
        </w:trPr>
        <w:tc>
          <w:tcPr>
            <w:tcW w:w="1128" w:type="dxa"/>
            <w:tcBorders>
              <w:top w:val="nil"/>
              <w:left w:val="nil"/>
              <w:bottom w:val="nil"/>
              <w:right w:val="nil"/>
            </w:tcBorders>
            <w:shd w:val="clear" w:color="000000" w:fill="FFFFFF"/>
            <w:noWrap/>
            <w:vAlign w:val="bottom"/>
            <w:hideMark/>
          </w:tcPr>
          <w:p w14:paraId="1CE43D54"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3508" w:type="dxa"/>
            <w:tcBorders>
              <w:top w:val="nil"/>
              <w:left w:val="nil"/>
              <w:bottom w:val="nil"/>
              <w:right w:val="nil"/>
            </w:tcBorders>
            <w:shd w:val="clear" w:color="000000" w:fill="FFFFFF"/>
            <w:noWrap/>
            <w:vAlign w:val="bottom"/>
            <w:hideMark/>
          </w:tcPr>
          <w:p w14:paraId="7B11906F" w14:textId="77777777" w:rsidR="00D72DFE" w:rsidRPr="00D72DFE" w:rsidRDefault="00D72DFE" w:rsidP="00D72DFE">
            <w:pPr>
              <w:spacing w:after="0" w:line="240" w:lineRule="auto"/>
              <w:rPr>
                <w:rFonts w:eastAsia="Times New Roman" w:cs="Calibri"/>
                <w:b/>
                <w:bCs/>
                <w:color w:val="000000"/>
                <w:sz w:val="20"/>
                <w:szCs w:val="20"/>
                <w:lang w:eastAsia="en-GB"/>
              </w:rPr>
            </w:pPr>
            <w:r w:rsidRPr="00D72DFE">
              <w:rPr>
                <w:rFonts w:eastAsia="Times New Roman" w:cs="Calibri"/>
                <w:b/>
                <w:bCs/>
                <w:color w:val="000000"/>
                <w:sz w:val="20"/>
                <w:szCs w:val="20"/>
                <w:lang w:eastAsia="en-GB"/>
              </w:rPr>
              <w:t>ASSUMPTIONS</w:t>
            </w:r>
          </w:p>
        </w:tc>
        <w:tc>
          <w:tcPr>
            <w:tcW w:w="1128" w:type="dxa"/>
            <w:tcBorders>
              <w:top w:val="nil"/>
              <w:left w:val="nil"/>
              <w:bottom w:val="single" w:sz="4" w:space="0" w:color="auto"/>
              <w:right w:val="nil"/>
            </w:tcBorders>
            <w:shd w:val="clear" w:color="000000" w:fill="FFFFFF"/>
            <w:noWrap/>
            <w:vAlign w:val="bottom"/>
            <w:hideMark/>
          </w:tcPr>
          <w:p w14:paraId="6BDEF91E"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single" w:sz="4" w:space="0" w:color="auto"/>
              <w:right w:val="nil"/>
            </w:tcBorders>
            <w:shd w:val="clear" w:color="000000" w:fill="FFFFFF"/>
            <w:noWrap/>
            <w:vAlign w:val="bottom"/>
            <w:hideMark/>
          </w:tcPr>
          <w:p w14:paraId="6407EB68"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single" w:sz="4" w:space="0" w:color="auto"/>
              <w:right w:val="nil"/>
            </w:tcBorders>
            <w:shd w:val="clear" w:color="000000" w:fill="FFFFFF"/>
            <w:noWrap/>
            <w:vAlign w:val="bottom"/>
            <w:hideMark/>
          </w:tcPr>
          <w:p w14:paraId="1EDEEA32"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single" w:sz="4" w:space="0" w:color="auto"/>
              <w:right w:val="nil"/>
            </w:tcBorders>
            <w:shd w:val="clear" w:color="000000" w:fill="FFFFFF"/>
            <w:noWrap/>
            <w:vAlign w:val="bottom"/>
            <w:hideMark/>
          </w:tcPr>
          <w:p w14:paraId="68CB4BD7"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1128" w:type="dxa"/>
            <w:tcBorders>
              <w:top w:val="nil"/>
              <w:left w:val="nil"/>
              <w:bottom w:val="single" w:sz="4" w:space="0" w:color="auto"/>
              <w:right w:val="nil"/>
            </w:tcBorders>
            <w:shd w:val="clear" w:color="000000" w:fill="FFFFFF"/>
            <w:noWrap/>
            <w:vAlign w:val="bottom"/>
            <w:hideMark/>
          </w:tcPr>
          <w:p w14:paraId="5A29627A"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r>
      <w:tr w:rsidR="00D72DFE" w:rsidRPr="00D72DFE" w14:paraId="086BD348" w14:textId="77777777" w:rsidTr="00D72DFE">
        <w:trPr>
          <w:trHeight w:val="300"/>
        </w:trPr>
        <w:tc>
          <w:tcPr>
            <w:tcW w:w="1128" w:type="dxa"/>
            <w:tcBorders>
              <w:top w:val="nil"/>
              <w:left w:val="nil"/>
              <w:bottom w:val="nil"/>
              <w:right w:val="nil"/>
            </w:tcBorders>
            <w:shd w:val="clear" w:color="000000" w:fill="FFFFFF"/>
            <w:noWrap/>
            <w:vAlign w:val="bottom"/>
            <w:hideMark/>
          </w:tcPr>
          <w:p w14:paraId="0BF28F4D"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3508" w:type="dxa"/>
            <w:tcBorders>
              <w:top w:val="single" w:sz="4" w:space="0" w:color="auto"/>
              <w:left w:val="single" w:sz="4" w:space="0" w:color="auto"/>
              <w:bottom w:val="nil"/>
              <w:right w:val="single" w:sz="4" w:space="0" w:color="auto"/>
            </w:tcBorders>
            <w:shd w:val="clear" w:color="000000" w:fill="FFFFFF"/>
            <w:noWrap/>
            <w:vAlign w:val="bottom"/>
            <w:hideMark/>
          </w:tcPr>
          <w:p w14:paraId="73702FC6"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Other Grants</w:t>
            </w:r>
          </w:p>
        </w:tc>
        <w:tc>
          <w:tcPr>
            <w:tcW w:w="1128" w:type="dxa"/>
            <w:tcBorders>
              <w:top w:val="single" w:sz="4" w:space="0" w:color="auto"/>
              <w:left w:val="nil"/>
              <w:bottom w:val="nil"/>
              <w:right w:val="single" w:sz="4" w:space="0" w:color="auto"/>
            </w:tcBorders>
            <w:shd w:val="clear" w:color="000000" w:fill="FFFFFF"/>
            <w:noWrap/>
            <w:vAlign w:val="bottom"/>
            <w:hideMark/>
          </w:tcPr>
          <w:p w14:paraId="31E5AA1E"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0.00%</w:t>
            </w:r>
          </w:p>
        </w:tc>
        <w:tc>
          <w:tcPr>
            <w:tcW w:w="1128" w:type="dxa"/>
            <w:tcBorders>
              <w:top w:val="single" w:sz="4" w:space="0" w:color="auto"/>
              <w:left w:val="nil"/>
              <w:bottom w:val="nil"/>
              <w:right w:val="single" w:sz="4" w:space="0" w:color="auto"/>
            </w:tcBorders>
            <w:shd w:val="clear" w:color="000000" w:fill="FFFFFF"/>
            <w:noWrap/>
            <w:vAlign w:val="bottom"/>
            <w:hideMark/>
          </w:tcPr>
          <w:p w14:paraId="52BC0169"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0.00%</w:t>
            </w:r>
          </w:p>
        </w:tc>
        <w:tc>
          <w:tcPr>
            <w:tcW w:w="1128" w:type="dxa"/>
            <w:tcBorders>
              <w:top w:val="single" w:sz="4" w:space="0" w:color="auto"/>
              <w:left w:val="nil"/>
              <w:bottom w:val="nil"/>
              <w:right w:val="single" w:sz="4" w:space="0" w:color="auto"/>
            </w:tcBorders>
            <w:shd w:val="clear" w:color="000000" w:fill="FFFFFF"/>
            <w:noWrap/>
            <w:vAlign w:val="bottom"/>
            <w:hideMark/>
          </w:tcPr>
          <w:p w14:paraId="118F020C"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0.00%</w:t>
            </w:r>
          </w:p>
        </w:tc>
        <w:tc>
          <w:tcPr>
            <w:tcW w:w="1128" w:type="dxa"/>
            <w:tcBorders>
              <w:top w:val="single" w:sz="4" w:space="0" w:color="auto"/>
              <w:left w:val="nil"/>
              <w:bottom w:val="nil"/>
              <w:right w:val="single" w:sz="4" w:space="0" w:color="auto"/>
            </w:tcBorders>
            <w:shd w:val="clear" w:color="000000" w:fill="FFFFFF"/>
            <w:noWrap/>
            <w:vAlign w:val="bottom"/>
            <w:hideMark/>
          </w:tcPr>
          <w:p w14:paraId="364E453A"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0.00%</w:t>
            </w:r>
          </w:p>
        </w:tc>
        <w:tc>
          <w:tcPr>
            <w:tcW w:w="1128" w:type="dxa"/>
            <w:tcBorders>
              <w:top w:val="single" w:sz="4" w:space="0" w:color="auto"/>
              <w:left w:val="nil"/>
              <w:bottom w:val="nil"/>
              <w:right w:val="single" w:sz="4" w:space="0" w:color="auto"/>
            </w:tcBorders>
            <w:shd w:val="clear" w:color="000000" w:fill="FFFFFF"/>
            <w:noWrap/>
            <w:vAlign w:val="bottom"/>
            <w:hideMark/>
          </w:tcPr>
          <w:p w14:paraId="73C284C1"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0.00%</w:t>
            </w:r>
          </w:p>
        </w:tc>
      </w:tr>
      <w:tr w:rsidR="00D72DFE" w:rsidRPr="00D72DFE" w14:paraId="463BAB77" w14:textId="77777777" w:rsidTr="00D72DFE">
        <w:trPr>
          <w:trHeight w:val="300"/>
        </w:trPr>
        <w:tc>
          <w:tcPr>
            <w:tcW w:w="1128" w:type="dxa"/>
            <w:tcBorders>
              <w:top w:val="nil"/>
              <w:left w:val="nil"/>
              <w:bottom w:val="nil"/>
              <w:right w:val="nil"/>
            </w:tcBorders>
            <w:shd w:val="clear" w:color="000000" w:fill="FFFFFF"/>
            <w:noWrap/>
            <w:vAlign w:val="bottom"/>
            <w:hideMark/>
          </w:tcPr>
          <w:p w14:paraId="2B952BAD"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3508" w:type="dxa"/>
            <w:tcBorders>
              <w:top w:val="nil"/>
              <w:left w:val="single" w:sz="4" w:space="0" w:color="auto"/>
              <w:bottom w:val="nil"/>
              <w:right w:val="single" w:sz="4" w:space="0" w:color="auto"/>
            </w:tcBorders>
            <w:shd w:val="clear" w:color="000000" w:fill="FFFFFF"/>
            <w:noWrap/>
            <w:vAlign w:val="bottom"/>
            <w:hideMark/>
          </w:tcPr>
          <w:p w14:paraId="14B9605F"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Revenue Support Grant</w:t>
            </w:r>
          </w:p>
        </w:tc>
        <w:tc>
          <w:tcPr>
            <w:tcW w:w="1128" w:type="dxa"/>
            <w:tcBorders>
              <w:top w:val="nil"/>
              <w:left w:val="nil"/>
              <w:bottom w:val="nil"/>
              <w:right w:val="single" w:sz="4" w:space="0" w:color="auto"/>
            </w:tcBorders>
            <w:shd w:val="clear" w:color="000000" w:fill="FFFFFF"/>
            <w:noWrap/>
            <w:vAlign w:val="bottom"/>
            <w:hideMark/>
          </w:tcPr>
          <w:p w14:paraId="26B2CBCB"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4.54%</w:t>
            </w:r>
          </w:p>
        </w:tc>
        <w:tc>
          <w:tcPr>
            <w:tcW w:w="1128" w:type="dxa"/>
            <w:tcBorders>
              <w:top w:val="nil"/>
              <w:left w:val="nil"/>
              <w:bottom w:val="nil"/>
              <w:right w:val="single" w:sz="4" w:space="0" w:color="auto"/>
            </w:tcBorders>
            <w:shd w:val="clear" w:color="000000" w:fill="FFFFFF"/>
            <w:noWrap/>
            <w:vAlign w:val="bottom"/>
            <w:hideMark/>
          </w:tcPr>
          <w:p w14:paraId="3440F5D3"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1.00%</w:t>
            </w:r>
          </w:p>
        </w:tc>
        <w:tc>
          <w:tcPr>
            <w:tcW w:w="1128" w:type="dxa"/>
            <w:tcBorders>
              <w:top w:val="nil"/>
              <w:left w:val="nil"/>
              <w:bottom w:val="nil"/>
              <w:right w:val="single" w:sz="4" w:space="0" w:color="auto"/>
            </w:tcBorders>
            <w:shd w:val="clear" w:color="000000" w:fill="FFFFFF"/>
            <w:noWrap/>
            <w:vAlign w:val="bottom"/>
            <w:hideMark/>
          </w:tcPr>
          <w:p w14:paraId="3B2379A4"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1.00%</w:t>
            </w:r>
          </w:p>
        </w:tc>
        <w:tc>
          <w:tcPr>
            <w:tcW w:w="1128" w:type="dxa"/>
            <w:tcBorders>
              <w:top w:val="nil"/>
              <w:left w:val="nil"/>
              <w:bottom w:val="nil"/>
              <w:right w:val="single" w:sz="4" w:space="0" w:color="auto"/>
            </w:tcBorders>
            <w:shd w:val="clear" w:color="000000" w:fill="FFFFFF"/>
            <w:noWrap/>
            <w:vAlign w:val="bottom"/>
            <w:hideMark/>
          </w:tcPr>
          <w:p w14:paraId="5AFE682F"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1.00%</w:t>
            </w:r>
          </w:p>
        </w:tc>
        <w:tc>
          <w:tcPr>
            <w:tcW w:w="1128" w:type="dxa"/>
            <w:tcBorders>
              <w:top w:val="nil"/>
              <w:left w:val="nil"/>
              <w:bottom w:val="nil"/>
              <w:right w:val="single" w:sz="4" w:space="0" w:color="auto"/>
            </w:tcBorders>
            <w:shd w:val="clear" w:color="000000" w:fill="FFFFFF"/>
            <w:noWrap/>
            <w:vAlign w:val="bottom"/>
            <w:hideMark/>
          </w:tcPr>
          <w:p w14:paraId="6CEFCA95"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1.00%</w:t>
            </w:r>
          </w:p>
        </w:tc>
      </w:tr>
      <w:tr w:rsidR="00D72DFE" w:rsidRPr="00D72DFE" w14:paraId="044ADEDC" w14:textId="77777777" w:rsidTr="00D72DFE">
        <w:trPr>
          <w:trHeight w:val="300"/>
        </w:trPr>
        <w:tc>
          <w:tcPr>
            <w:tcW w:w="1128" w:type="dxa"/>
            <w:tcBorders>
              <w:top w:val="nil"/>
              <w:left w:val="nil"/>
              <w:bottom w:val="nil"/>
              <w:right w:val="nil"/>
            </w:tcBorders>
            <w:shd w:val="clear" w:color="000000" w:fill="FFFFFF"/>
            <w:noWrap/>
            <w:vAlign w:val="bottom"/>
            <w:hideMark/>
          </w:tcPr>
          <w:p w14:paraId="7A2DDF73"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3508" w:type="dxa"/>
            <w:tcBorders>
              <w:top w:val="nil"/>
              <w:left w:val="single" w:sz="4" w:space="0" w:color="auto"/>
              <w:bottom w:val="nil"/>
              <w:right w:val="single" w:sz="4" w:space="0" w:color="auto"/>
            </w:tcBorders>
            <w:shd w:val="clear" w:color="000000" w:fill="FFFFFF"/>
            <w:noWrap/>
            <w:vAlign w:val="bottom"/>
            <w:hideMark/>
          </w:tcPr>
          <w:p w14:paraId="4CE23C35"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Business Rates</w:t>
            </w:r>
          </w:p>
        </w:tc>
        <w:tc>
          <w:tcPr>
            <w:tcW w:w="1128" w:type="dxa"/>
            <w:tcBorders>
              <w:top w:val="nil"/>
              <w:left w:val="nil"/>
              <w:bottom w:val="nil"/>
              <w:right w:val="single" w:sz="4" w:space="0" w:color="auto"/>
            </w:tcBorders>
            <w:shd w:val="clear" w:color="000000" w:fill="FFFFFF"/>
            <w:noWrap/>
            <w:vAlign w:val="bottom"/>
            <w:hideMark/>
          </w:tcPr>
          <w:p w14:paraId="1E2C99CB"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10.10%</w:t>
            </w:r>
          </w:p>
        </w:tc>
        <w:tc>
          <w:tcPr>
            <w:tcW w:w="1128" w:type="dxa"/>
            <w:tcBorders>
              <w:top w:val="nil"/>
              <w:left w:val="nil"/>
              <w:bottom w:val="nil"/>
              <w:right w:val="single" w:sz="4" w:space="0" w:color="auto"/>
            </w:tcBorders>
            <w:shd w:val="clear" w:color="000000" w:fill="FFFFFF"/>
            <w:noWrap/>
            <w:vAlign w:val="bottom"/>
            <w:hideMark/>
          </w:tcPr>
          <w:p w14:paraId="3014C0BC"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2.00%</w:t>
            </w:r>
          </w:p>
        </w:tc>
        <w:tc>
          <w:tcPr>
            <w:tcW w:w="1128" w:type="dxa"/>
            <w:tcBorders>
              <w:top w:val="nil"/>
              <w:left w:val="nil"/>
              <w:bottom w:val="nil"/>
              <w:right w:val="single" w:sz="4" w:space="0" w:color="auto"/>
            </w:tcBorders>
            <w:shd w:val="clear" w:color="000000" w:fill="FFFFFF"/>
            <w:noWrap/>
            <w:vAlign w:val="bottom"/>
            <w:hideMark/>
          </w:tcPr>
          <w:p w14:paraId="2732CAC9"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2.00%</w:t>
            </w:r>
          </w:p>
        </w:tc>
        <w:tc>
          <w:tcPr>
            <w:tcW w:w="1128" w:type="dxa"/>
            <w:tcBorders>
              <w:top w:val="nil"/>
              <w:left w:val="nil"/>
              <w:bottom w:val="nil"/>
              <w:right w:val="single" w:sz="4" w:space="0" w:color="auto"/>
            </w:tcBorders>
            <w:shd w:val="clear" w:color="000000" w:fill="FFFFFF"/>
            <w:noWrap/>
            <w:vAlign w:val="bottom"/>
            <w:hideMark/>
          </w:tcPr>
          <w:p w14:paraId="629A365E"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2.00%</w:t>
            </w:r>
          </w:p>
        </w:tc>
        <w:tc>
          <w:tcPr>
            <w:tcW w:w="1128" w:type="dxa"/>
            <w:tcBorders>
              <w:top w:val="nil"/>
              <w:left w:val="nil"/>
              <w:bottom w:val="nil"/>
              <w:right w:val="single" w:sz="4" w:space="0" w:color="auto"/>
            </w:tcBorders>
            <w:shd w:val="clear" w:color="000000" w:fill="FFFFFF"/>
            <w:noWrap/>
            <w:vAlign w:val="bottom"/>
            <w:hideMark/>
          </w:tcPr>
          <w:p w14:paraId="51249A93"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2.00%</w:t>
            </w:r>
          </w:p>
        </w:tc>
      </w:tr>
      <w:tr w:rsidR="00D72DFE" w:rsidRPr="00D72DFE" w14:paraId="76231114" w14:textId="77777777" w:rsidTr="00D72DFE">
        <w:trPr>
          <w:trHeight w:val="300"/>
        </w:trPr>
        <w:tc>
          <w:tcPr>
            <w:tcW w:w="1128" w:type="dxa"/>
            <w:tcBorders>
              <w:top w:val="nil"/>
              <w:left w:val="nil"/>
              <w:bottom w:val="nil"/>
              <w:right w:val="nil"/>
            </w:tcBorders>
            <w:shd w:val="clear" w:color="000000" w:fill="FFFFFF"/>
            <w:noWrap/>
            <w:vAlign w:val="bottom"/>
            <w:hideMark/>
          </w:tcPr>
          <w:p w14:paraId="47544F26"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3508" w:type="dxa"/>
            <w:tcBorders>
              <w:top w:val="nil"/>
              <w:left w:val="single" w:sz="4" w:space="0" w:color="auto"/>
              <w:bottom w:val="nil"/>
              <w:right w:val="single" w:sz="4" w:space="0" w:color="auto"/>
            </w:tcBorders>
            <w:shd w:val="clear" w:color="000000" w:fill="FFFFFF"/>
            <w:noWrap/>
            <w:vAlign w:val="bottom"/>
            <w:hideMark/>
          </w:tcPr>
          <w:p w14:paraId="086D4B9C"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Precept (%)</w:t>
            </w:r>
          </w:p>
        </w:tc>
        <w:tc>
          <w:tcPr>
            <w:tcW w:w="1128" w:type="dxa"/>
            <w:tcBorders>
              <w:top w:val="nil"/>
              <w:left w:val="nil"/>
              <w:bottom w:val="nil"/>
              <w:right w:val="single" w:sz="4" w:space="0" w:color="auto"/>
            </w:tcBorders>
            <w:shd w:val="clear" w:color="000000" w:fill="FFFFFF"/>
            <w:noWrap/>
            <w:vAlign w:val="bottom"/>
            <w:hideMark/>
          </w:tcPr>
          <w:p w14:paraId="63FA5B3D"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2.99%</w:t>
            </w:r>
          </w:p>
        </w:tc>
        <w:tc>
          <w:tcPr>
            <w:tcW w:w="1128" w:type="dxa"/>
            <w:tcBorders>
              <w:top w:val="nil"/>
              <w:left w:val="nil"/>
              <w:bottom w:val="nil"/>
              <w:right w:val="single" w:sz="4" w:space="0" w:color="auto"/>
            </w:tcBorders>
            <w:shd w:val="clear" w:color="000000" w:fill="FFFFFF"/>
            <w:noWrap/>
            <w:vAlign w:val="bottom"/>
            <w:hideMark/>
          </w:tcPr>
          <w:p w14:paraId="168B1C83"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1.99%</w:t>
            </w:r>
          </w:p>
        </w:tc>
        <w:tc>
          <w:tcPr>
            <w:tcW w:w="1128" w:type="dxa"/>
            <w:tcBorders>
              <w:top w:val="nil"/>
              <w:left w:val="nil"/>
              <w:bottom w:val="nil"/>
              <w:right w:val="single" w:sz="4" w:space="0" w:color="auto"/>
            </w:tcBorders>
            <w:shd w:val="clear" w:color="000000" w:fill="FFFFFF"/>
            <w:noWrap/>
            <w:vAlign w:val="bottom"/>
            <w:hideMark/>
          </w:tcPr>
          <w:p w14:paraId="71D18FE6"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1.99%</w:t>
            </w:r>
          </w:p>
        </w:tc>
        <w:tc>
          <w:tcPr>
            <w:tcW w:w="1128" w:type="dxa"/>
            <w:tcBorders>
              <w:top w:val="nil"/>
              <w:left w:val="nil"/>
              <w:bottom w:val="nil"/>
              <w:right w:val="single" w:sz="4" w:space="0" w:color="auto"/>
            </w:tcBorders>
            <w:shd w:val="clear" w:color="000000" w:fill="FFFFFF"/>
            <w:noWrap/>
            <w:vAlign w:val="bottom"/>
            <w:hideMark/>
          </w:tcPr>
          <w:p w14:paraId="0F8A613F"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1.99%</w:t>
            </w:r>
          </w:p>
        </w:tc>
        <w:tc>
          <w:tcPr>
            <w:tcW w:w="1128" w:type="dxa"/>
            <w:tcBorders>
              <w:top w:val="nil"/>
              <w:left w:val="nil"/>
              <w:bottom w:val="nil"/>
              <w:right w:val="single" w:sz="4" w:space="0" w:color="auto"/>
            </w:tcBorders>
            <w:shd w:val="clear" w:color="000000" w:fill="FFFFFF"/>
            <w:noWrap/>
            <w:vAlign w:val="bottom"/>
            <w:hideMark/>
          </w:tcPr>
          <w:p w14:paraId="4AC15693"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1.99%</w:t>
            </w:r>
          </w:p>
        </w:tc>
      </w:tr>
      <w:tr w:rsidR="00D72DFE" w:rsidRPr="00D72DFE" w14:paraId="398AD2C8" w14:textId="77777777" w:rsidTr="00D72DFE">
        <w:trPr>
          <w:trHeight w:val="300"/>
        </w:trPr>
        <w:tc>
          <w:tcPr>
            <w:tcW w:w="1128" w:type="dxa"/>
            <w:tcBorders>
              <w:top w:val="nil"/>
              <w:left w:val="nil"/>
              <w:bottom w:val="nil"/>
              <w:right w:val="nil"/>
            </w:tcBorders>
            <w:shd w:val="clear" w:color="000000" w:fill="FFFFFF"/>
            <w:noWrap/>
            <w:vAlign w:val="bottom"/>
            <w:hideMark/>
          </w:tcPr>
          <w:p w14:paraId="3A5317A3"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3508" w:type="dxa"/>
            <w:tcBorders>
              <w:top w:val="nil"/>
              <w:left w:val="single" w:sz="4" w:space="0" w:color="auto"/>
              <w:bottom w:val="nil"/>
              <w:right w:val="single" w:sz="4" w:space="0" w:color="auto"/>
            </w:tcBorders>
            <w:shd w:val="clear" w:color="000000" w:fill="FFFFFF"/>
            <w:noWrap/>
            <w:vAlign w:val="bottom"/>
            <w:hideMark/>
          </w:tcPr>
          <w:p w14:paraId="20BEAD4C"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Precept (£)</w:t>
            </w:r>
          </w:p>
        </w:tc>
        <w:tc>
          <w:tcPr>
            <w:tcW w:w="1128" w:type="dxa"/>
            <w:tcBorders>
              <w:top w:val="nil"/>
              <w:left w:val="nil"/>
              <w:bottom w:val="nil"/>
              <w:right w:val="single" w:sz="4" w:space="0" w:color="auto"/>
            </w:tcBorders>
            <w:shd w:val="clear" w:color="000000" w:fill="FFFFFF"/>
            <w:noWrap/>
            <w:vAlign w:val="bottom"/>
            <w:hideMark/>
          </w:tcPr>
          <w:p w14:paraId="4E0AF15C"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£2.19</w:t>
            </w:r>
          </w:p>
        </w:tc>
        <w:tc>
          <w:tcPr>
            <w:tcW w:w="1128" w:type="dxa"/>
            <w:tcBorders>
              <w:top w:val="nil"/>
              <w:left w:val="nil"/>
              <w:bottom w:val="nil"/>
              <w:right w:val="single" w:sz="4" w:space="0" w:color="auto"/>
            </w:tcBorders>
            <w:shd w:val="clear" w:color="000000" w:fill="FFFFFF"/>
            <w:noWrap/>
            <w:vAlign w:val="bottom"/>
            <w:hideMark/>
          </w:tcPr>
          <w:p w14:paraId="14DA2B78"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£1.50</w:t>
            </w:r>
          </w:p>
        </w:tc>
        <w:tc>
          <w:tcPr>
            <w:tcW w:w="1128" w:type="dxa"/>
            <w:tcBorders>
              <w:top w:val="nil"/>
              <w:left w:val="nil"/>
              <w:bottom w:val="nil"/>
              <w:right w:val="single" w:sz="4" w:space="0" w:color="auto"/>
            </w:tcBorders>
            <w:shd w:val="clear" w:color="000000" w:fill="FFFFFF"/>
            <w:noWrap/>
            <w:vAlign w:val="bottom"/>
            <w:hideMark/>
          </w:tcPr>
          <w:p w14:paraId="10C2544B"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£1.53</w:t>
            </w:r>
          </w:p>
        </w:tc>
        <w:tc>
          <w:tcPr>
            <w:tcW w:w="1128" w:type="dxa"/>
            <w:tcBorders>
              <w:top w:val="nil"/>
              <w:left w:val="nil"/>
              <w:bottom w:val="nil"/>
              <w:right w:val="single" w:sz="4" w:space="0" w:color="auto"/>
            </w:tcBorders>
            <w:shd w:val="clear" w:color="000000" w:fill="FFFFFF"/>
            <w:noWrap/>
            <w:vAlign w:val="bottom"/>
            <w:hideMark/>
          </w:tcPr>
          <w:p w14:paraId="0A286F7B"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£1.56</w:t>
            </w:r>
          </w:p>
        </w:tc>
        <w:tc>
          <w:tcPr>
            <w:tcW w:w="1128" w:type="dxa"/>
            <w:tcBorders>
              <w:top w:val="nil"/>
              <w:left w:val="nil"/>
              <w:bottom w:val="nil"/>
              <w:right w:val="single" w:sz="4" w:space="0" w:color="auto"/>
            </w:tcBorders>
            <w:shd w:val="clear" w:color="000000" w:fill="FFFFFF"/>
            <w:noWrap/>
            <w:vAlign w:val="bottom"/>
            <w:hideMark/>
          </w:tcPr>
          <w:p w14:paraId="4C4977EE"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£1.59</w:t>
            </w:r>
          </w:p>
        </w:tc>
      </w:tr>
      <w:tr w:rsidR="00D72DFE" w:rsidRPr="00D72DFE" w14:paraId="34672961" w14:textId="77777777" w:rsidTr="00D72DFE">
        <w:trPr>
          <w:trHeight w:val="300"/>
        </w:trPr>
        <w:tc>
          <w:tcPr>
            <w:tcW w:w="1128" w:type="dxa"/>
            <w:tcBorders>
              <w:top w:val="nil"/>
              <w:left w:val="nil"/>
              <w:bottom w:val="nil"/>
              <w:right w:val="nil"/>
            </w:tcBorders>
            <w:shd w:val="clear" w:color="000000" w:fill="FFFFFF"/>
            <w:noWrap/>
            <w:vAlign w:val="bottom"/>
            <w:hideMark/>
          </w:tcPr>
          <w:p w14:paraId="1DC51D06"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3508" w:type="dxa"/>
            <w:tcBorders>
              <w:top w:val="nil"/>
              <w:left w:val="single" w:sz="4" w:space="0" w:color="auto"/>
              <w:bottom w:val="nil"/>
              <w:right w:val="single" w:sz="4" w:space="0" w:color="auto"/>
            </w:tcBorders>
            <w:shd w:val="clear" w:color="000000" w:fill="FFFFFF"/>
            <w:noWrap/>
            <w:vAlign w:val="center"/>
            <w:hideMark/>
          </w:tcPr>
          <w:p w14:paraId="2DF724E8"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Tax Base Increase</w:t>
            </w:r>
          </w:p>
        </w:tc>
        <w:tc>
          <w:tcPr>
            <w:tcW w:w="1128" w:type="dxa"/>
            <w:tcBorders>
              <w:top w:val="nil"/>
              <w:left w:val="nil"/>
              <w:bottom w:val="nil"/>
              <w:right w:val="single" w:sz="4" w:space="0" w:color="auto"/>
            </w:tcBorders>
            <w:shd w:val="clear" w:color="000000" w:fill="FFFFFF"/>
            <w:noWrap/>
            <w:vAlign w:val="center"/>
            <w:hideMark/>
          </w:tcPr>
          <w:p w14:paraId="7D4F94D2"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0.85%</w:t>
            </w:r>
          </w:p>
        </w:tc>
        <w:tc>
          <w:tcPr>
            <w:tcW w:w="1128" w:type="dxa"/>
            <w:tcBorders>
              <w:top w:val="nil"/>
              <w:left w:val="nil"/>
              <w:bottom w:val="nil"/>
              <w:right w:val="single" w:sz="4" w:space="0" w:color="auto"/>
            </w:tcBorders>
            <w:shd w:val="clear" w:color="000000" w:fill="FFFFFF"/>
            <w:noWrap/>
            <w:vAlign w:val="center"/>
            <w:hideMark/>
          </w:tcPr>
          <w:p w14:paraId="710D337F"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1.50%</w:t>
            </w:r>
          </w:p>
        </w:tc>
        <w:tc>
          <w:tcPr>
            <w:tcW w:w="1128" w:type="dxa"/>
            <w:tcBorders>
              <w:top w:val="nil"/>
              <w:left w:val="nil"/>
              <w:bottom w:val="nil"/>
              <w:right w:val="single" w:sz="4" w:space="0" w:color="auto"/>
            </w:tcBorders>
            <w:shd w:val="clear" w:color="000000" w:fill="FFFFFF"/>
            <w:noWrap/>
            <w:vAlign w:val="center"/>
            <w:hideMark/>
          </w:tcPr>
          <w:p w14:paraId="227D8F0B"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1.50%</w:t>
            </w:r>
          </w:p>
        </w:tc>
        <w:tc>
          <w:tcPr>
            <w:tcW w:w="1128" w:type="dxa"/>
            <w:tcBorders>
              <w:top w:val="nil"/>
              <w:left w:val="nil"/>
              <w:bottom w:val="nil"/>
              <w:right w:val="single" w:sz="4" w:space="0" w:color="auto"/>
            </w:tcBorders>
            <w:shd w:val="clear" w:color="000000" w:fill="FFFFFF"/>
            <w:noWrap/>
            <w:vAlign w:val="center"/>
            <w:hideMark/>
          </w:tcPr>
          <w:p w14:paraId="45E54EDF"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1.50%</w:t>
            </w:r>
          </w:p>
        </w:tc>
        <w:tc>
          <w:tcPr>
            <w:tcW w:w="1128" w:type="dxa"/>
            <w:tcBorders>
              <w:top w:val="nil"/>
              <w:left w:val="nil"/>
              <w:bottom w:val="nil"/>
              <w:right w:val="single" w:sz="4" w:space="0" w:color="auto"/>
            </w:tcBorders>
            <w:shd w:val="clear" w:color="000000" w:fill="FFFFFF"/>
            <w:noWrap/>
            <w:vAlign w:val="center"/>
            <w:hideMark/>
          </w:tcPr>
          <w:p w14:paraId="090F8B7E"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1.50%</w:t>
            </w:r>
          </w:p>
        </w:tc>
      </w:tr>
      <w:tr w:rsidR="00D72DFE" w:rsidRPr="00D72DFE" w14:paraId="44EFE692" w14:textId="77777777" w:rsidTr="00D72DFE">
        <w:trPr>
          <w:trHeight w:val="300"/>
        </w:trPr>
        <w:tc>
          <w:tcPr>
            <w:tcW w:w="1128" w:type="dxa"/>
            <w:tcBorders>
              <w:top w:val="nil"/>
              <w:left w:val="nil"/>
              <w:bottom w:val="nil"/>
              <w:right w:val="nil"/>
            </w:tcBorders>
            <w:shd w:val="clear" w:color="000000" w:fill="FFFFFF"/>
            <w:noWrap/>
            <w:vAlign w:val="bottom"/>
            <w:hideMark/>
          </w:tcPr>
          <w:p w14:paraId="74AB4873"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3508" w:type="dxa"/>
            <w:tcBorders>
              <w:top w:val="nil"/>
              <w:left w:val="single" w:sz="4" w:space="0" w:color="auto"/>
              <w:bottom w:val="nil"/>
              <w:right w:val="single" w:sz="4" w:space="0" w:color="auto"/>
            </w:tcBorders>
            <w:shd w:val="clear" w:color="000000" w:fill="FFFFFF"/>
            <w:noWrap/>
            <w:vAlign w:val="bottom"/>
            <w:hideMark/>
          </w:tcPr>
          <w:p w14:paraId="6A07584A"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Pay Awards</w:t>
            </w:r>
          </w:p>
        </w:tc>
        <w:tc>
          <w:tcPr>
            <w:tcW w:w="1128" w:type="dxa"/>
            <w:tcBorders>
              <w:top w:val="nil"/>
              <w:left w:val="nil"/>
              <w:bottom w:val="nil"/>
              <w:right w:val="single" w:sz="4" w:space="0" w:color="auto"/>
            </w:tcBorders>
            <w:shd w:val="clear" w:color="000000" w:fill="FFFFFF"/>
            <w:noWrap/>
            <w:vAlign w:val="bottom"/>
            <w:hideMark/>
          </w:tcPr>
          <w:p w14:paraId="36D2FA1B"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3.00%</w:t>
            </w:r>
          </w:p>
        </w:tc>
        <w:tc>
          <w:tcPr>
            <w:tcW w:w="1128" w:type="dxa"/>
            <w:tcBorders>
              <w:top w:val="nil"/>
              <w:left w:val="nil"/>
              <w:bottom w:val="nil"/>
              <w:right w:val="single" w:sz="4" w:space="0" w:color="auto"/>
            </w:tcBorders>
            <w:shd w:val="clear" w:color="000000" w:fill="FFFFFF"/>
            <w:noWrap/>
            <w:vAlign w:val="bottom"/>
            <w:hideMark/>
          </w:tcPr>
          <w:p w14:paraId="56D1B4E0"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2.00%</w:t>
            </w:r>
          </w:p>
        </w:tc>
        <w:tc>
          <w:tcPr>
            <w:tcW w:w="1128" w:type="dxa"/>
            <w:tcBorders>
              <w:top w:val="nil"/>
              <w:left w:val="nil"/>
              <w:bottom w:val="nil"/>
              <w:right w:val="single" w:sz="4" w:space="0" w:color="auto"/>
            </w:tcBorders>
            <w:shd w:val="clear" w:color="000000" w:fill="FFFFFF"/>
            <w:noWrap/>
            <w:vAlign w:val="bottom"/>
            <w:hideMark/>
          </w:tcPr>
          <w:p w14:paraId="4614D1C3"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2.00%</w:t>
            </w:r>
          </w:p>
        </w:tc>
        <w:tc>
          <w:tcPr>
            <w:tcW w:w="1128" w:type="dxa"/>
            <w:tcBorders>
              <w:top w:val="nil"/>
              <w:left w:val="nil"/>
              <w:bottom w:val="nil"/>
              <w:right w:val="single" w:sz="4" w:space="0" w:color="auto"/>
            </w:tcBorders>
            <w:shd w:val="clear" w:color="000000" w:fill="FFFFFF"/>
            <w:noWrap/>
            <w:vAlign w:val="bottom"/>
            <w:hideMark/>
          </w:tcPr>
          <w:p w14:paraId="27BFFE42"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2.00%</w:t>
            </w:r>
          </w:p>
        </w:tc>
        <w:tc>
          <w:tcPr>
            <w:tcW w:w="1128" w:type="dxa"/>
            <w:tcBorders>
              <w:top w:val="nil"/>
              <w:left w:val="nil"/>
              <w:bottom w:val="nil"/>
              <w:right w:val="single" w:sz="4" w:space="0" w:color="auto"/>
            </w:tcBorders>
            <w:shd w:val="clear" w:color="000000" w:fill="FFFFFF"/>
            <w:noWrap/>
            <w:vAlign w:val="bottom"/>
            <w:hideMark/>
          </w:tcPr>
          <w:p w14:paraId="0B89EA58"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1.00%</w:t>
            </w:r>
          </w:p>
        </w:tc>
      </w:tr>
      <w:tr w:rsidR="00D72DFE" w:rsidRPr="00D72DFE" w14:paraId="39396F54" w14:textId="77777777" w:rsidTr="00D72DFE">
        <w:trPr>
          <w:trHeight w:val="300"/>
        </w:trPr>
        <w:tc>
          <w:tcPr>
            <w:tcW w:w="1128" w:type="dxa"/>
            <w:tcBorders>
              <w:top w:val="nil"/>
              <w:left w:val="nil"/>
              <w:bottom w:val="nil"/>
              <w:right w:val="nil"/>
            </w:tcBorders>
            <w:shd w:val="clear" w:color="000000" w:fill="FFFFFF"/>
            <w:noWrap/>
            <w:vAlign w:val="bottom"/>
            <w:hideMark/>
          </w:tcPr>
          <w:p w14:paraId="426D3625"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 </w:t>
            </w:r>
          </w:p>
        </w:tc>
        <w:tc>
          <w:tcPr>
            <w:tcW w:w="3508" w:type="dxa"/>
            <w:tcBorders>
              <w:top w:val="nil"/>
              <w:left w:val="single" w:sz="4" w:space="0" w:color="auto"/>
              <w:bottom w:val="single" w:sz="4" w:space="0" w:color="auto"/>
              <w:right w:val="single" w:sz="4" w:space="0" w:color="auto"/>
            </w:tcBorders>
            <w:shd w:val="clear" w:color="000000" w:fill="FFFFFF"/>
            <w:noWrap/>
            <w:vAlign w:val="bottom"/>
            <w:hideMark/>
          </w:tcPr>
          <w:p w14:paraId="72C311BD" w14:textId="77777777" w:rsidR="00D72DFE" w:rsidRPr="00D72DFE" w:rsidRDefault="00D72DFE" w:rsidP="00D72DFE">
            <w:pPr>
              <w:spacing w:after="0" w:line="240" w:lineRule="auto"/>
              <w:rPr>
                <w:rFonts w:eastAsia="Times New Roman" w:cs="Calibri"/>
                <w:color w:val="000000"/>
                <w:sz w:val="20"/>
                <w:szCs w:val="20"/>
                <w:lang w:eastAsia="en-GB"/>
              </w:rPr>
            </w:pPr>
            <w:r w:rsidRPr="00D72DFE">
              <w:rPr>
                <w:rFonts w:eastAsia="Times New Roman" w:cs="Calibri"/>
                <w:color w:val="000000"/>
                <w:sz w:val="20"/>
                <w:szCs w:val="20"/>
                <w:lang w:eastAsia="en-GB"/>
              </w:rPr>
              <w:t>Inflation Contingency</w:t>
            </w:r>
          </w:p>
        </w:tc>
        <w:tc>
          <w:tcPr>
            <w:tcW w:w="1128" w:type="dxa"/>
            <w:tcBorders>
              <w:top w:val="nil"/>
              <w:left w:val="nil"/>
              <w:bottom w:val="single" w:sz="4" w:space="0" w:color="auto"/>
              <w:right w:val="single" w:sz="4" w:space="0" w:color="auto"/>
            </w:tcBorders>
            <w:shd w:val="clear" w:color="000000" w:fill="FFFFFF"/>
            <w:noWrap/>
            <w:vAlign w:val="bottom"/>
            <w:hideMark/>
          </w:tcPr>
          <w:p w14:paraId="408C79DE"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1.00%</w:t>
            </w:r>
          </w:p>
        </w:tc>
        <w:tc>
          <w:tcPr>
            <w:tcW w:w="1128" w:type="dxa"/>
            <w:tcBorders>
              <w:top w:val="nil"/>
              <w:left w:val="nil"/>
              <w:bottom w:val="single" w:sz="4" w:space="0" w:color="auto"/>
              <w:right w:val="single" w:sz="4" w:space="0" w:color="auto"/>
            </w:tcBorders>
            <w:shd w:val="clear" w:color="000000" w:fill="FFFFFF"/>
            <w:noWrap/>
            <w:vAlign w:val="bottom"/>
            <w:hideMark/>
          </w:tcPr>
          <w:p w14:paraId="682C1D60"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1.00%</w:t>
            </w:r>
          </w:p>
        </w:tc>
        <w:tc>
          <w:tcPr>
            <w:tcW w:w="1128" w:type="dxa"/>
            <w:tcBorders>
              <w:top w:val="nil"/>
              <w:left w:val="nil"/>
              <w:bottom w:val="single" w:sz="4" w:space="0" w:color="auto"/>
              <w:right w:val="single" w:sz="4" w:space="0" w:color="auto"/>
            </w:tcBorders>
            <w:shd w:val="clear" w:color="000000" w:fill="FFFFFF"/>
            <w:noWrap/>
            <w:vAlign w:val="bottom"/>
            <w:hideMark/>
          </w:tcPr>
          <w:p w14:paraId="7F6FE302"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1.00%</w:t>
            </w:r>
          </w:p>
        </w:tc>
        <w:tc>
          <w:tcPr>
            <w:tcW w:w="1128" w:type="dxa"/>
            <w:tcBorders>
              <w:top w:val="nil"/>
              <w:left w:val="nil"/>
              <w:bottom w:val="single" w:sz="4" w:space="0" w:color="auto"/>
              <w:right w:val="single" w:sz="4" w:space="0" w:color="auto"/>
            </w:tcBorders>
            <w:shd w:val="clear" w:color="000000" w:fill="FFFFFF"/>
            <w:noWrap/>
            <w:vAlign w:val="bottom"/>
            <w:hideMark/>
          </w:tcPr>
          <w:p w14:paraId="0264BC97"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1.00%</w:t>
            </w:r>
          </w:p>
        </w:tc>
        <w:tc>
          <w:tcPr>
            <w:tcW w:w="1128" w:type="dxa"/>
            <w:tcBorders>
              <w:top w:val="nil"/>
              <w:left w:val="nil"/>
              <w:bottom w:val="single" w:sz="4" w:space="0" w:color="auto"/>
              <w:right w:val="single" w:sz="4" w:space="0" w:color="auto"/>
            </w:tcBorders>
            <w:shd w:val="clear" w:color="000000" w:fill="FFFFFF"/>
            <w:noWrap/>
            <w:vAlign w:val="bottom"/>
            <w:hideMark/>
          </w:tcPr>
          <w:p w14:paraId="6DA39FE1" w14:textId="77777777" w:rsidR="00D72DFE" w:rsidRPr="00D72DFE" w:rsidRDefault="00D72DFE" w:rsidP="00D72DFE">
            <w:pPr>
              <w:spacing w:after="0" w:line="240" w:lineRule="auto"/>
              <w:jc w:val="right"/>
              <w:rPr>
                <w:rFonts w:eastAsia="Times New Roman" w:cs="Calibri"/>
                <w:color w:val="000000"/>
                <w:sz w:val="20"/>
                <w:szCs w:val="20"/>
                <w:lang w:eastAsia="en-GB"/>
              </w:rPr>
            </w:pPr>
            <w:r w:rsidRPr="00D72DFE">
              <w:rPr>
                <w:rFonts w:eastAsia="Times New Roman" w:cs="Calibri"/>
                <w:color w:val="000000"/>
                <w:sz w:val="20"/>
                <w:szCs w:val="20"/>
                <w:lang w:eastAsia="en-GB"/>
              </w:rPr>
              <w:t>1.00%</w:t>
            </w:r>
          </w:p>
        </w:tc>
      </w:tr>
    </w:tbl>
    <w:p w14:paraId="194ED001" w14:textId="52836D4F" w:rsidR="006E5909" w:rsidRPr="00D953AE" w:rsidRDefault="006E5909" w:rsidP="00D72DFE">
      <w:pPr>
        <w:pStyle w:val="Header"/>
        <w:ind w:right="-990"/>
        <w:rPr>
          <w:rFonts w:ascii="Arial" w:hAnsi="Arial" w:cs="Arial"/>
          <w:b/>
        </w:rPr>
      </w:pPr>
    </w:p>
    <w:p w14:paraId="17119CAD" w14:textId="1C2A1CF0" w:rsidR="009E48A8" w:rsidRPr="00D953AE" w:rsidRDefault="00BA2FE9">
      <w:pPr>
        <w:spacing w:after="0" w:line="240" w:lineRule="auto"/>
        <w:rPr>
          <w:rFonts w:ascii="Arial" w:hAnsi="Arial" w:cs="Arial"/>
          <w:bCs/>
          <w:i/>
          <w:iCs/>
          <w:sz w:val="20"/>
          <w:szCs w:val="20"/>
        </w:rPr>
      </w:pPr>
      <w:r w:rsidRPr="00D953AE">
        <w:rPr>
          <w:rFonts w:ascii="Arial" w:hAnsi="Arial" w:cs="Arial"/>
          <w:bCs/>
          <w:i/>
          <w:iCs/>
          <w:sz w:val="20"/>
          <w:szCs w:val="20"/>
        </w:rPr>
        <w:t>Note: Totals may not sum due to rounding</w:t>
      </w:r>
    </w:p>
    <w:p w14:paraId="19B44A87" w14:textId="77777777" w:rsidR="00BA2FE9" w:rsidRPr="00095FC7" w:rsidRDefault="00BA2FE9">
      <w:pPr>
        <w:spacing w:after="0" w:line="240" w:lineRule="auto"/>
        <w:rPr>
          <w:rFonts w:ascii="Arial" w:hAnsi="Arial" w:cs="Arial"/>
          <w:b/>
          <w:i/>
          <w:iCs/>
          <w:sz w:val="16"/>
          <w:szCs w:val="16"/>
          <w:highlight w:val="yellow"/>
        </w:rPr>
      </w:pPr>
    </w:p>
    <w:p w14:paraId="349BE0EE" w14:textId="77777777" w:rsidR="00BA2FE9" w:rsidRPr="00095FC7" w:rsidRDefault="00BA2FE9">
      <w:pPr>
        <w:spacing w:after="0" w:line="240" w:lineRule="auto"/>
        <w:rPr>
          <w:rFonts w:ascii="Arial" w:hAnsi="Arial" w:cs="Arial"/>
          <w:b/>
          <w:i/>
          <w:iCs/>
          <w:sz w:val="16"/>
          <w:szCs w:val="16"/>
          <w:highlight w:val="yellow"/>
        </w:rPr>
      </w:pPr>
    </w:p>
    <w:p w14:paraId="5B10D3AA" w14:textId="77777777" w:rsidR="00BA2FE9" w:rsidRPr="00095FC7" w:rsidRDefault="00BA2FE9">
      <w:pPr>
        <w:spacing w:after="0" w:line="240" w:lineRule="auto"/>
        <w:rPr>
          <w:rFonts w:ascii="Arial" w:hAnsi="Arial" w:cs="Arial"/>
          <w:b/>
          <w:i/>
          <w:iCs/>
          <w:sz w:val="16"/>
          <w:szCs w:val="16"/>
          <w:highlight w:val="yellow"/>
        </w:rPr>
      </w:pPr>
    </w:p>
    <w:p w14:paraId="05FA417B" w14:textId="67B85283" w:rsidR="000C2930" w:rsidRPr="00095FC7" w:rsidRDefault="000C2930">
      <w:pPr>
        <w:spacing w:after="0" w:line="240" w:lineRule="auto"/>
        <w:rPr>
          <w:rFonts w:ascii="Arial" w:hAnsi="Arial" w:cs="Arial"/>
          <w:b/>
          <w:i/>
          <w:iCs/>
          <w:sz w:val="16"/>
          <w:szCs w:val="16"/>
          <w:highlight w:val="yellow"/>
        </w:rPr>
      </w:pPr>
    </w:p>
    <w:p w14:paraId="15E9D874" w14:textId="77777777" w:rsidR="009428A9" w:rsidRDefault="009428A9">
      <w:pPr>
        <w:spacing w:after="0" w:line="240" w:lineRule="auto"/>
        <w:rPr>
          <w:rFonts w:asciiTheme="minorHAnsi" w:hAnsiTheme="minorHAnsi" w:cs="Arial"/>
          <w:b/>
          <w:sz w:val="24"/>
          <w:szCs w:val="24"/>
        </w:rPr>
      </w:pPr>
      <w:r>
        <w:rPr>
          <w:rFonts w:asciiTheme="minorHAnsi" w:hAnsiTheme="minorHAnsi" w:cs="Arial"/>
          <w:b/>
          <w:sz w:val="24"/>
          <w:szCs w:val="24"/>
        </w:rPr>
        <w:br w:type="page"/>
      </w:r>
    </w:p>
    <w:p w14:paraId="7DCACA1A" w14:textId="0B3546CD" w:rsidR="00BA2FE9" w:rsidRPr="00D953AE" w:rsidRDefault="000C2930" w:rsidP="00D953AE">
      <w:pPr>
        <w:spacing w:after="0" w:line="240" w:lineRule="auto"/>
        <w:rPr>
          <w:rFonts w:asciiTheme="minorHAnsi" w:hAnsiTheme="minorHAnsi" w:cs="Arial"/>
          <w:b/>
          <w:sz w:val="24"/>
          <w:szCs w:val="24"/>
        </w:rPr>
      </w:pPr>
      <w:r w:rsidRPr="00D953AE">
        <w:rPr>
          <w:rFonts w:asciiTheme="minorHAnsi" w:hAnsiTheme="minorHAnsi" w:cs="Arial"/>
          <w:b/>
          <w:sz w:val="24"/>
          <w:szCs w:val="24"/>
        </w:rPr>
        <w:t xml:space="preserve">Appendix </w:t>
      </w:r>
      <w:r w:rsidR="00375414" w:rsidRPr="00D953AE">
        <w:rPr>
          <w:rFonts w:asciiTheme="minorHAnsi" w:hAnsiTheme="minorHAnsi" w:cs="Arial"/>
          <w:b/>
          <w:sz w:val="24"/>
          <w:szCs w:val="24"/>
        </w:rPr>
        <w:t>C</w:t>
      </w:r>
    </w:p>
    <w:p w14:paraId="2D4E27BF" w14:textId="77777777" w:rsidR="000C2930" w:rsidRPr="00D953AE" w:rsidRDefault="000C2930" w:rsidP="00D953AE">
      <w:pPr>
        <w:spacing w:after="0" w:line="240" w:lineRule="auto"/>
        <w:rPr>
          <w:rFonts w:asciiTheme="minorHAnsi" w:hAnsiTheme="minorHAnsi" w:cs="Arial"/>
          <w:b/>
          <w:sz w:val="24"/>
          <w:szCs w:val="24"/>
        </w:rPr>
      </w:pPr>
    </w:p>
    <w:p w14:paraId="2A578A14" w14:textId="570596D8" w:rsidR="000C2930" w:rsidRPr="00D953AE" w:rsidRDefault="000C2930" w:rsidP="000C2930">
      <w:pPr>
        <w:spacing w:after="0" w:line="240" w:lineRule="auto"/>
        <w:jc w:val="both"/>
        <w:rPr>
          <w:rFonts w:asciiTheme="minorHAnsi" w:hAnsiTheme="minorHAnsi" w:cs="Arial"/>
          <w:b/>
          <w:sz w:val="24"/>
          <w:szCs w:val="24"/>
        </w:rPr>
      </w:pPr>
      <w:r w:rsidRPr="00D953AE">
        <w:rPr>
          <w:rFonts w:asciiTheme="minorHAnsi" w:hAnsiTheme="minorHAnsi" w:cs="Arial"/>
          <w:b/>
          <w:sz w:val="24"/>
          <w:szCs w:val="24"/>
        </w:rPr>
        <w:t>Section 25 Statement of the S151 Chief Finance Officer for Northamptonshire Fire and Rescue Authority:</w:t>
      </w:r>
    </w:p>
    <w:p w14:paraId="7B58E3E0" w14:textId="77777777" w:rsidR="000C2930" w:rsidRPr="00D953AE" w:rsidRDefault="000C2930" w:rsidP="000C2930">
      <w:pPr>
        <w:spacing w:after="0" w:line="240" w:lineRule="auto"/>
        <w:jc w:val="both"/>
        <w:rPr>
          <w:rFonts w:asciiTheme="minorHAnsi" w:hAnsiTheme="minorHAnsi" w:cs="Arial"/>
          <w:b/>
          <w:sz w:val="24"/>
          <w:szCs w:val="24"/>
        </w:rPr>
      </w:pPr>
    </w:p>
    <w:p w14:paraId="23982734" w14:textId="77777777" w:rsidR="00D953AE" w:rsidRPr="00D953AE" w:rsidRDefault="00D953AE" w:rsidP="00D953AE">
      <w:pPr>
        <w:spacing w:after="0" w:line="240" w:lineRule="auto"/>
        <w:jc w:val="both"/>
        <w:rPr>
          <w:rFonts w:asciiTheme="minorHAnsi" w:hAnsiTheme="minorHAnsi" w:cs="Arial"/>
          <w:i/>
          <w:sz w:val="24"/>
          <w:szCs w:val="24"/>
        </w:rPr>
      </w:pPr>
      <w:r w:rsidRPr="00D953AE">
        <w:rPr>
          <w:rFonts w:asciiTheme="minorHAnsi" w:hAnsiTheme="minorHAnsi" w:cs="Arial"/>
          <w:i/>
          <w:sz w:val="24"/>
          <w:szCs w:val="24"/>
        </w:rPr>
        <w:t>“I have worked closely with the Force S151 Officer and the Joint Finance Team and have been assured by their robust and diligent approach to the 2024/25 budget setting process.  I am grateful for their hard work, scrutiny and challenge throughout, and am impressed by how they continue to take ownership and make improvements every year.</w:t>
      </w:r>
    </w:p>
    <w:p w14:paraId="1F24C431" w14:textId="77777777" w:rsidR="00D953AE" w:rsidRPr="00D953AE" w:rsidRDefault="00D953AE" w:rsidP="00D953AE">
      <w:pPr>
        <w:spacing w:after="0" w:line="240" w:lineRule="auto"/>
        <w:jc w:val="both"/>
        <w:rPr>
          <w:rFonts w:asciiTheme="minorHAnsi" w:hAnsiTheme="minorHAnsi" w:cs="Arial"/>
          <w:i/>
          <w:sz w:val="24"/>
          <w:szCs w:val="24"/>
        </w:rPr>
      </w:pPr>
    </w:p>
    <w:p w14:paraId="60875E85" w14:textId="77777777" w:rsidR="00D953AE" w:rsidRPr="00D953AE" w:rsidRDefault="00D953AE" w:rsidP="00D953AE">
      <w:pPr>
        <w:spacing w:after="0" w:line="240" w:lineRule="auto"/>
        <w:jc w:val="both"/>
        <w:rPr>
          <w:rFonts w:asciiTheme="minorHAnsi" w:hAnsiTheme="minorHAnsi" w:cs="Arial"/>
          <w:i/>
          <w:sz w:val="24"/>
          <w:szCs w:val="24"/>
        </w:rPr>
      </w:pPr>
      <w:r w:rsidRPr="00D953AE">
        <w:rPr>
          <w:rFonts w:asciiTheme="minorHAnsi" w:hAnsiTheme="minorHAnsi" w:cs="Arial"/>
          <w:i/>
          <w:sz w:val="24"/>
          <w:szCs w:val="24"/>
        </w:rPr>
        <w:t xml:space="preserve">I have been fully briefed on the progress of the budget by Enabling Services colleagues prior to and throughout the budget process and development of the capital programme, ensuring I have been party to all key assumptions and decisions.  Prudent evidence-based estimates and assumptions included have been based on professional estimates, peer knowledge and benchmarking.  Where possible, I have aligned these with national Fire, Police, local authority and national technical team colleagues. </w:t>
      </w:r>
    </w:p>
    <w:p w14:paraId="44420289" w14:textId="77777777" w:rsidR="00D953AE" w:rsidRPr="00D953AE" w:rsidRDefault="00D953AE" w:rsidP="00D953AE">
      <w:pPr>
        <w:spacing w:after="0" w:line="240" w:lineRule="auto"/>
        <w:jc w:val="both"/>
        <w:rPr>
          <w:rFonts w:asciiTheme="minorHAnsi" w:hAnsiTheme="minorHAnsi" w:cs="Arial"/>
          <w:i/>
          <w:sz w:val="24"/>
          <w:szCs w:val="24"/>
        </w:rPr>
      </w:pPr>
    </w:p>
    <w:p w14:paraId="33682307" w14:textId="77777777" w:rsidR="00D953AE" w:rsidRPr="00D953AE" w:rsidRDefault="00D953AE" w:rsidP="00D953AE">
      <w:pPr>
        <w:spacing w:after="0" w:line="240" w:lineRule="auto"/>
        <w:jc w:val="both"/>
        <w:rPr>
          <w:rFonts w:asciiTheme="minorHAnsi" w:hAnsiTheme="minorHAnsi" w:cs="Arial"/>
          <w:i/>
          <w:sz w:val="24"/>
          <w:szCs w:val="24"/>
        </w:rPr>
      </w:pPr>
      <w:r w:rsidRPr="00D953AE">
        <w:rPr>
          <w:rFonts w:asciiTheme="minorHAnsi" w:hAnsiTheme="minorHAnsi" w:cs="Arial"/>
          <w:i/>
          <w:sz w:val="24"/>
          <w:szCs w:val="24"/>
        </w:rPr>
        <w:t xml:space="preserve">I have reviewed the detailed calculations in arriving at the budget requirement and Council Tax precept and options and find these to be robust. I also have sought and received authorisations from billing authorities in relation to taxbase and Council Tax surplus/deficits and I am grateful to all partners for their support in doing so.  </w:t>
      </w:r>
    </w:p>
    <w:p w14:paraId="3D14948A" w14:textId="77777777" w:rsidR="00D953AE" w:rsidRPr="00D953AE" w:rsidRDefault="00D953AE" w:rsidP="00D953AE">
      <w:pPr>
        <w:spacing w:after="0" w:line="240" w:lineRule="auto"/>
        <w:jc w:val="both"/>
        <w:rPr>
          <w:rFonts w:asciiTheme="minorHAnsi" w:hAnsiTheme="minorHAnsi" w:cs="Arial"/>
          <w:i/>
          <w:sz w:val="24"/>
          <w:szCs w:val="24"/>
        </w:rPr>
      </w:pPr>
    </w:p>
    <w:p w14:paraId="6D21E696" w14:textId="5263034C" w:rsidR="00D953AE" w:rsidRDefault="00D953AE" w:rsidP="00D953AE">
      <w:pPr>
        <w:spacing w:after="0" w:line="240" w:lineRule="auto"/>
        <w:jc w:val="both"/>
        <w:rPr>
          <w:rFonts w:asciiTheme="minorHAnsi" w:hAnsiTheme="minorHAnsi" w:cs="Arial"/>
          <w:i/>
          <w:sz w:val="24"/>
          <w:szCs w:val="24"/>
        </w:rPr>
      </w:pPr>
      <w:r w:rsidRPr="00D953AE">
        <w:rPr>
          <w:rFonts w:asciiTheme="minorHAnsi" w:hAnsiTheme="minorHAnsi" w:cs="Arial"/>
          <w:i/>
          <w:sz w:val="24"/>
          <w:szCs w:val="24"/>
        </w:rPr>
        <w:t xml:space="preserve">The PFCC’s precept intention of </w:t>
      </w:r>
      <w:r>
        <w:rPr>
          <w:rFonts w:asciiTheme="minorHAnsi" w:hAnsiTheme="minorHAnsi" w:cs="Arial"/>
          <w:i/>
          <w:sz w:val="24"/>
          <w:szCs w:val="24"/>
        </w:rPr>
        <w:t>2.99%</w:t>
      </w:r>
      <w:r w:rsidRPr="00D953AE">
        <w:rPr>
          <w:rFonts w:asciiTheme="minorHAnsi" w:hAnsiTheme="minorHAnsi" w:cs="Arial"/>
          <w:i/>
          <w:sz w:val="24"/>
          <w:szCs w:val="24"/>
        </w:rPr>
        <w:t xml:space="preserve"> takes into account public consultation alongside prudent assumptions based on the best information available, the MTFP and the reserves position, and still enables an element to be ring-fenced for investment.</w:t>
      </w:r>
    </w:p>
    <w:p w14:paraId="087EC9DA" w14:textId="77777777" w:rsidR="00D953AE" w:rsidRDefault="00D953AE" w:rsidP="00D953AE">
      <w:pPr>
        <w:spacing w:after="0" w:line="240" w:lineRule="auto"/>
        <w:jc w:val="both"/>
        <w:rPr>
          <w:rFonts w:asciiTheme="minorHAnsi" w:hAnsiTheme="minorHAnsi" w:cs="Arial"/>
          <w:i/>
          <w:sz w:val="24"/>
          <w:szCs w:val="24"/>
        </w:rPr>
      </w:pPr>
    </w:p>
    <w:p w14:paraId="7FEF1C44" w14:textId="651CE38E" w:rsidR="000C2930" w:rsidRPr="00D953AE" w:rsidRDefault="000C2930" w:rsidP="00D953AE">
      <w:pPr>
        <w:spacing w:after="0" w:line="240" w:lineRule="auto"/>
        <w:jc w:val="both"/>
        <w:rPr>
          <w:rFonts w:asciiTheme="minorHAnsi" w:hAnsiTheme="minorHAnsi" w:cs="Arial"/>
          <w:i/>
          <w:sz w:val="24"/>
          <w:szCs w:val="24"/>
        </w:rPr>
      </w:pPr>
      <w:r w:rsidRPr="00D953AE">
        <w:rPr>
          <w:rFonts w:asciiTheme="minorHAnsi" w:hAnsiTheme="minorHAnsi" w:cs="Arial"/>
          <w:i/>
          <w:sz w:val="24"/>
          <w:szCs w:val="24"/>
        </w:rPr>
        <w:t xml:space="preserve">The Chief Fire Officer and his Executive team have been fully involved in the budget discussions and </w:t>
      </w:r>
      <w:r w:rsidR="00CA6836" w:rsidRPr="00D953AE">
        <w:rPr>
          <w:rFonts w:asciiTheme="minorHAnsi" w:hAnsiTheme="minorHAnsi" w:cs="Arial"/>
          <w:i/>
          <w:sz w:val="24"/>
          <w:szCs w:val="24"/>
        </w:rPr>
        <w:t>have worked hard to propose a balanced budget for 202</w:t>
      </w:r>
      <w:r w:rsidR="00D953AE" w:rsidRPr="00D953AE">
        <w:rPr>
          <w:rFonts w:asciiTheme="minorHAnsi" w:hAnsiTheme="minorHAnsi" w:cs="Arial"/>
          <w:i/>
          <w:sz w:val="24"/>
          <w:szCs w:val="24"/>
        </w:rPr>
        <w:t>4</w:t>
      </w:r>
      <w:r w:rsidR="00CA6836" w:rsidRPr="00D953AE">
        <w:rPr>
          <w:rFonts w:asciiTheme="minorHAnsi" w:hAnsiTheme="minorHAnsi" w:cs="Arial"/>
          <w:i/>
          <w:sz w:val="24"/>
          <w:szCs w:val="24"/>
        </w:rPr>
        <w:t>/2</w:t>
      </w:r>
      <w:r w:rsidR="00D953AE" w:rsidRPr="00D953AE">
        <w:rPr>
          <w:rFonts w:asciiTheme="minorHAnsi" w:hAnsiTheme="minorHAnsi" w:cs="Arial"/>
          <w:i/>
          <w:sz w:val="24"/>
          <w:szCs w:val="24"/>
        </w:rPr>
        <w:t>5</w:t>
      </w:r>
      <w:r w:rsidR="00CA6836" w:rsidRPr="00D953AE">
        <w:rPr>
          <w:rFonts w:asciiTheme="minorHAnsi" w:hAnsiTheme="minorHAnsi" w:cs="Arial"/>
          <w:i/>
          <w:sz w:val="24"/>
          <w:szCs w:val="24"/>
        </w:rPr>
        <w:t xml:space="preserve"> to the PFCC</w:t>
      </w:r>
      <w:r w:rsidRPr="00D953AE">
        <w:rPr>
          <w:rFonts w:asciiTheme="minorHAnsi" w:hAnsiTheme="minorHAnsi" w:cs="Arial"/>
          <w:i/>
          <w:sz w:val="24"/>
          <w:szCs w:val="24"/>
        </w:rPr>
        <w:t xml:space="preserve">. </w:t>
      </w:r>
      <w:r w:rsidR="00D953AE" w:rsidRPr="00D953AE">
        <w:rPr>
          <w:rFonts w:asciiTheme="minorHAnsi" w:hAnsiTheme="minorHAnsi" w:cs="Arial"/>
          <w:i/>
          <w:sz w:val="24"/>
          <w:szCs w:val="24"/>
        </w:rPr>
        <w:t xml:space="preserve"> </w:t>
      </w:r>
      <w:r w:rsidRPr="00D953AE">
        <w:rPr>
          <w:rFonts w:asciiTheme="minorHAnsi" w:hAnsiTheme="minorHAnsi" w:cs="Arial"/>
          <w:i/>
          <w:sz w:val="24"/>
          <w:szCs w:val="24"/>
        </w:rPr>
        <w:t>I am grateful for their engagement and commitment in this process.</w:t>
      </w:r>
    </w:p>
    <w:p w14:paraId="43218755" w14:textId="77777777" w:rsidR="000C2930" w:rsidRPr="00D953AE" w:rsidRDefault="000C2930" w:rsidP="000C2930">
      <w:pPr>
        <w:spacing w:after="0" w:line="240" w:lineRule="auto"/>
        <w:jc w:val="both"/>
        <w:rPr>
          <w:rFonts w:asciiTheme="minorHAnsi" w:hAnsiTheme="minorHAnsi" w:cs="Arial"/>
          <w:i/>
          <w:sz w:val="24"/>
          <w:szCs w:val="24"/>
        </w:rPr>
      </w:pPr>
    </w:p>
    <w:p w14:paraId="7851A131" w14:textId="38337B69" w:rsidR="000C2930" w:rsidRPr="00D953AE" w:rsidRDefault="000C2930" w:rsidP="000C2930">
      <w:pPr>
        <w:spacing w:after="0" w:line="240" w:lineRule="auto"/>
        <w:jc w:val="both"/>
        <w:rPr>
          <w:rFonts w:asciiTheme="minorHAnsi" w:hAnsiTheme="minorHAnsi" w:cs="Arial"/>
          <w:i/>
          <w:sz w:val="24"/>
          <w:szCs w:val="24"/>
        </w:rPr>
      </w:pPr>
      <w:r w:rsidRPr="00D953AE">
        <w:rPr>
          <w:rFonts w:asciiTheme="minorHAnsi" w:hAnsiTheme="minorHAnsi" w:cs="Arial"/>
          <w:i/>
          <w:sz w:val="24"/>
          <w:szCs w:val="24"/>
        </w:rPr>
        <w:t xml:space="preserve">It is my recommendation that </w:t>
      </w:r>
      <w:r w:rsidR="002A7A12" w:rsidRPr="00D953AE">
        <w:rPr>
          <w:rFonts w:asciiTheme="minorHAnsi" w:hAnsiTheme="minorHAnsi" w:cs="Arial"/>
          <w:i/>
          <w:sz w:val="24"/>
          <w:szCs w:val="24"/>
        </w:rPr>
        <w:t xml:space="preserve">financially </w:t>
      </w:r>
      <w:r w:rsidRPr="00D953AE">
        <w:rPr>
          <w:rFonts w:asciiTheme="minorHAnsi" w:hAnsiTheme="minorHAnsi" w:cs="Arial"/>
          <w:i/>
          <w:sz w:val="24"/>
          <w:szCs w:val="24"/>
        </w:rPr>
        <w:t xml:space="preserve">it is essential to take forward the </w:t>
      </w:r>
      <w:r w:rsidR="00D953AE" w:rsidRPr="00D953AE">
        <w:rPr>
          <w:rFonts w:asciiTheme="minorHAnsi" w:hAnsiTheme="minorHAnsi" w:cs="Arial"/>
          <w:i/>
          <w:sz w:val="24"/>
          <w:szCs w:val="24"/>
        </w:rPr>
        <w:t>2.99%</w:t>
      </w:r>
      <w:r w:rsidRPr="00D953AE">
        <w:rPr>
          <w:rFonts w:asciiTheme="minorHAnsi" w:hAnsiTheme="minorHAnsi" w:cs="Arial"/>
          <w:i/>
          <w:sz w:val="24"/>
          <w:szCs w:val="24"/>
        </w:rPr>
        <w:t xml:space="preserve"> precept flexibility afforded to Northamptonshire for </w:t>
      </w:r>
      <w:r w:rsidR="008C38F1" w:rsidRPr="00D953AE">
        <w:rPr>
          <w:rFonts w:asciiTheme="minorHAnsi" w:hAnsiTheme="minorHAnsi" w:cs="Arial"/>
          <w:i/>
          <w:sz w:val="24"/>
          <w:szCs w:val="24"/>
        </w:rPr>
        <w:t>202</w:t>
      </w:r>
      <w:r w:rsidR="00D953AE" w:rsidRPr="00D953AE">
        <w:rPr>
          <w:rFonts w:asciiTheme="minorHAnsi" w:hAnsiTheme="minorHAnsi" w:cs="Arial"/>
          <w:i/>
          <w:sz w:val="24"/>
          <w:szCs w:val="24"/>
        </w:rPr>
        <w:t>4</w:t>
      </w:r>
      <w:r w:rsidR="008C38F1" w:rsidRPr="00D953AE">
        <w:rPr>
          <w:rFonts w:asciiTheme="minorHAnsi" w:hAnsiTheme="minorHAnsi" w:cs="Arial"/>
          <w:i/>
          <w:sz w:val="24"/>
          <w:szCs w:val="24"/>
        </w:rPr>
        <w:t>/2</w:t>
      </w:r>
      <w:r w:rsidR="00D953AE" w:rsidRPr="00D953AE">
        <w:rPr>
          <w:rFonts w:asciiTheme="minorHAnsi" w:hAnsiTheme="minorHAnsi" w:cs="Arial"/>
          <w:i/>
          <w:sz w:val="24"/>
          <w:szCs w:val="24"/>
        </w:rPr>
        <w:t>5</w:t>
      </w:r>
      <w:r w:rsidRPr="00D953AE">
        <w:rPr>
          <w:rFonts w:asciiTheme="minorHAnsi" w:hAnsiTheme="minorHAnsi" w:cs="Arial"/>
          <w:i/>
          <w:sz w:val="24"/>
          <w:szCs w:val="24"/>
        </w:rPr>
        <w:t xml:space="preserve">. </w:t>
      </w:r>
      <w:r w:rsidR="00D953AE" w:rsidRPr="00D953AE">
        <w:rPr>
          <w:rFonts w:asciiTheme="minorHAnsi" w:hAnsiTheme="minorHAnsi" w:cs="Arial"/>
          <w:i/>
          <w:sz w:val="24"/>
          <w:szCs w:val="24"/>
        </w:rPr>
        <w:t xml:space="preserve"> </w:t>
      </w:r>
      <w:r w:rsidRPr="00D953AE">
        <w:rPr>
          <w:rFonts w:asciiTheme="minorHAnsi" w:hAnsiTheme="minorHAnsi" w:cs="Arial"/>
          <w:i/>
          <w:sz w:val="24"/>
          <w:szCs w:val="24"/>
        </w:rPr>
        <w:t xml:space="preserve">This will be built into the base budget and help provide a resilient position for the medium term. </w:t>
      </w:r>
      <w:r w:rsidR="00D953AE" w:rsidRPr="00D953AE">
        <w:rPr>
          <w:rFonts w:asciiTheme="minorHAnsi" w:hAnsiTheme="minorHAnsi" w:cs="Arial"/>
          <w:i/>
          <w:sz w:val="24"/>
          <w:szCs w:val="24"/>
        </w:rPr>
        <w:t xml:space="preserve"> </w:t>
      </w:r>
      <w:r w:rsidRPr="00D953AE">
        <w:rPr>
          <w:rFonts w:asciiTheme="minorHAnsi" w:hAnsiTheme="minorHAnsi" w:cs="Arial"/>
          <w:i/>
          <w:sz w:val="24"/>
          <w:szCs w:val="24"/>
        </w:rPr>
        <w:t xml:space="preserve">Whilst Northamptonshire Fire will still be funded relatively lower than its national peers, its revenue budget for </w:t>
      </w:r>
      <w:r w:rsidR="008C38F1" w:rsidRPr="00D953AE">
        <w:rPr>
          <w:rFonts w:asciiTheme="minorHAnsi" w:hAnsiTheme="minorHAnsi" w:cs="Arial"/>
          <w:i/>
          <w:sz w:val="24"/>
          <w:szCs w:val="24"/>
        </w:rPr>
        <w:t>202</w:t>
      </w:r>
      <w:r w:rsidR="00D953AE" w:rsidRPr="00D953AE">
        <w:rPr>
          <w:rFonts w:asciiTheme="minorHAnsi" w:hAnsiTheme="minorHAnsi" w:cs="Arial"/>
          <w:i/>
          <w:sz w:val="24"/>
          <w:szCs w:val="24"/>
        </w:rPr>
        <w:t>4</w:t>
      </w:r>
      <w:r w:rsidR="008C38F1" w:rsidRPr="00D953AE">
        <w:rPr>
          <w:rFonts w:asciiTheme="minorHAnsi" w:hAnsiTheme="minorHAnsi" w:cs="Arial"/>
          <w:i/>
          <w:sz w:val="24"/>
          <w:szCs w:val="24"/>
        </w:rPr>
        <w:t>/2</w:t>
      </w:r>
      <w:r w:rsidR="00D953AE" w:rsidRPr="00D953AE">
        <w:rPr>
          <w:rFonts w:asciiTheme="minorHAnsi" w:hAnsiTheme="minorHAnsi" w:cs="Arial"/>
          <w:i/>
          <w:sz w:val="24"/>
          <w:szCs w:val="24"/>
        </w:rPr>
        <w:t>5</w:t>
      </w:r>
      <w:r w:rsidRPr="00D953AE">
        <w:rPr>
          <w:rFonts w:asciiTheme="minorHAnsi" w:hAnsiTheme="minorHAnsi" w:cs="Arial"/>
          <w:i/>
          <w:sz w:val="24"/>
          <w:szCs w:val="24"/>
        </w:rPr>
        <w:t xml:space="preserve"> will be </w:t>
      </w:r>
      <w:r w:rsidR="00D953AE" w:rsidRPr="00D953AE">
        <w:rPr>
          <w:rFonts w:asciiTheme="minorHAnsi" w:hAnsiTheme="minorHAnsi" w:cs="Arial"/>
          <w:i/>
          <w:sz w:val="24"/>
          <w:szCs w:val="24"/>
        </w:rPr>
        <w:t>substantially higher</w:t>
      </w:r>
      <w:r w:rsidRPr="00D953AE">
        <w:rPr>
          <w:rFonts w:asciiTheme="minorHAnsi" w:hAnsiTheme="minorHAnsi" w:cs="Arial"/>
          <w:i/>
          <w:sz w:val="24"/>
          <w:szCs w:val="24"/>
        </w:rPr>
        <w:t xml:space="preserve"> than that transferred at the time of the governance change, and is supported by a</w:t>
      </w:r>
      <w:r w:rsidR="00CA6836" w:rsidRPr="00D953AE">
        <w:rPr>
          <w:rFonts w:asciiTheme="minorHAnsi" w:hAnsiTheme="minorHAnsi" w:cs="Arial"/>
          <w:i/>
          <w:sz w:val="24"/>
          <w:szCs w:val="24"/>
        </w:rPr>
        <w:t xml:space="preserve"> currently</w:t>
      </w:r>
      <w:r w:rsidR="002A7A12" w:rsidRPr="00D953AE">
        <w:rPr>
          <w:rFonts w:asciiTheme="minorHAnsi" w:hAnsiTheme="minorHAnsi" w:cs="Arial"/>
          <w:i/>
          <w:sz w:val="24"/>
          <w:szCs w:val="24"/>
        </w:rPr>
        <w:t xml:space="preserve"> adequate</w:t>
      </w:r>
      <w:r w:rsidRPr="00D953AE">
        <w:rPr>
          <w:rFonts w:asciiTheme="minorHAnsi" w:hAnsiTheme="minorHAnsi" w:cs="Arial"/>
          <w:i/>
          <w:sz w:val="24"/>
          <w:szCs w:val="24"/>
        </w:rPr>
        <w:t xml:space="preserve"> level of </w:t>
      </w:r>
      <w:r w:rsidR="0081263C" w:rsidRPr="00D953AE">
        <w:rPr>
          <w:rFonts w:asciiTheme="minorHAnsi" w:hAnsiTheme="minorHAnsi" w:cs="Arial"/>
          <w:i/>
          <w:sz w:val="24"/>
          <w:szCs w:val="24"/>
        </w:rPr>
        <w:t>reserve</w:t>
      </w:r>
      <w:r w:rsidR="00CA6836" w:rsidRPr="00D953AE">
        <w:rPr>
          <w:rFonts w:asciiTheme="minorHAnsi" w:hAnsiTheme="minorHAnsi" w:cs="Arial"/>
          <w:i/>
          <w:sz w:val="24"/>
          <w:szCs w:val="24"/>
        </w:rPr>
        <w:t>s</w:t>
      </w:r>
      <w:r w:rsidRPr="00D953AE">
        <w:rPr>
          <w:rFonts w:asciiTheme="minorHAnsi" w:hAnsiTheme="minorHAnsi" w:cs="Arial"/>
          <w:i/>
          <w:sz w:val="24"/>
          <w:szCs w:val="24"/>
        </w:rPr>
        <w:t xml:space="preserve"> and a funded </w:t>
      </w:r>
      <w:r w:rsidR="00F671CE" w:rsidRPr="00D953AE">
        <w:rPr>
          <w:rFonts w:asciiTheme="minorHAnsi" w:hAnsiTheme="minorHAnsi" w:cs="Arial"/>
          <w:i/>
          <w:sz w:val="24"/>
          <w:szCs w:val="24"/>
        </w:rPr>
        <w:t>capital programme</w:t>
      </w:r>
      <w:r w:rsidRPr="00D953AE">
        <w:rPr>
          <w:rFonts w:asciiTheme="minorHAnsi" w:hAnsiTheme="minorHAnsi" w:cs="Arial"/>
          <w:i/>
          <w:sz w:val="24"/>
          <w:szCs w:val="24"/>
        </w:rPr>
        <w:t>.</w:t>
      </w:r>
    </w:p>
    <w:p w14:paraId="6EA1C26B" w14:textId="77777777" w:rsidR="000C2930" w:rsidRPr="00D953AE" w:rsidRDefault="000C2930" w:rsidP="000C2930">
      <w:pPr>
        <w:spacing w:after="0" w:line="240" w:lineRule="auto"/>
        <w:jc w:val="both"/>
        <w:rPr>
          <w:rFonts w:asciiTheme="minorHAnsi" w:hAnsiTheme="minorHAnsi" w:cs="Arial"/>
          <w:i/>
          <w:sz w:val="24"/>
          <w:szCs w:val="24"/>
        </w:rPr>
      </w:pPr>
    </w:p>
    <w:p w14:paraId="7CC29126" w14:textId="0FD01557" w:rsidR="00CA6836" w:rsidRPr="00D953AE" w:rsidRDefault="001D2C10" w:rsidP="000C2930">
      <w:pPr>
        <w:spacing w:after="0" w:line="240" w:lineRule="auto"/>
        <w:jc w:val="both"/>
        <w:rPr>
          <w:rFonts w:asciiTheme="minorHAnsi" w:hAnsiTheme="minorHAnsi" w:cs="Arial"/>
          <w:i/>
          <w:sz w:val="24"/>
          <w:szCs w:val="24"/>
        </w:rPr>
      </w:pPr>
      <w:r w:rsidRPr="00D953AE">
        <w:rPr>
          <w:rFonts w:asciiTheme="minorHAnsi" w:hAnsiTheme="minorHAnsi" w:cs="Arial"/>
          <w:i/>
          <w:sz w:val="24"/>
          <w:szCs w:val="24"/>
        </w:rPr>
        <w:t xml:space="preserve">However, </w:t>
      </w:r>
      <w:r w:rsidR="00CA6836" w:rsidRPr="00D953AE">
        <w:rPr>
          <w:rFonts w:asciiTheme="minorHAnsi" w:hAnsiTheme="minorHAnsi" w:cs="Arial"/>
          <w:i/>
          <w:sz w:val="24"/>
          <w:szCs w:val="24"/>
        </w:rPr>
        <w:t xml:space="preserve">the new Chief Fire Officer </w:t>
      </w:r>
      <w:r w:rsidR="00D953AE" w:rsidRPr="00D953AE">
        <w:rPr>
          <w:rFonts w:asciiTheme="minorHAnsi" w:hAnsiTheme="minorHAnsi" w:cs="Arial"/>
          <w:i/>
          <w:sz w:val="24"/>
          <w:szCs w:val="24"/>
        </w:rPr>
        <w:t>will need</w:t>
      </w:r>
      <w:r w:rsidR="006B2D15" w:rsidRPr="00D953AE">
        <w:rPr>
          <w:rFonts w:asciiTheme="minorHAnsi" w:hAnsiTheme="minorHAnsi" w:cs="Arial"/>
          <w:i/>
          <w:sz w:val="24"/>
          <w:szCs w:val="24"/>
        </w:rPr>
        <w:t xml:space="preserve"> to </w:t>
      </w:r>
      <w:r w:rsidR="00CA6836" w:rsidRPr="00D953AE">
        <w:rPr>
          <w:rFonts w:asciiTheme="minorHAnsi" w:hAnsiTheme="minorHAnsi" w:cs="Arial"/>
          <w:i/>
          <w:sz w:val="24"/>
          <w:szCs w:val="24"/>
        </w:rPr>
        <w:t xml:space="preserve">review </w:t>
      </w:r>
      <w:r w:rsidR="00D953AE" w:rsidRPr="00D953AE">
        <w:rPr>
          <w:rFonts w:asciiTheme="minorHAnsi" w:hAnsiTheme="minorHAnsi" w:cs="Arial"/>
          <w:i/>
          <w:sz w:val="24"/>
          <w:szCs w:val="24"/>
        </w:rPr>
        <w:t>their</w:t>
      </w:r>
      <w:r w:rsidR="00CA6836" w:rsidRPr="00D953AE">
        <w:rPr>
          <w:rFonts w:asciiTheme="minorHAnsi" w:hAnsiTheme="minorHAnsi" w:cs="Arial"/>
          <w:i/>
          <w:sz w:val="24"/>
          <w:szCs w:val="24"/>
        </w:rPr>
        <w:t xml:space="preserve"> operational requirements and it is possible that essential and transformative investment will be required. </w:t>
      </w:r>
      <w:r w:rsidR="00D953AE" w:rsidRPr="00D953AE">
        <w:rPr>
          <w:rFonts w:asciiTheme="minorHAnsi" w:hAnsiTheme="minorHAnsi" w:cs="Arial"/>
          <w:i/>
          <w:sz w:val="24"/>
          <w:szCs w:val="24"/>
        </w:rPr>
        <w:t xml:space="preserve"> </w:t>
      </w:r>
      <w:r w:rsidR="00CA6836" w:rsidRPr="00D953AE">
        <w:rPr>
          <w:rFonts w:asciiTheme="minorHAnsi" w:hAnsiTheme="minorHAnsi" w:cs="Arial"/>
          <w:i/>
          <w:sz w:val="24"/>
          <w:szCs w:val="24"/>
        </w:rPr>
        <w:t xml:space="preserve">These will be built into plans and strategies as the work progresses. </w:t>
      </w:r>
      <w:r w:rsidR="00D953AE" w:rsidRPr="00D953AE">
        <w:rPr>
          <w:rFonts w:asciiTheme="minorHAnsi" w:hAnsiTheme="minorHAnsi" w:cs="Arial"/>
          <w:i/>
          <w:sz w:val="24"/>
          <w:szCs w:val="24"/>
        </w:rPr>
        <w:t xml:space="preserve"> </w:t>
      </w:r>
      <w:r w:rsidR="00CA6836" w:rsidRPr="00D953AE">
        <w:rPr>
          <w:rFonts w:asciiTheme="minorHAnsi" w:hAnsiTheme="minorHAnsi" w:cs="Arial"/>
          <w:i/>
          <w:sz w:val="24"/>
          <w:szCs w:val="24"/>
        </w:rPr>
        <w:t xml:space="preserve">Furthermore, there are </w:t>
      </w:r>
      <w:r w:rsidR="000C2930" w:rsidRPr="00D953AE">
        <w:rPr>
          <w:rFonts w:asciiTheme="minorHAnsi" w:hAnsiTheme="minorHAnsi" w:cs="Arial"/>
          <w:i/>
          <w:sz w:val="24"/>
          <w:szCs w:val="24"/>
        </w:rPr>
        <w:t xml:space="preserve">still efficiency savings needed to ensure the budget is balanced and any investment requirements will need to be considered within the </w:t>
      </w:r>
      <w:r w:rsidR="00D953AE" w:rsidRPr="00D953AE">
        <w:rPr>
          <w:rFonts w:asciiTheme="minorHAnsi" w:hAnsiTheme="minorHAnsi" w:cs="Arial"/>
          <w:i/>
          <w:sz w:val="24"/>
          <w:szCs w:val="24"/>
        </w:rPr>
        <w:t>medium term financial plan</w:t>
      </w:r>
      <w:r w:rsidR="000C2930" w:rsidRPr="00D953AE">
        <w:rPr>
          <w:rFonts w:asciiTheme="minorHAnsi" w:hAnsiTheme="minorHAnsi" w:cs="Arial"/>
          <w:i/>
          <w:sz w:val="24"/>
          <w:szCs w:val="24"/>
        </w:rPr>
        <w:t xml:space="preserve">. </w:t>
      </w:r>
      <w:r w:rsidR="00D953AE" w:rsidRPr="00D953AE">
        <w:rPr>
          <w:rFonts w:asciiTheme="minorHAnsi" w:hAnsiTheme="minorHAnsi" w:cs="Arial"/>
          <w:i/>
          <w:sz w:val="24"/>
          <w:szCs w:val="24"/>
        </w:rPr>
        <w:t xml:space="preserve"> </w:t>
      </w:r>
      <w:r w:rsidR="00CA6836" w:rsidRPr="00D953AE">
        <w:rPr>
          <w:rFonts w:asciiTheme="minorHAnsi" w:hAnsiTheme="minorHAnsi" w:cs="Arial"/>
          <w:i/>
          <w:sz w:val="24"/>
          <w:szCs w:val="24"/>
        </w:rPr>
        <w:t>It is essential that significant operational changes and investment proposals are fully costed and considered prior to implementation to consider</w:t>
      </w:r>
      <w:r w:rsidR="00310079" w:rsidRPr="00D953AE">
        <w:rPr>
          <w:rFonts w:asciiTheme="minorHAnsi" w:hAnsiTheme="minorHAnsi" w:cs="Arial"/>
          <w:i/>
          <w:sz w:val="24"/>
          <w:szCs w:val="24"/>
        </w:rPr>
        <w:t xml:space="preserve"> affordability and </w:t>
      </w:r>
      <w:r w:rsidR="00CA6836" w:rsidRPr="00D953AE">
        <w:rPr>
          <w:rFonts w:asciiTheme="minorHAnsi" w:hAnsiTheme="minorHAnsi" w:cs="Arial"/>
          <w:i/>
          <w:sz w:val="24"/>
          <w:szCs w:val="24"/>
        </w:rPr>
        <w:t>the wider impact</w:t>
      </w:r>
      <w:r w:rsidR="00310079" w:rsidRPr="00D953AE">
        <w:rPr>
          <w:rFonts w:asciiTheme="minorHAnsi" w:hAnsiTheme="minorHAnsi" w:cs="Arial"/>
          <w:i/>
          <w:sz w:val="24"/>
          <w:szCs w:val="24"/>
        </w:rPr>
        <w:t xml:space="preserve"> of any decisions</w:t>
      </w:r>
      <w:r w:rsidR="00D953AE" w:rsidRPr="00D953AE">
        <w:rPr>
          <w:rFonts w:asciiTheme="minorHAnsi" w:hAnsiTheme="minorHAnsi" w:cs="Arial"/>
          <w:i/>
          <w:sz w:val="24"/>
          <w:szCs w:val="24"/>
        </w:rPr>
        <w:t>.</w:t>
      </w:r>
      <w:r w:rsidR="00310079" w:rsidRPr="00D953AE">
        <w:rPr>
          <w:rFonts w:asciiTheme="minorHAnsi" w:hAnsiTheme="minorHAnsi" w:cs="Arial"/>
          <w:i/>
          <w:sz w:val="24"/>
          <w:szCs w:val="24"/>
        </w:rPr>
        <w:t xml:space="preserve"> </w:t>
      </w:r>
      <w:r w:rsidR="00D953AE" w:rsidRPr="00D953AE">
        <w:rPr>
          <w:rFonts w:asciiTheme="minorHAnsi" w:hAnsiTheme="minorHAnsi" w:cs="Arial"/>
          <w:i/>
          <w:sz w:val="24"/>
          <w:szCs w:val="24"/>
        </w:rPr>
        <w:t xml:space="preserve"> </w:t>
      </w:r>
      <w:r w:rsidR="00310079" w:rsidRPr="00D953AE">
        <w:rPr>
          <w:rFonts w:asciiTheme="minorHAnsi" w:hAnsiTheme="minorHAnsi" w:cs="Arial"/>
          <w:i/>
          <w:sz w:val="24"/>
          <w:szCs w:val="24"/>
        </w:rPr>
        <w:t xml:space="preserve">I will continue to work with the Chief Fire </w:t>
      </w:r>
      <w:r w:rsidR="00760581" w:rsidRPr="00D953AE">
        <w:rPr>
          <w:rFonts w:asciiTheme="minorHAnsi" w:hAnsiTheme="minorHAnsi" w:cs="Arial"/>
          <w:i/>
          <w:sz w:val="24"/>
          <w:szCs w:val="24"/>
        </w:rPr>
        <w:t xml:space="preserve">Officer </w:t>
      </w:r>
      <w:r w:rsidR="00310079" w:rsidRPr="00D953AE">
        <w:rPr>
          <w:rFonts w:asciiTheme="minorHAnsi" w:hAnsiTheme="minorHAnsi" w:cs="Arial"/>
          <w:i/>
          <w:sz w:val="24"/>
          <w:szCs w:val="24"/>
        </w:rPr>
        <w:t xml:space="preserve">and Joint Finance </w:t>
      </w:r>
      <w:r w:rsidR="00D953AE" w:rsidRPr="00D953AE">
        <w:rPr>
          <w:rFonts w:asciiTheme="minorHAnsi" w:hAnsiTheme="minorHAnsi" w:cs="Arial"/>
          <w:i/>
          <w:sz w:val="24"/>
          <w:szCs w:val="24"/>
        </w:rPr>
        <w:t xml:space="preserve">Team </w:t>
      </w:r>
      <w:r w:rsidR="00310079" w:rsidRPr="00D953AE">
        <w:rPr>
          <w:rFonts w:asciiTheme="minorHAnsi" w:hAnsiTheme="minorHAnsi" w:cs="Arial"/>
          <w:i/>
          <w:sz w:val="24"/>
          <w:szCs w:val="24"/>
        </w:rPr>
        <w:t>to ensure this is undertaken.</w:t>
      </w:r>
      <w:r w:rsidR="00CA6836" w:rsidRPr="00D953AE">
        <w:rPr>
          <w:rFonts w:asciiTheme="minorHAnsi" w:hAnsiTheme="minorHAnsi" w:cs="Arial"/>
          <w:i/>
          <w:sz w:val="24"/>
          <w:szCs w:val="24"/>
        </w:rPr>
        <w:t xml:space="preserve"> </w:t>
      </w:r>
    </w:p>
    <w:p w14:paraId="1562D295" w14:textId="0B354A57" w:rsidR="00310079" w:rsidRPr="00D953AE" w:rsidRDefault="00310079" w:rsidP="000C2930">
      <w:pPr>
        <w:spacing w:after="0" w:line="240" w:lineRule="auto"/>
        <w:jc w:val="both"/>
        <w:rPr>
          <w:rFonts w:asciiTheme="minorHAnsi" w:hAnsiTheme="minorHAnsi" w:cs="Arial"/>
          <w:i/>
          <w:sz w:val="24"/>
          <w:szCs w:val="24"/>
        </w:rPr>
      </w:pPr>
    </w:p>
    <w:p w14:paraId="222FC4DC" w14:textId="7C952390" w:rsidR="00310079" w:rsidRPr="00D953AE" w:rsidRDefault="00760581" w:rsidP="00707BE4">
      <w:pPr>
        <w:spacing w:after="0" w:line="240" w:lineRule="auto"/>
        <w:jc w:val="both"/>
        <w:rPr>
          <w:rFonts w:asciiTheme="minorHAnsi" w:hAnsiTheme="minorHAnsi" w:cs="Arial"/>
          <w:i/>
          <w:sz w:val="24"/>
          <w:szCs w:val="24"/>
        </w:rPr>
      </w:pPr>
      <w:r w:rsidRPr="00D953AE">
        <w:rPr>
          <w:rFonts w:asciiTheme="minorHAnsi" w:hAnsiTheme="minorHAnsi" w:cs="Arial"/>
          <w:i/>
          <w:sz w:val="24"/>
          <w:szCs w:val="24"/>
        </w:rPr>
        <w:t xml:space="preserve">Although </w:t>
      </w:r>
      <w:r w:rsidR="000C2930" w:rsidRPr="00D953AE">
        <w:rPr>
          <w:rFonts w:asciiTheme="minorHAnsi" w:hAnsiTheme="minorHAnsi" w:cs="Arial"/>
          <w:i/>
          <w:sz w:val="24"/>
          <w:szCs w:val="24"/>
        </w:rPr>
        <w:t xml:space="preserve">the </w:t>
      </w:r>
      <w:r w:rsidR="00F671CE" w:rsidRPr="00D953AE">
        <w:rPr>
          <w:rFonts w:asciiTheme="minorHAnsi" w:hAnsiTheme="minorHAnsi" w:cs="Arial"/>
          <w:i/>
          <w:sz w:val="24"/>
          <w:szCs w:val="24"/>
        </w:rPr>
        <w:t>capital programme</w:t>
      </w:r>
      <w:r w:rsidR="000C2930" w:rsidRPr="00D953AE">
        <w:rPr>
          <w:rFonts w:asciiTheme="minorHAnsi" w:hAnsiTheme="minorHAnsi" w:cs="Arial"/>
          <w:i/>
          <w:sz w:val="24"/>
          <w:szCs w:val="24"/>
        </w:rPr>
        <w:t xml:space="preserve"> is approved and funded,</w:t>
      </w:r>
      <w:r w:rsidR="00741D4E" w:rsidRPr="00D953AE">
        <w:rPr>
          <w:rFonts w:asciiTheme="minorHAnsi" w:hAnsiTheme="minorHAnsi" w:cs="Arial"/>
          <w:i/>
          <w:sz w:val="24"/>
          <w:szCs w:val="24"/>
        </w:rPr>
        <w:t xml:space="preserve"> </w:t>
      </w:r>
      <w:r w:rsidRPr="00D953AE">
        <w:rPr>
          <w:rFonts w:asciiTheme="minorHAnsi" w:hAnsiTheme="minorHAnsi" w:cs="Arial"/>
          <w:i/>
          <w:sz w:val="24"/>
          <w:szCs w:val="24"/>
        </w:rPr>
        <w:t>with</w:t>
      </w:r>
      <w:r w:rsidR="00741D4E" w:rsidRPr="00D953AE">
        <w:rPr>
          <w:rFonts w:asciiTheme="minorHAnsi" w:hAnsiTheme="minorHAnsi" w:cs="Arial"/>
          <w:i/>
          <w:sz w:val="24"/>
          <w:szCs w:val="24"/>
        </w:rPr>
        <w:t xml:space="preserve"> some transformation included, </w:t>
      </w:r>
      <w:r w:rsidR="000C2930" w:rsidRPr="00D953AE">
        <w:rPr>
          <w:rFonts w:asciiTheme="minorHAnsi" w:hAnsiTheme="minorHAnsi" w:cs="Arial"/>
          <w:i/>
          <w:sz w:val="24"/>
          <w:szCs w:val="24"/>
        </w:rPr>
        <w:t>given the legacy investments within it, it is still a significant value</w:t>
      </w:r>
      <w:r w:rsidR="00707BE4" w:rsidRPr="00D953AE">
        <w:rPr>
          <w:rFonts w:asciiTheme="minorHAnsi" w:hAnsiTheme="minorHAnsi" w:cs="Arial"/>
          <w:i/>
          <w:sz w:val="24"/>
          <w:szCs w:val="24"/>
        </w:rPr>
        <w:t xml:space="preserve">, </w:t>
      </w:r>
      <w:r w:rsidR="00741D4E" w:rsidRPr="00D953AE">
        <w:rPr>
          <w:rFonts w:asciiTheme="minorHAnsi" w:hAnsiTheme="minorHAnsi" w:cs="Arial"/>
          <w:i/>
          <w:sz w:val="24"/>
          <w:szCs w:val="24"/>
        </w:rPr>
        <w:t>especially</w:t>
      </w:r>
      <w:r w:rsidR="00707BE4" w:rsidRPr="00D953AE">
        <w:rPr>
          <w:rFonts w:asciiTheme="minorHAnsi" w:hAnsiTheme="minorHAnsi" w:cs="Arial"/>
          <w:i/>
          <w:sz w:val="24"/>
          <w:szCs w:val="24"/>
        </w:rPr>
        <w:t xml:space="preserve"> with regard to short life assets</w:t>
      </w:r>
      <w:r w:rsidRPr="00D953AE">
        <w:rPr>
          <w:rFonts w:asciiTheme="minorHAnsi" w:hAnsiTheme="minorHAnsi" w:cs="Arial"/>
          <w:i/>
          <w:sz w:val="24"/>
          <w:szCs w:val="24"/>
        </w:rPr>
        <w:t>. Therefore</w:t>
      </w:r>
      <w:r w:rsidR="00D953AE" w:rsidRPr="00D953AE">
        <w:rPr>
          <w:rFonts w:asciiTheme="minorHAnsi" w:hAnsiTheme="minorHAnsi" w:cs="Arial"/>
          <w:i/>
          <w:sz w:val="24"/>
          <w:szCs w:val="24"/>
        </w:rPr>
        <w:t>,</w:t>
      </w:r>
      <w:r w:rsidRPr="00D953AE">
        <w:rPr>
          <w:rFonts w:asciiTheme="minorHAnsi" w:hAnsiTheme="minorHAnsi" w:cs="Arial"/>
          <w:i/>
          <w:sz w:val="24"/>
          <w:szCs w:val="24"/>
        </w:rPr>
        <w:t xml:space="preserve"> </w:t>
      </w:r>
      <w:r w:rsidR="002A7A12" w:rsidRPr="00D953AE">
        <w:rPr>
          <w:rFonts w:asciiTheme="minorHAnsi" w:hAnsiTheme="minorHAnsi" w:cs="Arial"/>
          <w:i/>
          <w:sz w:val="24"/>
          <w:szCs w:val="24"/>
        </w:rPr>
        <w:t xml:space="preserve">there is an </w:t>
      </w:r>
      <w:r w:rsidR="00707BE4" w:rsidRPr="00D953AE">
        <w:rPr>
          <w:rFonts w:asciiTheme="minorHAnsi" w:hAnsiTheme="minorHAnsi" w:cs="Arial"/>
          <w:i/>
          <w:sz w:val="24"/>
          <w:szCs w:val="24"/>
        </w:rPr>
        <w:t xml:space="preserve">impact of both deliverability and financial cost on the revenue budget. </w:t>
      </w:r>
      <w:r w:rsidR="00D953AE" w:rsidRPr="00D953AE">
        <w:rPr>
          <w:rFonts w:asciiTheme="minorHAnsi" w:hAnsiTheme="minorHAnsi" w:cs="Arial"/>
          <w:i/>
          <w:sz w:val="24"/>
          <w:szCs w:val="24"/>
        </w:rPr>
        <w:t xml:space="preserve"> </w:t>
      </w:r>
      <w:r w:rsidR="00707BE4" w:rsidRPr="00D953AE">
        <w:rPr>
          <w:rFonts w:asciiTheme="minorHAnsi" w:hAnsiTheme="minorHAnsi" w:cs="Arial"/>
          <w:i/>
          <w:sz w:val="24"/>
          <w:szCs w:val="24"/>
        </w:rPr>
        <w:t xml:space="preserve">Whilst the costs are included within the MTFP, any changes in specifications or slippage in timescales can have an impact and </w:t>
      </w:r>
      <w:r w:rsidR="002A7A12" w:rsidRPr="00D953AE">
        <w:rPr>
          <w:rFonts w:asciiTheme="minorHAnsi" w:hAnsiTheme="minorHAnsi" w:cs="Arial"/>
          <w:i/>
          <w:sz w:val="24"/>
          <w:szCs w:val="24"/>
        </w:rPr>
        <w:t>could</w:t>
      </w:r>
      <w:r w:rsidR="00707BE4" w:rsidRPr="00D953AE">
        <w:rPr>
          <w:rFonts w:asciiTheme="minorHAnsi" w:hAnsiTheme="minorHAnsi" w:cs="Arial"/>
          <w:i/>
          <w:sz w:val="24"/>
          <w:szCs w:val="24"/>
        </w:rPr>
        <w:t xml:space="preserve"> affect the deliverability of other priorities within the programme. </w:t>
      </w:r>
    </w:p>
    <w:p w14:paraId="1AF38A97" w14:textId="77777777" w:rsidR="00310079" w:rsidRPr="00D953AE" w:rsidRDefault="00310079" w:rsidP="00707BE4">
      <w:pPr>
        <w:spacing w:after="0" w:line="240" w:lineRule="auto"/>
        <w:jc w:val="both"/>
        <w:rPr>
          <w:rFonts w:asciiTheme="minorHAnsi" w:hAnsiTheme="minorHAnsi" w:cs="Arial"/>
          <w:i/>
          <w:sz w:val="24"/>
          <w:szCs w:val="24"/>
        </w:rPr>
      </w:pPr>
    </w:p>
    <w:p w14:paraId="213A1113" w14:textId="6447E32E" w:rsidR="00707BE4" w:rsidRPr="00D953AE" w:rsidRDefault="00760581" w:rsidP="00707BE4">
      <w:pPr>
        <w:spacing w:after="0" w:line="240" w:lineRule="auto"/>
        <w:jc w:val="both"/>
        <w:rPr>
          <w:rFonts w:asciiTheme="minorHAnsi" w:hAnsiTheme="minorHAnsi" w:cs="Arial"/>
          <w:i/>
          <w:sz w:val="24"/>
          <w:szCs w:val="24"/>
        </w:rPr>
      </w:pPr>
      <w:r w:rsidRPr="00D953AE">
        <w:rPr>
          <w:rFonts w:asciiTheme="minorHAnsi" w:hAnsiTheme="minorHAnsi" w:cs="Arial"/>
          <w:i/>
          <w:sz w:val="24"/>
          <w:szCs w:val="24"/>
        </w:rPr>
        <w:t>Consequently</w:t>
      </w:r>
      <w:r w:rsidR="00707BE4" w:rsidRPr="00D953AE">
        <w:rPr>
          <w:rFonts w:asciiTheme="minorHAnsi" w:hAnsiTheme="minorHAnsi" w:cs="Arial"/>
          <w:i/>
          <w:sz w:val="24"/>
          <w:szCs w:val="24"/>
        </w:rPr>
        <w:t xml:space="preserve">, it is essential </w:t>
      </w:r>
      <w:r w:rsidR="00310079" w:rsidRPr="00D953AE">
        <w:rPr>
          <w:rFonts w:asciiTheme="minorHAnsi" w:hAnsiTheme="minorHAnsi" w:cs="Arial"/>
          <w:i/>
          <w:sz w:val="24"/>
          <w:szCs w:val="24"/>
        </w:rPr>
        <w:t>that disposals and activities are undertaken in a timely manner to enable benefits and savings to be realised.</w:t>
      </w:r>
      <w:r w:rsidR="00D953AE" w:rsidRPr="00D953AE">
        <w:rPr>
          <w:rFonts w:asciiTheme="minorHAnsi" w:hAnsiTheme="minorHAnsi" w:cs="Arial"/>
          <w:i/>
          <w:sz w:val="24"/>
          <w:szCs w:val="24"/>
        </w:rPr>
        <w:t xml:space="preserve"> </w:t>
      </w:r>
      <w:r w:rsidR="00310079" w:rsidRPr="00D953AE">
        <w:rPr>
          <w:rFonts w:asciiTheme="minorHAnsi" w:hAnsiTheme="minorHAnsi" w:cs="Arial"/>
          <w:i/>
          <w:sz w:val="24"/>
          <w:szCs w:val="24"/>
        </w:rPr>
        <w:t xml:space="preserve"> I am assured by the arrangements put in place that the </w:t>
      </w:r>
      <w:r w:rsidR="00707BE4" w:rsidRPr="00D953AE">
        <w:rPr>
          <w:rFonts w:asciiTheme="minorHAnsi" w:hAnsiTheme="minorHAnsi" w:cs="Arial"/>
          <w:i/>
          <w:sz w:val="24"/>
          <w:szCs w:val="24"/>
        </w:rPr>
        <w:t>programme is regularly reviewed</w:t>
      </w:r>
      <w:r w:rsidR="00310079" w:rsidRPr="00D953AE">
        <w:rPr>
          <w:rFonts w:asciiTheme="minorHAnsi" w:hAnsiTheme="minorHAnsi" w:cs="Arial"/>
          <w:i/>
          <w:sz w:val="24"/>
          <w:szCs w:val="24"/>
        </w:rPr>
        <w:t xml:space="preserve">. </w:t>
      </w:r>
      <w:r w:rsidR="00D953AE" w:rsidRPr="00D953AE">
        <w:rPr>
          <w:rFonts w:asciiTheme="minorHAnsi" w:hAnsiTheme="minorHAnsi" w:cs="Arial"/>
          <w:i/>
          <w:sz w:val="24"/>
          <w:szCs w:val="24"/>
        </w:rPr>
        <w:t xml:space="preserve"> </w:t>
      </w:r>
      <w:r w:rsidR="00310079" w:rsidRPr="00D953AE">
        <w:rPr>
          <w:rFonts w:asciiTheme="minorHAnsi" w:hAnsiTheme="minorHAnsi" w:cs="Arial"/>
          <w:i/>
          <w:sz w:val="24"/>
          <w:szCs w:val="24"/>
        </w:rPr>
        <w:t xml:space="preserve">Under the oversight of the Assistant Joint Chief Officer for Enabling Services, </w:t>
      </w:r>
      <w:r w:rsidR="00707BE4" w:rsidRPr="00D953AE">
        <w:rPr>
          <w:rFonts w:asciiTheme="minorHAnsi" w:hAnsiTheme="minorHAnsi" w:cs="Arial"/>
          <w:i/>
          <w:sz w:val="24"/>
          <w:szCs w:val="24"/>
        </w:rPr>
        <w:t>proposed expenditure is taken forward on the basis of evidence based business cases and that delivery timescales are realistic, in full recognition of other competing priorities.</w:t>
      </w:r>
      <w:r w:rsidR="00D953AE" w:rsidRPr="00D953AE">
        <w:rPr>
          <w:rFonts w:asciiTheme="minorHAnsi" w:hAnsiTheme="minorHAnsi" w:cs="Arial"/>
          <w:i/>
          <w:sz w:val="24"/>
          <w:szCs w:val="24"/>
        </w:rPr>
        <w:t xml:space="preserve"> </w:t>
      </w:r>
      <w:r w:rsidR="00707BE4" w:rsidRPr="00D953AE">
        <w:rPr>
          <w:rFonts w:asciiTheme="minorHAnsi" w:hAnsiTheme="minorHAnsi" w:cs="Arial"/>
          <w:i/>
          <w:sz w:val="24"/>
          <w:szCs w:val="24"/>
        </w:rPr>
        <w:t xml:space="preserve"> </w:t>
      </w:r>
      <w:r w:rsidR="00310079" w:rsidRPr="00D953AE">
        <w:rPr>
          <w:rFonts w:asciiTheme="minorHAnsi" w:hAnsiTheme="minorHAnsi" w:cs="Arial"/>
          <w:i/>
          <w:sz w:val="24"/>
          <w:szCs w:val="24"/>
        </w:rPr>
        <w:t xml:space="preserve">The </w:t>
      </w:r>
      <w:r w:rsidR="00F671CE" w:rsidRPr="00D953AE">
        <w:rPr>
          <w:rFonts w:asciiTheme="minorHAnsi" w:hAnsiTheme="minorHAnsi" w:cs="Arial"/>
          <w:i/>
          <w:sz w:val="24"/>
          <w:szCs w:val="24"/>
        </w:rPr>
        <w:t>capital programme</w:t>
      </w:r>
      <w:r w:rsidR="00310079" w:rsidRPr="00D953AE">
        <w:rPr>
          <w:rFonts w:asciiTheme="minorHAnsi" w:hAnsiTheme="minorHAnsi" w:cs="Arial"/>
          <w:i/>
          <w:sz w:val="24"/>
          <w:szCs w:val="24"/>
        </w:rPr>
        <w:t xml:space="preserve"> is based on approved investments and best professional assumptions of realistic delivery timescales.</w:t>
      </w:r>
      <w:r w:rsidR="00D953AE" w:rsidRPr="00D953AE">
        <w:rPr>
          <w:rFonts w:asciiTheme="minorHAnsi" w:hAnsiTheme="minorHAnsi" w:cs="Arial"/>
          <w:i/>
          <w:sz w:val="24"/>
          <w:szCs w:val="24"/>
        </w:rPr>
        <w:t xml:space="preserve"> </w:t>
      </w:r>
      <w:r w:rsidR="00310079" w:rsidRPr="00D953AE">
        <w:rPr>
          <w:rFonts w:asciiTheme="minorHAnsi" w:hAnsiTheme="minorHAnsi" w:cs="Arial"/>
          <w:i/>
          <w:sz w:val="24"/>
          <w:szCs w:val="24"/>
        </w:rPr>
        <w:t xml:space="preserve"> When the Estates </w:t>
      </w:r>
      <w:r w:rsidRPr="00D953AE">
        <w:rPr>
          <w:rFonts w:asciiTheme="minorHAnsi" w:hAnsiTheme="minorHAnsi" w:cs="Arial"/>
          <w:i/>
          <w:sz w:val="24"/>
          <w:szCs w:val="24"/>
        </w:rPr>
        <w:t xml:space="preserve">Masterplan </w:t>
      </w:r>
      <w:r w:rsidR="00310079" w:rsidRPr="00D953AE">
        <w:rPr>
          <w:rFonts w:asciiTheme="minorHAnsi" w:hAnsiTheme="minorHAnsi" w:cs="Arial"/>
          <w:i/>
          <w:sz w:val="24"/>
          <w:szCs w:val="24"/>
        </w:rPr>
        <w:t xml:space="preserve">is completed, the </w:t>
      </w:r>
      <w:r w:rsidR="00F671CE" w:rsidRPr="00D953AE">
        <w:rPr>
          <w:rFonts w:asciiTheme="minorHAnsi" w:hAnsiTheme="minorHAnsi" w:cs="Arial"/>
          <w:i/>
          <w:sz w:val="24"/>
          <w:szCs w:val="24"/>
        </w:rPr>
        <w:t>capital programme</w:t>
      </w:r>
      <w:r w:rsidR="00310079" w:rsidRPr="00D953AE">
        <w:rPr>
          <w:rFonts w:asciiTheme="minorHAnsi" w:hAnsiTheme="minorHAnsi" w:cs="Arial"/>
          <w:i/>
          <w:sz w:val="24"/>
          <w:szCs w:val="24"/>
        </w:rPr>
        <w:t xml:space="preserve"> will be updated and the cost implications considered as part of the MTFP.</w:t>
      </w:r>
    </w:p>
    <w:p w14:paraId="6609616B" w14:textId="77777777" w:rsidR="000C2930" w:rsidRPr="00D953AE" w:rsidRDefault="000C2930" w:rsidP="000C2930">
      <w:pPr>
        <w:spacing w:after="0" w:line="240" w:lineRule="auto"/>
        <w:jc w:val="both"/>
        <w:rPr>
          <w:rFonts w:asciiTheme="minorHAnsi" w:hAnsiTheme="minorHAnsi" w:cs="Arial"/>
          <w:i/>
          <w:sz w:val="24"/>
          <w:szCs w:val="24"/>
        </w:rPr>
      </w:pPr>
    </w:p>
    <w:p w14:paraId="3E129EB3" w14:textId="557277C2" w:rsidR="000C2930" w:rsidRPr="006500AF" w:rsidRDefault="000C2930" w:rsidP="000C2930">
      <w:pPr>
        <w:spacing w:after="0" w:line="240" w:lineRule="auto"/>
        <w:jc w:val="both"/>
        <w:rPr>
          <w:rFonts w:asciiTheme="minorHAnsi" w:hAnsiTheme="minorHAnsi" w:cs="Arial"/>
          <w:i/>
          <w:sz w:val="24"/>
          <w:szCs w:val="24"/>
        </w:rPr>
      </w:pPr>
      <w:r w:rsidRPr="00D953AE">
        <w:rPr>
          <w:rFonts w:asciiTheme="minorHAnsi" w:hAnsiTheme="minorHAnsi" w:cs="Arial"/>
          <w:i/>
          <w:sz w:val="24"/>
          <w:szCs w:val="24"/>
        </w:rPr>
        <w:t xml:space="preserve">I have reviewed the detailed calculations in arriving at the budget requirement and Council Tax precept and options and find these to be robust. I also have sought and received information from both </w:t>
      </w:r>
      <w:r w:rsidR="00E84EA9" w:rsidRPr="006500AF">
        <w:rPr>
          <w:rFonts w:asciiTheme="minorHAnsi" w:hAnsiTheme="minorHAnsi" w:cs="Arial"/>
          <w:i/>
          <w:sz w:val="24"/>
          <w:szCs w:val="24"/>
        </w:rPr>
        <w:t>Unitary authorities</w:t>
      </w:r>
      <w:r w:rsidRPr="006500AF">
        <w:rPr>
          <w:rFonts w:asciiTheme="minorHAnsi" w:hAnsiTheme="minorHAnsi" w:cs="Arial"/>
          <w:i/>
          <w:sz w:val="24"/>
          <w:szCs w:val="24"/>
        </w:rPr>
        <w:t xml:space="preserve"> in relation to taxbase and Council Tax deficits and I am grateful to all partners for their support in doing so. </w:t>
      </w:r>
    </w:p>
    <w:p w14:paraId="6B5F17F6" w14:textId="77777777" w:rsidR="000C2930" w:rsidRPr="006500AF" w:rsidRDefault="000C2930" w:rsidP="000C2930">
      <w:pPr>
        <w:spacing w:after="0" w:line="240" w:lineRule="auto"/>
        <w:jc w:val="both"/>
        <w:rPr>
          <w:rFonts w:asciiTheme="minorHAnsi" w:hAnsiTheme="minorHAnsi" w:cs="Arial"/>
          <w:i/>
          <w:sz w:val="24"/>
          <w:szCs w:val="24"/>
        </w:rPr>
      </w:pPr>
    </w:p>
    <w:p w14:paraId="3A271787" w14:textId="348FB298" w:rsidR="000C2930" w:rsidRPr="006500AF" w:rsidRDefault="000C2930" w:rsidP="000C2930">
      <w:pPr>
        <w:spacing w:after="0" w:line="240" w:lineRule="auto"/>
        <w:jc w:val="both"/>
        <w:rPr>
          <w:rFonts w:asciiTheme="minorHAnsi" w:hAnsiTheme="minorHAnsi" w:cs="Arial"/>
          <w:i/>
          <w:sz w:val="24"/>
          <w:szCs w:val="24"/>
        </w:rPr>
      </w:pPr>
      <w:r w:rsidRPr="006500AF">
        <w:rPr>
          <w:rFonts w:asciiTheme="minorHAnsi" w:hAnsiTheme="minorHAnsi" w:cs="Arial"/>
          <w:i/>
          <w:sz w:val="24"/>
          <w:szCs w:val="24"/>
        </w:rPr>
        <w:t xml:space="preserve">I have highlighted </w:t>
      </w:r>
      <w:r w:rsidR="001D2C10" w:rsidRPr="006500AF">
        <w:rPr>
          <w:rFonts w:asciiTheme="minorHAnsi" w:hAnsiTheme="minorHAnsi" w:cs="Arial"/>
          <w:i/>
          <w:sz w:val="24"/>
          <w:szCs w:val="24"/>
        </w:rPr>
        <w:t xml:space="preserve">some </w:t>
      </w:r>
      <w:r w:rsidRPr="006500AF">
        <w:rPr>
          <w:rFonts w:asciiTheme="minorHAnsi" w:hAnsiTheme="minorHAnsi" w:cs="Arial"/>
          <w:i/>
          <w:sz w:val="24"/>
          <w:szCs w:val="24"/>
        </w:rPr>
        <w:t>uncertaint</w:t>
      </w:r>
      <w:r w:rsidR="001D2C10" w:rsidRPr="006500AF">
        <w:rPr>
          <w:rFonts w:asciiTheme="minorHAnsi" w:hAnsiTheme="minorHAnsi" w:cs="Arial"/>
          <w:i/>
          <w:sz w:val="24"/>
          <w:szCs w:val="24"/>
        </w:rPr>
        <w:t>ies</w:t>
      </w:r>
      <w:r w:rsidRPr="006500AF">
        <w:rPr>
          <w:rFonts w:asciiTheme="minorHAnsi" w:hAnsiTheme="minorHAnsi" w:cs="Arial"/>
          <w:i/>
          <w:sz w:val="24"/>
          <w:szCs w:val="24"/>
        </w:rPr>
        <w:t xml:space="preserve"> within this report and the PFCC is aware of th</w:t>
      </w:r>
      <w:r w:rsidR="001D2C10" w:rsidRPr="006500AF">
        <w:rPr>
          <w:rFonts w:asciiTheme="minorHAnsi" w:hAnsiTheme="minorHAnsi" w:cs="Arial"/>
          <w:i/>
          <w:sz w:val="24"/>
          <w:szCs w:val="24"/>
        </w:rPr>
        <w:t>e</w:t>
      </w:r>
      <w:r w:rsidRPr="006500AF">
        <w:rPr>
          <w:rFonts w:asciiTheme="minorHAnsi" w:hAnsiTheme="minorHAnsi" w:cs="Arial"/>
          <w:i/>
          <w:sz w:val="24"/>
          <w:szCs w:val="24"/>
        </w:rPr>
        <w:t>s</w:t>
      </w:r>
      <w:r w:rsidR="001D2C10" w:rsidRPr="006500AF">
        <w:rPr>
          <w:rFonts w:asciiTheme="minorHAnsi" w:hAnsiTheme="minorHAnsi" w:cs="Arial"/>
          <w:i/>
          <w:sz w:val="24"/>
          <w:szCs w:val="24"/>
        </w:rPr>
        <w:t>e</w:t>
      </w:r>
      <w:r w:rsidRPr="006500AF">
        <w:rPr>
          <w:rFonts w:asciiTheme="minorHAnsi" w:hAnsiTheme="minorHAnsi" w:cs="Arial"/>
          <w:i/>
          <w:sz w:val="24"/>
          <w:szCs w:val="24"/>
        </w:rPr>
        <w:t xml:space="preserve"> and</w:t>
      </w:r>
      <w:r w:rsidR="001D2C10" w:rsidRPr="006500AF">
        <w:rPr>
          <w:rFonts w:asciiTheme="minorHAnsi" w:hAnsiTheme="minorHAnsi" w:cs="Arial"/>
          <w:i/>
          <w:sz w:val="24"/>
          <w:szCs w:val="24"/>
        </w:rPr>
        <w:t xml:space="preserve"> their</w:t>
      </w:r>
      <w:r w:rsidRPr="006500AF">
        <w:rPr>
          <w:rFonts w:asciiTheme="minorHAnsi" w:hAnsiTheme="minorHAnsi" w:cs="Arial"/>
          <w:i/>
          <w:sz w:val="24"/>
          <w:szCs w:val="24"/>
        </w:rPr>
        <w:t xml:space="preserve"> potential impact and as such has ring</w:t>
      </w:r>
      <w:r w:rsidR="00D953AE" w:rsidRPr="006500AF">
        <w:rPr>
          <w:rFonts w:asciiTheme="minorHAnsi" w:hAnsiTheme="minorHAnsi" w:cs="Arial"/>
          <w:i/>
          <w:sz w:val="24"/>
          <w:szCs w:val="24"/>
        </w:rPr>
        <w:t>-</w:t>
      </w:r>
      <w:r w:rsidRPr="006500AF">
        <w:rPr>
          <w:rFonts w:asciiTheme="minorHAnsi" w:hAnsiTheme="minorHAnsi" w:cs="Arial"/>
          <w:i/>
          <w:sz w:val="24"/>
          <w:szCs w:val="24"/>
        </w:rPr>
        <w:t>fenced contingenc</w:t>
      </w:r>
      <w:r w:rsidR="00310079" w:rsidRPr="006500AF">
        <w:rPr>
          <w:rFonts w:asciiTheme="minorHAnsi" w:hAnsiTheme="minorHAnsi" w:cs="Arial"/>
          <w:i/>
          <w:sz w:val="24"/>
          <w:szCs w:val="24"/>
        </w:rPr>
        <w:t>ies</w:t>
      </w:r>
      <w:r w:rsidRPr="006500AF">
        <w:rPr>
          <w:rFonts w:asciiTheme="minorHAnsi" w:hAnsiTheme="minorHAnsi" w:cs="Arial"/>
          <w:i/>
          <w:sz w:val="24"/>
          <w:szCs w:val="24"/>
        </w:rPr>
        <w:t xml:space="preserve"> within the revenue budget to mitigate risk.</w:t>
      </w:r>
      <w:r w:rsidR="00D953AE" w:rsidRPr="006500AF">
        <w:rPr>
          <w:rFonts w:asciiTheme="minorHAnsi" w:hAnsiTheme="minorHAnsi" w:cs="Arial"/>
          <w:i/>
          <w:sz w:val="24"/>
          <w:szCs w:val="24"/>
        </w:rPr>
        <w:t xml:space="preserve"> </w:t>
      </w:r>
      <w:r w:rsidRPr="006500AF">
        <w:rPr>
          <w:rFonts w:asciiTheme="minorHAnsi" w:hAnsiTheme="minorHAnsi" w:cs="Arial"/>
          <w:i/>
          <w:sz w:val="24"/>
          <w:szCs w:val="24"/>
        </w:rPr>
        <w:t xml:space="preserve"> The PFCC </w:t>
      </w:r>
      <w:r w:rsidR="00310079" w:rsidRPr="006500AF">
        <w:rPr>
          <w:rFonts w:asciiTheme="minorHAnsi" w:hAnsiTheme="minorHAnsi" w:cs="Arial"/>
          <w:i/>
          <w:sz w:val="24"/>
          <w:szCs w:val="24"/>
        </w:rPr>
        <w:t xml:space="preserve">currently </w:t>
      </w:r>
      <w:r w:rsidRPr="006500AF">
        <w:rPr>
          <w:rFonts w:asciiTheme="minorHAnsi" w:hAnsiTheme="minorHAnsi" w:cs="Arial"/>
          <w:i/>
          <w:sz w:val="24"/>
          <w:szCs w:val="24"/>
        </w:rPr>
        <w:t xml:space="preserve">has </w:t>
      </w:r>
      <w:r w:rsidR="002A7A12" w:rsidRPr="006500AF">
        <w:rPr>
          <w:rFonts w:asciiTheme="minorHAnsi" w:hAnsiTheme="minorHAnsi" w:cs="Arial"/>
          <w:i/>
          <w:sz w:val="24"/>
          <w:szCs w:val="24"/>
        </w:rPr>
        <w:t>adequate</w:t>
      </w:r>
      <w:r w:rsidRPr="006500AF">
        <w:rPr>
          <w:rFonts w:asciiTheme="minorHAnsi" w:hAnsiTheme="minorHAnsi" w:cs="Arial"/>
          <w:i/>
          <w:sz w:val="24"/>
          <w:szCs w:val="24"/>
        </w:rPr>
        <w:t xml:space="preserve"> levels of general and </w:t>
      </w:r>
      <w:r w:rsidR="0081263C" w:rsidRPr="006500AF">
        <w:rPr>
          <w:rFonts w:asciiTheme="minorHAnsi" w:hAnsiTheme="minorHAnsi" w:cs="Arial"/>
          <w:i/>
          <w:sz w:val="24"/>
          <w:szCs w:val="24"/>
        </w:rPr>
        <w:t xml:space="preserve">earmarked </w:t>
      </w:r>
      <w:r w:rsidRPr="006500AF">
        <w:rPr>
          <w:rFonts w:asciiTheme="minorHAnsi" w:hAnsiTheme="minorHAnsi" w:cs="Arial"/>
          <w:i/>
          <w:sz w:val="24"/>
          <w:szCs w:val="24"/>
        </w:rPr>
        <w:t xml:space="preserve">to mitigate any in year or medium term risks and unforeseen financial pressures. </w:t>
      </w:r>
    </w:p>
    <w:p w14:paraId="1344BB9C" w14:textId="77777777" w:rsidR="00325C81" w:rsidRPr="006500AF" w:rsidRDefault="00325C81" w:rsidP="006500AF">
      <w:pPr>
        <w:spacing w:after="0" w:line="240" w:lineRule="auto"/>
        <w:jc w:val="both"/>
        <w:rPr>
          <w:rFonts w:asciiTheme="minorHAnsi" w:hAnsiTheme="minorHAnsi" w:cs="Arial"/>
          <w:b/>
          <w:bCs/>
          <w:i/>
          <w:sz w:val="24"/>
          <w:szCs w:val="24"/>
        </w:rPr>
      </w:pPr>
    </w:p>
    <w:p w14:paraId="14A5C3DB" w14:textId="2B3E6210" w:rsidR="000C2930" w:rsidRPr="006500AF" w:rsidRDefault="000C2930" w:rsidP="000C2930">
      <w:pPr>
        <w:spacing w:after="0" w:line="240" w:lineRule="auto"/>
        <w:ind w:left="567" w:hanging="567"/>
        <w:jc w:val="both"/>
        <w:rPr>
          <w:rFonts w:asciiTheme="minorHAnsi" w:hAnsiTheme="minorHAnsi" w:cs="Arial"/>
          <w:i/>
          <w:sz w:val="24"/>
          <w:szCs w:val="24"/>
        </w:rPr>
      </w:pPr>
      <w:r w:rsidRPr="006500AF">
        <w:rPr>
          <w:rFonts w:asciiTheme="minorHAnsi" w:hAnsiTheme="minorHAnsi" w:cs="Arial"/>
          <w:i/>
          <w:sz w:val="24"/>
          <w:szCs w:val="24"/>
        </w:rPr>
        <w:t xml:space="preserve">I conclude, therefore, that the budget for </w:t>
      </w:r>
      <w:r w:rsidR="008C38F1" w:rsidRPr="006500AF">
        <w:rPr>
          <w:rFonts w:asciiTheme="minorHAnsi" w:hAnsiTheme="minorHAnsi" w:cs="Arial"/>
          <w:i/>
          <w:sz w:val="24"/>
          <w:szCs w:val="24"/>
        </w:rPr>
        <w:t>2023/24</w:t>
      </w:r>
      <w:r w:rsidRPr="006500AF">
        <w:rPr>
          <w:rFonts w:asciiTheme="minorHAnsi" w:hAnsiTheme="minorHAnsi" w:cs="Arial"/>
          <w:i/>
          <w:sz w:val="24"/>
          <w:szCs w:val="24"/>
        </w:rPr>
        <w:t>:</w:t>
      </w:r>
    </w:p>
    <w:p w14:paraId="365763C1" w14:textId="77777777" w:rsidR="000C2930" w:rsidRPr="006500AF" w:rsidRDefault="000C2930" w:rsidP="000C2930">
      <w:pPr>
        <w:spacing w:after="0" w:line="240" w:lineRule="auto"/>
        <w:ind w:left="567" w:hanging="567"/>
        <w:jc w:val="both"/>
        <w:rPr>
          <w:rFonts w:asciiTheme="minorHAnsi" w:hAnsiTheme="minorHAnsi" w:cs="Arial"/>
          <w:i/>
          <w:sz w:val="24"/>
          <w:szCs w:val="24"/>
        </w:rPr>
      </w:pPr>
    </w:p>
    <w:p w14:paraId="519AA99F" w14:textId="22872EEA" w:rsidR="000C2930" w:rsidRPr="006500AF" w:rsidRDefault="000C2930" w:rsidP="00F115BD">
      <w:pPr>
        <w:pStyle w:val="ListParagraph"/>
        <w:numPr>
          <w:ilvl w:val="0"/>
          <w:numId w:val="4"/>
        </w:numPr>
        <w:spacing w:after="0" w:line="240" w:lineRule="auto"/>
        <w:ind w:left="567" w:hanging="567"/>
        <w:jc w:val="both"/>
        <w:rPr>
          <w:rFonts w:asciiTheme="minorHAnsi" w:hAnsiTheme="minorHAnsi" w:cs="Arial"/>
          <w:i/>
          <w:sz w:val="24"/>
          <w:szCs w:val="24"/>
        </w:rPr>
      </w:pPr>
      <w:r w:rsidRPr="006500AF">
        <w:rPr>
          <w:rFonts w:asciiTheme="minorHAnsi" w:hAnsiTheme="minorHAnsi" w:cs="Arial"/>
          <w:i/>
          <w:sz w:val="24"/>
          <w:szCs w:val="24"/>
        </w:rPr>
        <w:t>Has been prepared on a robust basis</w:t>
      </w:r>
      <w:r w:rsidR="006500AF" w:rsidRPr="006500AF">
        <w:rPr>
          <w:rFonts w:asciiTheme="minorHAnsi" w:hAnsiTheme="minorHAnsi" w:cs="Arial"/>
          <w:i/>
          <w:sz w:val="24"/>
          <w:szCs w:val="24"/>
        </w:rPr>
        <w:t>.</w:t>
      </w:r>
    </w:p>
    <w:p w14:paraId="356A0FAE" w14:textId="77777777" w:rsidR="000C2930" w:rsidRPr="006500AF" w:rsidRDefault="000C2930" w:rsidP="000C2930">
      <w:pPr>
        <w:spacing w:after="0" w:line="240" w:lineRule="auto"/>
        <w:ind w:left="567" w:hanging="567"/>
        <w:jc w:val="both"/>
        <w:rPr>
          <w:rFonts w:asciiTheme="minorHAnsi" w:hAnsiTheme="minorHAnsi" w:cs="Arial"/>
          <w:i/>
          <w:sz w:val="24"/>
          <w:szCs w:val="24"/>
        </w:rPr>
      </w:pPr>
    </w:p>
    <w:p w14:paraId="2C04B80E" w14:textId="60275273" w:rsidR="000C2930" w:rsidRPr="006500AF" w:rsidRDefault="000C2930" w:rsidP="00F115BD">
      <w:pPr>
        <w:pStyle w:val="ListParagraph"/>
        <w:numPr>
          <w:ilvl w:val="0"/>
          <w:numId w:val="4"/>
        </w:numPr>
        <w:spacing w:after="0" w:line="240" w:lineRule="auto"/>
        <w:ind w:left="567" w:hanging="567"/>
        <w:jc w:val="both"/>
        <w:rPr>
          <w:rFonts w:asciiTheme="minorHAnsi" w:hAnsiTheme="minorHAnsi" w:cs="Arial"/>
          <w:i/>
          <w:sz w:val="24"/>
          <w:szCs w:val="24"/>
        </w:rPr>
      </w:pPr>
      <w:r w:rsidRPr="006500AF">
        <w:rPr>
          <w:rFonts w:asciiTheme="minorHAnsi" w:hAnsiTheme="minorHAnsi" w:cs="Arial"/>
          <w:i/>
          <w:sz w:val="24"/>
          <w:szCs w:val="24"/>
        </w:rPr>
        <w:t xml:space="preserve">In </w:t>
      </w:r>
      <w:r w:rsidR="008C38F1" w:rsidRPr="006500AF">
        <w:rPr>
          <w:rFonts w:asciiTheme="minorHAnsi" w:hAnsiTheme="minorHAnsi" w:cs="Arial"/>
          <w:i/>
          <w:sz w:val="24"/>
          <w:szCs w:val="24"/>
        </w:rPr>
        <w:t>202</w:t>
      </w:r>
      <w:r w:rsidR="006500AF" w:rsidRPr="006500AF">
        <w:rPr>
          <w:rFonts w:asciiTheme="minorHAnsi" w:hAnsiTheme="minorHAnsi" w:cs="Arial"/>
          <w:i/>
          <w:sz w:val="24"/>
          <w:szCs w:val="24"/>
        </w:rPr>
        <w:t>4</w:t>
      </w:r>
      <w:r w:rsidR="008C38F1" w:rsidRPr="006500AF">
        <w:rPr>
          <w:rFonts w:asciiTheme="minorHAnsi" w:hAnsiTheme="minorHAnsi" w:cs="Arial"/>
          <w:i/>
          <w:sz w:val="24"/>
          <w:szCs w:val="24"/>
        </w:rPr>
        <w:t>/2</w:t>
      </w:r>
      <w:r w:rsidR="006500AF" w:rsidRPr="006500AF">
        <w:rPr>
          <w:rFonts w:asciiTheme="minorHAnsi" w:hAnsiTheme="minorHAnsi" w:cs="Arial"/>
          <w:i/>
          <w:sz w:val="24"/>
          <w:szCs w:val="24"/>
        </w:rPr>
        <w:t>5</w:t>
      </w:r>
      <w:r w:rsidRPr="006500AF">
        <w:rPr>
          <w:rFonts w:asciiTheme="minorHAnsi" w:hAnsiTheme="minorHAnsi" w:cs="Arial"/>
          <w:i/>
          <w:sz w:val="24"/>
          <w:szCs w:val="24"/>
        </w:rPr>
        <w:t xml:space="preserve">, the budget is balanced </w:t>
      </w:r>
      <w:r w:rsidR="006B2D15" w:rsidRPr="006500AF">
        <w:rPr>
          <w:rFonts w:asciiTheme="minorHAnsi" w:hAnsiTheme="minorHAnsi" w:cs="Arial"/>
          <w:i/>
          <w:sz w:val="24"/>
          <w:szCs w:val="24"/>
        </w:rPr>
        <w:t xml:space="preserve">with </w:t>
      </w:r>
      <w:r w:rsidRPr="006500AF">
        <w:rPr>
          <w:rFonts w:asciiTheme="minorHAnsi" w:hAnsiTheme="minorHAnsi" w:cs="Arial"/>
          <w:i/>
          <w:sz w:val="24"/>
          <w:szCs w:val="24"/>
        </w:rPr>
        <w:t>agreed efficienc</w:t>
      </w:r>
      <w:r w:rsidR="00310079" w:rsidRPr="006500AF">
        <w:rPr>
          <w:rFonts w:asciiTheme="minorHAnsi" w:hAnsiTheme="minorHAnsi" w:cs="Arial"/>
          <w:i/>
          <w:sz w:val="24"/>
          <w:szCs w:val="24"/>
        </w:rPr>
        <w:t xml:space="preserve">ies </w:t>
      </w:r>
      <w:r w:rsidR="00A50652" w:rsidRPr="006500AF">
        <w:rPr>
          <w:rFonts w:asciiTheme="minorHAnsi" w:hAnsiTheme="minorHAnsi" w:cs="Arial"/>
          <w:i/>
          <w:sz w:val="24"/>
          <w:szCs w:val="24"/>
        </w:rPr>
        <w:t xml:space="preserve">which </w:t>
      </w:r>
      <w:r w:rsidR="00310079" w:rsidRPr="006500AF">
        <w:rPr>
          <w:rFonts w:asciiTheme="minorHAnsi" w:hAnsiTheme="minorHAnsi" w:cs="Arial"/>
          <w:i/>
          <w:sz w:val="24"/>
          <w:szCs w:val="24"/>
        </w:rPr>
        <w:t>have been identified by the Chief Fire Officer and built into the budget</w:t>
      </w:r>
      <w:r w:rsidR="006500AF" w:rsidRPr="006500AF">
        <w:rPr>
          <w:rFonts w:asciiTheme="minorHAnsi" w:hAnsiTheme="minorHAnsi" w:cs="Arial"/>
          <w:i/>
          <w:sz w:val="24"/>
          <w:szCs w:val="24"/>
        </w:rPr>
        <w:t>.</w:t>
      </w:r>
    </w:p>
    <w:p w14:paraId="5C087611" w14:textId="77777777" w:rsidR="00F115BD" w:rsidRPr="006500AF" w:rsidRDefault="00F115BD" w:rsidP="00F115BD">
      <w:pPr>
        <w:pStyle w:val="ListParagraph"/>
        <w:spacing w:after="0" w:line="240" w:lineRule="auto"/>
        <w:ind w:left="567"/>
        <w:jc w:val="both"/>
        <w:rPr>
          <w:rFonts w:asciiTheme="minorHAnsi" w:hAnsiTheme="minorHAnsi" w:cs="Arial"/>
          <w:i/>
          <w:sz w:val="24"/>
          <w:szCs w:val="24"/>
        </w:rPr>
      </w:pPr>
    </w:p>
    <w:p w14:paraId="4C15B0B3" w14:textId="332608F5" w:rsidR="000C2930" w:rsidRPr="006500AF" w:rsidRDefault="0081263C" w:rsidP="00F115BD">
      <w:pPr>
        <w:pStyle w:val="ListParagraph"/>
        <w:numPr>
          <w:ilvl w:val="0"/>
          <w:numId w:val="4"/>
        </w:numPr>
        <w:spacing w:after="0" w:line="240" w:lineRule="auto"/>
        <w:ind w:left="567" w:hanging="567"/>
        <w:jc w:val="both"/>
        <w:rPr>
          <w:rFonts w:asciiTheme="minorHAnsi" w:hAnsiTheme="minorHAnsi" w:cs="Arial"/>
          <w:i/>
          <w:sz w:val="24"/>
          <w:szCs w:val="24"/>
        </w:rPr>
      </w:pPr>
      <w:r w:rsidRPr="006500AF">
        <w:rPr>
          <w:rFonts w:asciiTheme="minorHAnsi" w:hAnsiTheme="minorHAnsi" w:cs="Arial"/>
          <w:i/>
          <w:sz w:val="24"/>
          <w:szCs w:val="24"/>
        </w:rPr>
        <w:t>General reserve</w:t>
      </w:r>
      <w:r w:rsidR="000C2930" w:rsidRPr="006500AF">
        <w:rPr>
          <w:rFonts w:asciiTheme="minorHAnsi" w:hAnsiTheme="minorHAnsi" w:cs="Arial"/>
          <w:i/>
          <w:sz w:val="24"/>
          <w:szCs w:val="24"/>
        </w:rPr>
        <w:t>s are</w:t>
      </w:r>
      <w:r w:rsidR="00F115BD" w:rsidRPr="006500AF">
        <w:rPr>
          <w:rFonts w:asciiTheme="minorHAnsi" w:hAnsiTheme="minorHAnsi" w:cs="Arial"/>
          <w:i/>
          <w:sz w:val="24"/>
          <w:szCs w:val="24"/>
        </w:rPr>
        <w:t xml:space="preserve"> currently </w:t>
      </w:r>
      <w:r w:rsidR="002A7A12" w:rsidRPr="006500AF">
        <w:rPr>
          <w:rFonts w:asciiTheme="minorHAnsi" w:hAnsiTheme="minorHAnsi" w:cs="Arial"/>
          <w:i/>
          <w:sz w:val="24"/>
          <w:szCs w:val="24"/>
        </w:rPr>
        <w:t xml:space="preserve">adequate and sufficient </w:t>
      </w:r>
      <w:r w:rsidR="000C2930" w:rsidRPr="006500AF">
        <w:rPr>
          <w:rFonts w:asciiTheme="minorHAnsi" w:hAnsiTheme="minorHAnsi" w:cs="Arial"/>
          <w:i/>
          <w:sz w:val="24"/>
          <w:szCs w:val="24"/>
        </w:rPr>
        <w:t>to meet essential risks and challenges</w:t>
      </w:r>
      <w:r w:rsidR="00F115BD" w:rsidRPr="006500AF">
        <w:rPr>
          <w:rFonts w:asciiTheme="minorHAnsi" w:hAnsiTheme="minorHAnsi" w:cs="Arial"/>
          <w:i/>
          <w:sz w:val="24"/>
          <w:szCs w:val="24"/>
        </w:rPr>
        <w:t xml:space="preserve">. If </w:t>
      </w:r>
      <w:r w:rsidR="006500AF" w:rsidRPr="006500AF">
        <w:rPr>
          <w:rFonts w:asciiTheme="minorHAnsi" w:hAnsiTheme="minorHAnsi" w:cs="Arial"/>
          <w:i/>
          <w:sz w:val="24"/>
          <w:szCs w:val="24"/>
        </w:rPr>
        <w:t>possible</w:t>
      </w:r>
      <w:r w:rsidR="00F115BD" w:rsidRPr="006500AF">
        <w:rPr>
          <w:rFonts w:asciiTheme="minorHAnsi" w:hAnsiTheme="minorHAnsi" w:cs="Arial"/>
          <w:i/>
          <w:sz w:val="24"/>
          <w:szCs w:val="24"/>
        </w:rPr>
        <w:t>, general</w:t>
      </w:r>
      <w:r w:rsidR="000C2930" w:rsidRPr="006500AF">
        <w:rPr>
          <w:rFonts w:asciiTheme="minorHAnsi" w:hAnsiTheme="minorHAnsi" w:cs="Arial"/>
          <w:i/>
          <w:sz w:val="24"/>
          <w:szCs w:val="24"/>
        </w:rPr>
        <w:t xml:space="preserve"> and </w:t>
      </w:r>
      <w:r w:rsidRPr="006500AF">
        <w:rPr>
          <w:rFonts w:asciiTheme="minorHAnsi" w:hAnsiTheme="minorHAnsi" w:cs="Arial"/>
          <w:i/>
          <w:sz w:val="24"/>
          <w:szCs w:val="24"/>
        </w:rPr>
        <w:t>earmarked reserve</w:t>
      </w:r>
      <w:r w:rsidR="000C2930" w:rsidRPr="006500AF">
        <w:rPr>
          <w:rFonts w:asciiTheme="minorHAnsi" w:hAnsiTheme="minorHAnsi" w:cs="Arial"/>
          <w:i/>
          <w:sz w:val="24"/>
          <w:szCs w:val="24"/>
        </w:rPr>
        <w:t>s will continue to be built where it is appropriate and prudent to do so.</w:t>
      </w:r>
    </w:p>
    <w:p w14:paraId="7728A508" w14:textId="77777777" w:rsidR="000C2930" w:rsidRPr="006500AF" w:rsidRDefault="000C2930" w:rsidP="000C2930">
      <w:pPr>
        <w:pStyle w:val="ListParagraph"/>
        <w:ind w:left="1134" w:hanging="283"/>
        <w:jc w:val="both"/>
        <w:rPr>
          <w:rFonts w:asciiTheme="minorHAnsi" w:hAnsiTheme="minorHAnsi" w:cs="Arial"/>
          <w:i/>
          <w:sz w:val="24"/>
          <w:szCs w:val="24"/>
        </w:rPr>
      </w:pPr>
    </w:p>
    <w:p w14:paraId="3424B356" w14:textId="47219389" w:rsidR="000C2930" w:rsidRPr="006500AF" w:rsidRDefault="000C2930" w:rsidP="006500AF">
      <w:pPr>
        <w:pStyle w:val="ListParagraph"/>
        <w:numPr>
          <w:ilvl w:val="0"/>
          <w:numId w:val="4"/>
        </w:numPr>
        <w:spacing w:after="0" w:line="240" w:lineRule="auto"/>
        <w:ind w:left="567" w:hanging="567"/>
        <w:jc w:val="both"/>
        <w:rPr>
          <w:rFonts w:asciiTheme="minorHAnsi" w:hAnsiTheme="minorHAnsi" w:cs="Arial"/>
          <w:i/>
          <w:sz w:val="24"/>
          <w:szCs w:val="24"/>
        </w:rPr>
      </w:pPr>
      <w:r w:rsidRPr="006500AF">
        <w:rPr>
          <w:rFonts w:asciiTheme="minorHAnsi" w:hAnsiTheme="minorHAnsi" w:cs="Arial"/>
          <w:i/>
          <w:sz w:val="24"/>
          <w:szCs w:val="24"/>
        </w:rPr>
        <w:t xml:space="preserve">The Fire revenue budget and </w:t>
      </w:r>
      <w:r w:rsidR="0081263C" w:rsidRPr="006500AF">
        <w:rPr>
          <w:rFonts w:asciiTheme="minorHAnsi" w:hAnsiTheme="minorHAnsi" w:cs="Arial"/>
          <w:i/>
          <w:sz w:val="24"/>
          <w:szCs w:val="24"/>
        </w:rPr>
        <w:t>reserve</w:t>
      </w:r>
      <w:r w:rsidRPr="006500AF">
        <w:rPr>
          <w:rFonts w:asciiTheme="minorHAnsi" w:hAnsiTheme="minorHAnsi" w:cs="Arial"/>
          <w:i/>
          <w:sz w:val="24"/>
          <w:szCs w:val="24"/>
        </w:rPr>
        <w:t>s are now more resilient</w:t>
      </w:r>
      <w:r w:rsidR="009428A9">
        <w:rPr>
          <w:rFonts w:asciiTheme="minorHAnsi" w:hAnsiTheme="minorHAnsi" w:cs="Arial"/>
          <w:i/>
          <w:sz w:val="24"/>
          <w:szCs w:val="24"/>
        </w:rPr>
        <w:t>,</w:t>
      </w:r>
      <w:r w:rsidRPr="006500AF">
        <w:rPr>
          <w:rFonts w:asciiTheme="minorHAnsi" w:hAnsiTheme="minorHAnsi" w:cs="Arial"/>
          <w:i/>
          <w:sz w:val="24"/>
          <w:szCs w:val="24"/>
        </w:rPr>
        <w:t xml:space="preserve"> and it is important that the budget is managed within the funding envelope each year and </w:t>
      </w:r>
      <w:r w:rsidR="0081263C" w:rsidRPr="006500AF">
        <w:rPr>
          <w:rFonts w:asciiTheme="minorHAnsi" w:hAnsiTheme="minorHAnsi" w:cs="Arial"/>
          <w:i/>
          <w:sz w:val="24"/>
          <w:szCs w:val="24"/>
        </w:rPr>
        <w:t>earmarked reserve</w:t>
      </w:r>
      <w:r w:rsidRPr="006500AF">
        <w:rPr>
          <w:rFonts w:asciiTheme="minorHAnsi" w:hAnsiTheme="minorHAnsi" w:cs="Arial"/>
          <w:i/>
          <w:sz w:val="24"/>
          <w:szCs w:val="24"/>
        </w:rPr>
        <w:t>s are used where appropriate to support unforeseen issues or additional investment, n</w:t>
      </w:r>
      <w:r w:rsidR="001D2C10" w:rsidRPr="006500AF">
        <w:rPr>
          <w:rFonts w:asciiTheme="minorHAnsi" w:hAnsiTheme="minorHAnsi" w:cs="Arial"/>
          <w:i/>
          <w:sz w:val="24"/>
          <w:szCs w:val="24"/>
        </w:rPr>
        <w:t>o</w:t>
      </w:r>
      <w:r w:rsidRPr="006500AF">
        <w:rPr>
          <w:rFonts w:asciiTheme="minorHAnsi" w:hAnsiTheme="minorHAnsi" w:cs="Arial"/>
          <w:i/>
          <w:sz w:val="24"/>
          <w:szCs w:val="24"/>
        </w:rPr>
        <w:t>t to balance the annual budget.</w:t>
      </w:r>
    </w:p>
    <w:p w14:paraId="22009A83" w14:textId="77777777" w:rsidR="006500AF" w:rsidRPr="006500AF" w:rsidRDefault="006500AF" w:rsidP="006500AF">
      <w:pPr>
        <w:pStyle w:val="ListParagraph"/>
        <w:rPr>
          <w:rFonts w:asciiTheme="minorHAnsi" w:hAnsiTheme="minorHAnsi" w:cs="Arial"/>
          <w:i/>
          <w:sz w:val="24"/>
          <w:szCs w:val="24"/>
        </w:rPr>
      </w:pPr>
    </w:p>
    <w:p w14:paraId="0B2B9505" w14:textId="77777777" w:rsidR="006500AF" w:rsidRPr="006500AF" w:rsidRDefault="006500AF" w:rsidP="006500AF">
      <w:pPr>
        <w:pStyle w:val="ListParagraph"/>
        <w:spacing w:after="0" w:line="240" w:lineRule="auto"/>
        <w:ind w:left="567"/>
        <w:jc w:val="both"/>
        <w:rPr>
          <w:rFonts w:asciiTheme="minorHAnsi" w:hAnsiTheme="minorHAnsi" w:cs="Arial"/>
          <w:i/>
          <w:sz w:val="24"/>
          <w:szCs w:val="24"/>
        </w:rPr>
      </w:pPr>
    </w:p>
    <w:p w14:paraId="7F00C1FB" w14:textId="53721D80" w:rsidR="000C2930" w:rsidRPr="006500AF" w:rsidRDefault="000C2930" w:rsidP="00F115BD">
      <w:pPr>
        <w:pStyle w:val="ListParagraph"/>
        <w:numPr>
          <w:ilvl w:val="0"/>
          <w:numId w:val="4"/>
        </w:numPr>
        <w:spacing w:after="0" w:line="240" w:lineRule="auto"/>
        <w:ind w:left="567" w:hanging="567"/>
        <w:jc w:val="both"/>
        <w:rPr>
          <w:rFonts w:asciiTheme="minorHAnsi" w:hAnsiTheme="minorHAnsi" w:cs="Arial"/>
          <w:i/>
          <w:sz w:val="24"/>
          <w:szCs w:val="24"/>
        </w:rPr>
      </w:pPr>
      <w:r w:rsidRPr="006500AF">
        <w:rPr>
          <w:rFonts w:asciiTheme="minorHAnsi" w:hAnsiTheme="minorHAnsi" w:cs="Arial"/>
          <w:i/>
          <w:sz w:val="24"/>
          <w:szCs w:val="24"/>
        </w:rPr>
        <w:t>The future financial landscape is uncertain and whilst the MTFP is balanced for three years, it does require the identified efficiencies to be taken forward. The MTFP will continue to be kept under regular review as the efficiency savings plan progresses.”</w:t>
      </w:r>
    </w:p>
    <w:p w14:paraId="677FF56F" w14:textId="6E25CDDA" w:rsidR="00375414" w:rsidRDefault="00375414" w:rsidP="000C2930">
      <w:pPr>
        <w:spacing w:after="0" w:line="240" w:lineRule="auto"/>
        <w:jc w:val="both"/>
        <w:rPr>
          <w:rFonts w:asciiTheme="minorHAnsi" w:hAnsiTheme="minorHAnsi" w:cs="Arial"/>
          <w:b/>
          <w:sz w:val="24"/>
          <w:szCs w:val="24"/>
        </w:rPr>
      </w:pPr>
    </w:p>
    <w:p w14:paraId="3B57114B" w14:textId="77777777" w:rsidR="009428A9" w:rsidRPr="006500AF" w:rsidRDefault="009428A9" w:rsidP="000C2930">
      <w:pPr>
        <w:spacing w:after="0" w:line="240" w:lineRule="auto"/>
        <w:jc w:val="both"/>
        <w:rPr>
          <w:rFonts w:asciiTheme="minorHAnsi" w:hAnsiTheme="minorHAnsi" w:cs="Arial"/>
          <w:b/>
          <w:sz w:val="24"/>
          <w:szCs w:val="24"/>
        </w:rPr>
      </w:pPr>
    </w:p>
    <w:p w14:paraId="6029D0A5" w14:textId="77AA110A" w:rsidR="00375414" w:rsidRPr="006500AF" w:rsidRDefault="006500AF" w:rsidP="000C2930">
      <w:pPr>
        <w:spacing w:after="0" w:line="240" w:lineRule="auto"/>
        <w:jc w:val="both"/>
        <w:rPr>
          <w:rFonts w:asciiTheme="minorHAnsi" w:hAnsiTheme="minorHAnsi" w:cs="Arial"/>
          <w:b/>
          <w:sz w:val="24"/>
          <w:szCs w:val="24"/>
        </w:rPr>
      </w:pPr>
      <w:r>
        <w:rPr>
          <w:rFonts w:asciiTheme="minorHAnsi" w:hAnsiTheme="minorHAnsi" w:cs="Arial"/>
          <w:b/>
          <w:sz w:val="24"/>
          <w:szCs w:val="24"/>
        </w:rPr>
        <w:t>Vaughan Ashcroft</w:t>
      </w:r>
    </w:p>
    <w:p w14:paraId="017BA3FF" w14:textId="468234F5" w:rsidR="00375414" w:rsidRPr="006500AF" w:rsidRDefault="00375414" w:rsidP="000C2930">
      <w:pPr>
        <w:spacing w:after="0" w:line="240" w:lineRule="auto"/>
        <w:jc w:val="both"/>
        <w:rPr>
          <w:rFonts w:asciiTheme="minorHAnsi" w:hAnsiTheme="minorHAnsi" w:cs="Arial"/>
          <w:b/>
          <w:sz w:val="24"/>
          <w:szCs w:val="24"/>
        </w:rPr>
      </w:pPr>
      <w:r w:rsidRPr="006500AF">
        <w:rPr>
          <w:rFonts w:asciiTheme="minorHAnsi" w:hAnsiTheme="minorHAnsi" w:cs="Arial"/>
          <w:b/>
          <w:sz w:val="24"/>
          <w:szCs w:val="24"/>
        </w:rPr>
        <w:t>Section</w:t>
      </w:r>
      <w:r w:rsidR="006500AF">
        <w:rPr>
          <w:rFonts w:asciiTheme="minorHAnsi" w:hAnsiTheme="minorHAnsi" w:cs="Arial"/>
          <w:b/>
          <w:sz w:val="24"/>
          <w:szCs w:val="24"/>
        </w:rPr>
        <w:t xml:space="preserve"> </w:t>
      </w:r>
      <w:r w:rsidR="006B2D15" w:rsidRPr="006500AF">
        <w:rPr>
          <w:rFonts w:asciiTheme="minorHAnsi" w:hAnsiTheme="minorHAnsi" w:cs="Arial"/>
          <w:b/>
          <w:sz w:val="24"/>
          <w:szCs w:val="24"/>
        </w:rPr>
        <w:t>1</w:t>
      </w:r>
      <w:r w:rsidRPr="006500AF">
        <w:rPr>
          <w:rFonts w:asciiTheme="minorHAnsi" w:hAnsiTheme="minorHAnsi" w:cs="Arial"/>
          <w:b/>
          <w:sz w:val="24"/>
          <w:szCs w:val="24"/>
        </w:rPr>
        <w:t>51 and Chief Finance Officer</w:t>
      </w:r>
    </w:p>
    <w:p w14:paraId="28D98208" w14:textId="0DCA346D" w:rsidR="00375414" w:rsidRPr="006500AF" w:rsidRDefault="00375414" w:rsidP="000C2930">
      <w:pPr>
        <w:spacing w:after="0" w:line="240" w:lineRule="auto"/>
        <w:jc w:val="both"/>
        <w:rPr>
          <w:rFonts w:asciiTheme="minorHAnsi" w:hAnsiTheme="minorHAnsi" w:cs="Arial"/>
          <w:b/>
          <w:sz w:val="24"/>
          <w:szCs w:val="24"/>
        </w:rPr>
      </w:pPr>
      <w:r w:rsidRPr="006500AF">
        <w:rPr>
          <w:rFonts w:asciiTheme="minorHAnsi" w:hAnsiTheme="minorHAnsi" w:cs="Arial"/>
          <w:b/>
          <w:sz w:val="24"/>
          <w:szCs w:val="24"/>
        </w:rPr>
        <w:t>Northamptonshire Commissioner Fire and Rescue Authority</w:t>
      </w:r>
    </w:p>
    <w:p w14:paraId="214A00A2" w14:textId="2F0701D2" w:rsidR="00F115BD" w:rsidRPr="006500AF" w:rsidRDefault="00F115BD">
      <w:pPr>
        <w:spacing w:after="0" w:line="240" w:lineRule="auto"/>
        <w:rPr>
          <w:rFonts w:asciiTheme="minorHAnsi" w:hAnsiTheme="minorHAnsi" w:cs="Arial"/>
          <w:b/>
          <w:sz w:val="24"/>
          <w:szCs w:val="24"/>
        </w:rPr>
      </w:pPr>
      <w:r w:rsidRPr="006500AF">
        <w:rPr>
          <w:rFonts w:asciiTheme="minorHAnsi" w:hAnsiTheme="minorHAnsi" w:cs="Arial"/>
          <w:b/>
          <w:sz w:val="24"/>
          <w:szCs w:val="24"/>
        </w:rPr>
        <w:br w:type="page"/>
      </w:r>
    </w:p>
    <w:p w14:paraId="4038FD40" w14:textId="77777777" w:rsidR="009428A9" w:rsidRPr="000F4427" w:rsidRDefault="009428A9" w:rsidP="009428A9">
      <w:pPr>
        <w:pStyle w:val="NoSpacing"/>
        <w:rPr>
          <w:b/>
          <w:bCs/>
          <w:sz w:val="24"/>
          <w:szCs w:val="24"/>
        </w:rPr>
      </w:pPr>
      <w:r w:rsidRPr="000F4427">
        <w:rPr>
          <w:b/>
          <w:bCs/>
          <w:sz w:val="24"/>
          <w:szCs w:val="24"/>
        </w:rPr>
        <w:t>Appendix D</w:t>
      </w:r>
    </w:p>
    <w:p w14:paraId="6558621B" w14:textId="77777777" w:rsidR="009428A9" w:rsidRPr="000F4427" w:rsidRDefault="009428A9" w:rsidP="009428A9">
      <w:pPr>
        <w:pStyle w:val="NoSpacing"/>
        <w:rPr>
          <w:b/>
          <w:bCs/>
          <w:sz w:val="24"/>
          <w:szCs w:val="24"/>
        </w:rPr>
      </w:pPr>
      <w:r w:rsidRPr="000F4427">
        <w:rPr>
          <w:b/>
          <w:bCs/>
          <w:sz w:val="24"/>
          <w:szCs w:val="24"/>
        </w:rPr>
        <w:t>Reserves Strategy</w:t>
      </w:r>
    </w:p>
    <w:p w14:paraId="0AB88831" w14:textId="77777777" w:rsidR="009428A9" w:rsidRPr="000F4427" w:rsidRDefault="009428A9" w:rsidP="009428A9">
      <w:pPr>
        <w:spacing w:after="0" w:line="240" w:lineRule="auto"/>
        <w:jc w:val="center"/>
        <w:rPr>
          <w:rFonts w:ascii="Arial" w:eastAsia="Times New Roman" w:hAnsi="Arial"/>
          <w:szCs w:val="24"/>
        </w:rPr>
      </w:pPr>
      <w:r w:rsidRPr="000F4427">
        <w:rPr>
          <w:rFonts w:ascii="Arial" w:eastAsia="Times New Roman" w:hAnsi="Arial"/>
          <w:noProof/>
          <w:szCs w:val="24"/>
        </w:rPr>
        <w:drawing>
          <wp:inline distT="0" distB="0" distL="0" distR="0" wp14:anchorId="0D237BC0" wp14:editId="254F20F6">
            <wp:extent cx="1781175" cy="1743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743075"/>
                    </a:xfrm>
                    <a:prstGeom prst="rect">
                      <a:avLst/>
                    </a:prstGeom>
                    <a:noFill/>
                    <a:ln>
                      <a:noFill/>
                    </a:ln>
                  </pic:spPr>
                </pic:pic>
              </a:graphicData>
            </a:graphic>
          </wp:inline>
        </w:drawing>
      </w:r>
    </w:p>
    <w:p w14:paraId="644D863B" w14:textId="77777777" w:rsidR="009428A9" w:rsidRPr="000F4427" w:rsidRDefault="009428A9" w:rsidP="009428A9">
      <w:pPr>
        <w:spacing w:after="0" w:line="240" w:lineRule="auto"/>
        <w:rPr>
          <w:rFonts w:ascii="Arial" w:eastAsia="Times New Roman" w:hAnsi="Arial"/>
          <w:szCs w:val="24"/>
        </w:rPr>
      </w:pPr>
    </w:p>
    <w:p w14:paraId="2067C392" w14:textId="6135751E" w:rsidR="00F115BD" w:rsidRPr="000F4427" w:rsidRDefault="00F115BD" w:rsidP="00F115BD">
      <w:pPr>
        <w:jc w:val="center"/>
        <w:rPr>
          <w:rFonts w:cs="Arial"/>
          <w:b/>
          <w:sz w:val="24"/>
        </w:rPr>
      </w:pPr>
      <w:r w:rsidRPr="000F4427">
        <w:rPr>
          <w:rFonts w:cs="Arial"/>
          <w:b/>
          <w:sz w:val="24"/>
        </w:rPr>
        <w:t xml:space="preserve">NORTHAMPTONSHIRE COMMISSIONER FIRE AND RESCUE AUTHORITY </w:t>
      </w:r>
      <w:r w:rsidRPr="000F4427">
        <w:rPr>
          <w:rFonts w:cs="Arial"/>
          <w:b/>
          <w:sz w:val="24"/>
        </w:rPr>
        <w:br/>
      </w:r>
      <w:r w:rsidR="0081263C" w:rsidRPr="000F4427">
        <w:rPr>
          <w:rFonts w:cs="Arial"/>
          <w:b/>
          <w:sz w:val="24"/>
        </w:rPr>
        <w:t>RESERVE</w:t>
      </w:r>
      <w:r w:rsidR="00F671CE" w:rsidRPr="000F4427">
        <w:rPr>
          <w:rFonts w:cs="Arial"/>
          <w:b/>
          <w:sz w:val="24"/>
        </w:rPr>
        <w:t>S STRATEGY</w:t>
      </w:r>
      <w:r w:rsidRPr="000F4427">
        <w:rPr>
          <w:rFonts w:cs="Arial"/>
          <w:b/>
          <w:sz w:val="24"/>
        </w:rPr>
        <w:t xml:space="preserve"> </w:t>
      </w:r>
      <w:r w:rsidR="009428A9" w:rsidRPr="000F4427">
        <w:rPr>
          <w:rFonts w:cs="Arial"/>
          <w:b/>
          <w:sz w:val="24"/>
        </w:rPr>
        <w:t>(</w:t>
      </w:r>
      <w:r w:rsidR="00D92C2F">
        <w:rPr>
          <w:rFonts w:cs="Arial"/>
          <w:b/>
          <w:sz w:val="24"/>
        </w:rPr>
        <w:t>REVISED</w:t>
      </w:r>
      <w:r w:rsidR="009428A9" w:rsidRPr="000F4427">
        <w:rPr>
          <w:rFonts w:cs="Arial"/>
          <w:b/>
          <w:sz w:val="24"/>
        </w:rPr>
        <w:t xml:space="preserve"> </w:t>
      </w:r>
      <w:r w:rsidRPr="000F4427">
        <w:rPr>
          <w:rFonts w:cs="Arial"/>
          <w:b/>
          <w:sz w:val="24"/>
        </w:rPr>
        <w:t>JANUARY 202</w:t>
      </w:r>
      <w:r w:rsidR="009428A9" w:rsidRPr="000F4427">
        <w:rPr>
          <w:rFonts w:cs="Arial"/>
          <w:b/>
          <w:sz w:val="24"/>
        </w:rPr>
        <w:t>4)</w:t>
      </w:r>
    </w:p>
    <w:p w14:paraId="318F0130" w14:textId="77777777" w:rsidR="009428A9" w:rsidRPr="000F4427" w:rsidRDefault="009428A9" w:rsidP="009428A9">
      <w:pPr>
        <w:pStyle w:val="ReservesHeading"/>
      </w:pPr>
      <w:r w:rsidRPr="000F4427">
        <w:t>Reserves Strategy</w:t>
      </w:r>
    </w:p>
    <w:p w14:paraId="562D6C66" w14:textId="77777777" w:rsidR="009428A9" w:rsidRPr="000F4427" w:rsidRDefault="009428A9" w:rsidP="009428A9">
      <w:pPr>
        <w:pStyle w:val="ReservesBody"/>
      </w:pPr>
      <w:r w:rsidRPr="000F4427">
        <w:t>Reserves are a key part of medium-term financial planning with other components including revenue spending plans, income forecasts, potential liabilities, capital investment plans, borrowing and council tax levels.  Decisions on these are inter-linked.  Consequently, some organisations will need to maintain reserves at higher levels than others.</w:t>
      </w:r>
    </w:p>
    <w:p w14:paraId="27A4565B" w14:textId="77777777" w:rsidR="009428A9" w:rsidRPr="000F4427" w:rsidRDefault="009428A9" w:rsidP="009428A9">
      <w:pPr>
        <w:pStyle w:val="ReservesBody"/>
      </w:pPr>
      <w:r w:rsidRPr="000F4427">
        <w:t>All publicly funded organisations should have a reserves strategy to demonstrate transparency and accountability, to comply with best practice financial management and to justify the levels of reserves held.</w:t>
      </w:r>
    </w:p>
    <w:p w14:paraId="6691979B" w14:textId="77777777" w:rsidR="009428A9" w:rsidRPr="000F4427" w:rsidRDefault="009428A9" w:rsidP="009428A9">
      <w:pPr>
        <w:pStyle w:val="ReservesBody"/>
      </w:pPr>
      <w:r w:rsidRPr="000F4427">
        <w:t>The PFCC maintains reserves to provide a measure of protection against risk.  Without this protection, any unforeseen expenditure would have to be met either by increases in Council Tax or immediate savings (potentially through reductions in service levels).</w:t>
      </w:r>
    </w:p>
    <w:p w14:paraId="7A71F823" w14:textId="77777777" w:rsidR="009428A9" w:rsidRPr="000F4427" w:rsidRDefault="009428A9" w:rsidP="009428A9">
      <w:pPr>
        <w:pStyle w:val="ReservesBody"/>
      </w:pPr>
      <w:r w:rsidRPr="000F4427">
        <w:t xml:space="preserve">The term "reserves" has a variety of technical and everyday meanings, depending on the context in which it is used.  In this strategy, it is taken to mean funds set-aside at the PFCC’s discretion for general or specific future purposes. </w:t>
      </w:r>
    </w:p>
    <w:p w14:paraId="16329800" w14:textId="77777777" w:rsidR="009428A9" w:rsidRPr="000F4427" w:rsidRDefault="009428A9" w:rsidP="009428A9">
      <w:pPr>
        <w:pStyle w:val="ReservesBody"/>
      </w:pPr>
      <w:r w:rsidRPr="000F4427">
        <w:t>Reserves are required to protect and enhance the financial viability and in particular:</w:t>
      </w:r>
    </w:p>
    <w:p w14:paraId="2DFDE2C9" w14:textId="77777777" w:rsidR="009428A9" w:rsidRPr="000F4427" w:rsidRDefault="009428A9" w:rsidP="009428A9">
      <w:pPr>
        <w:pStyle w:val="Reservesbullet"/>
      </w:pPr>
      <w:r w:rsidRPr="000F4427">
        <w:t>To maintain a degree of in-year financial flexibility.</w:t>
      </w:r>
    </w:p>
    <w:p w14:paraId="7FF207FE" w14:textId="77777777" w:rsidR="009428A9" w:rsidRPr="000F4427" w:rsidRDefault="009428A9" w:rsidP="009428A9">
      <w:pPr>
        <w:pStyle w:val="Reservesbullet"/>
      </w:pPr>
      <w:r w:rsidRPr="000F4427">
        <w:t>To enable the PFCC to deal with unforeseen circumstances and incidents.</w:t>
      </w:r>
    </w:p>
    <w:p w14:paraId="0329865A" w14:textId="77777777" w:rsidR="009428A9" w:rsidRPr="000F4427" w:rsidRDefault="009428A9" w:rsidP="009428A9">
      <w:pPr>
        <w:pStyle w:val="Reservesbullet"/>
      </w:pPr>
      <w:r w:rsidRPr="000F4427">
        <w:t>To set aside monies to fund major developments in future years.</w:t>
      </w:r>
    </w:p>
    <w:p w14:paraId="6B13CD89" w14:textId="77777777" w:rsidR="009428A9" w:rsidRPr="000F4427" w:rsidRDefault="009428A9" w:rsidP="009428A9">
      <w:pPr>
        <w:pStyle w:val="Reservesbullet"/>
      </w:pPr>
      <w:r w:rsidRPr="000F4427">
        <w:t>To enable the PFCC to invest to transform and achieve improved service effectiveness and efficiency.</w:t>
      </w:r>
    </w:p>
    <w:p w14:paraId="71C0EC5E" w14:textId="77777777" w:rsidR="009428A9" w:rsidRPr="000F4427" w:rsidRDefault="009428A9" w:rsidP="009428A9">
      <w:pPr>
        <w:pStyle w:val="Reservesbullet"/>
      </w:pPr>
      <w:r w:rsidRPr="000F4427">
        <w:t>To set aside sums for known and potential liabilities.</w:t>
      </w:r>
    </w:p>
    <w:p w14:paraId="1138BCC6" w14:textId="77777777" w:rsidR="009428A9" w:rsidRPr="000F4427" w:rsidRDefault="009428A9" w:rsidP="009428A9">
      <w:pPr>
        <w:pStyle w:val="Reservesbullet"/>
      </w:pPr>
      <w:r w:rsidRPr="000F4427">
        <w:t>To provide an operational contingency at service level.</w:t>
      </w:r>
    </w:p>
    <w:p w14:paraId="48AEBDB0" w14:textId="77777777" w:rsidR="009428A9" w:rsidRPr="000F4427" w:rsidRDefault="009428A9" w:rsidP="009428A9">
      <w:pPr>
        <w:pStyle w:val="ReservesBody"/>
      </w:pPr>
      <w:r w:rsidRPr="000F4427">
        <w:t>Reserves should not be held to fund ongoing revenue expenditure as this is unsustainable in the long term.  However, they may be important in smoothing a major financial imbalance (revenue or capital) over a longer timescale.  CIPFA Bulletin 13 – Local Authority Reserves and Balances (Updated) published March 2023 states:</w:t>
      </w:r>
    </w:p>
    <w:p w14:paraId="53A5B2E5" w14:textId="71A72CC9" w:rsidR="00F115BD" w:rsidRPr="000F4427" w:rsidRDefault="009428A9" w:rsidP="009428A9">
      <w:pPr>
        <w:pStyle w:val="ReservesBody"/>
        <w:numPr>
          <w:ilvl w:val="0"/>
          <w:numId w:val="0"/>
        </w:numPr>
        <w:ind w:left="567"/>
      </w:pPr>
      <w:r w:rsidRPr="000F4427">
        <w:t>“Balancing the annual budget by drawing on general reserves may be viewed as a legitimate short-term option.  However, it is not normally prudent for reserves to be deployed to finance recurrent expenditure.  CIPFA has commented that councils should be particularly wary about using one off reserves to deal with shortfalls in current funding.  Where such action is to be taken, this should be made explicit, and an explanation given as to how such expenditure will be funded in the medium to long term.”</w:t>
      </w:r>
      <w:r w:rsidR="00F115BD" w:rsidRPr="000F4427">
        <w:rPr>
          <w:rFonts w:cs="Arial"/>
          <w:color w:val="FF0000"/>
          <w:highlight w:val="yellow"/>
        </w:rPr>
        <w:t xml:space="preserve"> </w:t>
      </w:r>
    </w:p>
    <w:p w14:paraId="4D544BB6" w14:textId="442F46AA" w:rsidR="00F115BD" w:rsidRPr="000F4427" w:rsidRDefault="00F115BD" w:rsidP="009428A9">
      <w:pPr>
        <w:pStyle w:val="ReservesBody"/>
      </w:pPr>
      <w:r w:rsidRPr="000F4427">
        <w:t xml:space="preserve">The Northamptonshire Commissioner Fire and Rescue Authority (NCFRA) was established on the 1 January 2019 with no transfer of </w:t>
      </w:r>
      <w:r w:rsidR="0081263C" w:rsidRPr="000F4427">
        <w:t>reserve</w:t>
      </w:r>
      <w:r w:rsidRPr="000F4427">
        <w:t xml:space="preserve">s agreed as part of the business case. </w:t>
      </w:r>
      <w:r w:rsidR="009428A9" w:rsidRPr="000F4427">
        <w:t xml:space="preserve"> </w:t>
      </w:r>
      <w:r w:rsidRPr="000F4427">
        <w:t xml:space="preserve">As such, a three year financial stability period was set to establish a more stable budget position, supported by a sufficient level of </w:t>
      </w:r>
      <w:r w:rsidR="0081263C" w:rsidRPr="000F4427">
        <w:t>reserve</w:t>
      </w:r>
      <w:r w:rsidRPr="000F4427">
        <w:t>s.</w:t>
      </w:r>
    </w:p>
    <w:p w14:paraId="57D24D4F" w14:textId="230AE95B" w:rsidR="00F115BD" w:rsidRPr="000F4427" w:rsidRDefault="00F115BD" w:rsidP="009428A9">
      <w:pPr>
        <w:pStyle w:val="ReservesBody"/>
      </w:pPr>
      <w:r w:rsidRPr="000F4427">
        <w:t xml:space="preserve">Tight financial planning, together with assistance from the Home Office has enabled a sufficient </w:t>
      </w:r>
      <w:r w:rsidR="0081263C" w:rsidRPr="000F4427">
        <w:t>reserve</w:t>
      </w:r>
      <w:r w:rsidRPr="000F4427">
        <w:t xml:space="preserve">s position to be sufficient currently. </w:t>
      </w:r>
      <w:r w:rsidR="009428A9" w:rsidRPr="000F4427">
        <w:t xml:space="preserve"> </w:t>
      </w:r>
      <w:r w:rsidRPr="000F4427">
        <w:t xml:space="preserve">However, work </w:t>
      </w:r>
      <w:r w:rsidR="009428A9" w:rsidRPr="000F4427">
        <w:t>on</w:t>
      </w:r>
      <w:r w:rsidRPr="000F4427">
        <w:t xml:space="preserve"> the budget and Medium</w:t>
      </w:r>
      <w:r w:rsidR="007728F2" w:rsidRPr="000F4427">
        <w:t>-</w:t>
      </w:r>
      <w:r w:rsidRPr="000F4427">
        <w:t xml:space="preserve">Term Financial Plan has identified that the financial risks from inflation and other pressures are </w:t>
      </w:r>
      <w:r w:rsidR="009428A9" w:rsidRPr="000F4427">
        <w:t xml:space="preserve">still </w:t>
      </w:r>
      <w:r w:rsidRPr="000F4427">
        <w:t xml:space="preserve">forecast to be higher than funding available to the service. </w:t>
      </w:r>
      <w:r w:rsidR="009428A9" w:rsidRPr="000F4427">
        <w:t xml:space="preserve"> </w:t>
      </w:r>
      <w:r w:rsidRPr="000F4427">
        <w:t>Despite annual efficiency targets, funding deficits are identified in future years.</w:t>
      </w:r>
    </w:p>
    <w:p w14:paraId="49F78FCC" w14:textId="77777777" w:rsidR="009428A9" w:rsidRPr="000F4427" w:rsidRDefault="009428A9" w:rsidP="009428A9">
      <w:pPr>
        <w:pStyle w:val="ReservesBody"/>
      </w:pPr>
      <w:r w:rsidRPr="000F4427">
        <w:t xml:space="preserve">The reserves strategy assumes that the Medium-Term Financial Plan (MTFP) is broadly balanced on a sustainable basis across the five year planning period.  If the financial impact of current economic conditions continues to impact on taxbase and council tax levels over the medium term, then this could impact on those assumptions. </w:t>
      </w:r>
    </w:p>
    <w:p w14:paraId="5EBA37AE" w14:textId="7CB4B943" w:rsidR="00F115BD" w:rsidRPr="000F4427" w:rsidRDefault="009428A9" w:rsidP="009428A9">
      <w:pPr>
        <w:pStyle w:val="ReservesBody"/>
      </w:pPr>
      <w:r w:rsidRPr="000F4427">
        <w:t>T</w:t>
      </w:r>
      <w:r w:rsidR="00F115BD" w:rsidRPr="000F4427">
        <w:t xml:space="preserve">his is recognised as a risk as when taking into account the projected shortfalls on the MTFP where savings will need to be achieved to facilitate balancing </w:t>
      </w:r>
      <w:r w:rsidRPr="000F4427">
        <w:t>budgets in future years</w:t>
      </w:r>
      <w:r w:rsidR="00F115BD" w:rsidRPr="000F4427">
        <w:t xml:space="preserve">.  </w:t>
      </w:r>
    </w:p>
    <w:p w14:paraId="27AED8AA" w14:textId="1AE7C333" w:rsidR="00F115BD" w:rsidRPr="000F4427" w:rsidRDefault="00F115BD" w:rsidP="009428A9">
      <w:pPr>
        <w:pStyle w:val="ReservesBody"/>
      </w:pPr>
      <w:r w:rsidRPr="000F4427">
        <w:t xml:space="preserve">If savings cannot bridge the full gap, based on current estimates, as a worst case scenario, revenue </w:t>
      </w:r>
      <w:r w:rsidR="0081263C" w:rsidRPr="000F4427">
        <w:t>reserve</w:t>
      </w:r>
      <w:r w:rsidRPr="000F4427">
        <w:t xml:space="preserve">s can balance the gap over the five year </w:t>
      </w:r>
      <w:r w:rsidR="00E73A1C" w:rsidRPr="000F4427">
        <w:t>MTFP,</w:t>
      </w:r>
      <w:r w:rsidRPr="000F4427">
        <w:t xml:space="preserve"> but this would use almost all available </w:t>
      </w:r>
      <w:r w:rsidR="0081263C" w:rsidRPr="000F4427">
        <w:t>reserve</w:t>
      </w:r>
      <w:r w:rsidRPr="000F4427">
        <w:t>s and would impact funding available for investment.</w:t>
      </w:r>
    </w:p>
    <w:p w14:paraId="0E3E3CF7" w14:textId="68FA51A1" w:rsidR="00F115BD" w:rsidRPr="000F4427" w:rsidRDefault="00F115BD" w:rsidP="009428A9">
      <w:pPr>
        <w:pStyle w:val="ReservesBody"/>
      </w:pPr>
      <w:r w:rsidRPr="000F4427">
        <w:t xml:space="preserve">Due to the lack of </w:t>
      </w:r>
      <w:r w:rsidR="00A50652" w:rsidRPr="000F4427">
        <w:t xml:space="preserve">investment by Northamptonshire County Council </w:t>
      </w:r>
      <w:r w:rsidRPr="000F4427">
        <w:t xml:space="preserve">over many years, NCFRA have a significant </w:t>
      </w:r>
      <w:r w:rsidR="00F671CE" w:rsidRPr="000F4427">
        <w:t>Capital programme</w:t>
      </w:r>
      <w:r w:rsidRPr="000F4427">
        <w:t xml:space="preserve"> requirement. </w:t>
      </w:r>
      <w:r w:rsidR="009428A9" w:rsidRPr="000F4427">
        <w:t xml:space="preserve"> </w:t>
      </w:r>
      <w:r w:rsidRPr="000F4427">
        <w:t>This is continually reviewed to ensure it is both operationally deliverable and affordable.</w:t>
      </w:r>
      <w:r w:rsidR="009428A9" w:rsidRPr="000F4427">
        <w:t xml:space="preserve"> </w:t>
      </w:r>
      <w:r w:rsidRPr="000F4427">
        <w:t xml:space="preserve"> </w:t>
      </w:r>
      <w:r w:rsidR="009428A9" w:rsidRPr="000F4427">
        <w:t>Previously, t</w:t>
      </w:r>
      <w:r w:rsidRPr="000F4427">
        <w:t xml:space="preserve">he PFCC made successful representation to the Home Office and obtained £0.5m funding to support historic </w:t>
      </w:r>
      <w:r w:rsidR="00F671CE" w:rsidRPr="000F4427">
        <w:t>capital programme</w:t>
      </w:r>
      <w:r w:rsidRPr="000F4427">
        <w:t xml:space="preserve"> investment</w:t>
      </w:r>
      <w:r w:rsidR="009428A9" w:rsidRPr="000F4427">
        <w:t>.</w:t>
      </w:r>
    </w:p>
    <w:p w14:paraId="03A77F4D" w14:textId="38BE4AB1" w:rsidR="00F115BD" w:rsidRPr="000F4427" w:rsidRDefault="009428A9" w:rsidP="009428A9">
      <w:pPr>
        <w:pStyle w:val="ReservesBody"/>
      </w:pPr>
      <w:r w:rsidRPr="000F4427">
        <w:t>Reserves should reflect the agreed financial strategy and should represent the quantified impact of risks and opportunities over the planning period, weighted for their probability.</w:t>
      </w:r>
    </w:p>
    <w:p w14:paraId="339EF930" w14:textId="77777777" w:rsidR="009428A9" w:rsidRPr="000F4427" w:rsidRDefault="009428A9" w:rsidP="009428A9">
      <w:pPr>
        <w:pStyle w:val="ReservesHeading"/>
      </w:pPr>
      <w:r w:rsidRPr="000F4427">
        <w:t xml:space="preserve">National Guidance and Compliance with Home Office Guidance on Police Reserves </w:t>
      </w:r>
    </w:p>
    <w:p w14:paraId="06560962" w14:textId="77777777" w:rsidR="009428A9" w:rsidRPr="000F4427" w:rsidRDefault="009428A9" w:rsidP="009428A9">
      <w:pPr>
        <w:pStyle w:val="ReservesBody"/>
      </w:pPr>
      <w:r w:rsidRPr="000F4427">
        <w:t>The CIPFA Bulletin includes guidance on the establishment and maintenance of local authority reserves and balances, setting out the key factors that should be taken into account locally in making an assessment of the appropriate level of reserves and balances to be held.</w:t>
      </w:r>
    </w:p>
    <w:p w14:paraId="635C81A6" w14:textId="06EC92E3" w:rsidR="00F115BD" w:rsidRPr="000F4427" w:rsidRDefault="00F115BD" w:rsidP="009428A9">
      <w:pPr>
        <w:pStyle w:val="ReservesBody"/>
      </w:pPr>
      <w:r w:rsidRPr="000F4427">
        <w:t xml:space="preserve">On 31 March 2018, the Minister for Policing and the Fire Service published new guidance on the information that each PFCC must publish in terms of </w:t>
      </w:r>
      <w:r w:rsidR="009428A9" w:rsidRPr="000F4427">
        <w:t>p</w:t>
      </w:r>
      <w:r w:rsidRPr="000F4427">
        <w:t xml:space="preserve">olice </w:t>
      </w:r>
      <w:r w:rsidR="009428A9" w:rsidRPr="000F4427">
        <w:t>r</w:t>
      </w:r>
      <w:r w:rsidR="0081263C" w:rsidRPr="000F4427">
        <w:t>eserve</w:t>
      </w:r>
      <w:r w:rsidRPr="000F4427">
        <w:t>s</w:t>
      </w:r>
      <w:r w:rsidR="00483217" w:rsidRPr="000F4427">
        <w:t xml:space="preserve"> which is still relevant today</w:t>
      </w:r>
      <w:r w:rsidRPr="000F4427">
        <w:t>.</w:t>
      </w:r>
      <w:r w:rsidR="009428A9" w:rsidRPr="000F4427">
        <w:t xml:space="preserve"> </w:t>
      </w:r>
      <w:r w:rsidRPr="000F4427">
        <w:t xml:space="preserve"> This guidance has been adopted for NCFRA to ensure consistency across PFCC governed Fire and Police services in Northamptonshire. </w:t>
      </w:r>
      <w:r w:rsidR="009428A9" w:rsidRPr="000F4427">
        <w:t xml:space="preserve"> </w:t>
      </w:r>
      <w:r w:rsidRPr="000F4427">
        <w:t xml:space="preserve">The NCFRA </w:t>
      </w:r>
      <w:r w:rsidR="0081263C" w:rsidRPr="000F4427">
        <w:t>reserve</w:t>
      </w:r>
      <w:r w:rsidR="00F671CE" w:rsidRPr="000F4427">
        <w:t>s strategy</w:t>
      </w:r>
      <w:r w:rsidRPr="000F4427">
        <w:t xml:space="preserve"> is published annually on the PFCC website.</w:t>
      </w:r>
    </w:p>
    <w:p w14:paraId="7A51F890" w14:textId="77777777" w:rsidR="00483217" w:rsidRPr="000F4427" w:rsidRDefault="00483217" w:rsidP="00483217">
      <w:pPr>
        <w:pStyle w:val="ReservesBody"/>
      </w:pPr>
      <w:r w:rsidRPr="000F4427">
        <w:t>One of the key requirements is that the information on each reserve should make clear how much of the funding falls into each of the following three categories:</w:t>
      </w:r>
    </w:p>
    <w:p w14:paraId="35B9931D" w14:textId="77777777" w:rsidR="00483217" w:rsidRPr="000F4427" w:rsidRDefault="00483217" w:rsidP="00483217">
      <w:pPr>
        <w:pStyle w:val="Reservesbullet"/>
      </w:pPr>
      <w:r w:rsidRPr="000F4427">
        <w:t>Funding for planned expenditure on projects and programmes over the period of the current medium term financial plan.</w:t>
      </w:r>
    </w:p>
    <w:p w14:paraId="2B4DA178" w14:textId="77777777" w:rsidR="00483217" w:rsidRPr="000F4427" w:rsidRDefault="00483217" w:rsidP="00483217">
      <w:pPr>
        <w:pStyle w:val="Reservesbullet"/>
      </w:pPr>
      <w:r w:rsidRPr="000F4427">
        <w:t>Funding for specific projects and programmes beyond the current planning period.</w:t>
      </w:r>
    </w:p>
    <w:p w14:paraId="5C383B94" w14:textId="77777777" w:rsidR="00483217" w:rsidRPr="000F4427" w:rsidRDefault="00483217" w:rsidP="00483217">
      <w:pPr>
        <w:pStyle w:val="Reservesbullet"/>
      </w:pPr>
      <w:r w:rsidRPr="000F4427">
        <w:t>As a general contingency to meet other expenditure needs held in accordance with sound principles of good financial management.</w:t>
      </w:r>
    </w:p>
    <w:p w14:paraId="74528570" w14:textId="3300BB97" w:rsidR="00483217" w:rsidRPr="000F4427" w:rsidRDefault="00483217" w:rsidP="00483217">
      <w:pPr>
        <w:pStyle w:val="ReservesBody"/>
      </w:pPr>
      <w:r w:rsidRPr="000F4427">
        <w:t>This information is summarised across the Home Office headings as at 31/3/24, together with the proposed use of the reserves held at that date as follows:</w:t>
      </w:r>
    </w:p>
    <w:p w14:paraId="3E2965B9" w14:textId="77777777" w:rsidR="00483217" w:rsidRPr="000F4427" w:rsidRDefault="00483217">
      <w:pPr>
        <w:spacing w:after="0" w:line="240" w:lineRule="auto"/>
        <w:rPr>
          <w:rFonts w:eastAsia="Times New Roman" w:cs="Calibri"/>
          <w:sz w:val="24"/>
          <w:szCs w:val="24"/>
        </w:rPr>
      </w:pPr>
      <w:r w:rsidRPr="000F4427">
        <w:br w:type="page"/>
      </w:r>
    </w:p>
    <w:tbl>
      <w:tblPr>
        <w:tblW w:w="10020" w:type="dxa"/>
        <w:tblLook w:val="04A0" w:firstRow="1" w:lastRow="0" w:firstColumn="1" w:lastColumn="0" w:noHBand="0" w:noVBand="1"/>
      </w:tblPr>
      <w:tblGrid>
        <w:gridCol w:w="2920"/>
        <w:gridCol w:w="1420"/>
        <w:gridCol w:w="1420"/>
        <w:gridCol w:w="1420"/>
        <w:gridCol w:w="1420"/>
        <w:gridCol w:w="1420"/>
      </w:tblGrid>
      <w:tr w:rsidR="00483217" w:rsidRPr="00483217" w14:paraId="0552341A" w14:textId="77777777" w:rsidTr="00483217">
        <w:trPr>
          <w:trHeight w:val="1680"/>
        </w:trPr>
        <w:tc>
          <w:tcPr>
            <w:tcW w:w="2920" w:type="dxa"/>
            <w:tcBorders>
              <w:top w:val="single" w:sz="4" w:space="0" w:color="auto"/>
              <w:left w:val="single" w:sz="4" w:space="0" w:color="auto"/>
              <w:bottom w:val="nil"/>
              <w:right w:val="nil"/>
            </w:tcBorders>
            <w:shd w:val="clear" w:color="000000" w:fill="F2DCDB"/>
            <w:noWrap/>
            <w:hideMark/>
          </w:tcPr>
          <w:p w14:paraId="7D7DCFC4" w14:textId="77777777" w:rsidR="00483217" w:rsidRPr="00483217" w:rsidRDefault="00483217" w:rsidP="00483217">
            <w:pPr>
              <w:spacing w:after="0" w:line="240" w:lineRule="auto"/>
              <w:jc w:val="center"/>
              <w:rPr>
                <w:rFonts w:eastAsia="Times New Roman" w:cs="Calibri"/>
                <w:b/>
                <w:bCs/>
                <w:color w:val="000000"/>
                <w:sz w:val="18"/>
                <w:szCs w:val="18"/>
                <w:lang w:eastAsia="en-GB"/>
              </w:rPr>
            </w:pPr>
            <w:r w:rsidRPr="00483217">
              <w:rPr>
                <w:rFonts w:eastAsia="Times New Roman" w:cs="Calibri"/>
                <w:b/>
                <w:bCs/>
                <w:color w:val="000000"/>
                <w:sz w:val="18"/>
                <w:szCs w:val="18"/>
                <w:lang w:eastAsia="en-GB"/>
              </w:rPr>
              <w:t>Reserve</w:t>
            </w:r>
          </w:p>
        </w:tc>
        <w:tc>
          <w:tcPr>
            <w:tcW w:w="1420" w:type="dxa"/>
            <w:tcBorders>
              <w:top w:val="single" w:sz="4" w:space="0" w:color="auto"/>
              <w:left w:val="single" w:sz="4" w:space="0" w:color="auto"/>
              <w:bottom w:val="nil"/>
              <w:right w:val="single" w:sz="4" w:space="0" w:color="auto"/>
            </w:tcBorders>
            <w:shd w:val="clear" w:color="000000" w:fill="F2DCDB"/>
            <w:hideMark/>
          </w:tcPr>
          <w:p w14:paraId="5E988B23" w14:textId="77777777" w:rsidR="00483217" w:rsidRPr="00483217" w:rsidRDefault="00483217" w:rsidP="00483217">
            <w:pPr>
              <w:spacing w:after="0" w:line="240" w:lineRule="auto"/>
              <w:jc w:val="center"/>
              <w:rPr>
                <w:rFonts w:eastAsia="Times New Roman" w:cs="Calibri"/>
                <w:b/>
                <w:bCs/>
                <w:color w:val="000000"/>
                <w:sz w:val="18"/>
                <w:szCs w:val="18"/>
                <w:lang w:eastAsia="en-GB"/>
              </w:rPr>
            </w:pPr>
            <w:r w:rsidRPr="00483217">
              <w:rPr>
                <w:rFonts w:eastAsia="Times New Roman" w:cs="Calibri"/>
                <w:b/>
                <w:bCs/>
                <w:color w:val="000000"/>
                <w:sz w:val="18"/>
                <w:szCs w:val="18"/>
                <w:lang w:eastAsia="en-GB"/>
              </w:rPr>
              <w:t>Forecast Balance as at 31/3/2024</w:t>
            </w:r>
          </w:p>
        </w:tc>
        <w:tc>
          <w:tcPr>
            <w:tcW w:w="1420" w:type="dxa"/>
            <w:tcBorders>
              <w:top w:val="single" w:sz="4" w:space="0" w:color="auto"/>
              <w:left w:val="nil"/>
              <w:bottom w:val="nil"/>
              <w:right w:val="nil"/>
            </w:tcBorders>
            <w:shd w:val="clear" w:color="000000" w:fill="F2DCDB"/>
            <w:hideMark/>
          </w:tcPr>
          <w:p w14:paraId="1D1E9E26" w14:textId="77777777" w:rsidR="00483217" w:rsidRPr="00483217" w:rsidRDefault="00483217" w:rsidP="00483217">
            <w:pPr>
              <w:spacing w:after="0" w:line="240" w:lineRule="auto"/>
              <w:jc w:val="center"/>
              <w:rPr>
                <w:rFonts w:eastAsia="Times New Roman" w:cs="Calibri"/>
                <w:b/>
                <w:bCs/>
                <w:color w:val="000000"/>
                <w:sz w:val="18"/>
                <w:szCs w:val="18"/>
                <w:lang w:eastAsia="en-GB"/>
              </w:rPr>
            </w:pPr>
            <w:r w:rsidRPr="00483217">
              <w:rPr>
                <w:rFonts w:eastAsia="Times New Roman" w:cs="Calibri"/>
                <w:b/>
                <w:bCs/>
                <w:color w:val="000000"/>
                <w:sz w:val="18"/>
                <w:szCs w:val="18"/>
                <w:lang w:eastAsia="en-GB"/>
              </w:rPr>
              <w:t>Funding for planned expenditure on projects and programmes over the MTFP (24/25-28/29)</w:t>
            </w:r>
          </w:p>
        </w:tc>
        <w:tc>
          <w:tcPr>
            <w:tcW w:w="1420" w:type="dxa"/>
            <w:tcBorders>
              <w:top w:val="single" w:sz="4" w:space="0" w:color="auto"/>
              <w:left w:val="single" w:sz="4" w:space="0" w:color="auto"/>
              <w:bottom w:val="nil"/>
              <w:right w:val="single" w:sz="4" w:space="0" w:color="auto"/>
            </w:tcBorders>
            <w:shd w:val="clear" w:color="000000" w:fill="F2DCDB"/>
            <w:hideMark/>
          </w:tcPr>
          <w:p w14:paraId="3AA5E8E1" w14:textId="77777777" w:rsidR="00483217" w:rsidRPr="00483217" w:rsidRDefault="00483217" w:rsidP="00483217">
            <w:pPr>
              <w:spacing w:after="0" w:line="240" w:lineRule="auto"/>
              <w:jc w:val="center"/>
              <w:rPr>
                <w:rFonts w:eastAsia="Times New Roman" w:cs="Calibri"/>
                <w:b/>
                <w:bCs/>
                <w:color w:val="000000"/>
                <w:sz w:val="18"/>
                <w:szCs w:val="18"/>
                <w:lang w:eastAsia="en-GB"/>
              </w:rPr>
            </w:pPr>
            <w:r w:rsidRPr="00483217">
              <w:rPr>
                <w:rFonts w:eastAsia="Times New Roman" w:cs="Calibri"/>
                <w:b/>
                <w:bCs/>
                <w:color w:val="000000"/>
                <w:sz w:val="18"/>
                <w:szCs w:val="18"/>
                <w:lang w:eastAsia="en-GB"/>
              </w:rPr>
              <w:t>Total Forecast Revenue and Capital Reserves as at 31 March 2029</w:t>
            </w:r>
          </w:p>
        </w:tc>
        <w:tc>
          <w:tcPr>
            <w:tcW w:w="1420" w:type="dxa"/>
            <w:tcBorders>
              <w:top w:val="single" w:sz="4" w:space="0" w:color="auto"/>
              <w:left w:val="nil"/>
              <w:bottom w:val="nil"/>
              <w:right w:val="single" w:sz="4" w:space="0" w:color="auto"/>
            </w:tcBorders>
            <w:shd w:val="clear" w:color="000000" w:fill="F2DCDB"/>
            <w:hideMark/>
          </w:tcPr>
          <w:p w14:paraId="09E3C7BF" w14:textId="77777777" w:rsidR="00483217" w:rsidRPr="00483217" w:rsidRDefault="00483217" w:rsidP="00483217">
            <w:pPr>
              <w:spacing w:after="0" w:line="240" w:lineRule="auto"/>
              <w:jc w:val="center"/>
              <w:rPr>
                <w:rFonts w:eastAsia="Times New Roman" w:cs="Calibri"/>
                <w:b/>
                <w:bCs/>
                <w:color w:val="000000"/>
                <w:sz w:val="18"/>
                <w:szCs w:val="18"/>
                <w:lang w:eastAsia="en-GB"/>
              </w:rPr>
            </w:pPr>
            <w:r w:rsidRPr="00483217">
              <w:rPr>
                <w:rFonts w:eastAsia="Times New Roman" w:cs="Calibri"/>
                <w:b/>
                <w:bCs/>
                <w:color w:val="000000"/>
                <w:sz w:val="18"/>
                <w:szCs w:val="18"/>
                <w:lang w:eastAsia="en-GB"/>
              </w:rPr>
              <w:t>Funding for specific projects and programmes beyond the current planning period</w:t>
            </w:r>
          </w:p>
        </w:tc>
        <w:tc>
          <w:tcPr>
            <w:tcW w:w="1420" w:type="dxa"/>
            <w:tcBorders>
              <w:top w:val="single" w:sz="4" w:space="0" w:color="auto"/>
              <w:left w:val="nil"/>
              <w:bottom w:val="nil"/>
              <w:right w:val="single" w:sz="4" w:space="0" w:color="auto"/>
            </w:tcBorders>
            <w:shd w:val="clear" w:color="000000" w:fill="F2DCDB"/>
            <w:hideMark/>
          </w:tcPr>
          <w:p w14:paraId="0272B339" w14:textId="77777777" w:rsidR="00483217" w:rsidRPr="00483217" w:rsidRDefault="00483217" w:rsidP="00483217">
            <w:pPr>
              <w:spacing w:after="0" w:line="240" w:lineRule="auto"/>
              <w:jc w:val="center"/>
              <w:rPr>
                <w:rFonts w:eastAsia="Times New Roman" w:cs="Calibri"/>
                <w:b/>
                <w:bCs/>
                <w:color w:val="000000"/>
                <w:sz w:val="18"/>
                <w:szCs w:val="18"/>
                <w:lang w:eastAsia="en-GB"/>
              </w:rPr>
            </w:pPr>
            <w:r w:rsidRPr="00483217">
              <w:rPr>
                <w:rFonts w:eastAsia="Times New Roman" w:cs="Calibri"/>
                <w:b/>
                <w:bCs/>
                <w:color w:val="000000"/>
                <w:sz w:val="18"/>
                <w:szCs w:val="18"/>
                <w:lang w:eastAsia="en-GB"/>
              </w:rPr>
              <w:t xml:space="preserve">As a general contingency to meet other expenditure needs </w:t>
            </w:r>
          </w:p>
        </w:tc>
      </w:tr>
      <w:tr w:rsidR="00483217" w:rsidRPr="00483217" w14:paraId="78AC8771" w14:textId="77777777" w:rsidTr="00483217">
        <w:trPr>
          <w:trHeight w:val="300"/>
        </w:trPr>
        <w:tc>
          <w:tcPr>
            <w:tcW w:w="2920" w:type="dxa"/>
            <w:tcBorders>
              <w:top w:val="nil"/>
              <w:left w:val="single" w:sz="4" w:space="0" w:color="auto"/>
              <w:bottom w:val="single" w:sz="4" w:space="0" w:color="auto"/>
              <w:right w:val="nil"/>
            </w:tcBorders>
            <w:shd w:val="clear" w:color="000000" w:fill="F2DCDB"/>
            <w:noWrap/>
            <w:vAlign w:val="bottom"/>
            <w:hideMark/>
          </w:tcPr>
          <w:p w14:paraId="3DA58B3C" w14:textId="77777777" w:rsidR="00483217" w:rsidRPr="00483217" w:rsidRDefault="00483217" w:rsidP="00483217">
            <w:pPr>
              <w:spacing w:after="0" w:line="240" w:lineRule="auto"/>
              <w:rPr>
                <w:rFonts w:eastAsia="Times New Roman" w:cs="Calibri"/>
                <w:color w:val="000000"/>
                <w:sz w:val="18"/>
                <w:szCs w:val="18"/>
                <w:lang w:eastAsia="en-GB"/>
              </w:rPr>
            </w:pPr>
            <w:r w:rsidRPr="00483217">
              <w:rPr>
                <w:rFonts w:eastAsia="Times New Roman" w:cs="Calibri"/>
                <w:color w:val="000000"/>
                <w:sz w:val="18"/>
                <w:szCs w:val="18"/>
                <w:lang w:eastAsia="en-GB"/>
              </w:rPr>
              <w:t> </w:t>
            </w:r>
          </w:p>
        </w:tc>
        <w:tc>
          <w:tcPr>
            <w:tcW w:w="1420" w:type="dxa"/>
            <w:tcBorders>
              <w:top w:val="nil"/>
              <w:left w:val="single" w:sz="4" w:space="0" w:color="auto"/>
              <w:bottom w:val="single" w:sz="4" w:space="0" w:color="auto"/>
              <w:right w:val="single" w:sz="4" w:space="0" w:color="auto"/>
            </w:tcBorders>
            <w:shd w:val="clear" w:color="000000" w:fill="F2DCDB"/>
            <w:noWrap/>
            <w:vAlign w:val="bottom"/>
            <w:hideMark/>
          </w:tcPr>
          <w:p w14:paraId="12DB59B4" w14:textId="77777777" w:rsidR="00483217" w:rsidRPr="00483217" w:rsidRDefault="00483217" w:rsidP="00483217">
            <w:pPr>
              <w:spacing w:after="0" w:line="240" w:lineRule="auto"/>
              <w:jc w:val="center"/>
              <w:rPr>
                <w:rFonts w:eastAsia="Times New Roman" w:cs="Calibri"/>
                <w:b/>
                <w:bCs/>
                <w:color w:val="000000"/>
                <w:sz w:val="18"/>
                <w:szCs w:val="18"/>
                <w:lang w:eastAsia="en-GB"/>
              </w:rPr>
            </w:pPr>
            <w:r w:rsidRPr="00483217">
              <w:rPr>
                <w:rFonts w:eastAsia="Times New Roman" w:cs="Calibri"/>
                <w:b/>
                <w:bCs/>
                <w:color w:val="000000"/>
                <w:sz w:val="18"/>
                <w:szCs w:val="18"/>
                <w:lang w:eastAsia="en-GB"/>
              </w:rPr>
              <w:t>£m</w:t>
            </w:r>
          </w:p>
        </w:tc>
        <w:tc>
          <w:tcPr>
            <w:tcW w:w="1420" w:type="dxa"/>
            <w:tcBorders>
              <w:top w:val="nil"/>
              <w:left w:val="nil"/>
              <w:bottom w:val="single" w:sz="4" w:space="0" w:color="auto"/>
              <w:right w:val="nil"/>
            </w:tcBorders>
            <w:shd w:val="clear" w:color="000000" w:fill="F2DCDB"/>
            <w:noWrap/>
            <w:vAlign w:val="bottom"/>
            <w:hideMark/>
          </w:tcPr>
          <w:p w14:paraId="040CFB94" w14:textId="77777777" w:rsidR="00483217" w:rsidRPr="00483217" w:rsidRDefault="00483217" w:rsidP="00483217">
            <w:pPr>
              <w:spacing w:after="0" w:line="240" w:lineRule="auto"/>
              <w:jc w:val="center"/>
              <w:rPr>
                <w:rFonts w:eastAsia="Times New Roman" w:cs="Calibri"/>
                <w:b/>
                <w:bCs/>
                <w:color w:val="000000"/>
                <w:sz w:val="18"/>
                <w:szCs w:val="18"/>
                <w:lang w:eastAsia="en-GB"/>
              </w:rPr>
            </w:pPr>
            <w:r w:rsidRPr="00483217">
              <w:rPr>
                <w:rFonts w:eastAsia="Times New Roman" w:cs="Calibri"/>
                <w:b/>
                <w:bCs/>
                <w:color w:val="000000"/>
                <w:sz w:val="18"/>
                <w:szCs w:val="18"/>
                <w:lang w:eastAsia="en-GB"/>
              </w:rPr>
              <w:t>£m</w:t>
            </w:r>
          </w:p>
        </w:tc>
        <w:tc>
          <w:tcPr>
            <w:tcW w:w="1420" w:type="dxa"/>
            <w:tcBorders>
              <w:top w:val="nil"/>
              <w:left w:val="single" w:sz="4" w:space="0" w:color="auto"/>
              <w:bottom w:val="single" w:sz="4" w:space="0" w:color="auto"/>
              <w:right w:val="single" w:sz="4" w:space="0" w:color="auto"/>
            </w:tcBorders>
            <w:shd w:val="clear" w:color="000000" w:fill="F2DCDB"/>
            <w:noWrap/>
            <w:vAlign w:val="bottom"/>
            <w:hideMark/>
          </w:tcPr>
          <w:p w14:paraId="011BFE30" w14:textId="77777777" w:rsidR="00483217" w:rsidRPr="00483217" w:rsidRDefault="00483217" w:rsidP="00483217">
            <w:pPr>
              <w:spacing w:after="0" w:line="240" w:lineRule="auto"/>
              <w:jc w:val="center"/>
              <w:rPr>
                <w:rFonts w:eastAsia="Times New Roman" w:cs="Calibri"/>
                <w:b/>
                <w:bCs/>
                <w:color w:val="000000"/>
                <w:sz w:val="18"/>
                <w:szCs w:val="18"/>
                <w:lang w:eastAsia="en-GB"/>
              </w:rPr>
            </w:pPr>
            <w:r w:rsidRPr="00483217">
              <w:rPr>
                <w:rFonts w:eastAsia="Times New Roman" w:cs="Calibri"/>
                <w:b/>
                <w:bCs/>
                <w:color w:val="000000"/>
                <w:sz w:val="18"/>
                <w:szCs w:val="18"/>
                <w:lang w:eastAsia="en-GB"/>
              </w:rPr>
              <w:t>£m</w:t>
            </w:r>
          </w:p>
        </w:tc>
        <w:tc>
          <w:tcPr>
            <w:tcW w:w="1420" w:type="dxa"/>
            <w:tcBorders>
              <w:top w:val="nil"/>
              <w:left w:val="nil"/>
              <w:bottom w:val="single" w:sz="4" w:space="0" w:color="auto"/>
              <w:right w:val="single" w:sz="4" w:space="0" w:color="auto"/>
            </w:tcBorders>
            <w:shd w:val="clear" w:color="000000" w:fill="F2DCDB"/>
            <w:noWrap/>
            <w:vAlign w:val="bottom"/>
            <w:hideMark/>
          </w:tcPr>
          <w:p w14:paraId="29F32B5D" w14:textId="77777777" w:rsidR="00483217" w:rsidRPr="00483217" w:rsidRDefault="00483217" w:rsidP="00483217">
            <w:pPr>
              <w:spacing w:after="0" w:line="240" w:lineRule="auto"/>
              <w:jc w:val="center"/>
              <w:rPr>
                <w:rFonts w:eastAsia="Times New Roman" w:cs="Calibri"/>
                <w:b/>
                <w:bCs/>
                <w:color w:val="000000"/>
                <w:sz w:val="18"/>
                <w:szCs w:val="18"/>
                <w:lang w:eastAsia="en-GB"/>
              </w:rPr>
            </w:pPr>
            <w:r w:rsidRPr="00483217">
              <w:rPr>
                <w:rFonts w:eastAsia="Times New Roman" w:cs="Calibri"/>
                <w:b/>
                <w:bCs/>
                <w:color w:val="000000"/>
                <w:sz w:val="18"/>
                <w:szCs w:val="18"/>
                <w:lang w:eastAsia="en-GB"/>
              </w:rPr>
              <w:t>£m</w:t>
            </w:r>
          </w:p>
        </w:tc>
        <w:tc>
          <w:tcPr>
            <w:tcW w:w="1420" w:type="dxa"/>
            <w:tcBorders>
              <w:top w:val="nil"/>
              <w:left w:val="nil"/>
              <w:bottom w:val="single" w:sz="4" w:space="0" w:color="auto"/>
              <w:right w:val="single" w:sz="4" w:space="0" w:color="auto"/>
            </w:tcBorders>
            <w:shd w:val="clear" w:color="000000" w:fill="F2DCDB"/>
            <w:noWrap/>
            <w:vAlign w:val="bottom"/>
            <w:hideMark/>
          </w:tcPr>
          <w:p w14:paraId="70D363E7" w14:textId="77777777" w:rsidR="00483217" w:rsidRPr="00483217" w:rsidRDefault="00483217" w:rsidP="00483217">
            <w:pPr>
              <w:spacing w:after="0" w:line="240" w:lineRule="auto"/>
              <w:jc w:val="center"/>
              <w:rPr>
                <w:rFonts w:eastAsia="Times New Roman" w:cs="Calibri"/>
                <w:b/>
                <w:bCs/>
                <w:color w:val="000000"/>
                <w:sz w:val="18"/>
                <w:szCs w:val="18"/>
                <w:lang w:eastAsia="en-GB"/>
              </w:rPr>
            </w:pPr>
            <w:r w:rsidRPr="00483217">
              <w:rPr>
                <w:rFonts w:eastAsia="Times New Roman" w:cs="Calibri"/>
                <w:b/>
                <w:bCs/>
                <w:color w:val="000000"/>
                <w:sz w:val="18"/>
                <w:szCs w:val="18"/>
                <w:lang w:eastAsia="en-GB"/>
              </w:rPr>
              <w:t>£m</w:t>
            </w:r>
          </w:p>
        </w:tc>
      </w:tr>
      <w:tr w:rsidR="00483217" w:rsidRPr="00483217" w14:paraId="353C0083" w14:textId="77777777" w:rsidTr="00483217">
        <w:trPr>
          <w:trHeight w:val="300"/>
        </w:trPr>
        <w:tc>
          <w:tcPr>
            <w:tcW w:w="2920" w:type="dxa"/>
            <w:tcBorders>
              <w:top w:val="nil"/>
              <w:left w:val="single" w:sz="4" w:space="0" w:color="auto"/>
              <w:bottom w:val="single" w:sz="4" w:space="0" w:color="auto"/>
              <w:right w:val="nil"/>
            </w:tcBorders>
            <w:shd w:val="clear" w:color="auto" w:fill="auto"/>
            <w:noWrap/>
            <w:vAlign w:val="bottom"/>
            <w:hideMark/>
          </w:tcPr>
          <w:p w14:paraId="0DD4FFA7"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General</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F60580D"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2.000</w:t>
            </w:r>
          </w:p>
        </w:tc>
        <w:tc>
          <w:tcPr>
            <w:tcW w:w="1420" w:type="dxa"/>
            <w:tcBorders>
              <w:top w:val="nil"/>
              <w:left w:val="nil"/>
              <w:bottom w:val="single" w:sz="4" w:space="0" w:color="auto"/>
              <w:right w:val="single" w:sz="4" w:space="0" w:color="auto"/>
            </w:tcBorders>
            <w:shd w:val="clear" w:color="auto" w:fill="auto"/>
            <w:noWrap/>
            <w:vAlign w:val="bottom"/>
            <w:hideMark/>
          </w:tcPr>
          <w:p w14:paraId="6E1EAEE8"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2A28DF5C"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2.000</w:t>
            </w:r>
          </w:p>
        </w:tc>
        <w:tc>
          <w:tcPr>
            <w:tcW w:w="1420" w:type="dxa"/>
            <w:tcBorders>
              <w:top w:val="nil"/>
              <w:left w:val="nil"/>
              <w:bottom w:val="single" w:sz="4" w:space="0" w:color="auto"/>
              <w:right w:val="single" w:sz="4" w:space="0" w:color="auto"/>
            </w:tcBorders>
            <w:shd w:val="clear" w:color="auto" w:fill="auto"/>
            <w:noWrap/>
            <w:vAlign w:val="bottom"/>
            <w:hideMark/>
          </w:tcPr>
          <w:p w14:paraId="7D0DA79B"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0FE3E7B0"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2.000</w:t>
            </w:r>
          </w:p>
        </w:tc>
      </w:tr>
      <w:tr w:rsidR="00483217" w:rsidRPr="00483217" w14:paraId="2015AC06"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59EC768F"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5F8D250A"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44D2C959"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65833791"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75F7A684"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8BC04EC"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r>
      <w:tr w:rsidR="00483217" w:rsidRPr="00483217" w14:paraId="4C74D293"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7A75374C"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Earmarked Revenue:</w:t>
            </w:r>
          </w:p>
        </w:tc>
        <w:tc>
          <w:tcPr>
            <w:tcW w:w="1420" w:type="dxa"/>
            <w:tcBorders>
              <w:top w:val="nil"/>
              <w:left w:val="single" w:sz="4" w:space="0" w:color="auto"/>
              <w:bottom w:val="nil"/>
              <w:right w:val="single" w:sz="4" w:space="0" w:color="auto"/>
            </w:tcBorders>
            <w:shd w:val="clear" w:color="auto" w:fill="auto"/>
            <w:noWrap/>
            <w:vAlign w:val="bottom"/>
            <w:hideMark/>
          </w:tcPr>
          <w:p w14:paraId="7DD745A2"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46974EC3"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5B572DF"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0D049B4C"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04C674A0"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r>
      <w:tr w:rsidR="00483217" w:rsidRPr="00483217" w14:paraId="72FFAD09"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38BF30F0"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Insurance</w:t>
            </w:r>
          </w:p>
        </w:tc>
        <w:tc>
          <w:tcPr>
            <w:tcW w:w="1420" w:type="dxa"/>
            <w:tcBorders>
              <w:top w:val="nil"/>
              <w:left w:val="single" w:sz="4" w:space="0" w:color="auto"/>
              <w:bottom w:val="nil"/>
              <w:right w:val="single" w:sz="4" w:space="0" w:color="auto"/>
            </w:tcBorders>
            <w:shd w:val="clear" w:color="auto" w:fill="auto"/>
            <w:noWrap/>
            <w:vAlign w:val="bottom"/>
            <w:hideMark/>
          </w:tcPr>
          <w:p w14:paraId="19C5315F"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0.250</w:t>
            </w:r>
          </w:p>
        </w:tc>
        <w:tc>
          <w:tcPr>
            <w:tcW w:w="1420" w:type="dxa"/>
            <w:tcBorders>
              <w:top w:val="nil"/>
              <w:left w:val="nil"/>
              <w:bottom w:val="nil"/>
              <w:right w:val="single" w:sz="4" w:space="0" w:color="auto"/>
            </w:tcBorders>
            <w:shd w:val="clear" w:color="auto" w:fill="auto"/>
            <w:noWrap/>
            <w:vAlign w:val="bottom"/>
            <w:hideMark/>
          </w:tcPr>
          <w:p w14:paraId="3D03B63F"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52735338"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0.250</w:t>
            </w:r>
          </w:p>
        </w:tc>
        <w:tc>
          <w:tcPr>
            <w:tcW w:w="1420" w:type="dxa"/>
            <w:tcBorders>
              <w:top w:val="nil"/>
              <w:left w:val="nil"/>
              <w:bottom w:val="nil"/>
              <w:right w:val="single" w:sz="4" w:space="0" w:color="auto"/>
            </w:tcBorders>
            <w:shd w:val="clear" w:color="auto" w:fill="auto"/>
            <w:noWrap/>
            <w:vAlign w:val="bottom"/>
            <w:hideMark/>
          </w:tcPr>
          <w:p w14:paraId="2D4C7E5C"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6A98624A"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0.250</w:t>
            </w:r>
          </w:p>
        </w:tc>
      </w:tr>
      <w:tr w:rsidR="00483217" w:rsidRPr="00483217" w14:paraId="6C41045C"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559E31A6"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Operational Equipment</w:t>
            </w:r>
          </w:p>
        </w:tc>
        <w:tc>
          <w:tcPr>
            <w:tcW w:w="1420" w:type="dxa"/>
            <w:tcBorders>
              <w:top w:val="nil"/>
              <w:left w:val="single" w:sz="4" w:space="0" w:color="auto"/>
              <w:bottom w:val="nil"/>
              <w:right w:val="single" w:sz="4" w:space="0" w:color="auto"/>
            </w:tcBorders>
            <w:shd w:val="clear" w:color="auto" w:fill="auto"/>
            <w:noWrap/>
            <w:vAlign w:val="bottom"/>
            <w:hideMark/>
          </w:tcPr>
          <w:p w14:paraId="30E37F0D"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0.070</w:t>
            </w:r>
          </w:p>
        </w:tc>
        <w:tc>
          <w:tcPr>
            <w:tcW w:w="1420" w:type="dxa"/>
            <w:tcBorders>
              <w:top w:val="nil"/>
              <w:left w:val="nil"/>
              <w:bottom w:val="nil"/>
              <w:right w:val="single" w:sz="4" w:space="0" w:color="auto"/>
            </w:tcBorders>
            <w:shd w:val="clear" w:color="auto" w:fill="auto"/>
            <w:noWrap/>
            <w:vAlign w:val="bottom"/>
            <w:hideMark/>
          </w:tcPr>
          <w:p w14:paraId="228DF615" w14:textId="77777777" w:rsidR="00483217" w:rsidRPr="00483217" w:rsidRDefault="00483217" w:rsidP="00483217">
            <w:pPr>
              <w:spacing w:after="0" w:line="240" w:lineRule="auto"/>
              <w:jc w:val="right"/>
              <w:rPr>
                <w:rFonts w:eastAsia="Times New Roman" w:cs="Calibri"/>
                <w:color w:val="000000"/>
                <w:lang w:eastAsia="en-GB"/>
              </w:rPr>
            </w:pPr>
            <w:r w:rsidRPr="00483217">
              <w:rPr>
                <w:rFonts w:eastAsia="Times New Roman" w:cs="Calibri"/>
                <w:color w:val="000000"/>
                <w:lang w:eastAsia="en-GB"/>
              </w:rPr>
              <w:t>0.340</w:t>
            </w:r>
          </w:p>
        </w:tc>
        <w:tc>
          <w:tcPr>
            <w:tcW w:w="1420" w:type="dxa"/>
            <w:tcBorders>
              <w:top w:val="nil"/>
              <w:left w:val="nil"/>
              <w:bottom w:val="nil"/>
              <w:right w:val="single" w:sz="4" w:space="0" w:color="auto"/>
            </w:tcBorders>
            <w:shd w:val="clear" w:color="auto" w:fill="auto"/>
            <w:noWrap/>
            <w:vAlign w:val="bottom"/>
            <w:hideMark/>
          </w:tcPr>
          <w:p w14:paraId="3B264DBC"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0.410</w:t>
            </w:r>
          </w:p>
        </w:tc>
        <w:tc>
          <w:tcPr>
            <w:tcW w:w="1420" w:type="dxa"/>
            <w:tcBorders>
              <w:top w:val="nil"/>
              <w:left w:val="nil"/>
              <w:bottom w:val="nil"/>
              <w:right w:val="single" w:sz="4" w:space="0" w:color="auto"/>
            </w:tcBorders>
            <w:shd w:val="clear" w:color="auto" w:fill="auto"/>
            <w:noWrap/>
            <w:vAlign w:val="bottom"/>
            <w:hideMark/>
          </w:tcPr>
          <w:p w14:paraId="4780F16D"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8BAAB0E"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0.410</w:t>
            </w:r>
          </w:p>
        </w:tc>
      </w:tr>
      <w:tr w:rsidR="00483217" w:rsidRPr="00483217" w14:paraId="719FC8AB"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15513A2E"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Carry Forwards</w:t>
            </w:r>
          </w:p>
        </w:tc>
        <w:tc>
          <w:tcPr>
            <w:tcW w:w="1420" w:type="dxa"/>
            <w:tcBorders>
              <w:top w:val="nil"/>
              <w:left w:val="single" w:sz="4" w:space="0" w:color="auto"/>
              <w:bottom w:val="nil"/>
              <w:right w:val="single" w:sz="4" w:space="0" w:color="auto"/>
            </w:tcBorders>
            <w:shd w:val="clear" w:color="auto" w:fill="auto"/>
            <w:noWrap/>
            <w:vAlign w:val="bottom"/>
            <w:hideMark/>
          </w:tcPr>
          <w:p w14:paraId="6831BAD2"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0.012</w:t>
            </w:r>
          </w:p>
        </w:tc>
        <w:tc>
          <w:tcPr>
            <w:tcW w:w="1420" w:type="dxa"/>
            <w:tcBorders>
              <w:top w:val="nil"/>
              <w:left w:val="nil"/>
              <w:bottom w:val="nil"/>
              <w:right w:val="single" w:sz="4" w:space="0" w:color="auto"/>
            </w:tcBorders>
            <w:shd w:val="clear" w:color="auto" w:fill="auto"/>
            <w:noWrap/>
            <w:vAlign w:val="bottom"/>
            <w:hideMark/>
          </w:tcPr>
          <w:p w14:paraId="56D8E866" w14:textId="77777777" w:rsidR="00483217" w:rsidRPr="00483217" w:rsidRDefault="00483217" w:rsidP="00483217">
            <w:pPr>
              <w:spacing w:after="0" w:line="240" w:lineRule="auto"/>
              <w:jc w:val="right"/>
              <w:rPr>
                <w:rFonts w:eastAsia="Times New Roman" w:cs="Calibri"/>
                <w:color w:val="000000"/>
                <w:lang w:eastAsia="en-GB"/>
              </w:rPr>
            </w:pPr>
            <w:r w:rsidRPr="00483217">
              <w:rPr>
                <w:rFonts w:eastAsia="Times New Roman" w:cs="Calibri"/>
                <w:color w:val="000000"/>
                <w:lang w:eastAsia="en-GB"/>
              </w:rPr>
              <w:t>(0.012)</w:t>
            </w:r>
          </w:p>
        </w:tc>
        <w:tc>
          <w:tcPr>
            <w:tcW w:w="1420" w:type="dxa"/>
            <w:tcBorders>
              <w:top w:val="nil"/>
              <w:left w:val="nil"/>
              <w:bottom w:val="nil"/>
              <w:right w:val="single" w:sz="4" w:space="0" w:color="auto"/>
            </w:tcBorders>
            <w:shd w:val="clear" w:color="auto" w:fill="auto"/>
            <w:noWrap/>
            <w:vAlign w:val="bottom"/>
            <w:hideMark/>
          </w:tcPr>
          <w:p w14:paraId="5A58704A"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0DD89B8E"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49D453CD"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0.000</w:t>
            </w:r>
          </w:p>
        </w:tc>
      </w:tr>
      <w:tr w:rsidR="00483217" w:rsidRPr="00483217" w14:paraId="40743700"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19E2493A"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Smoothing</w:t>
            </w:r>
          </w:p>
        </w:tc>
        <w:tc>
          <w:tcPr>
            <w:tcW w:w="1420" w:type="dxa"/>
            <w:tcBorders>
              <w:top w:val="nil"/>
              <w:left w:val="single" w:sz="4" w:space="0" w:color="auto"/>
              <w:bottom w:val="nil"/>
              <w:right w:val="single" w:sz="4" w:space="0" w:color="auto"/>
            </w:tcBorders>
            <w:shd w:val="clear" w:color="auto" w:fill="auto"/>
            <w:noWrap/>
            <w:vAlign w:val="bottom"/>
            <w:hideMark/>
          </w:tcPr>
          <w:p w14:paraId="191FE85A"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0.977</w:t>
            </w:r>
          </w:p>
        </w:tc>
        <w:tc>
          <w:tcPr>
            <w:tcW w:w="1420" w:type="dxa"/>
            <w:tcBorders>
              <w:top w:val="nil"/>
              <w:left w:val="nil"/>
              <w:bottom w:val="nil"/>
              <w:right w:val="single" w:sz="4" w:space="0" w:color="auto"/>
            </w:tcBorders>
            <w:shd w:val="clear" w:color="auto" w:fill="auto"/>
            <w:noWrap/>
            <w:vAlign w:val="bottom"/>
            <w:hideMark/>
          </w:tcPr>
          <w:p w14:paraId="78217399" w14:textId="77777777" w:rsidR="00483217" w:rsidRPr="00483217" w:rsidRDefault="00483217" w:rsidP="00483217">
            <w:pPr>
              <w:spacing w:after="0" w:line="240" w:lineRule="auto"/>
              <w:jc w:val="right"/>
              <w:rPr>
                <w:rFonts w:eastAsia="Times New Roman" w:cs="Calibri"/>
                <w:color w:val="000000"/>
                <w:lang w:eastAsia="en-GB"/>
              </w:rPr>
            </w:pPr>
            <w:r w:rsidRPr="00483217">
              <w:rPr>
                <w:rFonts w:eastAsia="Times New Roman" w:cs="Calibri"/>
                <w:color w:val="000000"/>
                <w:lang w:eastAsia="en-GB"/>
              </w:rPr>
              <w:t>(0.747)</w:t>
            </w:r>
          </w:p>
        </w:tc>
        <w:tc>
          <w:tcPr>
            <w:tcW w:w="1420" w:type="dxa"/>
            <w:tcBorders>
              <w:top w:val="nil"/>
              <w:left w:val="nil"/>
              <w:bottom w:val="nil"/>
              <w:right w:val="single" w:sz="4" w:space="0" w:color="auto"/>
            </w:tcBorders>
            <w:shd w:val="clear" w:color="auto" w:fill="auto"/>
            <w:noWrap/>
            <w:vAlign w:val="bottom"/>
            <w:hideMark/>
          </w:tcPr>
          <w:p w14:paraId="365CA98C"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0.230</w:t>
            </w:r>
          </w:p>
        </w:tc>
        <w:tc>
          <w:tcPr>
            <w:tcW w:w="1420" w:type="dxa"/>
            <w:tcBorders>
              <w:top w:val="nil"/>
              <w:left w:val="nil"/>
              <w:bottom w:val="nil"/>
              <w:right w:val="single" w:sz="4" w:space="0" w:color="auto"/>
            </w:tcBorders>
            <w:shd w:val="clear" w:color="auto" w:fill="auto"/>
            <w:noWrap/>
            <w:vAlign w:val="bottom"/>
            <w:hideMark/>
          </w:tcPr>
          <w:p w14:paraId="1BE1282B"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27CEB7F7"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0.230</w:t>
            </w:r>
          </w:p>
        </w:tc>
      </w:tr>
      <w:tr w:rsidR="00483217" w:rsidRPr="00483217" w14:paraId="5A61ED55"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456EE4A6"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Transformation</w:t>
            </w:r>
          </w:p>
        </w:tc>
        <w:tc>
          <w:tcPr>
            <w:tcW w:w="1420" w:type="dxa"/>
            <w:tcBorders>
              <w:top w:val="nil"/>
              <w:left w:val="single" w:sz="4" w:space="0" w:color="auto"/>
              <w:bottom w:val="nil"/>
              <w:right w:val="single" w:sz="4" w:space="0" w:color="auto"/>
            </w:tcBorders>
            <w:shd w:val="clear" w:color="auto" w:fill="auto"/>
            <w:noWrap/>
            <w:vAlign w:val="bottom"/>
            <w:hideMark/>
          </w:tcPr>
          <w:p w14:paraId="4A46927D"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1.000</w:t>
            </w:r>
          </w:p>
        </w:tc>
        <w:tc>
          <w:tcPr>
            <w:tcW w:w="1420" w:type="dxa"/>
            <w:tcBorders>
              <w:top w:val="nil"/>
              <w:left w:val="nil"/>
              <w:bottom w:val="nil"/>
              <w:right w:val="single" w:sz="4" w:space="0" w:color="auto"/>
            </w:tcBorders>
            <w:shd w:val="clear" w:color="auto" w:fill="auto"/>
            <w:noWrap/>
            <w:vAlign w:val="bottom"/>
            <w:hideMark/>
          </w:tcPr>
          <w:p w14:paraId="106EAB9E"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00BA7696"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1.000</w:t>
            </w:r>
          </w:p>
        </w:tc>
        <w:tc>
          <w:tcPr>
            <w:tcW w:w="1420" w:type="dxa"/>
            <w:tcBorders>
              <w:top w:val="nil"/>
              <w:left w:val="nil"/>
              <w:bottom w:val="nil"/>
              <w:right w:val="single" w:sz="4" w:space="0" w:color="auto"/>
            </w:tcBorders>
            <w:shd w:val="clear" w:color="auto" w:fill="auto"/>
            <w:noWrap/>
            <w:vAlign w:val="bottom"/>
            <w:hideMark/>
          </w:tcPr>
          <w:p w14:paraId="0C641616" w14:textId="77777777" w:rsidR="00483217" w:rsidRPr="00483217" w:rsidRDefault="00483217" w:rsidP="00483217">
            <w:pPr>
              <w:spacing w:after="0" w:line="240" w:lineRule="auto"/>
              <w:jc w:val="right"/>
              <w:rPr>
                <w:rFonts w:eastAsia="Times New Roman" w:cs="Calibri"/>
                <w:color w:val="000000"/>
                <w:lang w:eastAsia="en-GB"/>
              </w:rPr>
            </w:pPr>
            <w:r w:rsidRPr="00483217">
              <w:rPr>
                <w:rFonts w:eastAsia="Times New Roman" w:cs="Calibri"/>
                <w:color w:val="000000"/>
                <w:lang w:eastAsia="en-GB"/>
              </w:rPr>
              <w:t>(1.000)</w:t>
            </w:r>
          </w:p>
        </w:tc>
        <w:tc>
          <w:tcPr>
            <w:tcW w:w="1420" w:type="dxa"/>
            <w:tcBorders>
              <w:top w:val="nil"/>
              <w:left w:val="nil"/>
              <w:bottom w:val="nil"/>
              <w:right w:val="single" w:sz="4" w:space="0" w:color="auto"/>
            </w:tcBorders>
            <w:shd w:val="clear" w:color="auto" w:fill="auto"/>
            <w:noWrap/>
            <w:vAlign w:val="bottom"/>
            <w:hideMark/>
          </w:tcPr>
          <w:p w14:paraId="76B0094E"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0.000</w:t>
            </w:r>
          </w:p>
        </w:tc>
      </w:tr>
      <w:tr w:rsidR="00483217" w:rsidRPr="00483217" w14:paraId="4D567F76" w14:textId="77777777" w:rsidTr="00483217">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ABF00"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Total Earmarked</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7DE5D22"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2.309</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8A7BE31"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(0.419)</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638134D"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1.890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0493EF9"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(1.000)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501B3AB"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0.890</w:t>
            </w:r>
          </w:p>
        </w:tc>
      </w:tr>
      <w:tr w:rsidR="00483217" w:rsidRPr="00483217" w14:paraId="55E1932A"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0A64B1A1"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3FF2635"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7E69AC59"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3705BE28"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725CC6B1"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6C3F5D0C"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r>
      <w:tr w:rsidR="00483217" w:rsidRPr="00483217" w14:paraId="77045509" w14:textId="77777777" w:rsidTr="00483217">
        <w:trPr>
          <w:trHeight w:val="300"/>
        </w:trPr>
        <w:tc>
          <w:tcPr>
            <w:tcW w:w="2920" w:type="dxa"/>
            <w:tcBorders>
              <w:top w:val="single" w:sz="4" w:space="0" w:color="auto"/>
              <w:left w:val="single" w:sz="4" w:space="0" w:color="auto"/>
              <w:bottom w:val="single" w:sz="4" w:space="0" w:color="auto"/>
              <w:right w:val="nil"/>
            </w:tcBorders>
            <w:shd w:val="clear" w:color="auto" w:fill="auto"/>
            <w:noWrap/>
            <w:vAlign w:val="bottom"/>
            <w:hideMark/>
          </w:tcPr>
          <w:p w14:paraId="49D78B33"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Total Revenue</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D03EE4E"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4.309</w:t>
            </w:r>
          </w:p>
        </w:tc>
        <w:tc>
          <w:tcPr>
            <w:tcW w:w="1420" w:type="dxa"/>
            <w:tcBorders>
              <w:top w:val="nil"/>
              <w:left w:val="nil"/>
              <w:bottom w:val="single" w:sz="4" w:space="0" w:color="auto"/>
              <w:right w:val="single" w:sz="4" w:space="0" w:color="auto"/>
            </w:tcBorders>
            <w:shd w:val="clear" w:color="auto" w:fill="auto"/>
            <w:noWrap/>
            <w:vAlign w:val="bottom"/>
            <w:hideMark/>
          </w:tcPr>
          <w:p w14:paraId="4ADA0AD0"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(0.419)</w:t>
            </w:r>
          </w:p>
        </w:tc>
        <w:tc>
          <w:tcPr>
            <w:tcW w:w="1420" w:type="dxa"/>
            <w:tcBorders>
              <w:top w:val="nil"/>
              <w:left w:val="nil"/>
              <w:bottom w:val="single" w:sz="4" w:space="0" w:color="auto"/>
              <w:right w:val="single" w:sz="4" w:space="0" w:color="auto"/>
            </w:tcBorders>
            <w:shd w:val="clear" w:color="auto" w:fill="auto"/>
            <w:noWrap/>
            <w:vAlign w:val="bottom"/>
            <w:hideMark/>
          </w:tcPr>
          <w:p w14:paraId="29DDBDBB"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3.890</w:t>
            </w:r>
          </w:p>
        </w:tc>
        <w:tc>
          <w:tcPr>
            <w:tcW w:w="1420" w:type="dxa"/>
            <w:tcBorders>
              <w:top w:val="nil"/>
              <w:left w:val="nil"/>
              <w:bottom w:val="single" w:sz="4" w:space="0" w:color="auto"/>
              <w:right w:val="single" w:sz="4" w:space="0" w:color="auto"/>
            </w:tcBorders>
            <w:shd w:val="clear" w:color="auto" w:fill="auto"/>
            <w:noWrap/>
            <w:vAlign w:val="bottom"/>
            <w:hideMark/>
          </w:tcPr>
          <w:p w14:paraId="3AC4858D"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(1.000)</w:t>
            </w:r>
          </w:p>
        </w:tc>
        <w:tc>
          <w:tcPr>
            <w:tcW w:w="1420" w:type="dxa"/>
            <w:tcBorders>
              <w:top w:val="nil"/>
              <w:left w:val="nil"/>
              <w:bottom w:val="single" w:sz="4" w:space="0" w:color="auto"/>
              <w:right w:val="single" w:sz="4" w:space="0" w:color="auto"/>
            </w:tcBorders>
            <w:shd w:val="clear" w:color="auto" w:fill="auto"/>
            <w:noWrap/>
            <w:vAlign w:val="bottom"/>
            <w:hideMark/>
          </w:tcPr>
          <w:p w14:paraId="20444B2A"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2.890</w:t>
            </w:r>
          </w:p>
        </w:tc>
      </w:tr>
      <w:tr w:rsidR="00483217" w:rsidRPr="00483217" w14:paraId="65686F30"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7C3F1EBF"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1C8B758F"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2D299F48"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0D046B4"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41352E0C" w14:textId="77777777" w:rsidR="00483217" w:rsidRPr="00483217" w:rsidRDefault="00483217" w:rsidP="00483217">
            <w:pPr>
              <w:spacing w:after="0" w:line="240" w:lineRule="auto"/>
              <w:jc w:val="right"/>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0346737"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 </w:t>
            </w:r>
          </w:p>
        </w:tc>
      </w:tr>
      <w:tr w:rsidR="00483217" w:rsidRPr="00483217" w14:paraId="2EC3E45A"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727E65D7"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Capital:</w:t>
            </w:r>
          </w:p>
        </w:tc>
        <w:tc>
          <w:tcPr>
            <w:tcW w:w="1420" w:type="dxa"/>
            <w:tcBorders>
              <w:top w:val="nil"/>
              <w:left w:val="single" w:sz="4" w:space="0" w:color="auto"/>
              <w:bottom w:val="nil"/>
              <w:right w:val="single" w:sz="4" w:space="0" w:color="auto"/>
            </w:tcBorders>
            <w:shd w:val="clear" w:color="auto" w:fill="auto"/>
            <w:noWrap/>
            <w:vAlign w:val="bottom"/>
            <w:hideMark/>
          </w:tcPr>
          <w:p w14:paraId="7615EE66"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4267C4A7"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21F00F6A"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18C19B2"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46C28061"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r>
      <w:tr w:rsidR="00483217" w:rsidRPr="00483217" w14:paraId="5D1F75BD"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2C1C25BE"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Capital Receipts</w:t>
            </w:r>
          </w:p>
        </w:tc>
        <w:tc>
          <w:tcPr>
            <w:tcW w:w="1420" w:type="dxa"/>
            <w:tcBorders>
              <w:top w:val="nil"/>
              <w:left w:val="single" w:sz="4" w:space="0" w:color="auto"/>
              <w:bottom w:val="nil"/>
              <w:right w:val="single" w:sz="4" w:space="0" w:color="auto"/>
            </w:tcBorders>
            <w:shd w:val="clear" w:color="auto" w:fill="auto"/>
            <w:noWrap/>
            <w:vAlign w:val="bottom"/>
            <w:hideMark/>
          </w:tcPr>
          <w:p w14:paraId="4EE0A3B8"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0.442</w:t>
            </w:r>
          </w:p>
        </w:tc>
        <w:tc>
          <w:tcPr>
            <w:tcW w:w="1420" w:type="dxa"/>
            <w:tcBorders>
              <w:top w:val="nil"/>
              <w:left w:val="nil"/>
              <w:bottom w:val="nil"/>
              <w:right w:val="single" w:sz="4" w:space="0" w:color="auto"/>
            </w:tcBorders>
            <w:shd w:val="clear" w:color="auto" w:fill="auto"/>
            <w:noWrap/>
            <w:vAlign w:val="bottom"/>
            <w:hideMark/>
          </w:tcPr>
          <w:p w14:paraId="1AF59E71" w14:textId="77777777" w:rsidR="00483217" w:rsidRPr="00483217" w:rsidRDefault="00483217" w:rsidP="00483217">
            <w:pPr>
              <w:spacing w:after="0" w:line="240" w:lineRule="auto"/>
              <w:jc w:val="right"/>
              <w:rPr>
                <w:rFonts w:eastAsia="Times New Roman" w:cs="Calibri"/>
                <w:color w:val="000000"/>
                <w:lang w:eastAsia="en-GB"/>
              </w:rPr>
            </w:pPr>
            <w:r w:rsidRPr="00483217">
              <w:rPr>
                <w:rFonts w:eastAsia="Times New Roman" w:cs="Calibri"/>
                <w:color w:val="000000"/>
                <w:lang w:eastAsia="en-GB"/>
              </w:rPr>
              <w:t>(0.400)</w:t>
            </w:r>
          </w:p>
        </w:tc>
        <w:tc>
          <w:tcPr>
            <w:tcW w:w="1420" w:type="dxa"/>
            <w:tcBorders>
              <w:top w:val="nil"/>
              <w:left w:val="nil"/>
              <w:bottom w:val="nil"/>
              <w:right w:val="single" w:sz="4" w:space="0" w:color="auto"/>
            </w:tcBorders>
            <w:shd w:val="clear" w:color="auto" w:fill="auto"/>
            <w:noWrap/>
            <w:vAlign w:val="bottom"/>
            <w:hideMark/>
          </w:tcPr>
          <w:p w14:paraId="5BCC0B4C"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0.042</w:t>
            </w:r>
          </w:p>
        </w:tc>
        <w:tc>
          <w:tcPr>
            <w:tcW w:w="1420" w:type="dxa"/>
            <w:tcBorders>
              <w:top w:val="nil"/>
              <w:left w:val="nil"/>
              <w:bottom w:val="nil"/>
              <w:right w:val="single" w:sz="4" w:space="0" w:color="auto"/>
            </w:tcBorders>
            <w:shd w:val="clear" w:color="auto" w:fill="auto"/>
            <w:noWrap/>
            <w:vAlign w:val="bottom"/>
            <w:hideMark/>
          </w:tcPr>
          <w:p w14:paraId="3DDA4FEE" w14:textId="77777777" w:rsidR="00483217" w:rsidRPr="00483217" w:rsidRDefault="00483217" w:rsidP="00483217">
            <w:pPr>
              <w:spacing w:after="0" w:line="240" w:lineRule="auto"/>
              <w:jc w:val="right"/>
              <w:rPr>
                <w:rFonts w:eastAsia="Times New Roman" w:cs="Calibri"/>
                <w:color w:val="000000"/>
                <w:lang w:eastAsia="en-GB"/>
              </w:rPr>
            </w:pPr>
            <w:r w:rsidRPr="00483217">
              <w:rPr>
                <w:rFonts w:eastAsia="Times New Roman" w:cs="Calibri"/>
                <w:color w:val="000000"/>
                <w:lang w:eastAsia="en-GB"/>
              </w:rPr>
              <w:t>(0.042)</w:t>
            </w:r>
          </w:p>
        </w:tc>
        <w:tc>
          <w:tcPr>
            <w:tcW w:w="1420" w:type="dxa"/>
            <w:tcBorders>
              <w:top w:val="nil"/>
              <w:left w:val="nil"/>
              <w:bottom w:val="nil"/>
              <w:right w:val="single" w:sz="4" w:space="0" w:color="auto"/>
            </w:tcBorders>
            <w:shd w:val="clear" w:color="auto" w:fill="auto"/>
            <w:noWrap/>
            <w:vAlign w:val="bottom"/>
            <w:hideMark/>
          </w:tcPr>
          <w:p w14:paraId="7B3937D2"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0.000</w:t>
            </w:r>
          </w:p>
        </w:tc>
      </w:tr>
      <w:tr w:rsidR="00483217" w:rsidRPr="00483217" w14:paraId="66138C96"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1AF4B6A5"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Capital and ESN Reserve</w:t>
            </w:r>
          </w:p>
        </w:tc>
        <w:tc>
          <w:tcPr>
            <w:tcW w:w="1420" w:type="dxa"/>
            <w:tcBorders>
              <w:top w:val="nil"/>
              <w:left w:val="single" w:sz="4" w:space="0" w:color="auto"/>
              <w:bottom w:val="nil"/>
              <w:right w:val="single" w:sz="4" w:space="0" w:color="auto"/>
            </w:tcBorders>
            <w:shd w:val="clear" w:color="auto" w:fill="auto"/>
            <w:noWrap/>
            <w:vAlign w:val="bottom"/>
            <w:hideMark/>
          </w:tcPr>
          <w:p w14:paraId="390F8965"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0.063</w:t>
            </w:r>
          </w:p>
        </w:tc>
        <w:tc>
          <w:tcPr>
            <w:tcW w:w="1420" w:type="dxa"/>
            <w:tcBorders>
              <w:top w:val="nil"/>
              <w:left w:val="nil"/>
              <w:bottom w:val="nil"/>
              <w:right w:val="single" w:sz="4" w:space="0" w:color="auto"/>
            </w:tcBorders>
            <w:shd w:val="clear" w:color="auto" w:fill="auto"/>
            <w:noWrap/>
            <w:vAlign w:val="bottom"/>
            <w:hideMark/>
          </w:tcPr>
          <w:p w14:paraId="2416BD09"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75ED7D7"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0.063</w:t>
            </w:r>
          </w:p>
        </w:tc>
        <w:tc>
          <w:tcPr>
            <w:tcW w:w="1420" w:type="dxa"/>
            <w:tcBorders>
              <w:top w:val="nil"/>
              <w:left w:val="nil"/>
              <w:bottom w:val="nil"/>
              <w:right w:val="single" w:sz="4" w:space="0" w:color="auto"/>
            </w:tcBorders>
            <w:shd w:val="clear" w:color="auto" w:fill="auto"/>
            <w:noWrap/>
            <w:vAlign w:val="bottom"/>
            <w:hideMark/>
          </w:tcPr>
          <w:p w14:paraId="2C8B1738" w14:textId="77777777" w:rsidR="00483217" w:rsidRPr="00483217" w:rsidRDefault="00483217" w:rsidP="00483217">
            <w:pPr>
              <w:spacing w:after="0" w:line="240" w:lineRule="auto"/>
              <w:jc w:val="right"/>
              <w:rPr>
                <w:rFonts w:eastAsia="Times New Roman" w:cs="Calibri"/>
                <w:color w:val="000000"/>
                <w:lang w:eastAsia="en-GB"/>
              </w:rPr>
            </w:pPr>
            <w:r w:rsidRPr="00483217">
              <w:rPr>
                <w:rFonts w:eastAsia="Times New Roman" w:cs="Calibri"/>
                <w:color w:val="000000"/>
                <w:lang w:eastAsia="en-GB"/>
              </w:rPr>
              <w:t>(0.063)</w:t>
            </w:r>
          </w:p>
        </w:tc>
        <w:tc>
          <w:tcPr>
            <w:tcW w:w="1420" w:type="dxa"/>
            <w:tcBorders>
              <w:top w:val="nil"/>
              <w:left w:val="nil"/>
              <w:bottom w:val="nil"/>
              <w:right w:val="single" w:sz="4" w:space="0" w:color="auto"/>
            </w:tcBorders>
            <w:shd w:val="clear" w:color="auto" w:fill="auto"/>
            <w:noWrap/>
            <w:vAlign w:val="bottom"/>
            <w:hideMark/>
          </w:tcPr>
          <w:p w14:paraId="6F067716"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0.000</w:t>
            </w:r>
          </w:p>
        </w:tc>
      </w:tr>
      <w:tr w:rsidR="00483217" w:rsidRPr="00483217" w14:paraId="72C0151F"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1705519A"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S106 Developer Contributions</w:t>
            </w:r>
          </w:p>
        </w:tc>
        <w:tc>
          <w:tcPr>
            <w:tcW w:w="1420" w:type="dxa"/>
            <w:tcBorders>
              <w:top w:val="nil"/>
              <w:left w:val="single" w:sz="4" w:space="0" w:color="auto"/>
              <w:bottom w:val="nil"/>
              <w:right w:val="single" w:sz="4" w:space="0" w:color="auto"/>
            </w:tcBorders>
            <w:shd w:val="clear" w:color="auto" w:fill="auto"/>
            <w:noWrap/>
            <w:vAlign w:val="bottom"/>
            <w:hideMark/>
          </w:tcPr>
          <w:p w14:paraId="42184521"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3820E811"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6173AF49"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2E187EEE"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7CCA2A27"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0.000</w:t>
            </w:r>
          </w:p>
        </w:tc>
      </w:tr>
      <w:tr w:rsidR="00483217" w:rsidRPr="00483217" w14:paraId="2F8762B8" w14:textId="77777777" w:rsidTr="00483217">
        <w:trPr>
          <w:trHeight w:val="300"/>
        </w:trPr>
        <w:tc>
          <w:tcPr>
            <w:tcW w:w="2920" w:type="dxa"/>
            <w:tcBorders>
              <w:top w:val="nil"/>
              <w:left w:val="single" w:sz="4" w:space="0" w:color="auto"/>
              <w:bottom w:val="nil"/>
              <w:right w:val="nil"/>
            </w:tcBorders>
            <w:shd w:val="clear" w:color="auto" w:fill="auto"/>
            <w:noWrap/>
            <w:vAlign w:val="bottom"/>
            <w:hideMark/>
          </w:tcPr>
          <w:p w14:paraId="4DF74950"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Capital Grants Unapplied</w:t>
            </w:r>
          </w:p>
        </w:tc>
        <w:tc>
          <w:tcPr>
            <w:tcW w:w="1420" w:type="dxa"/>
            <w:tcBorders>
              <w:top w:val="nil"/>
              <w:left w:val="single" w:sz="4" w:space="0" w:color="auto"/>
              <w:bottom w:val="nil"/>
              <w:right w:val="single" w:sz="4" w:space="0" w:color="auto"/>
            </w:tcBorders>
            <w:shd w:val="clear" w:color="auto" w:fill="auto"/>
            <w:noWrap/>
            <w:vAlign w:val="bottom"/>
            <w:hideMark/>
          </w:tcPr>
          <w:p w14:paraId="22C45011"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0.417</w:t>
            </w:r>
          </w:p>
        </w:tc>
        <w:tc>
          <w:tcPr>
            <w:tcW w:w="1420" w:type="dxa"/>
            <w:tcBorders>
              <w:top w:val="nil"/>
              <w:left w:val="nil"/>
              <w:bottom w:val="nil"/>
              <w:right w:val="single" w:sz="4" w:space="0" w:color="auto"/>
            </w:tcBorders>
            <w:shd w:val="clear" w:color="auto" w:fill="auto"/>
            <w:noWrap/>
            <w:vAlign w:val="bottom"/>
            <w:hideMark/>
          </w:tcPr>
          <w:p w14:paraId="60405306"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EBDE586"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0.417</w:t>
            </w:r>
          </w:p>
        </w:tc>
        <w:tc>
          <w:tcPr>
            <w:tcW w:w="1420" w:type="dxa"/>
            <w:tcBorders>
              <w:top w:val="nil"/>
              <w:left w:val="nil"/>
              <w:bottom w:val="nil"/>
              <w:right w:val="single" w:sz="4" w:space="0" w:color="auto"/>
            </w:tcBorders>
            <w:shd w:val="clear" w:color="auto" w:fill="auto"/>
            <w:noWrap/>
            <w:vAlign w:val="bottom"/>
            <w:hideMark/>
          </w:tcPr>
          <w:p w14:paraId="761AFF12" w14:textId="77777777" w:rsidR="00483217" w:rsidRPr="00483217" w:rsidRDefault="00483217" w:rsidP="00483217">
            <w:pPr>
              <w:spacing w:after="0" w:line="240" w:lineRule="auto"/>
              <w:jc w:val="right"/>
              <w:rPr>
                <w:rFonts w:eastAsia="Times New Roman" w:cs="Calibri"/>
                <w:color w:val="000000"/>
                <w:lang w:eastAsia="en-GB"/>
              </w:rPr>
            </w:pPr>
            <w:r w:rsidRPr="00483217">
              <w:rPr>
                <w:rFonts w:eastAsia="Times New Roman" w:cs="Calibri"/>
                <w:color w:val="000000"/>
                <w:lang w:eastAsia="en-GB"/>
              </w:rPr>
              <w:t>(0.417)</w:t>
            </w:r>
          </w:p>
        </w:tc>
        <w:tc>
          <w:tcPr>
            <w:tcW w:w="1420" w:type="dxa"/>
            <w:tcBorders>
              <w:top w:val="nil"/>
              <w:left w:val="nil"/>
              <w:bottom w:val="nil"/>
              <w:right w:val="single" w:sz="4" w:space="0" w:color="auto"/>
            </w:tcBorders>
            <w:shd w:val="clear" w:color="auto" w:fill="auto"/>
            <w:noWrap/>
            <w:vAlign w:val="bottom"/>
            <w:hideMark/>
          </w:tcPr>
          <w:p w14:paraId="04B85AFE"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0.000</w:t>
            </w:r>
          </w:p>
        </w:tc>
      </w:tr>
      <w:tr w:rsidR="00483217" w:rsidRPr="00483217" w14:paraId="3A793AEE" w14:textId="77777777" w:rsidTr="00483217">
        <w:trPr>
          <w:trHeight w:val="300"/>
        </w:trPr>
        <w:tc>
          <w:tcPr>
            <w:tcW w:w="2920" w:type="dxa"/>
            <w:tcBorders>
              <w:top w:val="single" w:sz="4" w:space="0" w:color="auto"/>
              <w:left w:val="single" w:sz="4" w:space="0" w:color="auto"/>
              <w:bottom w:val="single" w:sz="4" w:space="0" w:color="auto"/>
              <w:right w:val="nil"/>
            </w:tcBorders>
            <w:shd w:val="clear" w:color="auto" w:fill="auto"/>
            <w:noWrap/>
            <w:vAlign w:val="bottom"/>
            <w:hideMark/>
          </w:tcPr>
          <w:p w14:paraId="77E2F944"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Total Capital</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1B065"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0.922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F58F4EC"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(0.400)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2B8E097"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0.522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98CFF69"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(0.522)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12F310A"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0.000</w:t>
            </w:r>
          </w:p>
        </w:tc>
      </w:tr>
      <w:tr w:rsidR="00483217" w:rsidRPr="00483217" w14:paraId="31F71457" w14:textId="77777777" w:rsidTr="00483217">
        <w:trPr>
          <w:trHeight w:val="315"/>
        </w:trPr>
        <w:tc>
          <w:tcPr>
            <w:tcW w:w="2920" w:type="dxa"/>
            <w:tcBorders>
              <w:top w:val="nil"/>
              <w:left w:val="single" w:sz="4" w:space="0" w:color="auto"/>
              <w:bottom w:val="single" w:sz="4" w:space="0" w:color="auto"/>
              <w:right w:val="nil"/>
            </w:tcBorders>
            <w:shd w:val="clear" w:color="auto" w:fill="auto"/>
            <w:noWrap/>
            <w:vAlign w:val="bottom"/>
            <w:hideMark/>
          </w:tcPr>
          <w:p w14:paraId="57D67E52"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AB90307"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06B60B53"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10DD1239"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0C10C87C" w14:textId="77777777" w:rsidR="00483217" w:rsidRPr="00483217" w:rsidRDefault="00483217" w:rsidP="00483217">
            <w:pPr>
              <w:spacing w:after="0" w:line="240" w:lineRule="auto"/>
              <w:rPr>
                <w:rFonts w:eastAsia="Times New Roman" w:cs="Calibri"/>
                <w:color w:val="000000"/>
                <w:lang w:eastAsia="en-GB"/>
              </w:rPr>
            </w:pPr>
            <w:r w:rsidRPr="00483217">
              <w:rPr>
                <w:rFonts w:eastAsia="Times New Roman" w:cs="Calibri"/>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7AE8043A"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 </w:t>
            </w:r>
          </w:p>
        </w:tc>
      </w:tr>
      <w:tr w:rsidR="00483217" w:rsidRPr="00483217" w14:paraId="47F4EDAE" w14:textId="77777777" w:rsidTr="00483217">
        <w:trPr>
          <w:trHeight w:val="300"/>
        </w:trPr>
        <w:tc>
          <w:tcPr>
            <w:tcW w:w="2920" w:type="dxa"/>
            <w:tcBorders>
              <w:top w:val="nil"/>
              <w:left w:val="single" w:sz="4" w:space="0" w:color="auto"/>
              <w:bottom w:val="single" w:sz="4" w:space="0" w:color="auto"/>
              <w:right w:val="nil"/>
            </w:tcBorders>
            <w:shd w:val="clear" w:color="auto" w:fill="auto"/>
            <w:noWrap/>
            <w:vAlign w:val="bottom"/>
            <w:hideMark/>
          </w:tcPr>
          <w:p w14:paraId="6ED41D67" w14:textId="77777777" w:rsidR="00483217" w:rsidRPr="00483217" w:rsidRDefault="00483217" w:rsidP="00483217">
            <w:pPr>
              <w:spacing w:after="0" w:line="240" w:lineRule="auto"/>
              <w:rPr>
                <w:rFonts w:eastAsia="Times New Roman" w:cs="Calibri"/>
                <w:b/>
                <w:bCs/>
                <w:color w:val="000000"/>
                <w:lang w:eastAsia="en-GB"/>
              </w:rPr>
            </w:pPr>
            <w:r w:rsidRPr="00483217">
              <w:rPr>
                <w:rFonts w:eastAsia="Times New Roman" w:cs="Calibri"/>
                <w:b/>
                <w:bCs/>
                <w:color w:val="000000"/>
                <w:lang w:eastAsia="en-GB"/>
              </w:rPr>
              <w:t>Total Reserves</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A78E36A"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5.231</w:t>
            </w:r>
          </w:p>
        </w:tc>
        <w:tc>
          <w:tcPr>
            <w:tcW w:w="1420" w:type="dxa"/>
            <w:tcBorders>
              <w:top w:val="nil"/>
              <w:left w:val="nil"/>
              <w:bottom w:val="single" w:sz="4" w:space="0" w:color="auto"/>
              <w:right w:val="single" w:sz="4" w:space="0" w:color="auto"/>
            </w:tcBorders>
            <w:shd w:val="clear" w:color="auto" w:fill="auto"/>
            <w:noWrap/>
            <w:vAlign w:val="bottom"/>
            <w:hideMark/>
          </w:tcPr>
          <w:p w14:paraId="6AB94208"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(0.819)</w:t>
            </w:r>
          </w:p>
        </w:tc>
        <w:tc>
          <w:tcPr>
            <w:tcW w:w="1420" w:type="dxa"/>
            <w:tcBorders>
              <w:top w:val="nil"/>
              <w:left w:val="nil"/>
              <w:bottom w:val="single" w:sz="4" w:space="0" w:color="auto"/>
              <w:right w:val="single" w:sz="4" w:space="0" w:color="auto"/>
            </w:tcBorders>
            <w:shd w:val="clear" w:color="auto" w:fill="auto"/>
            <w:noWrap/>
            <w:vAlign w:val="bottom"/>
            <w:hideMark/>
          </w:tcPr>
          <w:p w14:paraId="602715A8"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4.412</w:t>
            </w:r>
          </w:p>
        </w:tc>
        <w:tc>
          <w:tcPr>
            <w:tcW w:w="1420" w:type="dxa"/>
            <w:tcBorders>
              <w:top w:val="nil"/>
              <w:left w:val="nil"/>
              <w:bottom w:val="single" w:sz="4" w:space="0" w:color="auto"/>
              <w:right w:val="single" w:sz="4" w:space="0" w:color="auto"/>
            </w:tcBorders>
            <w:shd w:val="clear" w:color="auto" w:fill="auto"/>
            <w:noWrap/>
            <w:vAlign w:val="bottom"/>
            <w:hideMark/>
          </w:tcPr>
          <w:p w14:paraId="5676A552"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(1.522)</w:t>
            </w:r>
          </w:p>
        </w:tc>
        <w:tc>
          <w:tcPr>
            <w:tcW w:w="1420" w:type="dxa"/>
            <w:tcBorders>
              <w:top w:val="nil"/>
              <w:left w:val="nil"/>
              <w:bottom w:val="single" w:sz="4" w:space="0" w:color="auto"/>
              <w:right w:val="single" w:sz="4" w:space="0" w:color="auto"/>
            </w:tcBorders>
            <w:shd w:val="clear" w:color="auto" w:fill="auto"/>
            <w:noWrap/>
            <w:vAlign w:val="bottom"/>
            <w:hideMark/>
          </w:tcPr>
          <w:p w14:paraId="20B12C15" w14:textId="77777777" w:rsidR="00483217" w:rsidRPr="00483217" w:rsidRDefault="00483217" w:rsidP="00483217">
            <w:pPr>
              <w:spacing w:after="0" w:line="240" w:lineRule="auto"/>
              <w:jc w:val="right"/>
              <w:rPr>
                <w:rFonts w:eastAsia="Times New Roman" w:cs="Calibri"/>
                <w:b/>
                <w:bCs/>
                <w:color w:val="000000"/>
                <w:lang w:eastAsia="en-GB"/>
              </w:rPr>
            </w:pPr>
            <w:r w:rsidRPr="00483217">
              <w:rPr>
                <w:rFonts w:eastAsia="Times New Roman" w:cs="Calibri"/>
                <w:b/>
                <w:bCs/>
                <w:color w:val="000000"/>
                <w:lang w:eastAsia="en-GB"/>
              </w:rPr>
              <w:t>2.890</w:t>
            </w:r>
          </w:p>
        </w:tc>
      </w:tr>
    </w:tbl>
    <w:p w14:paraId="767B9E8E" w14:textId="77777777" w:rsidR="00483217" w:rsidRPr="000F4427" w:rsidRDefault="00483217" w:rsidP="00483217">
      <w:pPr>
        <w:spacing w:after="0" w:line="240" w:lineRule="auto"/>
        <w:jc w:val="both"/>
        <w:rPr>
          <w:rFonts w:ascii="Arial" w:eastAsia="Times New Roman" w:hAnsi="Arial" w:cs="Arial"/>
          <w:bCs/>
          <w:i/>
          <w:iCs/>
        </w:rPr>
      </w:pPr>
    </w:p>
    <w:p w14:paraId="699DA076" w14:textId="7F7E9835" w:rsidR="00483217" w:rsidRPr="000F4427" w:rsidRDefault="00483217" w:rsidP="00483217">
      <w:pPr>
        <w:spacing w:after="0" w:line="240" w:lineRule="auto"/>
        <w:jc w:val="both"/>
        <w:rPr>
          <w:rFonts w:ascii="Arial" w:eastAsia="Times New Roman" w:hAnsi="Arial" w:cs="Arial"/>
          <w:bCs/>
          <w:i/>
          <w:iCs/>
        </w:rPr>
      </w:pPr>
      <w:r w:rsidRPr="000F4427">
        <w:rPr>
          <w:rFonts w:ascii="Arial" w:eastAsia="Times New Roman" w:hAnsi="Arial" w:cs="Arial"/>
          <w:bCs/>
          <w:i/>
          <w:iCs/>
        </w:rPr>
        <w:t>Note: numbers may not sum due to rounding</w:t>
      </w:r>
    </w:p>
    <w:p w14:paraId="36A21560" w14:textId="77777777" w:rsidR="00483217" w:rsidRPr="000F4427" w:rsidRDefault="00483217" w:rsidP="00483217">
      <w:pPr>
        <w:spacing w:after="0" w:line="240" w:lineRule="auto"/>
        <w:jc w:val="both"/>
        <w:rPr>
          <w:rFonts w:ascii="Arial" w:eastAsia="Times New Roman" w:hAnsi="Arial" w:cs="Arial"/>
          <w:bCs/>
          <w:i/>
          <w:iCs/>
        </w:rPr>
      </w:pPr>
    </w:p>
    <w:p w14:paraId="5B91E6B6" w14:textId="616F4617" w:rsidR="00F115BD" w:rsidRPr="000F4427" w:rsidRDefault="00F115BD" w:rsidP="00483217">
      <w:pPr>
        <w:pStyle w:val="ReservesBody"/>
      </w:pPr>
      <w:r w:rsidRPr="000F4427">
        <w:t xml:space="preserve">Once the Chief Fire Officer has completed </w:t>
      </w:r>
      <w:r w:rsidR="00483217" w:rsidRPr="000F4427">
        <w:t>their</w:t>
      </w:r>
      <w:r w:rsidRPr="000F4427">
        <w:t xml:space="preserve"> consideration of the operational requirements of the service, plans will be put in place to drawdown from the transformation </w:t>
      </w:r>
      <w:r w:rsidR="0081263C" w:rsidRPr="000F4427">
        <w:t>reserve</w:t>
      </w:r>
      <w:r w:rsidRPr="000F4427">
        <w:t xml:space="preserve">, which was set aside </w:t>
      </w:r>
      <w:r w:rsidR="00483217" w:rsidRPr="000F4427">
        <w:t>for</w:t>
      </w:r>
      <w:r w:rsidRPr="000F4427">
        <w:t xml:space="preserve"> this purpose.</w:t>
      </w:r>
    </w:p>
    <w:p w14:paraId="28212EFB" w14:textId="7ABFF659" w:rsidR="00F115BD" w:rsidRPr="000F4427" w:rsidRDefault="00F115BD" w:rsidP="00483217">
      <w:pPr>
        <w:pStyle w:val="ReservesBody"/>
      </w:pPr>
      <w:r w:rsidRPr="000F4427">
        <w:t xml:space="preserve">Given the </w:t>
      </w:r>
      <w:r w:rsidR="00483217" w:rsidRPr="000F4427">
        <w:t>adequate</w:t>
      </w:r>
      <w:r w:rsidRPr="000F4427">
        <w:t xml:space="preserve"> but low level of revenue </w:t>
      </w:r>
      <w:r w:rsidR="0081263C" w:rsidRPr="000F4427">
        <w:t>reserve</w:t>
      </w:r>
      <w:r w:rsidRPr="000F4427">
        <w:t xml:space="preserve">s held by NCFRA, the above table reflects the strategy intention to maintain </w:t>
      </w:r>
      <w:r w:rsidR="00483217" w:rsidRPr="000F4427">
        <w:t>them</w:t>
      </w:r>
      <w:r w:rsidRPr="000F4427">
        <w:t xml:space="preserve"> at a relatively stable level. </w:t>
      </w:r>
      <w:r w:rsidR="00483217" w:rsidRPr="000F4427">
        <w:t xml:space="preserve"> </w:t>
      </w:r>
      <w:r w:rsidRPr="000F4427">
        <w:t>However, it is acknowledged that this will be reduced once the Chief Fire Officer’s plans take shape.</w:t>
      </w:r>
    </w:p>
    <w:p w14:paraId="4C5DD8DF" w14:textId="0BCCC805" w:rsidR="00F115BD" w:rsidRDefault="00F115BD" w:rsidP="00483217">
      <w:pPr>
        <w:pStyle w:val="ReservesBody"/>
      </w:pPr>
      <w:r w:rsidRPr="000F4427">
        <w:t xml:space="preserve">Capital </w:t>
      </w:r>
      <w:r w:rsidR="0081263C" w:rsidRPr="000F4427">
        <w:t>reserve</w:t>
      </w:r>
      <w:r w:rsidRPr="000F4427">
        <w:t xml:space="preserve">s will be used to ensure that the </w:t>
      </w:r>
      <w:r w:rsidR="00E11CF4" w:rsidRPr="000F4427">
        <w:t>capital</w:t>
      </w:r>
      <w:r w:rsidR="00F671CE" w:rsidRPr="000F4427">
        <w:t xml:space="preserve"> programme</w:t>
      </w:r>
      <w:r w:rsidRPr="000F4427">
        <w:t xml:space="preserve"> is funded in the most appropriate and prudent manner.</w:t>
      </w:r>
    </w:p>
    <w:p w14:paraId="4A222A81" w14:textId="19066BD1" w:rsidR="00AF1642" w:rsidRDefault="00AF1642" w:rsidP="00AF1642">
      <w:pPr>
        <w:pStyle w:val="ReservesHeading"/>
        <w:numPr>
          <w:ilvl w:val="0"/>
          <w:numId w:val="0"/>
        </w:numPr>
        <w:ind w:left="567"/>
      </w:pPr>
    </w:p>
    <w:p w14:paraId="2662FF27" w14:textId="77777777" w:rsidR="00AF1642" w:rsidRPr="000F4427" w:rsidRDefault="00AF1642" w:rsidP="00AF1642">
      <w:pPr>
        <w:pStyle w:val="ReservesHeading"/>
        <w:numPr>
          <w:ilvl w:val="0"/>
          <w:numId w:val="0"/>
        </w:numPr>
        <w:ind w:left="567"/>
      </w:pPr>
    </w:p>
    <w:p w14:paraId="617AACF5" w14:textId="77777777" w:rsidR="00483217" w:rsidRPr="000F4427" w:rsidRDefault="00483217" w:rsidP="00483217">
      <w:pPr>
        <w:pStyle w:val="ReservesHeading"/>
      </w:pPr>
      <w:r w:rsidRPr="000F4427">
        <w:t>General Reserve</w:t>
      </w:r>
    </w:p>
    <w:p w14:paraId="39CA5024" w14:textId="77777777" w:rsidR="00483217" w:rsidRPr="000F4427" w:rsidRDefault="00483217" w:rsidP="00483217">
      <w:pPr>
        <w:pStyle w:val="ReservesBody"/>
      </w:pPr>
      <w:r w:rsidRPr="000F4427">
        <w:t xml:space="preserve">In order to assess the adequacy of the unallocated general reserve when setting the budget, the PFCC, on the advice of the two Chief Finance Officers, should take account of the strategic, operational and financial risks facing the authority.  This assessment of risk should include external risks, as well as internal risks, for example the ability to deliver planned efficiency savings. </w:t>
      </w:r>
    </w:p>
    <w:p w14:paraId="21715151" w14:textId="77777777" w:rsidR="00483217" w:rsidRPr="000F4427" w:rsidRDefault="00483217" w:rsidP="00483217">
      <w:pPr>
        <w:pStyle w:val="ReservesBody"/>
      </w:pPr>
      <w:r w:rsidRPr="000F4427">
        <w:t>Whilst there is no prescribed level of reserves that PFCCs should hold; it is influenced by individual discretion, local circumstances, advice from external auditors, risk management arrangements and risk appetite.  CIPFA guidance specifically cautions against prescriptive national guidance for a minimum or maximum level of reserves and states:</w:t>
      </w:r>
    </w:p>
    <w:p w14:paraId="13495AE8" w14:textId="77777777" w:rsidR="00483217" w:rsidRPr="000F4427" w:rsidRDefault="00483217" w:rsidP="00483217">
      <w:pPr>
        <w:pStyle w:val="ReservesBody"/>
        <w:numPr>
          <w:ilvl w:val="0"/>
          <w:numId w:val="0"/>
        </w:numPr>
        <w:ind w:left="567"/>
        <w:rPr>
          <w:i/>
          <w:iCs/>
        </w:rPr>
      </w:pPr>
      <w:r w:rsidRPr="000F4427">
        <w:rPr>
          <w:i/>
          <w:iCs/>
        </w:rPr>
        <w:t xml:space="preserve">“The many factors involved when considering appropriate levels of reserves can only be assessed properly at a local level. A considerable degree of professional judgement is required. The chief finance officer may choose to express advice on the level of balances in cash and/or as a percentage of budget (to aid understanding) so long as that advice is tailored to the circumstances of the authority.” </w:t>
      </w:r>
    </w:p>
    <w:p w14:paraId="00313EE4" w14:textId="77777777" w:rsidR="00483217" w:rsidRPr="000F4427" w:rsidRDefault="00483217" w:rsidP="00483217">
      <w:pPr>
        <w:pStyle w:val="ReservesBody"/>
        <w:rPr>
          <w:i/>
        </w:rPr>
      </w:pPr>
      <w:r w:rsidRPr="000F4427">
        <w:t>However, the minimum level of reserves may be set for the authority by the Ministers in England and Wales where an authority does not act prudently, disregards the advice of its chief finance officer or is heading for financial difficulties.</w:t>
      </w:r>
    </w:p>
    <w:p w14:paraId="2FDF7FD4" w14:textId="710B0DE2" w:rsidR="00F115BD" w:rsidRPr="000F4427" w:rsidRDefault="00483217" w:rsidP="00483217">
      <w:pPr>
        <w:pStyle w:val="ReservesBody"/>
      </w:pPr>
      <w:r w:rsidRPr="000F4427">
        <w:t xml:space="preserve">CIPFA indicate a minimum general reserve level is typically between 2% and 3% of net budget requirement. </w:t>
      </w:r>
    </w:p>
    <w:p w14:paraId="37785CEF" w14:textId="4EB955D3" w:rsidR="00F115BD" w:rsidRPr="000F4427" w:rsidRDefault="00F115BD" w:rsidP="00C644FE">
      <w:pPr>
        <w:pStyle w:val="ReservesBody"/>
      </w:pPr>
      <w:r w:rsidRPr="000F4427">
        <w:t xml:space="preserve">In Policing, average </w:t>
      </w:r>
      <w:r w:rsidR="0081263C" w:rsidRPr="000F4427">
        <w:t>general reserve</w:t>
      </w:r>
      <w:r w:rsidRPr="000F4427">
        <w:t xml:space="preserve">s are around 5%. </w:t>
      </w:r>
      <w:r w:rsidR="00483217" w:rsidRPr="000F4427">
        <w:t xml:space="preserve"> </w:t>
      </w:r>
      <w:r w:rsidRPr="000F4427">
        <w:t>However, in Fire, there are even higher level</w:t>
      </w:r>
      <w:r w:rsidR="007728F2" w:rsidRPr="000F4427">
        <w:t>s</w:t>
      </w:r>
      <w:r w:rsidRPr="000F4427">
        <w:t xml:space="preserve"> of general and </w:t>
      </w:r>
      <w:r w:rsidR="0081263C" w:rsidRPr="000F4427">
        <w:t>earmarked reserve</w:t>
      </w:r>
      <w:r w:rsidRPr="000F4427">
        <w:t xml:space="preserve">s held. </w:t>
      </w:r>
      <w:r w:rsidR="00483217" w:rsidRPr="000F4427">
        <w:t xml:space="preserve"> </w:t>
      </w:r>
      <w:r w:rsidRPr="000F4427">
        <w:t>Home Office publications</w:t>
      </w:r>
      <w:r w:rsidR="00C644FE" w:rsidRPr="000F4427">
        <w:t xml:space="preserve"> in recent years</w:t>
      </w:r>
      <w:r w:rsidRPr="000F4427">
        <w:t xml:space="preserve"> reflect that despite progress in building </w:t>
      </w:r>
      <w:r w:rsidR="0081263C" w:rsidRPr="000F4427">
        <w:t>reserve</w:t>
      </w:r>
      <w:r w:rsidRPr="000F4427">
        <w:t xml:space="preserve">s, NCFRA still have the lowest level of </w:t>
      </w:r>
      <w:r w:rsidR="0081263C" w:rsidRPr="000F4427">
        <w:t>reserve</w:t>
      </w:r>
      <w:r w:rsidRPr="000F4427">
        <w:t xml:space="preserve">s per core spending power across all Fire and Rescue Authorities in England and Wales. </w:t>
      </w:r>
    </w:p>
    <w:p w14:paraId="194CC80D" w14:textId="77777777" w:rsidR="00C644FE" w:rsidRPr="000F4427" w:rsidRDefault="00C644FE" w:rsidP="00C644FE">
      <w:pPr>
        <w:pStyle w:val="ReservesBody"/>
      </w:pPr>
      <w:r w:rsidRPr="000F4427">
        <w:t>In December 2022, prior to the provisional Local Government Settlement, the Department of Levelling Up, Housing and Communities (DLUHC) issued a policy statement.  The statement included specific mention of the level of reserves built up during the pandemic and which applies to Fire and Police as follows:</w:t>
      </w:r>
    </w:p>
    <w:p w14:paraId="6F33D7AF" w14:textId="6E6200C8" w:rsidR="00F115BD" w:rsidRPr="000F4427" w:rsidRDefault="00C644FE" w:rsidP="00C644FE">
      <w:pPr>
        <w:pStyle w:val="ReservesBody"/>
        <w:numPr>
          <w:ilvl w:val="0"/>
          <w:numId w:val="0"/>
        </w:numPr>
        <w:ind w:left="567"/>
        <w:rPr>
          <w:i/>
          <w:iCs/>
        </w:rPr>
      </w:pPr>
      <w:r w:rsidRPr="000F4427">
        <w:rPr>
          <w:i/>
          <w:iCs/>
        </w:rPr>
        <w:t xml:space="preserve">“The government notes the significant increase in some local authority reserves over the 2 years of the pandemic. We encourage local authorities to consider how they can use their reserves to maintain services in the face of immediate inflationary pressures., taking account, of course, of the need to maintain appropriate levels of reserves to support councils’ financial sustainability and future investment. In order to support council members and local electorates to understand the reserves that their local authorities are holding and what they are used for, we will also explore releasing a user-friendly publication of the reserves data currently collected in the Local Authority Revenue Expenditure and Financing Outturn Statistics. We will consult with trusted partners, including the Local Government Association, about doing this”. </w:t>
      </w:r>
    </w:p>
    <w:p w14:paraId="5B4A729B" w14:textId="77777777" w:rsidR="00C644FE" w:rsidRPr="000F4427" w:rsidRDefault="00C644FE" w:rsidP="00C644FE">
      <w:pPr>
        <w:pStyle w:val="ReservesBody"/>
      </w:pPr>
      <w:r w:rsidRPr="000F4427">
        <w:t>The PFCC has considered his reserves strategy and wishes to hold a sufficient but not excessive level of reserves.  In determining this position, Annexe 1 outlines how the PFCC complies with the 7 key CIPFA principles which can be used to assess the adequacy of reserves.</w:t>
      </w:r>
    </w:p>
    <w:p w14:paraId="37461318" w14:textId="2A02BB37" w:rsidR="00F115BD" w:rsidRPr="000F4427" w:rsidRDefault="00F115BD" w:rsidP="00C644FE">
      <w:pPr>
        <w:pStyle w:val="ReservesBody"/>
      </w:pPr>
      <w:r w:rsidRPr="000F4427">
        <w:t>NCFRA have also considered the following factors:</w:t>
      </w:r>
    </w:p>
    <w:p w14:paraId="165742DB" w14:textId="77777777" w:rsidR="00F115BD" w:rsidRPr="000F4427" w:rsidRDefault="00F115BD" w:rsidP="00C644FE">
      <w:pPr>
        <w:pStyle w:val="Reservesbullet"/>
      </w:pPr>
      <w:r w:rsidRPr="000F4427">
        <w:t>NCFRA are required to meet the first 1% of any special grant requirement.</w:t>
      </w:r>
    </w:p>
    <w:p w14:paraId="2163C5F5" w14:textId="59193051" w:rsidR="00F115BD" w:rsidRPr="000F4427" w:rsidRDefault="00F115BD" w:rsidP="00C644FE">
      <w:pPr>
        <w:pStyle w:val="Reservesbullet"/>
      </w:pPr>
      <w:r w:rsidRPr="000F4427">
        <w:t xml:space="preserve">NCFRA was established without the transfer of any </w:t>
      </w:r>
      <w:r w:rsidR="0081263C" w:rsidRPr="000F4427">
        <w:t>reserve</w:t>
      </w:r>
      <w:r w:rsidRPr="000F4427">
        <w:t>s.</w:t>
      </w:r>
    </w:p>
    <w:p w14:paraId="0F20F24E" w14:textId="3EDE0762" w:rsidR="00F115BD" w:rsidRPr="000F4427" w:rsidRDefault="00F115BD" w:rsidP="00C644FE">
      <w:pPr>
        <w:pStyle w:val="Reservesbullet"/>
      </w:pPr>
      <w:r w:rsidRPr="000F4427">
        <w:t xml:space="preserve">Local funding accounts for some 75% of NCFRA’s funding streams, </w:t>
      </w:r>
      <w:r w:rsidR="009D76F4" w:rsidRPr="000F4427">
        <w:t xml:space="preserve">which can </w:t>
      </w:r>
      <w:r w:rsidR="00A14F12" w:rsidRPr="000F4427">
        <w:t>be affected</w:t>
      </w:r>
      <w:r w:rsidRPr="000F4427">
        <w:t xml:space="preserve"> by local taxpayers and business’ ability to pay and can subject to volatility.</w:t>
      </w:r>
    </w:p>
    <w:p w14:paraId="52EE99FC" w14:textId="478D5A84" w:rsidR="00F115BD" w:rsidRPr="000F4427" w:rsidRDefault="00F115BD" w:rsidP="00C644FE">
      <w:pPr>
        <w:pStyle w:val="ReservesBody"/>
      </w:pPr>
      <w:r w:rsidRPr="000F4427">
        <w:t xml:space="preserve">Given the above, it remains prudent to hold </w:t>
      </w:r>
      <w:r w:rsidR="0081263C" w:rsidRPr="000F4427">
        <w:t>reserve</w:t>
      </w:r>
      <w:r w:rsidRPr="000F4427">
        <w:t>s at a reasonable level to provide a realistic and comfortable buffer to meet any eventualities, and to mitigate against any unplanned in-year changes being required.</w:t>
      </w:r>
      <w:r w:rsidR="00C644FE" w:rsidRPr="000F4427">
        <w:t xml:space="preserve"> </w:t>
      </w:r>
      <w:r w:rsidRPr="000F4427">
        <w:t xml:space="preserve"> It is, therefore, imperative that the General</w:t>
      </w:r>
      <w:r w:rsidR="00C644FE" w:rsidRPr="000F4427">
        <w:t xml:space="preserve"> </w:t>
      </w:r>
      <w:r w:rsidR="0081263C" w:rsidRPr="000F4427">
        <w:t>Reserve</w:t>
      </w:r>
      <w:r w:rsidRPr="000F4427">
        <w:t xml:space="preserve"> is held at a sufficient level to mitigate such financial risks alongside any earmarked </w:t>
      </w:r>
      <w:r w:rsidR="0081263C" w:rsidRPr="000F4427">
        <w:t>reserve</w:t>
      </w:r>
      <w:r w:rsidRPr="000F4427">
        <w:t>s.</w:t>
      </w:r>
    </w:p>
    <w:p w14:paraId="6BB30AA7" w14:textId="3D0D60D9" w:rsidR="00F115BD" w:rsidRPr="000F4427" w:rsidRDefault="00F115BD" w:rsidP="00C644FE">
      <w:pPr>
        <w:pStyle w:val="ReservesBody"/>
      </w:pPr>
      <w:bookmarkStart w:id="13" w:name="_Hlk62119739"/>
      <w:r w:rsidRPr="000F4427">
        <w:t xml:space="preserve">The Chief Finance Officer advises that it would be prudent to maintain a sustainable and resilient level of </w:t>
      </w:r>
      <w:r w:rsidR="0081263C" w:rsidRPr="000F4427">
        <w:t>general reserve</w:t>
      </w:r>
      <w:r w:rsidRPr="000F4427">
        <w:t>s at £2.0m or 5% (whichever is the higher).</w:t>
      </w:r>
    </w:p>
    <w:p w14:paraId="4C2B7A8F" w14:textId="307C4C9B" w:rsidR="00F115BD" w:rsidRPr="000F4427" w:rsidRDefault="00F115BD" w:rsidP="00C644FE">
      <w:pPr>
        <w:pStyle w:val="ReservesBody"/>
      </w:pPr>
      <w:r w:rsidRPr="000F4427">
        <w:t xml:space="preserve">The </w:t>
      </w:r>
      <w:r w:rsidR="0081263C" w:rsidRPr="000F4427">
        <w:t>general reserve</w:t>
      </w:r>
      <w:r w:rsidRPr="000F4427">
        <w:t xml:space="preserve"> also holds the financial risk of any potential industrial action requirements </w:t>
      </w:r>
      <w:r w:rsidR="00C644FE" w:rsidRPr="000F4427">
        <w:t>should they arise</w:t>
      </w:r>
      <w:r w:rsidRPr="000F4427">
        <w:t>.</w:t>
      </w:r>
    </w:p>
    <w:bookmarkEnd w:id="13"/>
    <w:p w14:paraId="5DB33A50" w14:textId="39DE469B" w:rsidR="00C644FE" w:rsidRPr="000F4427" w:rsidRDefault="00C644FE" w:rsidP="00C644FE">
      <w:pPr>
        <w:pStyle w:val="ReservesBody"/>
      </w:pPr>
      <w:r w:rsidRPr="000F4427">
        <w:t>At present, there are no plans to use the general reserve during the period of the MTFP.  They</w:t>
      </w:r>
      <w:r w:rsidR="00F115BD" w:rsidRPr="000F4427">
        <w:t xml:space="preserve"> are currently stabilised above 5% </w:t>
      </w:r>
      <w:r w:rsidRPr="000F4427">
        <w:t xml:space="preserve">of revenue budget in each year of the MTFP </w:t>
      </w:r>
      <w:r w:rsidR="00F115BD" w:rsidRPr="000F4427">
        <w:t>as follows:</w:t>
      </w:r>
    </w:p>
    <w:tbl>
      <w:tblPr>
        <w:tblW w:w="4260" w:type="dxa"/>
        <w:tblInd w:w="562" w:type="dxa"/>
        <w:tblLook w:val="04A0" w:firstRow="1" w:lastRow="0" w:firstColumn="1" w:lastColumn="0" w:noHBand="0" w:noVBand="1"/>
      </w:tblPr>
      <w:tblGrid>
        <w:gridCol w:w="1420"/>
        <w:gridCol w:w="1420"/>
        <w:gridCol w:w="1420"/>
      </w:tblGrid>
      <w:tr w:rsidR="00C644FE" w:rsidRPr="00C644FE" w14:paraId="0F13FED8" w14:textId="77777777" w:rsidTr="00C644FE">
        <w:trPr>
          <w:trHeight w:val="600"/>
        </w:trPr>
        <w:tc>
          <w:tcPr>
            <w:tcW w:w="1420" w:type="dxa"/>
            <w:tcBorders>
              <w:top w:val="single" w:sz="4" w:space="0" w:color="auto"/>
              <w:left w:val="single" w:sz="4" w:space="0" w:color="auto"/>
              <w:bottom w:val="single" w:sz="4" w:space="0" w:color="auto"/>
              <w:right w:val="nil"/>
            </w:tcBorders>
            <w:shd w:val="clear" w:color="000000" w:fill="F2DCDB"/>
            <w:noWrap/>
            <w:vAlign w:val="bottom"/>
            <w:hideMark/>
          </w:tcPr>
          <w:p w14:paraId="23B13565" w14:textId="77777777" w:rsidR="00C644FE" w:rsidRPr="00C644FE" w:rsidRDefault="00C644FE" w:rsidP="00C644FE">
            <w:pPr>
              <w:spacing w:after="0" w:line="240" w:lineRule="auto"/>
              <w:jc w:val="center"/>
              <w:rPr>
                <w:rFonts w:eastAsia="Times New Roman" w:cs="Calibri"/>
                <w:b/>
                <w:bCs/>
                <w:color w:val="000000"/>
                <w:lang w:eastAsia="en-GB"/>
              </w:rPr>
            </w:pPr>
            <w:r w:rsidRPr="00C644FE">
              <w:rPr>
                <w:rFonts w:eastAsia="Times New Roman" w:cs="Calibri"/>
                <w:b/>
                <w:bCs/>
                <w:color w:val="000000"/>
                <w:lang w:eastAsia="en-GB"/>
              </w:rPr>
              <w:t>Year</w:t>
            </w:r>
          </w:p>
        </w:tc>
        <w:tc>
          <w:tcPr>
            <w:tcW w:w="1420"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14:paraId="605A3C08" w14:textId="77777777" w:rsidR="00C644FE" w:rsidRPr="00C644FE" w:rsidRDefault="00C644FE" w:rsidP="00C644FE">
            <w:pPr>
              <w:spacing w:after="0" w:line="240" w:lineRule="auto"/>
              <w:jc w:val="center"/>
              <w:rPr>
                <w:rFonts w:eastAsia="Times New Roman" w:cs="Calibri"/>
                <w:b/>
                <w:bCs/>
                <w:color w:val="000000"/>
                <w:lang w:eastAsia="en-GB"/>
              </w:rPr>
            </w:pPr>
            <w:r w:rsidRPr="00C644FE">
              <w:rPr>
                <w:rFonts w:eastAsia="Times New Roman" w:cs="Calibri"/>
                <w:b/>
                <w:bCs/>
                <w:color w:val="000000"/>
                <w:lang w:eastAsia="en-GB"/>
              </w:rPr>
              <w:t>£m</w:t>
            </w:r>
          </w:p>
        </w:tc>
        <w:tc>
          <w:tcPr>
            <w:tcW w:w="1420" w:type="dxa"/>
            <w:tcBorders>
              <w:top w:val="single" w:sz="4" w:space="0" w:color="auto"/>
              <w:left w:val="nil"/>
              <w:bottom w:val="single" w:sz="4" w:space="0" w:color="auto"/>
              <w:right w:val="single" w:sz="4" w:space="0" w:color="auto"/>
            </w:tcBorders>
            <w:shd w:val="clear" w:color="000000" w:fill="F2DCDB"/>
            <w:noWrap/>
            <w:vAlign w:val="bottom"/>
            <w:hideMark/>
          </w:tcPr>
          <w:p w14:paraId="00BDDEAB" w14:textId="77777777" w:rsidR="00C644FE" w:rsidRPr="00C644FE" w:rsidRDefault="00C644FE" w:rsidP="00C644FE">
            <w:pPr>
              <w:spacing w:after="0" w:line="240" w:lineRule="auto"/>
              <w:jc w:val="center"/>
              <w:rPr>
                <w:rFonts w:eastAsia="Times New Roman" w:cs="Calibri"/>
                <w:b/>
                <w:bCs/>
                <w:color w:val="000000"/>
                <w:lang w:eastAsia="en-GB"/>
              </w:rPr>
            </w:pPr>
            <w:r w:rsidRPr="00C644FE">
              <w:rPr>
                <w:rFonts w:eastAsia="Times New Roman" w:cs="Calibri"/>
                <w:b/>
                <w:bCs/>
                <w:color w:val="000000"/>
                <w:lang w:eastAsia="en-GB"/>
              </w:rPr>
              <w:t>%</w:t>
            </w:r>
          </w:p>
        </w:tc>
      </w:tr>
      <w:tr w:rsidR="00C644FE" w:rsidRPr="00C644FE" w14:paraId="3FE3059E" w14:textId="77777777" w:rsidTr="00C644FE">
        <w:trPr>
          <w:trHeight w:val="300"/>
        </w:trPr>
        <w:tc>
          <w:tcPr>
            <w:tcW w:w="1420" w:type="dxa"/>
            <w:tcBorders>
              <w:top w:val="nil"/>
              <w:left w:val="single" w:sz="4" w:space="0" w:color="auto"/>
              <w:bottom w:val="nil"/>
              <w:right w:val="nil"/>
            </w:tcBorders>
            <w:shd w:val="clear" w:color="auto" w:fill="auto"/>
            <w:noWrap/>
            <w:vAlign w:val="bottom"/>
            <w:hideMark/>
          </w:tcPr>
          <w:p w14:paraId="0D246B35" w14:textId="77777777" w:rsidR="00C644FE" w:rsidRPr="00C644FE" w:rsidRDefault="00C644FE" w:rsidP="00C644FE">
            <w:pPr>
              <w:spacing w:after="0" w:line="240" w:lineRule="auto"/>
              <w:jc w:val="center"/>
              <w:rPr>
                <w:rFonts w:eastAsia="Times New Roman" w:cs="Calibri"/>
                <w:color w:val="000000"/>
                <w:lang w:eastAsia="en-GB"/>
              </w:rPr>
            </w:pPr>
            <w:r w:rsidRPr="00C644FE">
              <w:rPr>
                <w:rFonts w:eastAsia="Times New Roman" w:cs="Calibri"/>
                <w:color w:val="000000"/>
                <w:lang w:eastAsia="en-GB"/>
              </w:rPr>
              <w:t>2024/25</w:t>
            </w:r>
          </w:p>
        </w:tc>
        <w:tc>
          <w:tcPr>
            <w:tcW w:w="1420" w:type="dxa"/>
            <w:tcBorders>
              <w:top w:val="nil"/>
              <w:left w:val="single" w:sz="4" w:space="0" w:color="auto"/>
              <w:bottom w:val="nil"/>
              <w:right w:val="single" w:sz="4" w:space="0" w:color="auto"/>
            </w:tcBorders>
            <w:shd w:val="clear" w:color="auto" w:fill="auto"/>
            <w:noWrap/>
            <w:vAlign w:val="bottom"/>
            <w:hideMark/>
          </w:tcPr>
          <w:p w14:paraId="49317ADA" w14:textId="77777777" w:rsidR="00C644FE" w:rsidRPr="00C644FE" w:rsidRDefault="00C644FE" w:rsidP="00C644FE">
            <w:pPr>
              <w:spacing w:after="0" w:line="240" w:lineRule="auto"/>
              <w:jc w:val="center"/>
              <w:rPr>
                <w:rFonts w:eastAsia="Times New Roman" w:cs="Calibri"/>
                <w:b/>
                <w:bCs/>
                <w:color w:val="000000"/>
                <w:lang w:eastAsia="en-GB"/>
              </w:rPr>
            </w:pPr>
            <w:r w:rsidRPr="00C644FE">
              <w:rPr>
                <w:rFonts w:eastAsia="Times New Roman" w:cs="Calibri"/>
                <w:b/>
                <w:bCs/>
                <w:color w:val="000000"/>
                <w:lang w:eastAsia="en-GB"/>
              </w:rPr>
              <w:t>2.000</w:t>
            </w:r>
          </w:p>
        </w:tc>
        <w:tc>
          <w:tcPr>
            <w:tcW w:w="1420" w:type="dxa"/>
            <w:tcBorders>
              <w:top w:val="nil"/>
              <w:left w:val="nil"/>
              <w:bottom w:val="nil"/>
              <w:right w:val="single" w:sz="4" w:space="0" w:color="auto"/>
            </w:tcBorders>
            <w:shd w:val="clear" w:color="auto" w:fill="auto"/>
            <w:noWrap/>
            <w:vAlign w:val="bottom"/>
            <w:hideMark/>
          </w:tcPr>
          <w:p w14:paraId="0A42CDEF" w14:textId="77777777" w:rsidR="00C644FE" w:rsidRPr="00C644FE" w:rsidRDefault="00C644FE" w:rsidP="00C644FE">
            <w:pPr>
              <w:spacing w:after="0" w:line="240" w:lineRule="auto"/>
              <w:jc w:val="center"/>
              <w:rPr>
                <w:rFonts w:eastAsia="Times New Roman" w:cs="Calibri"/>
                <w:color w:val="000000"/>
                <w:lang w:eastAsia="en-GB"/>
              </w:rPr>
            </w:pPr>
            <w:r w:rsidRPr="00C644FE">
              <w:rPr>
                <w:rFonts w:eastAsia="Times New Roman" w:cs="Calibri"/>
                <w:color w:val="000000"/>
                <w:lang w:eastAsia="en-GB"/>
              </w:rPr>
              <w:t>6.4%</w:t>
            </w:r>
          </w:p>
        </w:tc>
      </w:tr>
      <w:tr w:rsidR="00C644FE" w:rsidRPr="00C644FE" w14:paraId="046C7786" w14:textId="77777777" w:rsidTr="00C644FE">
        <w:trPr>
          <w:trHeight w:val="300"/>
        </w:trPr>
        <w:tc>
          <w:tcPr>
            <w:tcW w:w="1420" w:type="dxa"/>
            <w:tcBorders>
              <w:top w:val="nil"/>
              <w:left w:val="single" w:sz="4" w:space="0" w:color="auto"/>
              <w:bottom w:val="nil"/>
              <w:right w:val="nil"/>
            </w:tcBorders>
            <w:shd w:val="clear" w:color="auto" w:fill="auto"/>
            <w:noWrap/>
            <w:vAlign w:val="bottom"/>
            <w:hideMark/>
          </w:tcPr>
          <w:p w14:paraId="035B564B" w14:textId="77777777" w:rsidR="00C644FE" w:rsidRPr="00C644FE" w:rsidRDefault="00C644FE" w:rsidP="00C644FE">
            <w:pPr>
              <w:spacing w:after="0" w:line="240" w:lineRule="auto"/>
              <w:jc w:val="center"/>
              <w:rPr>
                <w:rFonts w:eastAsia="Times New Roman" w:cs="Calibri"/>
                <w:color w:val="000000"/>
                <w:lang w:eastAsia="en-GB"/>
              </w:rPr>
            </w:pPr>
            <w:r w:rsidRPr="00C644FE">
              <w:rPr>
                <w:rFonts w:eastAsia="Times New Roman" w:cs="Calibri"/>
                <w:color w:val="000000"/>
                <w:lang w:eastAsia="en-GB"/>
              </w:rPr>
              <w:t>2025/26</w:t>
            </w:r>
          </w:p>
        </w:tc>
        <w:tc>
          <w:tcPr>
            <w:tcW w:w="1420" w:type="dxa"/>
            <w:tcBorders>
              <w:top w:val="nil"/>
              <w:left w:val="single" w:sz="4" w:space="0" w:color="auto"/>
              <w:bottom w:val="nil"/>
              <w:right w:val="single" w:sz="4" w:space="0" w:color="auto"/>
            </w:tcBorders>
            <w:shd w:val="clear" w:color="auto" w:fill="auto"/>
            <w:noWrap/>
            <w:vAlign w:val="bottom"/>
            <w:hideMark/>
          </w:tcPr>
          <w:p w14:paraId="620A3131" w14:textId="77777777" w:rsidR="00C644FE" w:rsidRPr="00C644FE" w:rsidRDefault="00C644FE" w:rsidP="00C644FE">
            <w:pPr>
              <w:spacing w:after="0" w:line="240" w:lineRule="auto"/>
              <w:jc w:val="center"/>
              <w:rPr>
                <w:rFonts w:eastAsia="Times New Roman" w:cs="Calibri"/>
                <w:b/>
                <w:bCs/>
                <w:color w:val="000000"/>
                <w:lang w:eastAsia="en-GB"/>
              </w:rPr>
            </w:pPr>
            <w:r w:rsidRPr="00C644FE">
              <w:rPr>
                <w:rFonts w:eastAsia="Times New Roman" w:cs="Calibri"/>
                <w:b/>
                <w:bCs/>
                <w:color w:val="000000"/>
                <w:lang w:eastAsia="en-GB"/>
              </w:rPr>
              <w:t>2.000</w:t>
            </w:r>
          </w:p>
        </w:tc>
        <w:tc>
          <w:tcPr>
            <w:tcW w:w="1420" w:type="dxa"/>
            <w:tcBorders>
              <w:top w:val="nil"/>
              <w:left w:val="nil"/>
              <w:bottom w:val="nil"/>
              <w:right w:val="single" w:sz="4" w:space="0" w:color="auto"/>
            </w:tcBorders>
            <w:shd w:val="clear" w:color="auto" w:fill="auto"/>
            <w:noWrap/>
            <w:vAlign w:val="bottom"/>
            <w:hideMark/>
          </w:tcPr>
          <w:p w14:paraId="3C0E1C9D" w14:textId="77777777" w:rsidR="00C644FE" w:rsidRPr="00C644FE" w:rsidRDefault="00C644FE" w:rsidP="00C644FE">
            <w:pPr>
              <w:spacing w:after="0" w:line="240" w:lineRule="auto"/>
              <w:jc w:val="center"/>
              <w:rPr>
                <w:rFonts w:eastAsia="Times New Roman" w:cs="Calibri"/>
                <w:color w:val="000000"/>
                <w:lang w:eastAsia="en-GB"/>
              </w:rPr>
            </w:pPr>
            <w:r w:rsidRPr="00C644FE">
              <w:rPr>
                <w:rFonts w:eastAsia="Times New Roman" w:cs="Calibri"/>
                <w:color w:val="000000"/>
                <w:lang w:eastAsia="en-GB"/>
              </w:rPr>
              <w:t>6.2%</w:t>
            </w:r>
          </w:p>
        </w:tc>
      </w:tr>
      <w:tr w:rsidR="00C644FE" w:rsidRPr="00C644FE" w14:paraId="1491AD69" w14:textId="77777777" w:rsidTr="00C644FE">
        <w:trPr>
          <w:trHeight w:val="300"/>
        </w:trPr>
        <w:tc>
          <w:tcPr>
            <w:tcW w:w="1420" w:type="dxa"/>
            <w:tcBorders>
              <w:top w:val="nil"/>
              <w:left w:val="single" w:sz="4" w:space="0" w:color="auto"/>
              <w:bottom w:val="nil"/>
              <w:right w:val="nil"/>
            </w:tcBorders>
            <w:shd w:val="clear" w:color="auto" w:fill="auto"/>
            <w:noWrap/>
            <w:vAlign w:val="bottom"/>
            <w:hideMark/>
          </w:tcPr>
          <w:p w14:paraId="503203E7" w14:textId="77777777" w:rsidR="00C644FE" w:rsidRPr="00C644FE" w:rsidRDefault="00C644FE" w:rsidP="00C644FE">
            <w:pPr>
              <w:spacing w:after="0" w:line="240" w:lineRule="auto"/>
              <w:jc w:val="center"/>
              <w:rPr>
                <w:rFonts w:eastAsia="Times New Roman" w:cs="Calibri"/>
                <w:color w:val="000000"/>
                <w:lang w:eastAsia="en-GB"/>
              </w:rPr>
            </w:pPr>
            <w:r w:rsidRPr="00C644FE">
              <w:rPr>
                <w:rFonts w:eastAsia="Times New Roman" w:cs="Calibri"/>
                <w:color w:val="000000"/>
                <w:lang w:eastAsia="en-GB"/>
              </w:rPr>
              <w:t>2026/27</w:t>
            </w:r>
          </w:p>
        </w:tc>
        <w:tc>
          <w:tcPr>
            <w:tcW w:w="1420" w:type="dxa"/>
            <w:tcBorders>
              <w:top w:val="nil"/>
              <w:left w:val="single" w:sz="4" w:space="0" w:color="auto"/>
              <w:bottom w:val="nil"/>
              <w:right w:val="single" w:sz="4" w:space="0" w:color="auto"/>
            </w:tcBorders>
            <w:shd w:val="clear" w:color="auto" w:fill="auto"/>
            <w:noWrap/>
            <w:vAlign w:val="bottom"/>
            <w:hideMark/>
          </w:tcPr>
          <w:p w14:paraId="29CCA5E9" w14:textId="77777777" w:rsidR="00C644FE" w:rsidRPr="00C644FE" w:rsidRDefault="00C644FE" w:rsidP="00C644FE">
            <w:pPr>
              <w:spacing w:after="0" w:line="240" w:lineRule="auto"/>
              <w:jc w:val="center"/>
              <w:rPr>
                <w:rFonts w:eastAsia="Times New Roman" w:cs="Calibri"/>
                <w:b/>
                <w:bCs/>
                <w:color w:val="000000"/>
                <w:lang w:eastAsia="en-GB"/>
              </w:rPr>
            </w:pPr>
            <w:r w:rsidRPr="00C644FE">
              <w:rPr>
                <w:rFonts w:eastAsia="Times New Roman" w:cs="Calibri"/>
                <w:b/>
                <w:bCs/>
                <w:color w:val="000000"/>
                <w:lang w:eastAsia="en-GB"/>
              </w:rPr>
              <w:t>2.000</w:t>
            </w:r>
          </w:p>
        </w:tc>
        <w:tc>
          <w:tcPr>
            <w:tcW w:w="1420" w:type="dxa"/>
            <w:tcBorders>
              <w:top w:val="nil"/>
              <w:left w:val="nil"/>
              <w:bottom w:val="nil"/>
              <w:right w:val="single" w:sz="4" w:space="0" w:color="auto"/>
            </w:tcBorders>
            <w:shd w:val="clear" w:color="auto" w:fill="auto"/>
            <w:noWrap/>
            <w:vAlign w:val="bottom"/>
            <w:hideMark/>
          </w:tcPr>
          <w:p w14:paraId="2B05B230" w14:textId="77777777" w:rsidR="00C644FE" w:rsidRPr="00C644FE" w:rsidRDefault="00C644FE" w:rsidP="00C644FE">
            <w:pPr>
              <w:spacing w:after="0" w:line="240" w:lineRule="auto"/>
              <w:jc w:val="center"/>
              <w:rPr>
                <w:rFonts w:eastAsia="Times New Roman" w:cs="Calibri"/>
                <w:color w:val="000000"/>
                <w:lang w:eastAsia="en-GB"/>
              </w:rPr>
            </w:pPr>
            <w:r w:rsidRPr="00C644FE">
              <w:rPr>
                <w:rFonts w:eastAsia="Times New Roman" w:cs="Calibri"/>
                <w:color w:val="000000"/>
                <w:lang w:eastAsia="en-GB"/>
              </w:rPr>
              <w:t>6.1%</w:t>
            </w:r>
          </w:p>
        </w:tc>
      </w:tr>
      <w:tr w:rsidR="00C644FE" w:rsidRPr="00C644FE" w14:paraId="47A088FE" w14:textId="77777777" w:rsidTr="00C644FE">
        <w:trPr>
          <w:trHeight w:val="300"/>
        </w:trPr>
        <w:tc>
          <w:tcPr>
            <w:tcW w:w="1420" w:type="dxa"/>
            <w:tcBorders>
              <w:top w:val="nil"/>
              <w:left w:val="single" w:sz="4" w:space="0" w:color="auto"/>
              <w:bottom w:val="nil"/>
              <w:right w:val="nil"/>
            </w:tcBorders>
            <w:shd w:val="clear" w:color="auto" w:fill="auto"/>
            <w:noWrap/>
            <w:vAlign w:val="bottom"/>
            <w:hideMark/>
          </w:tcPr>
          <w:p w14:paraId="33B6640C" w14:textId="77777777" w:rsidR="00C644FE" w:rsidRPr="00C644FE" w:rsidRDefault="00C644FE" w:rsidP="00C644FE">
            <w:pPr>
              <w:spacing w:after="0" w:line="240" w:lineRule="auto"/>
              <w:jc w:val="center"/>
              <w:rPr>
                <w:rFonts w:eastAsia="Times New Roman" w:cs="Calibri"/>
                <w:color w:val="000000"/>
                <w:lang w:eastAsia="en-GB"/>
              </w:rPr>
            </w:pPr>
            <w:r w:rsidRPr="00C644FE">
              <w:rPr>
                <w:rFonts w:eastAsia="Times New Roman" w:cs="Calibri"/>
                <w:color w:val="000000"/>
                <w:lang w:eastAsia="en-GB"/>
              </w:rPr>
              <w:t>2027/28</w:t>
            </w:r>
          </w:p>
        </w:tc>
        <w:tc>
          <w:tcPr>
            <w:tcW w:w="1420" w:type="dxa"/>
            <w:tcBorders>
              <w:top w:val="nil"/>
              <w:left w:val="single" w:sz="4" w:space="0" w:color="auto"/>
              <w:bottom w:val="nil"/>
              <w:right w:val="single" w:sz="4" w:space="0" w:color="auto"/>
            </w:tcBorders>
            <w:shd w:val="clear" w:color="auto" w:fill="auto"/>
            <w:noWrap/>
            <w:vAlign w:val="bottom"/>
            <w:hideMark/>
          </w:tcPr>
          <w:p w14:paraId="7728DE19" w14:textId="77777777" w:rsidR="00C644FE" w:rsidRPr="00C644FE" w:rsidRDefault="00C644FE" w:rsidP="00C644FE">
            <w:pPr>
              <w:spacing w:after="0" w:line="240" w:lineRule="auto"/>
              <w:jc w:val="center"/>
              <w:rPr>
                <w:rFonts w:eastAsia="Times New Roman" w:cs="Calibri"/>
                <w:b/>
                <w:bCs/>
                <w:color w:val="000000"/>
                <w:lang w:eastAsia="en-GB"/>
              </w:rPr>
            </w:pPr>
            <w:r w:rsidRPr="00C644FE">
              <w:rPr>
                <w:rFonts w:eastAsia="Times New Roman" w:cs="Calibri"/>
                <w:b/>
                <w:bCs/>
                <w:color w:val="000000"/>
                <w:lang w:eastAsia="en-GB"/>
              </w:rPr>
              <w:t>2.000</w:t>
            </w:r>
          </w:p>
        </w:tc>
        <w:tc>
          <w:tcPr>
            <w:tcW w:w="1420" w:type="dxa"/>
            <w:tcBorders>
              <w:top w:val="nil"/>
              <w:left w:val="nil"/>
              <w:bottom w:val="nil"/>
              <w:right w:val="single" w:sz="4" w:space="0" w:color="auto"/>
            </w:tcBorders>
            <w:shd w:val="clear" w:color="auto" w:fill="auto"/>
            <w:noWrap/>
            <w:vAlign w:val="bottom"/>
            <w:hideMark/>
          </w:tcPr>
          <w:p w14:paraId="75DD58B2" w14:textId="77777777" w:rsidR="00C644FE" w:rsidRPr="00C644FE" w:rsidRDefault="00C644FE" w:rsidP="00C644FE">
            <w:pPr>
              <w:spacing w:after="0" w:line="240" w:lineRule="auto"/>
              <w:jc w:val="center"/>
              <w:rPr>
                <w:rFonts w:eastAsia="Times New Roman" w:cs="Calibri"/>
                <w:color w:val="000000"/>
                <w:lang w:eastAsia="en-GB"/>
              </w:rPr>
            </w:pPr>
            <w:r w:rsidRPr="00C644FE">
              <w:rPr>
                <w:rFonts w:eastAsia="Times New Roman" w:cs="Calibri"/>
                <w:color w:val="000000"/>
                <w:lang w:eastAsia="en-GB"/>
              </w:rPr>
              <w:t>5.9%</w:t>
            </w:r>
          </w:p>
        </w:tc>
      </w:tr>
      <w:tr w:rsidR="00C644FE" w:rsidRPr="00C644FE" w14:paraId="7929549D" w14:textId="77777777" w:rsidTr="00C644FE">
        <w:trPr>
          <w:trHeight w:val="300"/>
        </w:trPr>
        <w:tc>
          <w:tcPr>
            <w:tcW w:w="1420" w:type="dxa"/>
            <w:tcBorders>
              <w:top w:val="nil"/>
              <w:left w:val="single" w:sz="4" w:space="0" w:color="auto"/>
              <w:bottom w:val="single" w:sz="4" w:space="0" w:color="auto"/>
              <w:right w:val="nil"/>
            </w:tcBorders>
            <w:shd w:val="clear" w:color="auto" w:fill="auto"/>
            <w:noWrap/>
            <w:vAlign w:val="bottom"/>
            <w:hideMark/>
          </w:tcPr>
          <w:p w14:paraId="74B45A80" w14:textId="77777777" w:rsidR="00C644FE" w:rsidRPr="00C644FE" w:rsidRDefault="00C644FE" w:rsidP="00C644FE">
            <w:pPr>
              <w:spacing w:after="0" w:line="240" w:lineRule="auto"/>
              <w:jc w:val="center"/>
              <w:rPr>
                <w:rFonts w:eastAsia="Times New Roman" w:cs="Calibri"/>
                <w:color w:val="000000"/>
                <w:lang w:eastAsia="en-GB"/>
              </w:rPr>
            </w:pPr>
            <w:r w:rsidRPr="00C644FE">
              <w:rPr>
                <w:rFonts w:eastAsia="Times New Roman" w:cs="Calibri"/>
                <w:color w:val="000000"/>
                <w:lang w:eastAsia="en-GB"/>
              </w:rPr>
              <w:t>2028/29</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600E5B9" w14:textId="77777777" w:rsidR="00C644FE" w:rsidRPr="00C644FE" w:rsidRDefault="00C644FE" w:rsidP="00C644FE">
            <w:pPr>
              <w:spacing w:after="0" w:line="240" w:lineRule="auto"/>
              <w:jc w:val="center"/>
              <w:rPr>
                <w:rFonts w:eastAsia="Times New Roman" w:cs="Calibri"/>
                <w:b/>
                <w:bCs/>
                <w:color w:val="000000"/>
                <w:lang w:eastAsia="en-GB"/>
              </w:rPr>
            </w:pPr>
            <w:r w:rsidRPr="00C644FE">
              <w:rPr>
                <w:rFonts w:eastAsia="Times New Roman" w:cs="Calibri"/>
                <w:b/>
                <w:bCs/>
                <w:color w:val="000000"/>
                <w:lang w:eastAsia="en-GB"/>
              </w:rPr>
              <w:t>2.000</w:t>
            </w:r>
          </w:p>
        </w:tc>
        <w:tc>
          <w:tcPr>
            <w:tcW w:w="1420" w:type="dxa"/>
            <w:tcBorders>
              <w:top w:val="nil"/>
              <w:left w:val="nil"/>
              <w:bottom w:val="single" w:sz="4" w:space="0" w:color="auto"/>
              <w:right w:val="single" w:sz="4" w:space="0" w:color="auto"/>
            </w:tcBorders>
            <w:shd w:val="clear" w:color="auto" w:fill="auto"/>
            <w:noWrap/>
            <w:vAlign w:val="bottom"/>
            <w:hideMark/>
          </w:tcPr>
          <w:p w14:paraId="2B79C28D" w14:textId="77777777" w:rsidR="00C644FE" w:rsidRPr="00C644FE" w:rsidRDefault="00C644FE" w:rsidP="00C644FE">
            <w:pPr>
              <w:spacing w:after="0" w:line="240" w:lineRule="auto"/>
              <w:jc w:val="center"/>
              <w:rPr>
                <w:rFonts w:eastAsia="Times New Roman" w:cs="Calibri"/>
                <w:color w:val="000000"/>
                <w:lang w:eastAsia="en-GB"/>
              </w:rPr>
            </w:pPr>
            <w:r w:rsidRPr="00C644FE">
              <w:rPr>
                <w:rFonts w:eastAsia="Times New Roman" w:cs="Calibri"/>
                <w:color w:val="000000"/>
                <w:lang w:eastAsia="en-GB"/>
              </w:rPr>
              <w:t>5.8%</w:t>
            </w:r>
          </w:p>
        </w:tc>
      </w:tr>
    </w:tbl>
    <w:p w14:paraId="30E9C52A" w14:textId="77777777" w:rsidR="00C644FE" w:rsidRPr="000F4427" w:rsidRDefault="00C644FE" w:rsidP="00C644FE">
      <w:pPr>
        <w:pStyle w:val="NoSpacing"/>
      </w:pPr>
    </w:p>
    <w:p w14:paraId="2D50F5E1" w14:textId="5DE83944" w:rsidR="00C644FE" w:rsidRPr="000F4427" w:rsidRDefault="00C644FE" w:rsidP="00C644FE">
      <w:pPr>
        <w:pStyle w:val="ReservesHeading"/>
      </w:pPr>
      <w:r w:rsidRPr="000F4427">
        <w:t>Earmarked Reserves</w:t>
      </w:r>
    </w:p>
    <w:p w14:paraId="15F58398" w14:textId="77777777" w:rsidR="00C644FE" w:rsidRPr="000F4427" w:rsidRDefault="00C644FE" w:rsidP="00C644FE">
      <w:pPr>
        <w:pStyle w:val="ReservesBody"/>
      </w:pPr>
      <w:r w:rsidRPr="000F4427">
        <w:t>In addition to the general reserve, the PFCC holds a number of reserves which are earmarked for specific purposes.</w:t>
      </w:r>
    </w:p>
    <w:p w14:paraId="06C6234E" w14:textId="5FF66D52" w:rsidR="00C644FE" w:rsidRPr="000F4427" w:rsidRDefault="000F4427" w:rsidP="00C644FE">
      <w:pPr>
        <w:pStyle w:val="ReservesBody"/>
      </w:pPr>
      <w:r w:rsidRPr="000F4427">
        <w:t>At the 31/3/2024, it is estimated that the PFCC will hold £</w:t>
      </w:r>
      <w:r w:rsidR="00AF1642">
        <w:t>3.231</w:t>
      </w:r>
      <w:r w:rsidRPr="000F4427">
        <w:t>m for Fire in earmarked reserves</w:t>
      </w:r>
      <w:r>
        <w:t xml:space="preserve">.  </w:t>
      </w:r>
      <w:r w:rsidR="00C644FE" w:rsidRPr="000F4427">
        <w:t xml:space="preserve">The predicted position for each earmarked reserve as at 31/3/2024, together with </w:t>
      </w:r>
      <w:r>
        <w:t>further details</w:t>
      </w:r>
      <w:r w:rsidR="00C644FE" w:rsidRPr="000F4427">
        <w:t xml:space="preserve"> is attached </w:t>
      </w:r>
      <w:r>
        <w:t>in</w:t>
      </w:r>
      <w:r w:rsidR="00C644FE" w:rsidRPr="000F4427">
        <w:t xml:space="preserve"> Annexe 2</w:t>
      </w:r>
      <w:r>
        <w:t xml:space="preserve"> and 3</w:t>
      </w:r>
      <w:r w:rsidR="00C644FE" w:rsidRPr="000F4427">
        <w:t xml:space="preserve">. </w:t>
      </w:r>
    </w:p>
    <w:p w14:paraId="7A452CF1" w14:textId="27B511F7" w:rsidR="00C644FE" w:rsidRPr="000F4427" w:rsidRDefault="000F4427" w:rsidP="00C644FE">
      <w:pPr>
        <w:pStyle w:val="ReservesBody"/>
      </w:pPr>
      <w:r>
        <w:t xml:space="preserve">The purposes of the different earmarked reserves </w:t>
      </w:r>
      <w:r w:rsidR="00C644FE" w:rsidRPr="000F4427">
        <w:t>are as follow</w:t>
      </w:r>
      <w:r>
        <w:t>s</w:t>
      </w:r>
      <w:r w:rsidR="00C644FE" w:rsidRPr="000F4427">
        <w:t>:</w:t>
      </w:r>
    </w:p>
    <w:p w14:paraId="7301985B" w14:textId="77777777" w:rsidR="00F115BD" w:rsidRPr="000F4427" w:rsidRDefault="00F115BD" w:rsidP="006660EE">
      <w:pPr>
        <w:spacing w:after="0" w:line="240" w:lineRule="auto"/>
        <w:jc w:val="both"/>
        <w:rPr>
          <w:rFonts w:cs="Arial"/>
          <w:sz w:val="24"/>
          <w:highlight w:val="yellow"/>
        </w:rPr>
      </w:pPr>
    </w:p>
    <w:p w14:paraId="35EEEE53" w14:textId="77777777" w:rsidR="000D033B" w:rsidRPr="000F4427" w:rsidRDefault="000D033B" w:rsidP="000D033B">
      <w:pPr>
        <w:pStyle w:val="Reservesbullet"/>
      </w:pPr>
      <w:r w:rsidRPr="000F4427">
        <w:rPr>
          <w:b/>
          <w:bCs/>
        </w:rPr>
        <w:t>Insurance</w:t>
      </w:r>
      <w:r w:rsidRPr="000F4427">
        <w:t xml:space="preserve"> – To hold funds set aside where considered prudent for civil claims (Public and Employer liability) in line with professional advice.</w:t>
      </w:r>
    </w:p>
    <w:p w14:paraId="742CA890" w14:textId="08E9A474" w:rsidR="00F115BD" w:rsidRPr="000F4427" w:rsidRDefault="00F115BD" w:rsidP="000D033B">
      <w:pPr>
        <w:pStyle w:val="Reservesbullet"/>
      </w:pPr>
      <w:r w:rsidRPr="000F4427">
        <w:rPr>
          <w:b/>
        </w:rPr>
        <w:t xml:space="preserve">Operational Equipment </w:t>
      </w:r>
      <w:r w:rsidRPr="000F4427">
        <w:t xml:space="preserve">– </w:t>
      </w:r>
      <w:r w:rsidR="000D033B" w:rsidRPr="000F4427">
        <w:t>G</w:t>
      </w:r>
      <w:r w:rsidRPr="000F4427">
        <w:t xml:space="preserve">iven the age and condition of equipment transferred as part of the governance transfer, an annual operational equipment </w:t>
      </w:r>
      <w:r w:rsidR="0081263C" w:rsidRPr="000F4427">
        <w:t>reserve</w:t>
      </w:r>
      <w:r w:rsidRPr="000F4427">
        <w:t xml:space="preserve"> contribution was established to smooth the impact and mitigate the costs of essential operational equipment replacement. </w:t>
      </w:r>
    </w:p>
    <w:p w14:paraId="47877A47" w14:textId="17BD6FF0" w:rsidR="000D033B" w:rsidRPr="000F4427" w:rsidRDefault="00F115BD" w:rsidP="000D033B">
      <w:pPr>
        <w:pStyle w:val="Reservesbullet"/>
        <w:rPr>
          <w:rFonts w:cs="Times New Roman"/>
          <w:sz w:val="22"/>
        </w:rPr>
      </w:pPr>
      <w:r w:rsidRPr="000F4427">
        <w:rPr>
          <w:b/>
        </w:rPr>
        <w:t xml:space="preserve">Carry Forwards </w:t>
      </w:r>
      <w:r w:rsidRPr="000F4427">
        <w:t xml:space="preserve">– </w:t>
      </w:r>
      <w:r w:rsidR="000D033B" w:rsidRPr="000F4427">
        <w:t>To hold previous years underspends which are ring-fenced and carried forward for specific purposes in the medium term.</w:t>
      </w:r>
    </w:p>
    <w:p w14:paraId="2C30ADF6" w14:textId="77777777" w:rsidR="000D033B" w:rsidRPr="000F4427" w:rsidRDefault="000D033B" w:rsidP="000D033B">
      <w:pPr>
        <w:pStyle w:val="Reservesbullet"/>
      </w:pPr>
      <w:r w:rsidRPr="000F4427">
        <w:rPr>
          <w:b/>
          <w:bCs/>
        </w:rPr>
        <w:t xml:space="preserve">Smoothing </w:t>
      </w:r>
      <w:r w:rsidRPr="000F4427">
        <w:t xml:space="preserve">– To enable the savings generated to be earmarked and released over future years as needed, smoothing the impact of uncertain variations and timing of savings programmes on the revenue budget. </w:t>
      </w:r>
    </w:p>
    <w:p w14:paraId="338E4586" w14:textId="19D07683" w:rsidR="000D033B" w:rsidRPr="000F4427" w:rsidRDefault="000D033B" w:rsidP="000D033B">
      <w:pPr>
        <w:pStyle w:val="Reservesbullet"/>
      </w:pPr>
      <w:r w:rsidRPr="000F4427">
        <w:rPr>
          <w:b/>
          <w:bCs/>
        </w:rPr>
        <w:t>Transformation</w:t>
      </w:r>
      <w:r w:rsidRPr="000F4427">
        <w:t xml:space="preserve"> – To support initiatives and transformative activities such as investments in technology and other innovation, and in line with operational priorities.</w:t>
      </w:r>
    </w:p>
    <w:p w14:paraId="31441D10" w14:textId="0F166C63" w:rsidR="000D033B" w:rsidRPr="000F4427" w:rsidRDefault="00F115BD" w:rsidP="000D033B">
      <w:pPr>
        <w:pStyle w:val="Reservesbullet"/>
      </w:pPr>
      <w:r w:rsidRPr="000F4427">
        <w:rPr>
          <w:b/>
        </w:rPr>
        <w:t xml:space="preserve">Capital </w:t>
      </w:r>
      <w:r w:rsidR="000D033B" w:rsidRPr="000F4427">
        <w:rPr>
          <w:b/>
        </w:rPr>
        <w:t xml:space="preserve">Receipts </w:t>
      </w:r>
      <w:r w:rsidR="000D033B" w:rsidRPr="000F4427">
        <w:rPr>
          <w:bCs/>
        </w:rPr>
        <w:t>– To earmark receipts for disposal of capital assets for use as deemed appropriate to minimise the cost of future capital financing.</w:t>
      </w:r>
    </w:p>
    <w:p w14:paraId="690CDC10" w14:textId="59DF0FA7" w:rsidR="00F115BD" w:rsidRPr="000F4427" w:rsidRDefault="000D033B" w:rsidP="000D033B">
      <w:pPr>
        <w:pStyle w:val="Reservesbullet"/>
      </w:pPr>
      <w:r w:rsidRPr="000F4427">
        <w:rPr>
          <w:b/>
        </w:rPr>
        <w:t>Capital and ESN Reserve</w:t>
      </w:r>
      <w:r w:rsidR="00F115BD" w:rsidRPr="000F4427">
        <w:rPr>
          <w:b/>
        </w:rPr>
        <w:t xml:space="preserve"> </w:t>
      </w:r>
      <w:r w:rsidR="00F115BD" w:rsidRPr="000F4427">
        <w:t xml:space="preserve">– </w:t>
      </w:r>
      <w:r w:rsidRPr="000F4427">
        <w:t>To hold amounts set aside for capital investment</w:t>
      </w:r>
      <w:r w:rsidR="00F115BD" w:rsidRPr="000F4427">
        <w:t xml:space="preserve">, applied to the </w:t>
      </w:r>
      <w:r w:rsidR="008671C8" w:rsidRPr="000F4427">
        <w:t xml:space="preserve">capital </w:t>
      </w:r>
      <w:r w:rsidR="00F671CE" w:rsidRPr="000F4427">
        <w:t>programme</w:t>
      </w:r>
      <w:r w:rsidR="00F115BD" w:rsidRPr="000F4427">
        <w:t xml:space="preserve"> </w:t>
      </w:r>
      <w:r w:rsidRPr="000F4427">
        <w:rPr>
          <w:bCs/>
        </w:rPr>
        <w:t>as deemed appropriate to minimise the cost of future capital financing.</w:t>
      </w:r>
    </w:p>
    <w:p w14:paraId="28586DF8" w14:textId="77777777" w:rsidR="000D033B" w:rsidRPr="000F4427" w:rsidRDefault="000D033B" w:rsidP="000D033B">
      <w:pPr>
        <w:pStyle w:val="Reservesbullet"/>
      </w:pPr>
      <w:r w:rsidRPr="000F4427">
        <w:rPr>
          <w:b/>
          <w:bCs/>
        </w:rPr>
        <w:t>Developer Contributions (S106)</w:t>
      </w:r>
      <w:r w:rsidRPr="000F4427">
        <w:t xml:space="preserve"> – To collect the drawn down developer contributions awarded to the PFCC in line with S106 planning arrangements.  These funds will be released in accordance with the terms of the agreements, usually to fund capital expenditure.  The reserve only accounts for funds once they have been drawn down.</w:t>
      </w:r>
    </w:p>
    <w:p w14:paraId="3F83B13E" w14:textId="0A1F29EA" w:rsidR="000D033B" w:rsidRPr="000F4427" w:rsidRDefault="000D033B" w:rsidP="000D033B">
      <w:pPr>
        <w:pStyle w:val="Reservesbullet"/>
      </w:pPr>
      <w:r w:rsidRPr="000F4427">
        <w:rPr>
          <w:b/>
        </w:rPr>
        <w:t xml:space="preserve">Capital Grants Unapplied </w:t>
      </w:r>
      <w:r w:rsidRPr="000F4427">
        <w:t xml:space="preserve">– To hold amounts grants received for specific capital investment, </w:t>
      </w:r>
      <w:r w:rsidR="000F4427" w:rsidRPr="000F4427">
        <w:t xml:space="preserve">to be </w:t>
      </w:r>
      <w:r w:rsidRPr="000F4427">
        <w:t xml:space="preserve">applied to the capital programme </w:t>
      </w:r>
      <w:r w:rsidR="000F4427" w:rsidRPr="000F4427">
        <w:t xml:space="preserve">in line with the grant terms and </w:t>
      </w:r>
      <w:r w:rsidRPr="000F4427">
        <w:rPr>
          <w:bCs/>
        </w:rPr>
        <w:t>as deemed appropriate to minimise the cost of future capital financing.</w:t>
      </w:r>
    </w:p>
    <w:p w14:paraId="77BB04D0" w14:textId="02D9AAA4" w:rsidR="000F4427" w:rsidRPr="000F4427" w:rsidRDefault="000F4427" w:rsidP="000F4427">
      <w:pPr>
        <w:pStyle w:val="ReservesBody"/>
      </w:pPr>
      <w:r w:rsidRPr="000F4427">
        <w:t xml:space="preserve">The forecast balance on the reserves, taking into account a prudent estimate of timings for proposals which are currently being developed is detailed within Annexe </w:t>
      </w:r>
      <w:r>
        <w:t>2</w:t>
      </w:r>
      <w:r w:rsidRPr="000F4427">
        <w:t>.</w:t>
      </w:r>
    </w:p>
    <w:p w14:paraId="68502AB5" w14:textId="5C06030F" w:rsidR="00F115BD" w:rsidRPr="000F4427" w:rsidRDefault="00C644FE" w:rsidP="000F4427">
      <w:pPr>
        <w:pStyle w:val="ReservesBody"/>
      </w:pPr>
      <w:r w:rsidRPr="000F4427">
        <w:t>The</w:t>
      </w:r>
      <w:r w:rsidR="000F4427" w:rsidRPr="000F4427">
        <w:t>se</w:t>
      </w:r>
      <w:r w:rsidRPr="000F4427">
        <w:t xml:space="preserve"> </w:t>
      </w:r>
      <w:r w:rsidR="000F4427" w:rsidRPr="000F4427">
        <w:t>reserves</w:t>
      </w:r>
      <w:r w:rsidRPr="000F4427">
        <w:t xml:space="preserve"> will be reviewed on a regular basis and </w:t>
      </w:r>
      <w:r w:rsidR="000F4427" w:rsidRPr="000F4427">
        <w:t xml:space="preserve">any further </w:t>
      </w:r>
      <w:r w:rsidRPr="000F4427">
        <w:t>opportunities to set aside earmarked reserves to support targeted expenditure and investment</w:t>
      </w:r>
      <w:r w:rsidR="000F4427" w:rsidRPr="000F4427">
        <w:t xml:space="preserve"> will be</w:t>
      </w:r>
      <w:r w:rsidRPr="000F4427">
        <w:t xml:space="preserve"> taken where appropriate.</w:t>
      </w:r>
    </w:p>
    <w:p w14:paraId="3102BAC3" w14:textId="77777777" w:rsidR="000F4427" w:rsidRPr="000F4427" w:rsidRDefault="000F4427" w:rsidP="000F4427">
      <w:pPr>
        <w:pStyle w:val="ReservesHeading"/>
      </w:pPr>
      <w:r w:rsidRPr="000F4427">
        <w:t>Provisions</w:t>
      </w:r>
    </w:p>
    <w:p w14:paraId="50C38B21" w14:textId="77777777" w:rsidR="000F4427" w:rsidRPr="000F4427" w:rsidRDefault="000F4427" w:rsidP="000F4427">
      <w:pPr>
        <w:pStyle w:val="ReservesBody"/>
      </w:pPr>
      <w:r w:rsidRPr="000F4427">
        <w:t>The CIPFA Statement of Recommended Practice is prescriptive about when provisions are required (and when they are not permitted).  A provision must be established for any material liabilities of uncertain timings or amount, to be settled by the transfer of economic benefits.  In accordance with this statutory guidance, the Force hold an established ‘Insurance Provision’ which is reviewed as part of the closedown process for each year.</w:t>
      </w:r>
    </w:p>
    <w:p w14:paraId="49AB53CB" w14:textId="2005BD84" w:rsidR="000F4427" w:rsidRPr="00935736" w:rsidRDefault="000F4427" w:rsidP="00935736">
      <w:pPr>
        <w:pStyle w:val="ReservesHeading"/>
      </w:pPr>
      <w:r w:rsidRPr="000F4427">
        <w:t>Procedures for management and control</w:t>
      </w:r>
    </w:p>
    <w:p w14:paraId="4CBA7653" w14:textId="77777777" w:rsidR="000F4427" w:rsidRPr="000F4427" w:rsidRDefault="000F4427" w:rsidP="000F4427">
      <w:pPr>
        <w:pStyle w:val="ReservesBody"/>
      </w:pPr>
      <w:r w:rsidRPr="000F4427">
        <w:t xml:space="preserve">Any drawdown from reserves is subject to the approval of the PFCC, on advice from the PFCC’s Chief Finance Officer (OPFCC CFO); or under the delegated authority of the OPFCC CFO. </w:t>
      </w:r>
    </w:p>
    <w:p w14:paraId="285A375A" w14:textId="77777777" w:rsidR="000F4427" w:rsidRPr="000F4427" w:rsidRDefault="000F4427" w:rsidP="000F4427">
      <w:pPr>
        <w:pStyle w:val="ReservesBody"/>
      </w:pPr>
      <w:r w:rsidRPr="000F4427">
        <w:t xml:space="preserve">The Local Government Act 2003 requires the S151 officer to report annually on the adequacy of the reserves and this is included within the statement on the robustness of the estimates used for the budget and the adequacy of the proposed financial reserves. </w:t>
      </w:r>
    </w:p>
    <w:p w14:paraId="280A526F" w14:textId="77777777" w:rsidR="000F4427" w:rsidRPr="000F4427" w:rsidRDefault="000F4427" w:rsidP="000F4427">
      <w:pPr>
        <w:pStyle w:val="ReservesBody"/>
      </w:pPr>
      <w:r w:rsidRPr="000F4427">
        <w:t xml:space="preserve">The Strategy will be reviewed annually by the OPFCC CFO as part of the Budget and Precept process. </w:t>
      </w:r>
      <w:r w:rsidRPr="000F4427">
        <w:rPr>
          <w:bCs/>
          <w:color w:val="FF0000"/>
        </w:rPr>
        <w:t xml:space="preserve"> </w:t>
      </w:r>
    </w:p>
    <w:p w14:paraId="6E99B4A3" w14:textId="77777777" w:rsidR="00935736" w:rsidRDefault="00935736">
      <w:pPr>
        <w:spacing w:after="0" w:line="240" w:lineRule="auto"/>
        <w:rPr>
          <w:rFonts w:cs="Arial"/>
          <w:b/>
          <w:sz w:val="24"/>
          <w:highlight w:val="yellow"/>
        </w:rPr>
      </w:pPr>
      <w:r>
        <w:rPr>
          <w:rFonts w:cs="Arial"/>
          <w:b/>
          <w:sz w:val="24"/>
          <w:highlight w:val="yellow"/>
        </w:rPr>
        <w:br w:type="page"/>
      </w:r>
    </w:p>
    <w:p w14:paraId="35AB0465" w14:textId="136A4304" w:rsidR="00F115BD" w:rsidRPr="00935736" w:rsidRDefault="00F115BD" w:rsidP="00935736">
      <w:pPr>
        <w:spacing w:after="0" w:line="240" w:lineRule="auto"/>
        <w:rPr>
          <w:rFonts w:cs="Arial"/>
          <w:b/>
          <w:sz w:val="24"/>
          <w:szCs w:val="24"/>
        </w:rPr>
      </w:pPr>
      <w:r w:rsidRPr="00935736">
        <w:rPr>
          <w:rFonts w:cs="Arial"/>
          <w:b/>
          <w:sz w:val="24"/>
          <w:szCs w:val="24"/>
        </w:rPr>
        <w:t>A</w:t>
      </w:r>
      <w:r w:rsidR="000F4427" w:rsidRPr="00935736">
        <w:rPr>
          <w:rFonts w:cs="Arial"/>
          <w:b/>
          <w:sz w:val="24"/>
          <w:szCs w:val="24"/>
        </w:rPr>
        <w:t>nnexe</w:t>
      </w:r>
      <w:r w:rsidRPr="00935736">
        <w:rPr>
          <w:rFonts w:cs="Arial"/>
          <w:b/>
          <w:sz w:val="24"/>
          <w:szCs w:val="24"/>
        </w:rPr>
        <w:t xml:space="preserve"> </w:t>
      </w:r>
      <w:r w:rsidR="000F4427" w:rsidRPr="00935736">
        <w:rPr>
          <w:rFonts w:cs="Arial"/>
          <w:b/>
          <w:sz w:val="24"/>
          <w:szCs w:val="24"/>
        </w:rPr>
        <w:t>1</w:t>
      </w:r>
    </w:p>
    <w:p w14:paraId="7A9DBDB7" w14:textId="66A61D16" w:rsidR="00F115BD" w:rsidRPr="00935736" w:rsidRDefault="00935736" w:rsidP="00935736">
      <w:pPr>
        <w:rPr>
          <w:rFonts w:cs="Arial"/>
          <w:b/>
          <w:sz w:val="24"/>
          <w:szCs w:val="24"/>
        </w:rPr>
      </w:pPr>
      <w:r w:rsidRPr="00935736">
        <w:rPr>
          <w:rFonts w:cs="Arial"/>
          <w:b/>
          <w:sz w:val="24"/>
          <w:szCs w:val="24"/>
        </w:rPr>
        <w:t>NCFRA -</w:t>
      </w:r>
      <w:r w:rsidR="00F115BD" w:rsidRPr="00935736">
        <w:rPr>
          <w:rFonts w:cs="Arial"/>
          <w:b/>
          <w:sz w:val="24"/>
          <w:szCs w:val="24"/>
        </w:rPr>
        <w:t xml:space="preserve"> Compliance with the 7 Key CIPFA Principles to assess the adequacy of</w:t>
      </w:r>
      <w:r w:rsidRPr="00935736">
        <w:rPr>
          <w:rFonts w:cs="Arial"/>
          <w:b/>
          <w:sz w:val="24"/>
          <w:szCs w:val="24"/>
        </w:rPr>
        <w:t xml:space="preserve"> </w:t>
      </w:r>
      <w:r w:rsidR="0081263C" w:rsidRPr="00935736">
        <w:rPr>
          <w:rFonts w:cs="Arial"/>
          <w:b/>
          <w:sz w:val="24"/>
          <w:szCs w:val="24"/>
        </w:rPr>
        <w:t>reserve</w:t>
      </w:r>
      <w:r w:rsidR="00F115BD" w:rsidRPr="00935736">
        <w:rPr>
          <w:rFonts w:cs="Arial"/>
          <w:b/>
          <w:sz w:val="24"/>
          <w:szCs w:val="24"/>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5763"/>
      </w:tblGrid>
      <w:tr w:rsidR="00F115BD" w:rsidRPr="00935736" w14:paraId="21189614" w14:textId="77777777" w:rsidTr="006660EE">
        <w:tc>
          <w:tcPr>
            <w:tcW w:w="3865" w:type="dxa"/>
            <w:shd w:val="clear" w:color="auto" w:fill="auto"/>
          </w:tcPr>
          <w:p w14:paraId="36ED2490" w14:textId="77777777" w:rsidR="00F115BD" w:rsidRPr="00935736" w:rsidRDefault="00F115BD" w:rsidP="0062565E">
            <w:pPr>
              <w:jc w:val="center"/>
              <w:rPr>
                <w:rFonts w:cs="Arial"/>
                <w:b/>
                <w:sz w:val="24"/>
                <w:szCs w:val="24"/>
              </w:rPr>
            </w:pPr>
            <w:r w:rsidRPr="00935736">
              <w:rPr>
                <w:rFonts w:cs="Arial"/>
                <w:b/>
                <w:sz w:val="24"/>
                <w:szCs w:val="24"/>
              </w:rPr>
              <w:t>Budget Assumptions (CIPFA Principles)</w:t>
            </w:r>
          </w:p>
        </w:tc>
        <w:tc>
          <w:tcPr>
            <w:tcW w:w="5763" w:type="dxa"/>
            <w:shd w:val="clear" w:color="auto" w:fill="auto"/>
          </w:tcPr>
          <w:p w14:paraId="42A07796" w14:textId="63E84127" w:rsidR="00F115BD" w:rsidRPr="00935736" w:rsidRDefault="00935736" w:rsidP="0062565E">
            <w:pPr>
              <w:jc w:val="center"/>
              <w:rPr>
                <w:rFonts w:cs="Arial"/>
                <w:b/>
                <w:sz w:val="24"/>
                <w:szCs w:val="24"/>
              </w:rPr>
            </w:pPr>
            <w:r w:rsidRPr="00E70CEB">
              <w:rPr>
                <w:rFonts w:eastAsia="Times New Roman" w:cs="Calibri"/>
                <w:b/>
                <w:sz w:val="24"/>
                <w:szCs w:val="24"/>
              </w:rPr>
              <w:t>2024/25 Situation in Northamptonshire</w:t>
            </w:r>
          </w:p>
        </w:tc>
      </w:tr>
      <w:tr w:rsidR="00F115BD" w:rsidRPr="00935736" w14:paraId="2DAF5129" w14:textId="77777777" w:rsidTr="006660EE">
        <w:tc>
          <w:tcPr>
            <w:tcW w:w="3865" w:type="dxa"/>
            <w:shd w:val="clear" w:color="auto" w:fill="auto"/>
          </w:tcPr>
          <w:p w14:paraId="474235E9" w14:textId="77777777" w:rsidR="00F115BD" w:rsidRPr="00935736" w:rsidRDefault="00F115BD" w:rsidP="0062565E">
            <w:pPr>
              <w:rPr>
                <w:rFonts w:cs="Arial"/>
                <w:b/>
                <w:sz w:val="24"/>
                <w:szCs w:val="24"/>
              </w:rPr>
            </w:pPr>
            <w:r w:rsidRPr="00935736">
              <w:rPr>
                <w:rFonts w:cs="Arial"/>
                <w:b/>
                <w:sz w:val="24"/>
                <w:szCs w:val="24"/>
              </w:rPr>
              <w:t>The treatment of inflation and interest rates</w:t>
            </w:r>
          </w:p>
        </w:tc>
        <w:tc>
          <w:tcPr>
            <w:tcW w:w="5763" w:type="dxa"/>
            <w:shd w:val="clear" w:color="auto" w:fill="auto"/>
          </w:tcPr>
          <w:p w14:paraId="521B11C5" w14:textId="5E5FA44D" w:rsidR="00F115BD" w:rsidRPr="00935736" w:rsidRDefault="00F115BD" w:rsidP="0062565E">
            <w:pPr>
              <w:rPr>
                <w:rFonts w:cs="Arial"/>
                <w:sz w:val="24"/>
                <w:szCs w:val="24"/>
              </w:rPr>
            </w:pPr>
            <w:r w:rsidRPr="00935736">
              <w:rPr>
                <w:rFonts w:cs="Arial"/>
                <w:sz w:val="24"/>
                <w:szCs w:val="24"/>
              </w:rPr>
              <w:t>NCFRA makes full and appropriate provision for pay and price increases, informed by benchmarking with peers</w:t>
            </w:r>
            <w:r w:rsidR="00935736" w:rsidRPr="00935736">
              <w:rPr>
                <w:rFonts w:cs="Arial"/>
                <w:sz w:val="24"/>
                <w:szCs w:val="24"/>
              </w:rPr>
              <w:t>.</w:t>
            </w:r>
          </w:p>
          <w:p w14:paraId="68B83D4D" w14:textId="77777777" w:rsidR="00F115BD" w:rsidRPr="00935736" w:rsidRDefault="00F115BD" w:rsidP="0062565E">
            <w:pPr>
              <w:rPr>
                <w:rFonts w:cs="Arial"/>
                <w:sz w:val="24"/>
                <w:szCs w:val="24"/>
              </w:rPr>
            </w:pPr>
            <w:r w:rsidRPr="00935736">
              <w:rPr>
                <w:rFonts w:cs="Arial"/>
                <w:sz w:val="24"/>
                <w:szCs w:val="24"/>
              </w:rPr>
              <w:t xml:space="preserve">There are also pay and inflation contingencies held in the Fire budgets to mitigate such eventualities. </w:t>
            </w:r>
          </w:p>
          <w:p w14:paraId="54258551" w14:textId="77777777" w:rsidR="00F115BD" w:rsidRPr="00935736" w:rsidRDefault="00F115BD" w:rsidP="0062565E">
            <w:pPr>
              <w:rPr>
                <w:rFonts w:cs="Arial"/>
                <w:sz w:val="24"/>
                <w:szCs w:val="24"/>
              </w:rPr>
            </w:pPr>
            <w:r w:rsidRPr="00935736">
              <w:rPr>
                <w:rFonts w:cs="Arial"/>
                <w:sz w:val="24"/>
                <w:szCs w:val="24"/>
              </w:rPr>
              <w:t>An informed assessment is made in the Treasury Management Strategy of interest rate movements.</w:t>
            </w:r>
          </w:p>
          <w:p w14:paraId="23848356" w14:textId="2B828618" w:rsidR="00F115BD" w:rsidRPr="00935736" w:rsidRDefault="00F115BD" w:rsidP="006660EE">
            <w:pPr>
              <w:rPr>
                <w:rFonts w:cs="Arial"/>
                <w:sz w:val="24"/>
                <w:szCs w:val="24"/>
              </w:rPr>
            </w:pPr>
            <w:r w:rsidRPr="00935736">
              <w:rPr>
                <w:rFonts w:cs="Arial"/>
                <w:sz w:val="24"/>
                <w:szCs w:val="24"/>
              </w:rPr>
              <w:t>All income and expenditure in the budget is prepared and published at outturn prices.</w:t>
            </w:r>
          </w:p>
        </w:tc>
      </w:tr>
      <w:tr w:rsidR="00F115BD" w:rsidRPr="00935736" w14:paraId="2F4C521C" w14:textId="77777777" w:rsidTr="006660EE">
        <w:tc>
          <w:tcPr>
            <w:tcW w:w="3865" w:type="dxa"/>
            <w:shd w:val="clear" w:color="auto" w:fill="auto"/>
          </w:tcPr>
          <w:p w14:paraId="39C96058" w14:textId="77777777" w:rsidR="00F115BD" w:rsidRPr="00935736" w:rsidRDefault="00F115BD" w:rsidP="0062565E">
            <w:pPr>
              <w:rPr>
                <w:rFonts w:cs="Arial"/>
                <w:b/>
                <w:sz w:val="24"/>
                <w:szCs w:val="24"/>
              </w:rPr>
            </w:pPr>
            <w:r w:rsidRPr="00935736">
              <w:rPr>
                <w:rFonts w:cs="Arial"/>
                <w:b/>
                <w:sz w:val="24"/>
                <w:szCs w:val="24"/>
              </w:rPr>
              <w:t>Estimates of the level and timing of capital receipts</w:t>
            </w:r>
          </w:p>
        </w:tc>
        <w:tc>
          <w:tcPr>
            <w:tcW w:w="5763" w:type="dxa"/>
            <w:shd w:val="clear" w:color="auto" w:fill="auto"/>
          </w:tcPr>
          <w:p w14:paraId="7CF91019" w14:textId="495F0B0E" w:rsidR="00F115BD" w:rsidRPr="00935736" w:rsidRDefault="00F115BD" w:rsidP="0062565E">
            <w:pPr>
              <w:rPr>
                <w:rFonts w:cs="Arial"/>
                <w:sz w:val="24"/>
                <w:szCs w:val="24"/>
              </w:rPr>
            </w:pPr>
            <w:r w:rsidRPr="00935736">
              <w:rPr>
                <w:rFonts w:cs="Arial"/>
                <w:sz w:val="24"/>
                <w:szCs w:val="24"/>
              </w:rPr>
              <w:t xml:space="preserve">NCFRA has reviewed its estates strategy as a fundamental part of the </w:t>
            </w:r>
            <w:r w:rsidR="00F671CE" w:rsidRPr="00935736">
              <w:rPr>
                <w:rFonts w:cs="Arial"/>
                <w:sz w:val="24"/>
                <w:szCs w:val="24"/>
              </w:rPr>
              <w:t>capital programme</w:t>
            </w:r>
            <w:r w:rsidRPr="00935736">
              <w:rPr>
                <w:rFonts w:cs="Arial"/>
                <w:sz w:val="24"/>
                <w:szCs w:val="24"/>
              </w:rPr>
              <w:t xml:space="preserve"> and has made assumptions of future capital receipts. </w:t>
            </w:r>
          </w:p>
          <w:p w14:paraId="5E20E70A" w14:textId="0DB6C829" w:rsidR="00F115BD" w:rsidRPr="00935736" w:rsidRDefault="00F115BD" w:rsidP="006660EE">
            <w:pPr>
              <w:rPr>
                <w:rFonts w:cs="Arial"/>
                <w:b/>
                <w:sz w:val="24"/>
                <w:szCs w:val="24"/>
              </w:rPr>
            </w:pPr>
            <w:r w:rsidRPr="00935736">
              <w:rPr>
                <w:rFonts w:cs="Arial"/>
                <w:sz w:val="24"/>
                <w:szCs w:val="24"/>
              </w:rPr>
              <w:t xml:space="preserve">The </w:t>
            </w:r>
            <w:r w:rsidR="00F671CE" w:rsidRPr="00935736">
              <w:rPr>
                <w:rFonts w:cs="Arial"/>
                <w:sz w:val="24"/>
                <w:szCs w:val="24"/>
              </w:rPr>
              <w:t>capital programme</w:t>
            </w:r>
            <w:r w:rsidRPr="00935736">
              <w:rPr>
                <w:rFonts w:cs="Arial"/>
                <w:sz w:val="24"/>
                <w:szCs w:val="24"/>
              </w:rPr>
              <w:t xml:space="preserve"> considerations require significant investment and until this has been concluded, only essential capital investment has been approved. </w:t>
            </w:r>
            <w:r w:rsidR="00935736" w:rsidRPr="00935736">
              <w:rPr>
                <w:rFonts w:cs="Arial"/>
                <w:sz w:val="24"/>
                <w:szCs w:val="24"/>
              </w:rPr>
              <w:t xml:space="preserve"> </w:t>
            </w:r>
            <w:r w:rsidRPr="00935736">
              <w:rPr>
                <w:rFonts w:cs="Arial"/>
                <w:sz w:val="24"/>
                <w:szCs w:val="24"/>
              </w:rPr>
              <w:t>The achievement of capital receipts in line with the proposed timings is essential to ensuring that prioritised capital investments can be progressed.</w:t>
            </w:r>
          </w:p>
        </w:tc>
      </w:tr>
      <w:tr w:rsidR="00F115BD" w:rsidRPr="00935736" w14:paraId="2E61D819" w14:textId="77777777" w:rsidTr="006660EE">
        <w:tc>
          <w:tcPr>
            <w:tcW w:w="3865" w:type="dxa"/>
            <w:shd w:val="clear" w:color="auto" w:fill="auto"/>
          </w:tcPr>
          <w:p w14:paraId="1DF6D018" w14:textId="77777777" w:rsidR="00F115BD" w:rsidRPr="00935736" w:rsidRDefault="00F115BD" w:rsidP="0062565E">
            <w:pPr>
              <w:rPr>
                <w:rFonts w:cs="Arial"/>
                <w:b/>
                <w:sz w:val="24"/>
                <w:szCs w:val="24"/>
              </w:rPr>
            </w:pPr>
            <w:r w:rsidRPr="00935736">
              <w:rPr>
                <w:rFonts w:cs="Arial"/>
                <w:b/>
                <w:sz w:val="24"/>
                <w:szCs w:val="24"/>
              </w:rPr>
              <w:t>The treatment of demand led pressures</w:t>
            </w:r>
          </w:p>
        </w:tc>
        <w:tc>
          <w:tcPr>
            <w:tcW w:w="5763" w:type="dxa"/>
            <w:shd w:val="clear" w:color="auto" w:fill="auto"/>
          </w:tcPr>
          <w:p w14:paraId="2099ECFB" w14:textId="77777777" w:rsidR="00F115BD" w:rsidRPr="00935736" w:rsidRDefault="00F115BD" w:rsidP="0062565E">
            <w:pPr>
              <w:rPr>
                <w:rFonts w:cs="Arial"/>
                <w:sz w:val="24"/>
                <w:szCs w:val="24"/>
              </w:rPr>
            </w:pPr>
            <w:r w:rsidRPr="00935736">
              <w:rPr>
                <w:rFonts w:cs="Arial"/>
                <w:sz w:val="24"/>
                <w:szCs w:val="24"/>
              </w:rPr>
              <w:t>NCFRA is required to operate and manage within its annual budget allocation.</w:t>
            </w:r>
          </w:p>
          <w:p w14:paraId="471E01A4" w14:textId="5F3877F8" w:rsidR="00F115BD" w:rsidRPr="00935736" w:rsidRDefault="00F115BD" w:rsidP="0062565E">
            <w:pPr>
              <w:rPr>
                <w:rFonts w:cs="Arial"/>
                <w:sz w:val="24"/>
                <w:szCs w:val="24"/>
              </w:rPr>
            </w:pPr>
            <w:r w:rsidRPr="00935736">
              <w:rPr>
                <w:rFonts w:cs="Arial"/>
                <w:sz w:val="24"/>
                <w:szCs w:val="24"/>
              </w:rPr>
              <w:t xml:space="preserve">All budgets except </w:t>
            </w:r>
            <w:r w:rsidR="008671C8" w:rsidRPr="00935736">
              <w:rPr>
                <w:rFonts w:cs="Arial"/>
                <w:sz w:val="24"/>
                <w:szCs w:val="24"/>
              </w:rPr>
              <w:t xml:space="preserve">firefighters </w:t>
            </w:r>
            <w:r w:rsidRPr="00935736">
              <w:rPr>
                <w:rFonts w:cs="Arial"/>
                <w:sz w:val="24"/>
                <w:szCs w:val="24"/>
              </w:rPr>
              <w:t>are devolved and managed by trained budget holders.</w:t>
            </w:r>
          </w:p>
          <w:p w14:paraId="4185A42C" w14:textId="77777777" w:rsidR="00F115BD" w:rsidRPr="00935736" w:rsidRDefault="00F115BD" w:rsidP="0062565E">
            <w:pPr>
              <w:rPr>
                <w:rFonts w:cs="Arial"/>
                <w:sz w:val="24"/>
                <w:szCs w:val="24"/>
              </w:rPr>
            </w:pPr>
            <w:r w:rsidRPr="00935736">
              <w:rPr>
                <w:rFonts w:cs="Arial"/>
                <w:sz w:val="24"/>
                <w:szCs w:val="24"/>
              </w:rPr>
              <w:t xml:space="preserve">On an exceptional basis, agreement of the PFCC is given to utilise carry forwards to meet one off demand led pressures. </w:t>
            </w:r>
          </w:p>
          <w:p w14:paraId="4DE44BBA" w14:textId="38298757" w:rsidR="00F115BD" w:rsidRPr="00935736" w:rsidRDefault="00F115BD" w:rsidP="0062565E">
            <w:pPr>
              <w:rPr>
                <w:rFonts w:cs="Arial"/>
                <w:sz w:val="24"/>
                <w:szCs w:val="24"/>
              </w:rPr>
            </w:pPr>
            <w:r w:rsidRPr="00935736">
              <w:rPr>
                <w:rFonts w:cs="Arial"/>
                <w:sz w:val="24"/>
                <w:szCs w:val="24"/>
              </w:rPr>
              <w:t xml:space="preserve">Demand led pressures are scrutinised and built into the budget on zero based budget principles. </w:t>
            </w:r>
            <w:r w:rsidR="00935736" w:rsidRPr="00935736">
              <w:rPr>
                <w:rFonts w:cs="Arial"/>
                <w:sz w:val="24"/>
                <w:szCs w:val="24"/>
              </w:rPr>
              <w:t xml:space="preserve"> </w:t>
            </w:r>
            <w:r w:rsidRPr="00935736">
              <w:rPr>
                <w:rFonts w:cs="Arial"/>
                <w:sz w:val="24"/>
                <w:szCs w:val="24"/>
              </w:rPr>
              <w:t>An agreed budget for Fire is set by the PFCC.</w:t>
            </w:r>
          </w:p>
          <w:p w14:paraId="11F57396" w14:textId="38AA9293" w:rsidR="00F115BD" w:rsidRPr="00935736" w:rsidRDefault="00F115BD" w:rsidP="0062565E">
            <w:pPr>
              <w:rPr>
                <w:rFonts w:cs="Arial"/>
                <w:sz w:val="24"/>
                <w:szCs w:val="24"/>
              </w:rPr>
            </w:pPr>
            <w:r w:rsidRPr="00935736">
              <w:rPr>
                <w:rFonts w:cs="Arial"/>
                <w:sz w:val="24"/>
                <w:szCs w:val="24"/>
              </w:rPr>
              <w:t>The PFCC is keen to ensure that NCFRA continue to identify efficiencies where it makes sense to do so, and a</w:t>
            </w:r>
            <w:r w:rsidR="00935736" w:rsidRPr="00935736">
              <w:rPr>
                <w:rFonts w:cs="Arial"/>
                <w:sz w:val="24"/>
                <w:szCs w:val="24"/>
              </w:rPr>
              <w:t>n</w:t>
            </w:r>
            <w:r w:rsidRPr="00935736">
              <w:rPr>
                <w:rFonts w:cs="Arial"/>
                <w:sz w:val="24"/>
                <w:szCs w:val="24"/>
              </w:rPr>
              <w:t xml:space="preserve"> efficiency target is set as part of the budget and MTFP and detailed within the annual strategic outcomes agreed with the Chief Fire Officer. </w:t>
            </w:r>
          </w:p>
          <w:p w14:paraId="105FF2B9" w14:textId="77777777" w:rsidR="00F115BD" w:rsidRPr="00935736" w:rsidRDefault="00F115BD" w:rsidP="0062565E">
            <w:pPr>
              <w:rPr>
                <w:rFonts w:cs="Arial"/>
                <w:sz w:val="24"/>
                <w:szCs w:val="24"/>
              </w:rPr>
            </w:pPr>
            <w:r w:rsidRPr="00935736">
              <w:rPr>
                <w:rFonts w:cs="Arial"/>
                <w:sz w:val="24"/>
                <w:szCs w:val="24"/>
              </w:rPr>
              <w:t>Depending on funding availability, the PFCC has and will continue to support investment in areas that reduce demand, or which increase efficiency/capacity to deal with demand.</w:t>
            </w:r>
          </w:p>
          <w:p w14:paraId="44E55E5C" w14:textId="05376999" w:rsidR="00F115BD" w:rsidRPr="00935736" w:rsidRDefault="0081263C" w:rsidP="006660EE">
            <w:pPr>
              <w:rPr>
                <w:rFonts w:cs="Arial"/>
                <w:sz w:val="24"/>
                <w:szCs w:val="24"/>
              </w:rPr>
            </w:pPr>
            <w:r w:rsidRPr="00935736">
              <w:rPr>
                <w:rFonts w:cs="Arial"/>
                <w:sz w:val="24"/>
                <w:szCs w:val="24"/>
              </w:rPr>
              <w:t>General reserve</w:t>
            </w:r>
            <w:r w:rsidR="00F115BD" w:rsidRPr="00935736">
              <w:rPr>
                <w:rFonts w:cs="Arial"/>
                <w:sz w:val="24"/>
                <w:szCs w:val="24"/>
              </w:rPr>
              <w:t>s are used as a last resort to manage and fund demand led pressures.</w:t>
            </w:r>
          </w:p>
        </w:tc>
      </w:tr>
      <w:tr w:rsidR="00F115BD" w:rsidRPr="00935736" w14:paraId="50E5DE70" w14:textId="77777777" w:rsidTr="006660EE">
        <w:tc>
          <w:tcPr>
            <w:tcW w:w="3865" w:type="dxa"/>
            <w:shd w:val="clear" w:color="auto" w:fill="auto"/>
          </w:tcPr>
          <w:p w14:paraId="7AAC0767" w14:textId="77777777" w:rsidR="00F115BD" w:rsidRPr="00935736" w:rsidRDefault="00F115BD" w:rsidP="0062565E">
            <w:pPr>
              <w:rPr>
                <w:rFonts w:cs="Arial"/>
                <w:b/>
                <w:sz w:val="24"/>
                <w:szCs w:val="24"/>
              </w:rPr>
            </w:pPr>
            <w:r w:rsidRPr="00935736">
              <w:rPr>
                <w:rFonts w:cs="Arial"/>
                <w:b/>
                <w:sz w:val="24"/>
                <w:szCs w:val="24"/>
              </w:rPr>
              <w:t>The treatment of Planned Efficiency Savings/Productivity Gains</w:t>
            </w:r>
          </w:p>
        </w:tc>
        <w:tc>
          <w:tcPr>
            <w:tcW w:w="5763" w:type="dxa"/>
            <w:shd w:val="clear" w:color="auto" w:fill="auto"/>
          </w:tcPr>
          <w:p w14:paraId="34A4EFD5" w14:textId="77777777" w:rsidR="00F115BD" w:rsidRPr="00935736" w:rsidRDefault="00F115BD" w:rsidP="0062565E">
            <w:pPr>
              <w:rPr>
                <w:rFonts w:cs="Arial"/>
                <w:sz w:val="24"/>
                <w:szCs w:val="24"/>
              </w:rPr>
            </w:pPr>
            <w:r w:rsidRPr="00935736">
              <w:rPr>
                <w:rFonts w:cs="Arial"/>
                <w:sz w:val="24"/>
                <w:szCs w:val="24"/>
              </w:rPr>
              <w:t>NCFRA met all financial savings and challenges required by NCC in previous years.</w:t>
            </w:r>
          </w:p>
          <w:p w14:paraId="086D0655" w14:textId="3B3B2BA6" w:rsidR="00F115BD" w:rsidRPr="00935736" w:rsidRDefault="00F115BD" w:rsidP="0062565E">
            <w:pPr>
              <w:rPr>
                <w:rFonts w:cs="Arial"/>
                <w:sz w:val="24"/>
                <w:szCs w:val="24"/>
              </w:rPr>
            </w:pPr>
            <w:r w:rsidRPr="00935736">
              <w:rPr>
                <w:rFonts w:cs="Arial"/>
                <w:sz w:val="24"/>
                <w:szCs w:val="24"/>
              </w:rPr>
              <w:t xml:space="preserve">In the years post transfer, NCFRA has underspent each year and used the opportunity to increase </w:t>
            </w:r>
            <w:r w:rsidR="0081263C" w:rsidRPr="00935736">
              <w:rPr>
                <w:rFonts w:cs="Arial"/>
                <w:sz w:val="24"/>
                <w:szCs w:val="24"/>
              </w:rPr>
              <w:t>reserve</w:t>
            </w:r>
            <w:r w:rsidRPr="00935736">
              <w:rPr>
                <w:rFonts w:cs="Arial"/>
                <w:sz w:val="24"/>
                <w:szCs w:val="24"/>
              </w:rPr>
              <w:t xml:space="preserve">s as a result. </w:t>
            </w:r>
            <w:r w:rsidR="00935736" w:rsidRPr="00935736">
              <w:rPr>
                <w:rFonts w:cs="Arial"/>
                <w:sz w:val="24"/>
                <w:szCs w:val="24"/>
              </w:rPr>
              <w:t>Each</w:t>
            </w:r>
            <w:r w:rsidRPr="00935736">
              <w:rPr>
                <w:rFonts w:cs="Arial"/>
                <w:sz w:val="24"/>
                <w:szCs w:val="24"/>
              </w:rPr>
              <w:t xml:space="preserve"> financial year is more challenging, but it is forecast the budget will be balanced with a minimal use of </w:t>
            </w:r>
            <w:r w:rsidR="0081263C" w:rsidRPr="00935736">
              <w:rPr>
                <w:rFonts w:cs="Arial"/>
                <w:sz w:val="24"/>
                <w:szCs w:val="24"/>
              </w:rPr>
              <w:t>reserve</w:t>
            </w:r>
            <w:r w:rsidRPr="00935736">
              <w:rPr>
                <w:rFonts w:cs="Arial"/>
                <w:sz w:val="24"/>
                <w:szCs w:val="24"/>
              </w:rPr>
              <w:t>s.</w:t>
            </w:r>
          </w:p>
          <w:p w14:paraId="4651F30C" w14:textId="65F1B26D" w:rsidR="00F115BD" w:rsidRPr="00935736" w:rsidRDefault="00F115BD" w:rsidP="006660EE">
            <w:pPr>
              <w:rPr>
                <w:rFonts w:cs="Arial"/>
                <w:sz w:val="24"/>
                <w:szCs w:val="24"/>
              </w:rPr>
            </w:pPr>
            <w:r w:rsidRPr="00935736">
              <w:rPr>
                <w:rFonts w:cs="Arial"/>
                <w:sz w:val="24"/>
                <w:szCs w:val="24"/>
              </w:rPr>
              <w:t>There is a savings plan aligned to the MTFP and any identified savings and efficiencies from service or governance transfers will be monitored and reviewed regularly by the service and are only included as achieved in budgets when confirmed and verified.</w:t>
            </w:r>
          </w:p>
        </w:tc>
      </w:tr>
      <w:tr w:rsidR="00F115BD" w:rsidRPr="00935736" w14:paraId="0B87C3CD" w14:textId="77777777" w:rsidTr="006660EE">
        <w:tc>
          <w:tcPr>
            <w:tcW w:w="3865" w:type="dxa"/>
            <w:shd w:val="clear" w:color="auto" w:fill="auto"/>
          </w:tcPr>
          <w:p w14:paraId="1D9348AE" w14:textId="77777777" w:rsidR="00F115BD" w:rsidRPr="00935736" w:rsidRDefault="00F115BD" w:rsidP="0062565E">
            <w:pPr>
              <w:rPr>
                <w:rFonts w:cs="Arial"/>
                <w:b/>
                <w:sz w:val="24"/>
                <w:szCs w:val="24"/>
              </w:rPr>
            </w:pPr>
            <w:r w:rsidRPr="00935736">
              <w:rPr>
                <w:rFonts w:cs="Arial"/>
                <w:b/>
                <w:sz w:val="24"/>
                <w:szCs w:val="24"/>
              </w:rPr>
              <w:t>The financial risks inherent in any significant new funding partnerships, collaboration, major outsourcing arrangements or major capital developments.</w:t>
            </w:r>
          </w:p>
        </w:tc>
        <w:tc>
          <w:tcPr>
            <w:tcW w:w="5763" w:type="dxa"/>
            <w:shd w:val="clear" w:color="auto" w:fill="auto"/>
          </w:tcPr>
          <w:p w14:paraId="6749FDA6" w14:textId="680650AD" w:rsidR="00F115BD" w:rsidRPr="00935736" w:rsidRDefault="00F115BD" w:rsidP="0062565E">
            <w:pPr>
              <w:rPr>
                <w:rFonts w:cs="Arial"/>
                <w:sz w:val="24"/>
                <w:szCs w:val="24"/>
              </w:rPr>
            </w:pPr>
            <w:r w:rsidRPr="00935736">
              <w:rPr>
                <w:rFonts w:cs="Arial"/>
                <w:sz w:val="24"/>
                <w:szCs w:val="24"/>
              </w:rPr>
              <w:t xml:space="preserve">The financial consequences of partnership collaboration working, outsourcing arrangements or capital investment will be reported to the PFCC as part of the medium term planning process. </w:t>
            </w:r>
            <w:r w:rsidR="00935736" w:rsidRPr="00935736">
              <w:rPr>
                <w:rFonts w:cs="Arial"/>
                <w:sz w:val="24"/>
                <w:szCs w:val="24"/>
              </w:rPr>
              <w:t xml:space="preserve"> </w:t>
            </w:r>
            <w:r w:rsidRPr="00935736">
              <w:rPr>
                <w:rFonts w:cs="Arial"/>
                <w:sz w:val="24"/>
                <w:szCs w:val="24"/>
              </w:rPr>
              <w:t xml:space="preserve">Where relevant, any additional costs are incorporated into the annual revenue budget and/or </w:t>
            </w:r>
            <w:r w:rsidR="00F671CE" w:rsidRPr="00935736">
              <w:rPr>
                <w:rFonts w:cs="Arial"/>
                <w:sz w:val="24"/>
                <w:szCs w:val="24"/>
              </w:rPr>
              <w:t>capital programme</w:t>
            </w:r>
            <w:r w:rsidRPr="00935736">
              <w:rPr>
                <w:rFonts w:cs="Arial"/>
                <w:sz w:val="24"/>
                <w:szCs w:val="24"/>
              </w:rPr>
              <w:t>.</w:t>
            </w:r>
          </w:p>
          <w:p w14:paraId="116284A7" w14:textId="172D5DD5" w:rsidR="00F115BD" w:rsidRPr="00935736" w:rsidRDefault="00F115BD" w:rsidP="006660EE">
            <w:pPr>
              <w:rPr>
                <w:rFonts w:cs="Arial"/>
                <w:sz w:val="24"/>
                <w:szCs w:val="24"/>
              </w:rPr>
            </w:pPr>
            <w:r w:rsidRPr="00935736">
              <w:rPr>
                <w:rFonts w:cs="Arial"/>
                <w:sz w:val="24"/>
                <w:szCs w:val="24"/>
              </w:rPr>
              <w:t xml:space="preserve">There is a risk that partners will withdraw funding as their own budgets are squeezed, or that the continued viability of private sector commercial partners will be exposed to risk in the face of an economic recession. </w:t>
            </w:r>
          </w:p>
        </w:tc>
      </w:tr>
      <w:tr w:rsidR="00F115BD" w:rsidRPr="00935736" w14:paraId="184962E0" w14:textId="77777777" w:rsidTr="006660EE">
        <w:tc>
          <w:tcPr>
            <w:tcW w:w="3865" w:type="dxa"/>
            <w:shd w:val="clear" w:color="auto" w:fill="auto"/>
          </w:tcPr>
          <w:p w14:paraId="726F4DBC" w14:textId="393DEC5E" w:rsidR="00F115BD" w:rsidRPr="00935736" w:rsidRDefault="00F115BD" w:rsidP="0062565E">
            <w:pPr>
              <w:rPr>
                <w:rFonts w:cs="Arial"/>
                <w:b/>
                <w:sz w:val="24"/>
                <w:szCs w:val="24"/>
              </w:rPr>
            </w:pPr>
            <w:r w:rsidRPr="00935736">
              <w:rPr>
                <w:rFonts w:cs="Arial"/>
                <w:b/>
                <w:sz w:val="24"/>
                <w:szCs w:val="24"/>
              </w:rPr>
              <w:t xml:space="preserve">The availability of </w:t>
            </w:r>
            <w:r w:rsidR="0081263C" w:rsidRPr="00935736">
              <w:rPr>
                <w:rFonts w:cs="Arial"/>
                <w:b/>
                <w:sz w:val="24"/>
                <w:szCs w:val="24"/>
              </w:rPr>
              <w:t>reserve</w:t>
            </w:r>
            <w:r w:rsidRPr="00935736">
              <w:rPr>
                <w:rFonts w:cs="Arial"/>
                <w:b/>
                <w:sz w:val="24"/>
                <w:szCs w:val="24"/>
              </w:rPr>
              <w:t>s, government grants and other funds to deal with major contingencies and the adequacy of provisions.</w:t>
            </w:r>
          </w:p>
        </w:tc>
        <w:tc>
          <w:tcPr>
            <w:tcW w:w="5763" w:type="dxa"/>
            <w:shd w:val="clear" w:color="auto" w:fill="auto"/>
          </w:tcPr>
          <w:p w14:paraId="0D861513" w14:textId="5551E0BA" w:rsidR="00F115BD" w:rsidRPr="00935736" w:rsidRDefault="00F115BD" w:rsidP="0062565E">
            <w:pPr>
              <w:rPr>
                <w:rFonts w:cs="Arial"/>
                <w:sz w:val="24"/>
                <w:szCs w:val="24"/>
              </w:rPr>
            </w:pPr>
            <w:r w:rsidRPr="00935736">
              <w:rPr>
                <w:rFonts w:cs="Arial"/>
                <w:sz w:val="24"/>
                <w:szCs w:val="24"/>
              </w:rPr>
              <w:t xml:space="preserve">NCFRA have built up appropriate </w:t>
            </w:r>
            <w:r w:rsidR="0081263C" w:rsidRPr="00935736">
              <w:rPr>
                <w:rFonts w:cs="Arial"/>
                <w:sz w:val="24"/>
                <w:szCs w:val="24"/>
              </w:rPr>
              <w:t>reserve</w:t>
            </w:r>
            <w:r w:rsidRPr="00935736">
              <w:rPr>
                <w:rFonts w:cs="Arial"/>
                <w:sz w:val="24"/>
                <w:szCs w:val="24"/>
              </w:rPr>
              <w:t xml:space="preserve">s from a zero base to build a stable range </w:t>
            </w:r>
            <w:r w:rsidR="0081263C" w:rsidRPr="00935736">
              <w:rPr>
                <w:rFonts w:cs="Arial"/>
                <w:sz w:val="24"/>
                <w:szCs w:val="24"/>
              </w:rPr>
              <w:t>earmarked reserve</w:t>
            </w:r>
            <w:r w:rsidRPr="00935736">
              <w:rPr>
                <w:rFonts w:cs="Arial"/>
                <w:sz w:val="24"/>
                <w:szCs w:val="24"/>
              </w:rPr>
              <w:t xml:space="preserve">s and provisions to meet specific expenditure items. </w:t>
            </w:r>
            <w:r w:rsidR="00935736" w:rsidRPr="00935736">
              <w:rPr>
                <w:rFonts w:cs="Arial"/>
                <w:sz w:val="24"/>
                <w:szCs w:val="24"/>
              </w:rPr>
              <w:t xml:space="preserve"> </w:t>
            </w:r>
            <w:r w:rsidRPr="00935736">
              <w:rPr>
                <w:rFonts w:cs="Arial"/>
                <w:sz w:val="24"/>
                <w:szCs w:val="24"/>
              </w:rPr>
              <w:t>Their use and balances are detailed in the attached a</w:t>
            </w:r>
            <w:r w:rsidR="000F4427" w:rsidRPr="00935736">
              <w:rPr>
                <w:rFonts w:cs="Arial"/>
                <w:sz w:val="24"/>
                <w:szCs w:val="24"/>
              </w:rPr>
              <w:t>nne</w:t>
            </w:r>
            <w:r w:rsidRPr="00935736">
              <w:rPr>
                <w:rFonts w:cs="Arial"/>
                <w:sz w:val="24"/>
                <w:szCs w:val="24"/>
              </w:rPr>
              <w:t>x</w:t>
            </w:r>
            <w:r w:rsidR="000F4427" w:rsidRPr="00935736">
              <w:rPr>
                <w:rFonts w:cs="Arial"/>
                <w:sz w:val="24"/>
                <w:szCs w:val="24"/>
              </w:rPr>
              <w:t>e</w:t>
            </w:r>
            <w:r w:rsidRPr="00935736">
              <w:rPr>
                <w:rFonts w:cs="Arial"/>
                <w:sz w:val="24"/>
                <w:szCs w:val="24"/>
              </w:rPr>
              <w:t xml:space="preserve">. </w:t>
            </w:r>
          </w:p>
          <w:p w14:paraId="6BE33F49" w14:textId="77777777" w:rsidR="00F115BD" w:rsidRPr="00935736" w:rsidRDefault="00F115BD" w:rsidP="0062565E">
            <w:pPr>
              <w:rPr>
                <w:rFonts w:cs="Arial"/>
                <w:sz w:val="24"/>
                <w:szCs w:val="24"/>
              </w:rPr>
            </w:pPr>
            <w:r w:rsidRPr="00935736">
              <w:rPr>
                <w:rFonts w:cs="Arial"/>
                <w:sz w:val="24"/>
                <w:szCs w:val="24"/>
              </w:rPr>
              <w:t>NCFRA maintain an insurance provision, the adequacy of which is reviewed and monitored in detail by the legal services insurance advisors.</w:t>
            </w:r>
          </w:p>
          <w:p w14:paraId="27B2FAB9" w14:textId="5BB61FD4" w:rsidR="00F115BD" w:rsidRPr="00935736" w:rsidRDefault="00F115BD" w:rsidP="006660EE">
            <w:pPr>
              <w:rPr>
                <w:rFonts w:cs="Arial"/>
                <w:sz w:val="24"/>
                <w:szCs w:val="24"/>
              </w:rPr>
            </w:pPr>
            <w:r w:rsidRPr="00935736">
              <w:rPr>
                <w:rFonts w:cs="Arial"/>
                <w:sz w:val="24"/>
                <w:szCs w:val="24"/>
              </w:rPr>
              <w:t xml:space="preserve">NCFRA continue to build a </w:t>
            </w:r>
            <w:r w:rsidR="00935736" w:rsidRPr="00935736">
              <w:rPr>
                <w:rFonts w:cs="Arial"/>
                <w:sz w:val="24"/>
                <w:szCs w:val="24"/>
              </w:rPr>
              <w:t>g</w:t>
            </w:r>
            <w:r w:rsidR="0081263C" w:rsidRPr="00935736">
              <w:rPr>
                <w:rFonts w:cs="Arial"/>
                <w:sz w:val="24"/>
                <w:szCs w:val="24"/>
              </w:rPr>
              <w:t>eneral reserve</w:t>
            </w:r>
            <w:r w:rsidRPr="00935736">
              <w:rPr>
                <w:rFonts w:cs="Arial"/>
                <w:sz w:val="24"/>
                <w:szCs w:val="24"/>
              </w:rPr>
              <w:t xml:space="preserve"> to cover any major unforeseen circumstances, supported by </w:t>
            </w:r>
            <w:r w:rsidR="0081263C" w:rsidRPr="00935736">
              <w:rPr>
                <w:rFonts w:cs="Arial"/>
                <w:sz w:val="24"/>
                <w:szCs w:val="24"/>
              </w:rPr>
              <w:t>earmarked reserve</w:t>
            </w:r>
            <w:r w:rsidRPr="00935736">
              <w:rPr>
                <w:rFonts w:cs="Arial"/>
                <w:sz w:val="24"/>
                <w:szCs w:val="24"/>
              </w:rPr>
              <w:t xml:space="preserve">s where appropriate to meet targeted investment in a planned manner which does not disproportionately impact on the revenue budget each year.  </w:t>
            </w:r>
          </w:p>
        </w:tc>
      </w:tr>
      <w:tr w:rsidR="00F115BD" w:rsidRPr="00935736" w14:paraId="032F3BCC" w14:textId="77777777" w:rsidTr="006660EE">
        <w:tc>
          <w:tcPr>
            <w:tcW w:w="3865" w:type="dxa"/>
            <w:shd w:val="clear" w:color="auto" w:fill="auto"/>
          </w:tcPr>
          <w:p w14:paraId="5262F2C8" w14:textId="77777777" w:rsidR="00F115BD" w:rsidRPr="00935736" w:rsidRDefault="00F115BD" w:rsidP="0062565E">
            <w:pPr>
              <w:rPr>
                <w:rFonts w:cs="Arial"/>
                <w:b/>
                <w:sz w:val="24"/>
                <w:szCs w:val="24"/>
              </w:rPr>
            </w:pPr>
            <w:r w:rsidRPr="00935736">
              <w:rPr>
                <w:rFonts w:cs="Arial"/>
                <w:b/>
                <w:sz w:val="24"/>
                <w:szCs w:val="24"/>
              </w:rPr>
              <w:t>The general financial climate to which the Authority is subject</w:t>
            </w:r>
          </w:p>
        </w:tc>
        <w:tc>
          <w:tcPr>
            <w:tcW w:w="5763" w:type="dxa"/>
            <w:shd w:val="clear" w:color="auto" w:fill="auto"/>
          </w:tcPr>
          <w:p w14:paraId="2F5AA674" w14:textId="77777777" w:rsidR="00935736" w:rsidRPr="00935736" w:rsidRDefault="00935736" w:rsidP="00935736">
            <w:pPr>
              <w:spacing w:after="0" w:line="240" w:lineRule="auto"/>
              <w:rPr>
                <w:rFonts w:eastAsia="Times New Roman" w:cs="Calibri"/>
                <w:sz w:val="24"/>
                <w:szCs w:val="24"/>
              </w:rPr>
            </w:pPr>
            <w:r w:rsidRPr="00935736">
              <w:rPr>
                <w:rFonts w:eastAsia="Times New Roman" w:cs="Calibri"/>
                <w:sz w:val="24"/>
                <w:szCs w:val="24"/>
              </w:rPr>
              <w:t>It is anticipated that the financial climate will continue to be challenging and the medium-term financial plan reflects the “best estimate” of future inflation rates and increases in government grants and contributions.</w:t>
            </w:r>
          </w:p>
          <w:p w14:paraId="43B08376" w14:textId="77777777" w:rsidR="00935736" w:rsidRPr="00935736" w:rsidRDefault="00935736" w:rsidP="00935736">
            <w:pPr>
              <w:spacing w:after="0" w:line="240" w:lineRule="auto"/>
              <w:rPr>
                <w:rFonts w:eastAsia="Times New Roman" w:cs="Calibri"/>
                <w:sz w:val="24"/>
                <w:szCs w:val="24"/>
              </w:rPr>
            </w:pPr>
          </w:p>
          <w:p w14:paraId="65B01F1B" w14:textId="77777777" w:rsidR="00935736" w:rsidRPr="00935736" w:rsidRDefault="00935736" w:rsidP="00935736">
            <w:pPr>
              <w:spacing w:after="0" w:line="240" w:lineRule="auto"/>
              <w:rPr>
                <w:rFonts w:eastAsia="Times New Roman" w:cs="Calibri"/>
                <w:sz w:val="24"/>
                <w:szCs w:val="24"/>
              </w:rPr>
            </w:pPr>
            <w:r w:rsidRPr="00935736">
              <w:rPr>
                <w:rFonts w:eastAsia="Times New Roman" w:cs="Calibri"/>
                <w:sz w:val="24"/>
                <w:szCs w:val="24"/>
              </w:rPr>
              <w:t>The Commercial team keep the authority updated on matters/risks affecting large contracts and supply chain.</w:t>
            </w:r>
          </w:p>
          <w:p w14:paraId="30A63576" w14:textId="77777777" w:rsidR="00935736" w:rsidRPr="00935736" w:rsidRDefault="00935736" w:rsidP="00935736">
            <w:pPr>
              <w:spacing w:after="0" w:line="240" w:lineRule="auto"/>
              <w:rPr>
                <w:rFonts w:eastAsia="Times New Roman" w:cs="Calibri"/>
                <w:sz w:val="24"/>
                <w:szCs w:val="24"/>
              </w:rPr>
            </w:pPr>
          </w:p>
          <w:p w14:paraId="735DC3DC" w14:textId="77777777" w:rsidR="00935736" w:rsidRPr="00935736" w:rsidRDefault="00935736" w:rsidP="00935736">
            <w:pPr>
              <w:spacing w:after="0" w:line="240" w:lineRule="auto"/>
              <w:rPr>
                <w:rFonts w:eastAsia="Times New Roman" w:cs="Calibri"/>
                <w:sz w:val="24"/>
                <w:szCs w:val="24"/>
              </w:rPr>
            </w:pPr>
            <w:r w:rsidRPr="00935736">
              <w:rPr>
                <w:rFonts w:eastAsia="Times New Roman" w:cs="Calibri"/>
                <w:sz w:val="24"/>
                <w:szCs w:val="24"/>
              </w:rPr>
              <w:t>The MTFP will be regularly reviewed and updated to support operational decision making.</w:t>
            </w:r>
          </w:p>
          <w:p w14:paraId="1FCC7EF5" w14:textId="5AB00FCA" w:rsidR="00F115BD" w:rsidRPr="00935736" w:rsidRDefault="00F115BD" w:rsidP="006660EE">
            <w:pPr>
              <w:rPr>
                <w:rFonts w:cs="Arial"/>
                <w:b/>
                <w:sz w:val="24"/>
                <w:szCs w:val="24"/>
              </w:rPr>
            </w:pPr>
          </w:p>
        </w:tc>
      </w:tr>
    </w:tbl>
    <w:p w14:paraId="4615BCD4" w14:textId="77777777" w:rsidR="00F115BD" w:rsidRPr="000F4427" w:rsidRDefault="00F115BD" w:rsidP="00F115BD">
      <w:pPr>
        <w:jc w:val="center"/>
        <w:rPr>
          <w:b/>
          <w:highlight w:val="yellow"/>
        </w:rPr>
        <w:sectPr w:rsidR="00F115BD" w:rsidRPr="000F4427" w:rsidSect="009333A1">
          <w:headerReference w:type="even" r:id="rId18"/>
          <w:headerReference w:type="default" r:id="rId19"/>
          <w:footerReference w:type="even" r:id="rId20"/>
          <w:footerReference w:type="default" r:id="rId21"/>
          <w:headerReference w:type="first" r:id="rId22"/>
          <w:footerReference w:type="first" r:id="rId23"/>
          <w:pgSz w:w="11906" w:h="16838" w:code="9"/>
          <w:pgMar w:top="1985" w:right="1134" w:bottom="1985" w:left="1134" w:header="709" w:footer="709" w:gutter="0"/>
          <w:cols w:space="708"/>
          <w:docGrid w:linePitch="360"/>
        </w:sectPr>
      </w:pPr>
    </w:p>
    <w:p w14:paraId="4AF9E1F1" w14:textId="6C3FAECE" w:rsidR="00F115BD" w:rsidRPr="00935736" w:rsidRDefault="000F4427" w:rsidP="00935736">
      <w:pPr>
        <w:rPr>
          <w:b/>
        </w:rPr>
      </w:pPr>
      <w:r w:rsidRPr="00935736">
        <w:rPr>
          <w:b/>
        </w:rPr>
        <w:t>Annexe</w:t>
      </w:r>
      <w:r w:rsidR="00F115BD" w:rsidRPr="00935736">
        <w:rPr>
          <w:b/>
        </w:rPr>
        <w:t xml:space="preserve"> </w:t>
      </w:r>
      <w:r w:rsidRPr="00935736">
        <w:rPr>
          <w:b/>
        </w:rPr>
        <w:t>2</w:t>
      </w:r>
      <w:r w:rsidR="00F115BD" w:rsidRPr="00935736">
        <w:rPr>
          <w:b/>
        </w:rPr>
        <w:t xml:space="preserve">        </w:t>
      </w:r>
    </w:p>
    <w:p w14:paraId="778DE121" w14:textId="66F8915A" w:rsidR="00F115BD" w:rsidRPr="00EF3054" w:rsidRDefault="0081263C" w:rsidP="00EF3054">
      <w:pPr>
        <w:spacing w:after="0"/>
        <w:jc w:val="center"/>
        <w:rPr>
          <w:b/>
          <w:bCs/>
        </w:rPr>
      </w:pPr>
      <w:r w:rsidRPr="00EF3054">
        <w:rPr>
          <w:b/>
          <w:bCs/>
        </w:rPr>
        <w:t>RESERVE</w:t>
      </w:r>
      <w:r w:rsidR="00F115BD" w:rsidRPr="00EF3054">
        <w:rPr>
          <w:b/>
          <w:bCs/>
        </w:rPr>
        <w:t>S OF THE NORTHAMPTONSHIRE COMMISSIONER FIRE AND RESCUE AUTHORITY</w:t>
      </w:r>
    </w:p>
    <w:p w14:paraId="19029E42" w14:textId="151025C0" w:rsidR="00F115BD" w:rsidRDefault="00F115BD" w:rsidP="00EF3054">
      <w:pPr>
        <w:spacing w:after="0"/>
        <w:jc w:val="center"/>
        <w:rPr>
          <w:b/>
          <w:bCs/>
        </w:rPr>
      </w:pPr>
      <w:r w:rsidRPr="00EF3054">
        <w:rPr>
          <w:b/>
          <w:bCs/>
        </w:rPr>
        <w:t>202</w:t>
      </w:r>
      <w:r w:rsidR="00935736" w:rsidRPr="00EF3054">
        <w:rPr>
          <w:b/>
          <w:bCs/>
        </w:rPr>
        <w:t>4</w:t>
      </w:r>
      <w:r w:rsidRPr="00EF3054">
        <w:rPr>
          <w:b/>
          <w:bCs/>
        </w:rPr>
        <w:t>/2</w:t>
      </w:r>
      <w:r w:rsidR="00935736" w:rsidRPr="00EF3054">
        <w:rPr>
          <w:b/>
          <w:bCs/>
        </w:rPr>
        <w:t>5</w:t>
      </w:r>
      <w:r w:rsidRPr="00EF3054">
        <w:rPr>
          <w:b/>
          <w:bCs/>
        </w:rPr>
        <w:t xml:space="preserve"> to 202</w:t>
      </w:r>
      <w:r w:rsidR="00935736" w:rsidRPr="00EF3054">
        <w:rPr>
          <w:b/>
          <w:bCs/>
        </w:rPr>
        <w:t>8</w:t>
      </w:r>
      <w:r w:rsidRPr="00EF3054">
        <w:rPr>
          <w:b/>
          <w:bCs/>
        </w:rPr>
        <w:t>/2</w:t>
      </w:r>
      <w:r w:rsidR="00935736" w:rsidRPr="00EF3054">
        <w:rPr>
          <w:b/>
          <w:bCs/>
        </w:rPr>
        <w:t>9</w:t>
      </w:r>
    </w:p>
    <w:p w14:paraId="2784EF2C" w14:textId="77777777" w:rsidR="00AF1642" w:rsidRPr="00EF3054" w:rsidRDefault="00AF1642" w:rsidP="00EF3054">
      <w:pPr>
        <w:spacing w:after="0"/>
        <w:jc w:val="center"/>
        <w:rPr>
          <w:b/>
          <w:bCs/>
        </w:rPr>
      </w:pPr>
    </w:p>
    <w:tbl>
      <w:tblPr>
        <w:tblW w:w="15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3261"/>
        <w:gridCol w:w="2410"/>
        <w:gridCol w:w="1745"/>
        <w:gridCol w:w="3691"/>
        <w:gridCol w:w="1332"/>
        <w:gridCol w:w="973"/>
      </w:tblGrid>
      <w:tr w:rsidR="00935736" w:rsidRPr="00935736" w14:paraId="41A339D4" w14:textId="77777777" w:rsidTr="00935736">
        <w:trPr>
          <w:cantSplit/>
          <w:tblHeader/>
          <w:jc w:val="center"/>
        </w:trPr>
        <w:tc>
          <w:tcPr>
            <w:tcW w:w="1837" w:type="dxa"/>
          </w:tcPr>
          <w:p w14:paraId="44AFABED" w14:textId="77777777" w:rsidR="00935736" w:rsidRPr="00935736" w:rsidRDefault="00935736" w:rsidP="00935736">
            <w:pPr>
              <w:jc w:val="center"/>
              <w:rPr>
                <w:rFonts w:asciiTheme="minorHAnsi" w:hAnsiTheme="minorHAnsi" w:cstheme="minorHAnsi"/>
                <w:b/>
                <w:bCs/>
                <w:sz w:val="20"/>
                <w:szCs w:val="20"/>
              </w:rPr>
            </w:pPr>
          </w:p>
        </w:tc>
        <w:tc>
          <w:tcPr>
            <w:tcW w:w="3261" w:type="dxa"/>
          </w:tcPr>
          <w:p w14:paraId="22638BA0" w14:textId="77777777" w:rsidR="00935736" w:rsidRPr="00935736" w:rsidRDefault="00935736" w:rsidP="00935736">
            <w:pPr>
              <w:jc w:val="center"/>
              <w:rPr>
                <w:rFonts w:asciiTheme="minorHAnsi" w:hAnsiTheme="minorHAnsi" w:cstheme="minorHAnsi"/>
                <w:b/>
                <w:bCs/>
                <w:sz w:val="20"/>
                <w:szCs w:val="20"/>
              </w:rPr>
            </w:pPr>
            <w:r w:rsidRPr="00935736">
              <w:rPr>
                <w:rFonts w:asciiTheme="minorHAnsi" w:hAnsiTheme="minorHAnsi" w:cstheme="minorHAnsi"/>
                <w:b/>
                <w:bCs/>
                <w:sz w:val="20"/>
                <w:szCs w:val="20"/>
              </w:rPr>
              <w:t>Rationale</w:t>
            </w:r>
          </w:p>
        </w:tc>
        <w:tc>
          <w:tcPr>
            <w:tcW w:w="2410" w:type="dxa"/>
          </w:tcPr>
          <w:p w14:paraId="5FF03B83" w14:textId="77777777" w:rsidR="00935736" w:rsidRPr="00935736" w:rsidRDefault="00935736" w:rsidP="00935736">
            <w:pPr>
              <w:jc w:val="center"/>
              <w:rPr>
                <w:rFonts w:asciiTheme="minorHAnsi" w:hAnsiTheme="minorHAnsi" w:cstheme="minorHAnsi"/>
                <w:b/>
                <w:bCs/>
                <w:sz w:val="20"/>
                <w:szCs w:val="20"/>
              </w:rPr>
            </w:pPr>
            <w:r w:rsidRPr="00935736">
              <w:rPr>
                <w:rFonts w:asciiTheme="minorHAnsi" w:hAnsiTheme="minorHAnsi" w:cstheme="minorHAnsi"/>
                <w:b/>
                <w:bCs/>
                <w:sz w:val="20"/>
                <w:szCs w:val="20"/>
              </w:rPr>
              <w:t>How and when used</w:t>
            </w:r>
          </w:p>
        </w:tc>
        <w:tc>
          <w:tcPr>
            <w:tcW w:w="1745" w:type="dxa"/>
          </w:tcPr>
          <w:p w14:paraId="1E27E7E2" w14:textId="77777777" w:rsidR="00935736" w:rsidRPr="00935736" w:rsidRDefault="00935736" w:rsidP="00935736">
            <w:pPr>
              <w:jc w:val="center"/>
              <w:rPr>
                <w:rFonts w:asciiTheme="minorHAnsi" w:hAnsiTheme="minorHAnsi" w:cstheme="minorHAnsi"/>
                <w:b/>
                <w:bCs/>
                <w:sz w:val="20"/>
                <w:szCs w:val="20"/>
              </w:rPr>
            </w:pPr>
            <w:r w:rsidRPr="00935736">
              <w:rPr>
                <w:rFonts w:asciiTheme="minorHAnsi" w:hAnsiTheme="minorHAnsi" w:cstheme="minorHAnsi"/>
                <w:b/>
                <w:bCs/>
                <w:sz w:val="20"/>
                <w:szCs w:val="20"/>
              </w:rPr>
              <w:t>Level</w:t>
            </w:r>
          </w:p>
        </w:tc>
        <w:tc>
          <w:tcPr>
            <w:tcW w:w="3691" w:type="dxa"/>
          </w:tcPr>
          <w:p w14:paraId="0C7BFC9E" w14:textId="16DEBC6E" w:rsidR="00935736" w:rsidRPr="00935736" w:rsidRDefault="00935736" w:rsidP="00935736">
            <w:pPr>
              <w:jc w:val="center"/>
              <w:rPr>
                <w:rFonts w:asciiTheme="minorHAnsi" w:hAnsiTheme="minorHAnsi" w:cstheme="minorHAnsi"/>
                <w:b/>
                <w:bCs/>
                <w:sz w:val="20"/>
                <w:szCs w:val="20"/>
              </w:rPr>
            </w:pPr>
            <w:r w:rsidRPr="00935736">
              <w:rPr>
                <w:rFonts w:asciiTheme="minorHAnsi" w:hAnsiTheme="minorHAnsi" w:cstheme="minorHAnsi"/>
                <w:b/>
                <w:bCs/>
                <w:sz w:val="20"/>
                <w:szCs w:val="20"/>
              </w:rPr>
              <w:t>Risk If Reserve Not Held</w:t>
            </w:r>
          </w:p>
        </w:tc>
        <w:tc>
          <w:tcPr>
            <w:tcW w:w="1332" w:type="dxa"/>
          </w:tcPr>
          <w:p w14:paraId="7BF79407" w14:textId="09D005D2" w:rsidR="00935736" w:rsidRPr="00935736" w:rsidRDefault="00935736" w:rsidP="00935736">
            <w:pPr>
              <w:jc w:val="center"/>
              <w:rPr>
                <w:rFonts w:asciiTheme="minorHAnsi" w:hAnsiTheme="minorHAnsi" w:cstheme="minorHAnsi"/>
                <w:b/>
                <w:bCs/>
                <w:sz w:val="20"/>
                <w:szCs w:val="20"/>
              </w:rPr>
            </w:pPr>
            <w:r w:rsidRPr="00935736">
              <w:rPr>
                <w:rFonts w:asciiTheme="minorHAnsi" w:hAnsiTheme="minorHAnsi" w:cstheme="minorHAnsi"/>
                <w:b/>
                <w:bCs/>
                <w:sz w:val="20"/>
                <w:szCs w:val="20"/>
              </w:rPr>
              <w:t>Management and control</w:t>
            </w:r>
          </w:p>
        </w:tc>
        <w:tc>
          <w:tcPr>
            <w:tcW w:w="973" w:type="dxa"/>
          </w:tcPr>
          <w:p w14:paraId="0CA218EF" w14:textId="77777777" w:rsidR="00935736" w:rsidRPr="00935736" w:rsidRDefault="00935736" w:rsidP="00935736">
            <w:pPr>
              <w:jc w:val="center"/>
              <w:rPr>
                <w:rFonts w:asciiTheme="minorHAnsi" w:hAnsiTheme="minorHAnsi" w:cstheme="minorHAnsi"/>
                <w:b/>
                <w:bCs/>
                <w:sz w:val="20"/>
                <w:szCs w:val="20"/>
              </w:rPr>
            </w:pPr>
            <w:r w:rsidRPr="00935736">
              <w:rPr>
                <w:rFonts w:asciiTheme="minorHAnsi" w:hAnsiTheme="minorHAnsi" w:cstheme="minorHAnsi"/>
                <w:b/>
                <w:bCs/>
                <w:sz w:val="20"/>
                <w:szCs w:val="20"/>
              </w:rPr>
              <w:t>Review</w:t>
            </w:r>
          </w:p>
        </w:tc>
      </w:tr>
      <w:tr w:rsidR="00935736" w:rsidRPr="00EF3054" w14:paraId="3D54A807" w14:textId="77777777" w:rsidTr="00935736">
        <w:trPr>
          <w:cantSplit/>
          <w:jc w:val="center"/>
        </w:trPr>
        <w:tc>
          <w:tcPr>
            <w:tcW w:w="1837" w:type="dxa"/>
          </w:tcPr>
          <w:p w14:paraId="2DEE4BEA"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p w14:paraId="29E317F1" w14:textId="6B42672F" w:rsidR="00935736" w:rsidRPr="00EF3054" w:rsidRDefault="00935736" w:rsidP="00EF3054">
            <w:pPr>
              <w:spacing w:after="0" w:line="240" w:lineRule="auto"/>
              <w:rPr>
                <w:rFonts w:asciiTheme="minorHAnsi" w:eastAsia="Times New Roman" w:hAnsiTheme="minorHAnsi" w:cstheme="minorHAnsi"/>
                <w:b/>
                <w:bCs/>
                <w:sz w:val="20"/>
                <w:szCs w:val="20"/>
              </w:rPr>
            </w:pPr>
            <w:r w:rsidRPr="00EF3054">
              <w:rPr>
                <w:rFonts w:asciiTheme="minorHAnsi" w:eastAsia="Times New Roman" w:hAnsiTheme="minorHAnsi" w:cstheme="minorHAnsi"/>
                <w:b/>
                <w:bCs/>
                <w:sz w:val="20"/>
                <w:szCs w:val="20"/>
              </w:rPr>
              <w:t>GENERAL RESERVE</w:t>
            </w:r>
          </w:p>
          <w:p w14:paraId="081A3A6B"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p w14:paraId="713FC162"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p w14:paraId="35EAB461"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tc>
        <w:tc>
          <w:tcPr>
            <w:tcW w:w="3261" w:type="dxa"/>
          </w:tcPr>
          <w:p w14:paraId="0816B6BF"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6A6D7821" w14:textId="78259EF0"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maintain a degree of in-year financial flexibility</w:t>
            </w:r>
          </w:p>
          <w:p w14:paraId="564F622F" w14:textId="77777777" w:rsidR="00EF3054" w:rsidRPr="00EF3054" w:rsidRDefault="00EF3054" w:rsidP="00EF3054">
            <w:pPr>
              <w:spacing w:after="0" w:line="240" w:lineRule="auto"/>
              <w:rPr>
                <w:rFonts w:asciiTheme="minorHAnsi" w:eastAsia="Times New Roman" w:hAnsiTheme="minorHAnsi" w:cstheme="minorHAnsi"/>
                <w:sz w:val="20"/>
                <w:szCs w:val="20"/>
              </w:rPr>
            </w:pPr>
          </w:p>
          <w:p w14:paraId="00A672CB" w14:textId="1C50CBAA"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enable NCFRA to deal with unforeseen circumstances and incidents</w:t>
            </w:r>
            <w:r w:rsidR="00EF3054">
              <w:rPr>
                <w:rFonts w:asciiTheme="minorHAnsi" w:eastAsia="Times New Roman" w:hAnsiTheme="minorHAnsi" w:cstheme="minorHAnsi"/>
                <w:sz w:val="20"/>
                <w:szCs w:val="20"/>
              </w:rPr>
              <w:t>.</w:t>
            </w:r>
          </w:p>
          <w:p w14:paraId="7176A56B" w14:textId="77777777" w:rsidR="00EF3054" w:rsidRPr="00EF3054" w:rsidRDefault="00EF3054" w:rsidP="00EF3054">
            <w:pPr>
              <w:spacing w:after="0" w:line="240" w:lineRule="auto"/>
              <w:rPr>
                <w:rFonts w:asciiTheme="minorHAnsi" w:eastAsia="Times New Roman" w:hAnsiTheme="minorHAnsi" w:cstheme="minorHAnsi"/>
                <w:sz w:val="20"/>
                <w:szCs w:val="20"/>
              </w:rPr>
            </w:pPr>
          </w:p>
          <w:p w14:paraId="05852308" w14:textId="62A1FDC4"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manage and meet financial risks of any industrial action requirements</w:t>
            </w:r>
            <w:r w:rsidR="00EF3054">
              <w:rPr>
                <w:rFonts w:asciiTheme="minorHAnsi" w:eastAsia="Times New Roman" w:hAnsiTheme="minorHAnsi" w:cstheme="minorHAnsi"/>
                <w:sz w:val="20"/>
                <w:szCs w:val="20"/>
              </w:rPr>
              <w:t>.</w:t>
            </w:r>
          </w:p>
          <w:p w14:paraId="57FEB3E0" w14:textId="77777777" w:rsidR="00EF3054" w:rsidRPr="00EF3054" w:rsidRDefault="00EF3054" w:rsidP="00EF3054">
            <w:pPr>
              <w:spacing w:after="0" w:line="240" w:lineRule="auto"/>
              <w:rPr>
                <w:rFonts w:asciiTheme="minorHAnsi" w:eastAsia="Times New Roman" w:hAnsiTheme="minorHAnsi" w:cstheme="minorHAnsi"/>
                <w:sz w:val="20"/>
                <w:szCs w:val="20"/>
              </w:rPr>
            </w:pPr>
          </w:p>
          <w:p w14:paraId="5F9DA8FF" w14:textId="7B912D34"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set aside sums for known and potential liabilities</w:t>
            </w:r>
            <w:r w:rsidR="00EF3054">
              <w:rPr>
                <w:rFonts w:asciiTheme="minorHAnsi" w:eastAsia="Times New Roman" w:hAnsiTheme="minorHAnsi" w:cstheme="minorHAnsi"/>
                <w:sz w:val="20"/>
                <w:szCs w:val="20"/>
              </w:rPr>
              <w:t>.</w:t>
            </w:r>
          </w:p>
          <w:p w14:paraId="26306DF2" w14:textId="7F896916" w:rsidR="00EF3054" w:rsidRPr="00EF3054" w:rsidRDefault="00EF3054" w:rsidP="00EF3054">
            <w:pPr>
              <w:spacing w:after="0" w:line="240" w:lineRule="auto"/>
              <w:rPr>
                <w:rFonts w:asciiTheme="minorHAnsi" w:eastAsia="Times New Roman" w:hAnsiTheme="minorHAnsi" w:cstheme="minorHAnsi"/>
                <w:sz w:val="20"/>
                <w:szCs w:val="20"/>
              </w:rPr>
            </w:pPr>
          </w:p>
        </w:tc>
        <w:tc>
          <w:tcPr>
            <w:tcW w:w="2410" w:type="dxa"/>
          </w:tcPr>
          <w:p w14:paraId="2AF69FE7"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5261233B"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 xml:space="preserve">To meet exceptional spending needs or overspends which are unable to be otherwise financed at the year end. </w:t>
            </w:r>
          </w:p>
          <w:p w14:paraId="55F2180B" w14:textId="77777777" w:rsidR="00EF3054" w:rsidRDefault="00EF3054" w:rsidP="00EF3054">
            <w:pPr>
              <w:spacing w:after="0" w:line="240" w:lineRule="auto"/>
              <w:rPr>
                <w:rFonts w:asciiTheme="minorHAnsi" w:eastAsia="Times New Roman" w:hAnsiTheme="minorHAnsi" w:cstheme="minorHAnsi"/>
                <w:sz w:val="20"/>
                <w:szCs w:val="20"/>
              </w:rPr>
            </w:pPr>
          </w:p>
          <w:p w14:paraId="2AED0787" w14:textId="6D03CE73"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smooth the profile of revenue over a medium term financial period</w:t>
            </w:r>
            <w:r w:rsidR="00EF3054">
              <w:rPr>
                <w:rFonts w:asciiTheme="minorHAnsi" w:eastAsia="Times New Roman" w:hAnsiTheme="minorHAnsi" w:cstheme="minorHAnsi"/>
                <w:sz w:val="20"/>
                <w:szCs w:val="20"/>
              </w:rPr>
              <w:t>.</w:t>
            </w:r>
          </w:p>
          <w:p w14:paraId="363D1139" w14:textId="77777777" w:rsidR="00EF3054" w:rsidRDefault="00EF3054" w:rsidP="00EF3054">
            <w:pPr>
              <w:spacing w:after="0" w:line="240" w:lineRule="auto"/>
              <w:rPr>
                <w:rFonts w:asciiTheme="minorHAnsi" w:eastAsia="Times New Roman" w:hAnsiTheme="minorHAnsi" w:cstheme="minorHAnsi"/>
                <w:sz w:val="20"/>
                <w:szCs w:val="20"/>
              </w:rPr>
            </w:pPr>
          </w:p>
          <w:p w14:paraId="48540B16" w14:textId="7F474A8C"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allow higher spending without raising council tax on a one-off basis</w:t>
            </w:r>
            <w:r w:rsidR="00EF3054">
              <w:rPr>
                <w:rFonts w:asciiTheme="minorHAnsi" w:eastAsia="Times New Roman" w:hAnsiTheme="minorHAnsi" w:cstheme="minorHAnsi"/>
                <w:sz w:val="20"/>
                <w:szCs w:val="20"/>
              </w:rPr>
              <w:t>.</w:t>
            </w:r>
          </w:p>
          <w:p w14:paraId="61B204E4" w14:textId="77777777" w:rsidR="00935736" w:rsidRPr="00EF3054" w:rsidRDefault="00935736" w:rsidP="00EF3054">
            <w:pPr>
              <w:spacing w:after="0" w:line="240" w:lineRule="auto"/>
              <w:rPr>
                <w:rFonts w:asciiTheme="minorHAnsi" w:eastAsia="Times New Roman" w:hAnsiTheme="minorHAnsi" w:cstheme="minorHAnsi"/>
                <w:sz w:val="20"/>
                <w:szCs w:val="20"/>
              </w:rPr>
            </w:pPr>
          </w:p>
        </w:tc>
        <w:tc>
          <w:tcPr>
            <w:tcW w:w="1745" w:type="dxa"/>
          </w:tcPr>
          <w:p w14:paraId="18AACED3"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6BCD2847"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maintain a sustainable level of £2.0m of 5% (whichever is the higher)</w:t>
            </w:r>
          </w:p>
          <w:p w14:paraId="388F0B67" w14:textId="77777777" w:rsidR="00935736" w:rsidRPr="00EF3054" w:rsidRDefault="00935736" w:rsidP="00EF3054">
            <w:pPr>
              <w:spacing w:after="0" w:line="240" w:lineRule="auto"/>
              <w:rPr>
                <w:rFonts w:asciiTheme="minorHAnsi" w:eastAsia="Times New Roman" w:hAnsiTheme="minorHAnsi" w:cstheme="minorHAnsi"/>
                <w:sz w:val="20"/>
                <w:szCs w:val="20"/>
              </w:rPr>
            </w:pPr>
          </w:p>
        </w:tc>
        <w:tc>
          <w:tcPr>
            <w:tcW w:w="3691" w:type="dxa"/>
          </w:tcPr>
          <w:p w14:paraId="79EF7B49"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359899D"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The general reserve is held at a level which reflects risk, uncertainties and volatility.</w:t>
            </w:r>
          </w:p>
          <w:p w14:paraId="796C7775" w14:textId="77777777" w:rsidR="00EF3054" w:rsidRDefault="00EF3054" w:rsidP="00EF3054">
            <w:pPr>
              <w:spacing w:after="0" w:line="240" w:lineRule="auto"/>
              <w:rPr>
                <w:rFonts w:asciiTheme="minorHAnsi" w:eastAsia="Times New Roman" w:hAnsiTheme="minorHAnsi" w:cstheme="minorHAnsi"/>
                <w:sz w:val="20"/>
                <w:szCs w:val="20"/>
              </w:rPr>
            </w:pPr>
          </w:p>
          <w:p w14:paraId="4D015408" w14:textId="5FCA92BE"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If no reserve is held there may be insufficient resources available for major catastrophe, which could jeopardise financial status and reputation of NCFRA.</w:t>
            </w:r>
          </w:p>
          <w:p w14:paraId="320076A8" w14:textId="77777777" w:rsidR="00EF3054" w:rsidRDefault="00EF3054" w:rsidP="00EF3054">
            <w:pPr>
              <w:spacing w:after="0" w:line="240" w:lineRule="auto"/>
              <w:rPr>
                <w:rFonts w:asciiTheme="minorHAnsi" w:eastAsia="Times New Roman" w:hAnsiTheme="minorHAnsi" w:cstheme="minorHAnsi"/>
                <w:sz w:val="20"/>
                <w:szCs w:val="20"/>
              </w:rPr>
            </w:pPr>
          </w:p>
          <w:p w14:paraId="3A79E2FC" w14:textId="4613F9B4"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The PFCC would have recourse to discretionary special grant if costs exceed 1% of budget or CLG Bellwin scheme for natural disasters</w:t>
            </w:r>
            <w:r w:rsidR="00EF3054">
              <w:rPr>
                <w:rFonts w:asciiTheme="minorHAnsi" w:eastAsia="Times New Roman" w:hAnsiTheme="minorHAnsi" w:cstheme="minorHAnsi"/>
                <w:sz w:val="20"/>
                <w:szCs w:val="20"/>
              </w:rPr>
              <w:t>.</w:t>
            </w:r>
            <w:r w:rsidRPr="00EF3054">
              <w:rPr>
                <w:rFonts w:asciiTheme="minorHAnsi" w:eastAsia="Times New Roman" w:hAnsiTheme="minorHAnsi" w:cstheme="minorHAnsi"/>
                <w:sz w:val="20"/>
                <w:szCs w:val="20"/>
              </w:rPr>
              <w:t xml:space="preserve"> </w:t>
            </w:r>
          </w:p>
        </w:tc>
        <w:tc>
          <w:tcPr>
            <w:tcW w:w="1332" w:type="dxa"/>
          </w:tcPr>
          <w:p w14:paraId="62B53F90" w14:textId="0B96FD23" w:rsidR="00935736" w:rsidRPr="00EF3054" w:rsidRDefault="00935736" w:rsidP="00EF3054">
            <w:pPr>
              <w:spacing w:after="0" w:line="240" w:lineRule="auto"/>
              <w:rPr>
                <w:rFonts w:asciiTheme="minorHAnsi" w:eastAsia="Times New Roman" w:hAnsiTheme="minorHAnsi" w:cstheme="minorHAnsi"/>
                <w:sz w:val="20"/>
                <w:szCs w:val="20"/>
              </w:rPr>
            </w:pPr>
          </w:p>
          <w:p w14:paraId="5E546CA6"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 xml:space="preserve">PFCC, on advice from PFCC CFO </w:t>
            </w:r>
          </w:p>
        </w:tc>
        <w:tc>
          <w:tcPr>
            <w:tcW w:w="973" w:type="dxa"/>
          </w:tcPr>
          <w:p w14:paraId="666E791C"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37290FEC"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Annual</w:t>
            </w:r>
          </w:p>
        </w:tc>
      </w:tr>
      <w:tr w:rsidR="00935736" w:rsidRPr="00EF3054" w14:paraId="08CC6F6E" w14:textId="77777777" w:rsidTr="00935736">
        <w:trPr>
          <w:cantSplit/>
          <w:jc w:val="center"/>
        </w:trPr>
        <w:tc>
          <w:tcPr>
            <w:tcW w:w="1837" w:type="dxa"/>
          </w:tcPr>
          <w:p w14:paraId="73BEDF78"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p w14:paraId="7C8FF102" w14:textId="77777777" w:rsidR="00935736" w:rsidRPr="00EF3054" w:rsidRDefault="00935736" w:rsidP="00EF3054">
            <w:pPr>
              <w:spacing w:after="0" w:line="240" w:lineRule="auto"/>
              <w:rPr>
                <w:rFonts w:asciiTheme="minorHAnsi" w:eastAsia="Times New Roman" w:hAnsiTheme="minorHAnsi" w:cstheme="minorHAnsi"/>
                <w:b/>
                <w:bCs/>
                <w:sz w:val="20"/>
                <w:szCs w:val="20"/>
              </w:rPr>
            </w:pPr>
            <w:r w:rsidRPr="00EF3054">
              <w:rPr>
                <w:rFonts w:asciiTheme="minorHAnsi" w:eastAsia="Times New Roman" w:hAnsiTheme="minorHAnsi" w:cstheme="minorHAnsi"/>
                <w:b/>
                <w:bCs/>
                <w:sz w:val="20"/>
                <w:szCs w:val="20"/>
              </w:rPr>
              <w:t xml:space="preserve">EARMARKED - INSURANCE </w:t>
            </w:r>
          </w:p>
          <w:p w14:paraId="391DC1A7"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p w14:paraId="459AFB1C"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tc>
        <w:tc>
          <w:tcPr>
            <w:tcW w:w="3261" w:type="dxa"/>
          </w:tcPr>
          <w:p w14:paraId="65A03A09"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4EDF5571"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cover the potential and contingent liabilities of uninsured risks as assessed annually by our insurers based on claims outstanding.</w:t>
            </w:r>
          </w:p>
        </w:tc>
        <w:tc>
          <w:tcPr>
            <w:tcW w:w="2410" w:type="dxa"/>
          </w:tcPr>
          <w:p w14:paraId="68DDB8A6"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1D01A806"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Balance will increase or reduce annually dependent on the NCFRA outstanding claims record.</w:t>
            </w:r>
          </w:p>
          <w:p w14:paraId="14EC7989" w14:textId="79523A51"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 xml:space="preserve">Established in 2018/19 following advice from legal service advisors. </w:t>
            </w:r>
          </w:p>
          <w:p w14:paraId="1A8C882C" w14:textId="77777777"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Level of reserve reviewed annually with the legal services advisers.</w:t>
            </w:r>
          </w:p>
          <w:p w14:paraId="4EFF29A7" w14:textId="094AEDAC" w:rsidR="00EF3054" w:rsidRPr="00EF3054" w:rsidRDefault="00EF3054" w:rsidP="00EF3054">
            <w:pPr>
              <w:spacing w:after="0" w:line="240" w:lineRule="auto"/>
              <w:rPr>
                <w:rFonts w:asciiTheme="minorHAnsi" w:eastAsia="Times New Roman" w:hAnsiTheme="minorHAnsi" w:cstheme="minorHAnsi"/>
                <w:sz w:val="20"/>
                <w:szCs w:val="20"/>
              </w:rPr>
            </w:pPr>
          </w:p>
        </w:tc>
        <w:tc>
          <w:tcPr>
            <w:tcW w:w="1745" w:type="dxa"/>
          </w:tcPr>
          <w:p w14:paraId="2DEDBDF1"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149C8AF7" w14:textId="0D4B1DF9"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Will vary according to annual risk assessment</w:t>
            </w:r>
            <w:r w:rsidR="00EF3054">
              <w:rPr>
                <w:rFonts w:asciiTheme="minorHAnsi" w:eastAsia="Times New Roman" w:hAnsiTheme="minorHAnsi" w:cstheme="minorHAnsi"/>
                <w:sz w:val="20"/>
                <w:szCs w:val="20"/>
              </w:rPr>
              <w:t>.</w:t>
            </w:r>
          </w:p>
          <w:p w14:paraId="548BD2FC"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132A02AA" w14:textId="77777777" w:rsidR="00935736" w:rsidRPr="00EF3054" w:rsidRDefault="00935736" w:rsidP="00EF3054">
            <w:pPr>
              <w:spacing w:after="0" w:line="240" w:lineRule="auto"/>
              <w:rPr>
                <w:rFonts w:asciiTheme="minorHAnsi" w:eastAsia="Times New Roman" w:hAnsiTheme="minorHAnsi" w:cstheme="minorHAnsi"/>
                <w:sz w:val="20"/>
                <w:szCs w:val="20"/>
              </w:rPr>
            </w:pPr>
          </w:p>
        </w:tc>
        <w:tc>
          <w:tcPr>
            <w:tcW w:w="3691" w:type="dxa"/>
          </w:tcPr>
          <w:p w14:paraId="20435645"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52515FC5"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The reserve is held to cover potential uninsured risks.</w:t>
            </w:r>
          </w:p>
          <w:p w14:paraId="16D3E614"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 xml:space="preserve">If no reserve is held the NCFRA is potentially open to significant excess and claims payments in year beyond available revenue budgets which would fall on the general reserve. </w:t>
            </w:r>
          </w:p>
          <w:p w14:paraId="017ED7FB" w14:textId="5A2E5B1D"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Assessment by insurers needs to be realistic not unduly pessimistic.</w:t>
            </w:r>
          </w:p>
        </w:tc>
        <w:tc>
          <w:tcPr>
            <w:tcW w:w="1332" w:type="dxa"/>
          </w:tcPr>
          <w:p w14:paraId="4DB4E390" w14:textId="7105AB05" w:rsidR="00935736" w:rsidRPr="00EF3054" w:rsidRDefault="00935736" w:rsidP="00EF3054">
            <w:pPr>
              <w:spacing w:after="0" w:line="240" w:lineRule="auto"/>
              <w:rPr>
                <w:rFonts w:asciiTheme="minorHAnsi" w:eastAsia="Times New Roman" w:hAnsiTheme="minorHAnsi" w:cstheme="minorHAnsi"/>
                <w:sz w:val="20"/>
                <w:szCs w:val="20"/>
              </w:rPr>
            </w:pPr>
          </w:p>
          <w:p w14:paraId="2F8AE0CF" w14:textId="62943AB9"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PFCC, on advice from PFCC CFO</w:t>
            </w:r>
          </w:p>
        </w:tc>
        <w:tc>
          <w:tcPr>
            <w:tcW w:w="973" w:type="dxa"/>
          </w:tcPr>
          <w:p w14:paraId="3347D3F4"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659B1047"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Annual</w:t>
            </w:r>
          </w:p>
        </w:tc>
      </w:tr>
      <w:tr w:rsidR="00EF3054" w:rsidRPr="00935736" w14:paraId="278A1005" w14:textId="77777777" w:rsidTr="00935736">
        <w:trPr>
          <w:cantSplit/>
          <w:jc w:val="center"/>
        </w:trPr>
        <w:tc>
          <w:tcPr>
            <w:tcW w:w="1837" w:type="dxa"/>
          </w:tcPr>
          <w:p w14:paraId="4A52A553" w14:textId="77777777" w:rsidR="00EF3054" w:rsidRPr="001F1FB5" w:rsidRDefault="00EF3054" w:rsidP="00EF3054">
            <w:pPr>
              <w:spacing w:after="0" w:line="240" w:lineRule="auto"/>
              <w:rPr>
                <w:rFonts w:asciiTheme="minorHAnsi" w:eastAsia="Times New Roman" w:hAnsiTheme="minorHAnsi" w:cstheme="minorHAnsi"/>
                <w:b/>
                <w:bCs/>
                <w:sz w:val="20"/>
                <w:szCs w:val="20"/>
              </w:rPr>
            </w:pPr>
          </w:p>
          <w:p w14:paraId="6F78A7C1" w14:textId="5F9D331F" w:rsidR="00EF3054" w:rsidRPr="00935736" w:rsidRDefault="00EF3054" w:rsidP="00EF3054">
            <w:pPr>
              <w:rPr>
                <w:rFonts w:asciiTheme="minorHAnsi" w:hAnsiTheme="minorHAnsi" w:cstheme="minorHAnsi"/>
                <w:b/>
                <w:bCs/>
                <w:sz w:val="20"/>
                <w:szCs w:val="20"/>
                <w:highlight w:val="yellow"/>
              </w:rPr>
            </w:pPr>
            <w:r w:rsidRPr="001F1FB5">
              <w:rPr>
                <w:rFonts w:asciiTheme="minorHAnsi" w:eastAsia="Times New Roman" w:hAnsiTheme="minorHAnsi" w:cstheme="minorHAnsi"/>
                <w:b/>
                <w:bCs/>
                <w:sz w:val="20"/>
                <w:szCs w:val="20"/>
              </w:rPr>
              <w:t>EARMARKED - OPERATIONAL EQUIPMENT</w:t>
            </w:r>
          </w:p>
        </w:tc>
        <w:tc>
          <w:tcPr>
            <w:tcW w:w="3261" w:type="dxa"/>
          </w:tcPr>
          <w:p w14:paraId="7B113232" w14:textId="77777777" w:rsidR="00EF3054" w:rsidRPr="001F1FB5" w:rsidRDefault="00EF3054" w:rsidP="00EF3054">
            <w:pPr>
              <w:spacing w:after="0" w:line="240" w:lineRule="auto"/>
              <w:rPr>
                <w:rFonts w:asciiTheme="minorHAnsi" w:eastAsia="Times New Roman" w:hAnsiTheme="minorHAnsi" w:cstheme="minorHAnsi"/>
                <w:sz w:val="20"/>
                <w:szCs w:val="20"/>
              </w:rPr>
            </w:pPr>
          </w:p>
          <w:p w14:paraId="64F74972" w14:textId="5DBF939C" w:rsidR="00EF3054" w:rsidRPr="00935736" w:rsidRDefault="00EF3054" w:rsidP="00EF3054">
            <w:pPr>
              <w:rPr>
                <w:rFonts w:asciiTheme="minorHAnsi" w:hAnsiTheme="minorHAnsi" w:cstheme="minorHAnsi"/>
                <w:sz w:val="20"/>
                <w:szCs w:val="20"/>
                <w:highlight w:val="yellow"/>
              </w:rPr>
            </w:pPr>
            <w:r w:rsidRPr="001F1FB5">
              <w:rPr>
                <w:rFonts w:asciiTheme="minorHAnsi" w:eastAsia="Times New Roman" w:hAnsiTheme="minorHAnsi" w:cstheme="minorHAnsi"/>
                <w:sz w:val="20"/>
                <w:szCs w:val="20"/>
              </w:rPr>
              <w:t>To smooth the impact of operational equipment purchases on the revenue budget</w:t>
            </w:r>
          </w:p>
        </w:tc>
        <w:tc>
          <w:tcPr>
            <w:tcW w:w="2410" w:type="dxa"/>
          </w:tcPr>
          <w:p w14:paraId="198EB3CC" w14:textId="77777777" w:rsidR="00EF3054" w:rsidRPr="001F1FB5" w:rsidRDefault="00EF3054" w:rsidP="00EF3054">
            <w:pPr>
              <w:spacing w:after="0" w:line="240" w:lineRule="auto"/>
              <w:rPr>
                <w:rFonts w:asciiTheme="minorHAnsi" w:eastAsia="Times New Roman" w:hAnsiTheme="minorHAnsi" w:cstheme="minorHAnsi"/>
                <w:sz w:val="20"/>
                <w:szCs w:val="20"/>
              </w:rPr>
            </w:pPr>
          </w:p>
          <w:p w14:paraId="2414F1EF" w14:textId="129450B6" w:rsidR="00EF3054" w:rsidRPr="00935736" w:rsidRDefault="00EF3054" w:rsidP="00EF3054">
            <w:pPr>
              <w:rPr>
                <w:rFonts w:asciiTheme="minorHAnsi" w:hAnsiTheme="minorHAnsi" w:cstheme="minorHAnsi"/>
                <w:sz w:val="20"/>
                <w:szCs w:val="20"/>
                <w:highlight w:val="yellow"/>
              </w:rPr>
            </w:pPr>
            <w:r w:rsidRPr="001F1FB5">
              <w:rPr>
                <w:rFonts w:asciiTheme="minorHAnsi" w:eastAsia="Times New Roman" w:hAnsiTheme="minorHAnsi" w:cstheme="minorHAnsi"/>
                <w:sz w:val="20"/>
                <w:szCs w:val="20"/>
              </w:rPr>
              <w:t>To access the funds a costed request has to be provided.</w:t>
            </w:r>
          </w:p>
        </w:tc>
        <w:tc>
          <w:tcPr>
            <w:tcW w:w="1745" w:type="dxa"/>
          </w:tcPr>
          <w:p w14:paraId="5EE9010D" w14:textId="77777777" w:rsidR="00EF3054" w:rsidRPr="001F1FB5" w:rsidRDefault="00EF3054" w:rsidP="00EF3054">
            <w:pPr>
              <w:spacing w:after="0" w:line="240" w:lineRule="auto"/>
              <w:rPr>
                <w:rFonts w:asciiTheme="minorHAnsi" w:eastAsia="Times New Roman" w:hAnsiTheme="minorHAnsi" w:cstheme="minorHAnsi"/>
                <w:sz w:val="20"/>
                <w:szCs w:val="20"/>
              </w:rPr>
            </w:pPr>
          </w:p>
          <w:p w14:paraId="2BDA2CA3" w14:textId="77777777" w:rsidR="00EF3054" w:rsidRPr="001F1FB5" w:rsidRDefault="00EF3054" w:rsidP="00EF3054">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Will vary according to usage and annual risk assessment.</w:t>
            </w:r>
          </w:p>
          <w:p w14:paraId="25082D2B" w14:textId="77777777" w:rsidR="00EF3054" w:rsidRPr="00935736" w:rsidRDefault="00EF3054" w:rsidP="00EF3054">
            <w:pPr>
              <w:rPr>
                <w:rFonts w:asciiTheme="minorHAnsi" w:hAnsiTheme="minorHAnsi" w:cstheme="minorHAnsi"/>
                <w:sz w:val="20"/>
                <w:szCs w:val="20"/>
                <w:highlight w:val="yellow"/>
              </w:rPr>
            </w:pPr>
          </w:p>
        </w:tc>
        <w:tc>
          <w:tcPr>
            <w:tcW w:w="3691" w:type="dxa"/>
          </w:tcPr>
          <w:p w14:paraId="50857474" w14:textId="77777777" w:rsidR="00EF3054" w:rsidRPr="001F1FB5" w:rsidRDefault="00EF3054" w:rsidP="00EF3054">
            <w:pPr>
              <w:spacing w:after="0" w:line="240" w:lineRule="auto"/>
              <w:rPr>
                <w:rFonts w:asciiTheme="minorHAnsi" w:eastAsia="Times New Roman" w:hAnsiTheme="minorHAnsi" w:cstheme="minorHAnsi"/>
                <w:sz w:val="20"/>
                <w:szCs w:val="20"/>
              </w:rPr>
            </w:pPr>
          </w:p>
          <w:p w14:paraId="2AD163E1" w14:textId="77777777" w:rsidR="00EF3054" w:rsidRPr="001F1FB5" w:rsidRDefault="00EF3054" w:rsidP="00EF3054">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The reserve is held to smooth the impact of operational equipment replacement rather than have significant variations in the budget.</w:t>
            </w:r>
          </w:p>
          <w:p w14:paraId="3DF16B22" w14:textId="77777777" w:rsidR="00EF3054" w:rsidRPr="001F1FB5" w:rsidRDefault="00EF3054" w:rsidP="00EF3054">
            <w:pPr>
              <w:spacing w:after="0" w:line="240" w:lineRule="auto"/>
              <w:rPr>
                <w:rFonts w:asciiTheme="minorHAnsi" w:eastAsia="Times New Roman" w:hAnsiTheme="minorHAnsi" w:cstheme="minorHAnsi"/>
                <w:sz w:val="20"/>
                <w:szCs w:val="20"/>
              </w:rPr>
            </w:pPr>
          </w:p>
          <w:p w14:paraId="7F315197" w14:textId="77777777" w:rsidR="00EF3054" w:rsidRDefault="00EF3054" w:rsidP="00EF3054">
            <w:pPr>
              <w:spacing w:after="0" w:line="240" w:lineRule="auto"/>
              <w:rPr>
                <w:rFonts w:asciiTheme="minorHAnsi" w:eastAsia="Times New Roman" w:hAnsiTheme="minorHAnsi" w:cstheme="minorHAnsi"/>
                <w:sz w:val="20"/>
                <w:szCs w:val="20"/>
              </w:rPr>
            </w:pPr>
            <w:r w:rsidRPr="001F1FB5">
              <w:rPr>
                <w:rFonts w:asciiTheme="minorHAnsi" w:eastAsia="Times New Roman" w:hAnsiTheme="minorHAnsi" w:cstheme="minorHAnsi"/>
                <w:sz w:val="20"/>
                <w:szCs w:val="20"/>
              </w:rPr>
              <w:t>If no reserve is held, the risk is that equipment would have to be replaced from the current year’s budget or capital programme.</w:t>
            </w:r>
          </w:p>
          <w:p w14:paraId="2CFB56F3" w14:textId="3C9A1C02" w:rsidR="00EF3054" w:rsidRPr="00EF3054" w:rsidRDefault="00EF3054" w:rsidP="00EF3054">
            <w:pPr>
              <w:spacing w:after="0" w:line="240" w:lineRule="auto"/>
              <w:rPr>
                <w:rFonts w:asciiTheme="minorHAnsi" w:eastAsia="Times New Roman" w:hAnsiTheme="minorHAnsi" w:cstheme="minorHAnsi"/>
                <w:sz w:val="20"/>
                <w:szCs w:val="20"/>
              </w:rPr>
            </w:pPr>
          </w:p>
        </w:tc>
        <w:tc>
          <w:tcPr>
            <w:tcW w:w="1332" w:type="dxa"/>
          </w:tcPr>
          <w:p w14:paraId="306D66CE" w14:textId="77777777" w:rsidR="00EF3054" w:rsidRPr="001F1FB5" w:rsidRDefault="00EF3054" w:rsidP="00EF3054">
            <w:pPr>
              <w:spacing w:after="0" w:line="240" w:lineRule="auto"/>
              <w:rPr>
                <w:rFonts w:asciiTheme="minorHAnsi" w:eastAsia="Times New Roman" w:hAnsiTheme="minorHAnsi" w:cstheme="minorHAnsi"/>
                <w:sz w:val="20"/>
                <w:szCs w:val="20"/>
              </w:rPr>
            </w:pPr>
          </w:p>
          <w:p w14:paraId="782D167E" w14:textId="700DBB82" w:rsidR="00EF3054" w:rsidRPr="00935736" w:rsidRDefault="00EF3054" w:rsidP="00EF3054">
            <w:pPr>
              <w:rPr>
                <w:rFonts w:asciiTheme="minorHAnsi" w:hAnsiTheme="minorHAnsi" w:cstheme="minorHAnsi"/>
                <w:sz w:val="20"/>
                <w:szCs w:val="20"/>
                <w:highlight w:val="yellow"/>
              </w:rPr>
            </w:pPr>
            <w:r w:rsidRPr="001F1FB5">
              <w:rPr>
                <w:rFonts w:asciiTheme="minorHAnsi" w:eastAsia="Times New Roman" w:hAnsiTheme="minorHAnsi" w:cstheme="minorHAnsi"/>
                <w:sz w:val="20"/>
                <w:szCs w:val="20"/>
              </w:rPr>
              <w:t>PFCC, on advice from PFCC CFO</w:t>
            </w:r>
          </w:p>
        </w:tc>
        <w:tc>
          <w:tcPr>
            <w:tcW w:w="973" w:type="dxa"/>
          </w:tcPr>
          <w:p w14:paraId="696AA212" w14:textId="77777777" w:rsidR="00EF3054" w:rsidRPr="001F1FB5" w:rsidRDefault="00EF3054" w:rsidP="00EF3054">
            <w:pPr>
              <w:spacing w:after="0" w:line="240" w:lineRule="auto"/>
              <w:rPr>
                <w:rFonts w:asciiTheme="minorHAnsi" w:eastAsia="Times New Roman" w:hAnsiTheme="minorHAnsi" w:cstheme="minorHAnsi"/>
                <w:sz w:val="20"/>
                <w:szCs w:val="20"/>
              </w:rPr>
            </w:pPr>
          </w:p>
          <w:p w14:paraId="7D9DBDDF" w14:textId="3AD876A3" w:rsidR="00EF3054" w:rsidRPr="00935736" w:rsidRDefault="00EF3054" w:rsidP="00EF3054">
            <w:pPr>
              <w:rPr>
                <w:rFonts w:asciiTheme="minorHAnsi" w:hAnsiTheme="minorHAnsi" w:cstheme="minorHAnsi"/>
                <w:sz w:val="20"/>
                <w:szCs w:val="20"/>
                <w:highlight w:val="yellow"/>
              </w:rPr>
            </w:pPr>
            <w:r w:rsidRPr="001F1FB5">
              <w:rPr>
                <w:rFonts w:asciiTheme="minorHAnsi" w:eastAsia="Times New Roman" w:hAnsiTheme="minorHAnsi" w:cstheme="minorHAnsi"/>
                <w:sz w:val="20"/>
                <w:szCs w:val="20"/>
              </w:rPr>
              <w:t>Annual</w:t>
            </w:r>
          </w:p>
        </w:tc>
      </w:tr>
      <w:tr w:rsidR="00935736" w:rsidRPr="00EF3054" w14:paraId="524BC5F5" w14:textId="77777777" w:rsidTr="00935736">
        <w:trPr>
          <w:cantSplit/>
          <w:jc w:val="center"/>
        </w:trPr>
        <w:tc>
          <w:tcPr>
            <w:tcW w:w="1837" w:type="dxa"/>
          </w:tcPr>
          <w:p w14:paraId="76955AF7"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p w14:paraId="5ACFBD0D" w14:textId="77777777" w:rsidR="00935736" w:rsidRPr="00EF3054" w:rsidRDefault="00935736" w:rsidP="00EF3054">
            <w:pPr>
              <w:spacing w:after="0" w:line="240" w:lineRule="auto"/>
              <w:rPr>
                <w:rFonts w:asciiTheme="minorHAnsi" w:eastAsia="Times New Roman" w:hAnsiTheme="minorHAnsi" w:cstheme="minorHAnsi"/>
                <w:b/>
                <w:bCs/>
                <w:sz w:val="20"/>
                <w:szCs w:val="20"/>
              </w:rPr>
            </w:pPr>
            <w:r w:rsidRPr="00EF3054">
              <w:rPr>
                <w:rFonts w:asciiTheme="minorHAnsi" w:eastAsia="Times New Roman" w:hAnsiTheme="minorHAnsi" w:cstheme="minorHAnsi"/>
                <w:b/>
                <w:bCs/>
                <w:sz w:val="20"/>
                <w:szCs w:val="20"/>
              </w:rPr>
              <w:t>EARMARKED – CARRY FORWARDS</w:t>
            </w:r>
          </w:p>
          <w:p w14:paraId="6E94775C"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tc>
        <w:tc>
          <w:tcPr>
            <w:tcW w:w="3261" w:type="dxa"/>
          </w:tcPr>
          <w:p w14:paraId="50B3E3E1"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203A1877"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For an underspend in one financial year to be set aside and ring fenced to meet any one off unbudgeted costs or new initiatives in a future year.</w:t>
            </w:r>
          </w:p>
        </w:tc>
        <w:tc>
          <w:tcPr>
            <w:tcW w:w="2410" w:type="dxa"/>
          </w:tcPr>
          <w:p w14:paraId="6FC94C05"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18763DE6"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Balance will increase or reduce annually dependent on the workforce planning requirements.</w:t>
            </w:r>
          </w:p>
          <w:p w14:paraId="0B31718E" w14:textId="77777777" w:rsidR="00935736" w:rsidRPr="00EF3054" w:rsidRDefault="00935736" w:rsidP="00EF3054">
            <w:pPr>
              <w:spacing w:after="0" w:line="240" w:lineRule="auto"/>
              <w:rPr>
                <w:rFonts w:asciiTheme="minorHAnsi" w:eastAsia="Times New Roman" w:hAnsiTheme="minorHAnsi" w:cstheme="minorHAnsi"/>
                <w:sz w:val="20"/>
                <w:szCs w:val="20"/>
              </w:rPr>
            </w:pPr>
          </w:p>
        </w:tc>
        <w:tc>
          <w:tcPr>
            <w:tcW w:w="1745" w:type="dxa"/>
          </w:tcPr>
          <w:p w14:paraId="02DE15A1"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1CF06814"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Will vary according to year end outturn and usage.</w:t>
            </w:r>
          </w:p>
        </w:tc>
        <w:tc>
          <w:tcPr>
            <w:tcW w:w="3691" w:type="dxa"/>
          </w:tcPr>
          <w:p w14:paraId="400BBDB4"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31F0D37" w14:textId="77777777"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Establishing a reserve enables an incentive and opportunity to utilise year end underspends in a manner which will provide additionality or benefit for the service in future years, rather than finding resources from in-year or reserves.</w:t>
            </w:r>
          </w:p>
          <w:p w14:paraId="55BB4C61" w14:textId="2213F808" w:rsidR="00EF3054" w:rsidRPr="00EF3054" w:rsidRDefault="00EF3054" w:rsidP="00EF3054">
            <w:pPr>
              <w:spacing w:after="0" w:line="240" w:lineRule="auto"/>
              <w:rPr>
                <w:rFonts w:asciiTheme="minorHAnsi" w:eastAsia="Times New Roman" w:hAnsiTheme="minorHAnsi" w:cstheme="minorHAnsi"/>
                <w:sz w:val="20"/>
                <w:szCs w:val="20"/>
              </w:rPr>
            </w:pPr>
          </w:p>
        </w:tc>
        <w:tc>
          <w:tcPr>
            <w:tcW w:w="1332" w:type="dxa"/>
          </w:tcPr>
          <w:p w14:paraId="4DD58FA6" w14:textId="41438111" w:rsidR="00935736" w:rsidRPr="00EF3054" w:rsidRDefault="00935736" w:rsidP="00EF3054">
            <w:pPr>
              <w:spacing w:after="0" w:line="240" w:lineRule="auto"/>
              <w:rPr>
                <w:rFonts w:asciiTheme="minorHAnsi" w:eastAsia="Times New Roman" w:hAnsiTheme="minorHAnsi" w:cstheme="minorHAnsi"/>
                <w:sz w:val="20"/>
                <w:szCs w:val="20"/>
              </w:rPr>
            </w:pPr>
          </w:p>
          <w:p w14:paraId="14F4AF9F"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PFCC, on advice from PFCC CFO</w:t>
            </w:r>
          </w:p>
        </w:tc>
        <w:tc>
          <w:tcPr>
            <w:tcW w:w="973" w:type="dxa"/>
          </w:tcPr>
          <w:p w14:paraId="379B5015"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5C5C0C2B"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Annual</w:t>
            </w:r>
          </w:p>
        </w:tc>
      </w:tr>
      <w:tr w:rsidR="00935736" w:rsidRPr="00EF3054" w14:paraId="1028C62B" w14:textId="77777777" w:rsidTr="00935736">
        <w:trPr>
          <w:cantSplit/>
          <w:jc w:val="center"/>
        </w:trPr>
        <w:tc>
          <w:tcPr>
            <w:tcW w:w="1837" w:type="dxa"/>
          </w:tcPr>
          <w:p w14:paraId="523C5C98" w14:textId="77777777" w:rsidR="00EF3054" w:rsidRDefault="00EF3054" w:rsidP="00EF3054">
            <w:pPr>
              <w:spacing w:after="0" w:line="240" w:lineRule="auto"/>
              <w:rPr>
                <w:rFonts w:asciiTheme="minorHAnsi" w:eastAsia="Times New Roman" w:hAnsiTheme="minorHAnsi" w:cstheme="minorHAnsi"/>
                <w:b/>
                <w:bCs/>
                <w:sz w:val="20"/>
                <w:szCs w:val="20"/>
              </w:rPr>
            </w:pPr>
          </w:p>
          <w:p w14:paraId="5ED98005" w14:textId="1BD4EAB2" w:rsidR="00935736" w:rsidRPr="00EF3054" w:rsidRDefault="00935736" w:rsidP="00EF3054">
            <w:pPr>
              <w:spacing w:after="0" w:line="240" w:lineRule="auto"/>
              <w:rPr>
                <w:rFonts w:asciiTheme="minorHAnsi" w:eastAsia="Times New Roman" w:hAnsiTheme="minorHAnsi" w:cstheme="minorHAnsi"/>
                <w:b/>
                <w:bCs/>
                <w:sz w:val="20"/>
                <w:szCs w:val="20"/>
              </w:rPr>
            </w:pPr>
            <w:r w:rsidRPr="00EF3054">
              <w:rPr>
                <w:rFonts w:asciiTheme="minorHAnsi" w:eastAsia="Times New Roman" w:hAnsiTheme="minorHAnsi" w:cstheme="minorHAnsi"/>
                <w:b/>
                <w:bCs/>
                <w:sz w:val="20"/>
                <w:szCs w:val="20"/>
              </w:rPr>
              <w:t>EARMARKED – SMOOTHING</w:t>
            </w:r>
          </w:p>
          <w:p w14:paraId="5911336E"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tc>
        <w:tc>
          <w:tcPr>
            <w:tcW w:w="3261" w:type="dxa"/>
          </w:tcPr>
          <w:p w14:paraId="03EEE738"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F29042A" w14:textId="0E40786A"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smooth the impact of fluctuations in the funding receipts from council tax and business rates as Business Rate levels are determined after the budget has been set.</w:t>
            </w:r>
          </w:p>
          <w:p w14:paraId="5A582B96" w14:textId="513A773B" w:rsidR="00EF3054" w:rsidRDefault="00EF3054" w:rsidP="00EF3054">
            <w:pPr>
              <w:spacing w:after="0" w:line="240" w:lineRule="auto"/>
              <w:rPr>
                <w:rFonts w:asciiTheme="minorHAnsi" w:eastAsia="Times New Roman" w:hAnsiTheme="minorHAnsi" w:cstheme="minorHAnsi"/>
                <w:sz w:val="20"/>
                <w:szCs w:val="20"/>
              </w:rPr>
            </w:pPr>
          </w:p>
          <w:p w14:paraId="6637519F" w14:textId="77777777" w:rsidR="00EF3054" w:rsidRPr="00B1524E" w:rsidRDefault="00EF3054" w:rsidP="00EF3054">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To collect efficiency savings realised to smooth the impact on future years budgets.</w:t>
            </w:r>
          </w:p>
          <w:p w14:paraId="4AFCFB08" w14:textId="77777777" w:rsidR="00EF3054" w:rsidRPr="00EF3054" w:rsidRDefault="00EF3054" w:rsidP="00EF3054">
            <w:pPr>
              <w:spacing w:after="0" w:line="240" w:lineRule="auto"/>
              <w:rPr>
                <w:rFonts w:asciiTheme="minorHAnsi" w:eastAsia="Times New Roman" w:hAnsiTheme="minorHAnsi" w:cstheme="minorHAnsi"/>
                <w:sz w:val="20"/>
                <w:szCs w:val="20"/>
              </w:rPr>
            </w:pPr>
          </w:p>
          <w:p w14:paraId="69BE3FC9" w14:textId="76109D0F" w:rsidR="00935736" w:rsidRPr="00EF3054" w:rsidRDefault="00EF3054" w:rsidP="00EF3054">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T</w:t>
            </w:r>
            <w:r w:rsidR="00935736" w:rsidRPr="00EF3054">
              <w:rPr>
                <w:rFonts w:asciiTheme="minorHAnsi" w:eastAsia="Times New Roman" w:hAnsiTheme="minorHAnsi" w:cstheme="minorHAnsi"/>
                <w:sz w:val="20"/>
                <w:szCs w:val="20"/>
              </w:rPr>
              <w:t>o smooth the impact of budget fluctuations.</w:t>
            </w:r>
          </w:p>
        </w:tc>
        <w:tc>
          <w:tcPr>
            <w:tcW w:w="2410" w:type="dxa"/>
          </w:tcPr>
          <w:p w14:paraId="42A1FD5A"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5B813EC9"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Balance will increase or decrease annually, dependent on council tax and business rate receipts.</w:t>
            </w:r>
          </w:p>
        </w:tc>
        <w:tc>
          <w:tcPr>
            <w:tcW w:w="1745" w:type="dxa"/>
          </w:tcPr>
          <w:p w14:paraId="08527DBD"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5FAE7188"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Will vary according to annual risk assessment.</w:t>
            </w:r>
          </w:p>
        </w:tc>
        <w:tc>
          <w:tcPr>
            <w:tcW w:w="3691" w:type="dxa"/>
          </w:tcPr>
          <w:p w14:paraId="562FF12B"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0843E3EE" w14:textId="51FA9D85"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 xml:space="preserve">The reserve is held to receive any funding received in excess of the budget set and to utilise to ensure any variations are smoothed where appropriate. </w:t>
            </w:r>
          </w:p>
          <w:p w14:paraId="1679DB6C" w14:textId="77777777" w:rsidR="00EF3054" w:rsidRPr="00EF3054" w:rsidRDefault="00EF3054" w:rsidP="00EF3054">
            <w:pPr>
              <w:spacing w:after="0" w:line="240" w:lineRule="auto"/>
              <w:rPr>
                <w:rFonts w:asciiTheme="minorHAnsi" w:eastAsia="Times New Roman" w:hAnsiTheme="minorHAnsi" w:cstheme="minorHAnsi"/>
                <w:sz w:val="20"/>
                <w:szCs w:val="20"/>
              </w:rPr>
            </w:pPr>
          </w:p>
          <w:p w14:paraId="2F8BC4C1" w14:textId="436AF84D"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 xml:space="preserve">If no reserve is held, NCFRA are required to balance the budget through savings, contingencies and reserves. </w:t>
            </w:r>
          </w:p>
          <w:p w14:paraId="79C47D28" w14:textId="77777777" w:rsidR="00EF3054" w:rsidRPr="00EF3054" w:rsidRDefault="00EF3054" w:rsidP="00EF3054">
            <w:pPr>
              <w:spacing w:after="0" w:line="240" w:lineRule="auto"/>
              <w:rPr>
                <w:rFonts w:asciiTheme="minorHAnsi" w:eastAsia="Times New Roman" w:hAnsiTheme="minorHAnsi" w:cstheme="minorHAnsi"/>
                <w:sz w:val="20"/>
                <w:szCs w:val="20"/>
              </w:rPr>
            </w:pPr>
          </w:p>
          <w:p w14:paraId="738ED7B2" w14:textId="77777777"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This reserve enables short term fluctuations to be managed more smoothly.</w:t>
            </w:r>
          </w:p>
          <w:p w14:paraId="52B3D359" w14:textId="15C9A36A" w:rsidR="00EF3054" w:rsidRPr="00EF3054" w:rsidRDefault="00EF3054" w:rsidP="00EF3054">
            <w:pPr>
              <w:spacing w:after="0" w:line="240" w:lineRule="auto"/>
              <w:rPr>
                <w:rFonts w:asciiTheme="minorHAnsi" w:eastAsia="Times New Roman" w:hAnsiTheme="minorHAnsi" w:cstheme="minorHAnsi"/>
                <w:sz w:val="20"/>
                <w:szCs w:val="20"/>
              </w:rPr>
            </w:pPr>
          </w:p>
        </w:tc>
        <w:tc>
          <w:tcPr>
            <w:tcW w:w="1332" w:type="dxa"/>
          </w:tcPr>
          <w:p w14:paraId="42465F40" w14:textId="0D6E11F6" w:rsidR="00935736" w:rsidRPr="00EF3054" w:rsidRDefault="00935736" w:rsidP="00EF3054">
            <w:pPr>
              <w:spacing w:after="0" w:line="240" w:lineRule="auto"/>
              <w:rPr>
                <w:rFonts w:asciiTheme="minorHAnsi" w:eastAsia="Times New Roman" w:hAnsiTheme="minorHAnsi" w:cstheme="minorHAnsi"/>
                <w:sz w:val="20"/>
                <w:szCs w:val="20"/>
              </w:rPr>
            </w:pPr>
          </w:p>
          <w:p w14:paraId="20C0E2DC"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PFCC, on advice from PFCC CFO</w:t>
            </w:r>
          </w:p>
        </w:tc>
        <w:tc>
          <w:tcPr>
            <w:tcW w:w="973" w:type="dxa"/>
          </w:tcPr>
          <w:p w14:paraId="2421E821"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43D2FC60"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Annual</w:t>
            </w:r>
          </w:p>
        </w:tc>
      </w:tr>
      <w:tr w:rsidR="00935736" w:rsidRPr="00EF3054" w14:paraId="7FF6FD8F" w14:textId="77777777" w:rsidTr="00935736">
        <w:trPr>
          <w:cantSplit/>
          <w:jc w:val="center"/>
        </w:trPr>
        <w:tc>
          <w:tcPr>
            <w:tcW w:w="1837" w:type="dxa"/>
          </w:tcPr>
          <w:p w14:paraId="07472A8E"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p w14:paraId="50382F46" w14:textId="68B21BFD" w:rsidR="00935736" w:rsidRPr="00EF3054" w:rsidRDefault="00935736" w:rsidP="00EF3054">
            <w:pPr>
              <w:spacing w:after="0" w:line="240" w:lineRule="auto"/>
              <w:rPr>
                <w:rFonts w:asciiTheme="minorHAnsi" w:eastAsia="Times New Roman" w:hAnsiTheme="minorHAnsi" w:cstheme="minorHAnsi"/>
                <w:b/>
                <w:bCs/>
                <w:sz w:val="20"/>
                <w:szCs w:val="20"/>
              </w:rPr>
            </w:pPr>
            <w:r w:rsidRPr="00EF3054">
              <w:rPr>
                <w:rFonts w:asciiTheme="minorHAnsi" w:eastAsia="Times New Roman" w:hAnsiTheme="minorHAnsi" w:cstheme="minorHAnsi"/>
                <w:b/>
                <w:bCs/>
                <w:sz w:val="20"/>
                <w:szCs w:val="20"/>
              </w:rPr>
              <w:t xml:space="preserve">EARMARKED </w:t>
            </w:r>
            <w:r w:rsidR="00EF3054">
              <w:rPr>
                <w:rFonts w:asciiTheme="minorHAnsi" w:eastAsia="Times New Roman" w:hAnsiTheme="minorHAnsi" w:cstheme="minorHAnsi"/>
                <w:b/>
                <w:bCs/>
                <w:sz w:val="20"/>
                <w:szCs w:val="20"/>
              </w:rPr>
              <w:t>-</w:t>
            </w:r>
            <w:r w:rsidRPr="00EF3054">
              <w:rPr>
                <w:rFonts w:asciiTheme="minorHAnsi" w:eastAsia="Times New Roman" w:hAnsiTheme="minorHAnsi" w:cstheme="minorHAnsi"/>
                <w:b/>
                <w:bCs/>
                <w:sz w:val="20"/>
                <w:szCs w:val="20"/>
              </w:rPr>
              <w:t>TRANSFORMATION</w:t>
            </w:r>
          </w:p>
        </w:tc>
        <w:tc>
          <w:tcPr>
            <w:tcW w:w="3261" w:type="dxa"/>
          </w:tcPr>
          <w:p w14:paraId="167A7848"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365328D" w14:textId="4B554331"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 xml:space="preserve">To build and maintain a reserve sufficient to support invest to save initiatives and provide initial funding to set up transformational activities. </w:t>
            </w:r>
          </w:p>
        </w:tc>
        <w:tc>
          <w:tcPr>
            <w:tcW w:w="2410" w:type="dxa"/>
          </w:tcPr>
          <w:p w14:paraId="0C51479B"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2534CCDE"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undertake initiatives and transformation without needing to use the annual operational budget.</w:t>
            </w:r>
          </w:p>
        </w:tc>
        <w:tc>
          <w:tcPr>
            <w:tcW w:w="1745" w:type="dxa"/>
          </w:tcPr>
          <w:p w14:paraId="75A42607"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3553E264"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Will vary according to activities.</w:t>
            </w:r>
          </w:p>
          <w:p w14:paraId="6E20D5F1"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CBC608E" w14:textId="77777777" w:rsidR="00935736" w:rsidRPr="00EF3054" w:rsidRDefault="00935736" w:rsidP="00EF3054">
            <w:pPr>
              <w:spacing w:after="0" w:line="240" w:lineRule="auto"/>
              <w:rPr>
                <w:rFonts w:asciiTheme="minorHAnsi" w:eastAsia="Times New Roman" w:hAnsiTheme="minorHAnsi" w:cstheme="minorHAnsi"/>
                <w:sz w:val="20"/>
                <w:szCs w:val="20"/>
              </w:rPr>
            </w:pPr>
          </w:p>
        </w:tc>
        <w:tc>
          <w:tcPr>
            <w:tcW w:w="3691" w:type="dxa"/>
          </w:tcPr>
          <w:p w14:paraId="6A7A94ED"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BB0387D" w14:textId="13E8AD94"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The reserve is held to support the cost of transformation and investment without utilising the general reserve.</w:t>
            </w:r>
          </w:p>
          <w:p w14:paraId="6057B31F" w14:textId="77777777" w:rsidR="00EF3054" w:rsidRPr="00EF3054" w:rsidRDefault="00EF3054" w:rsidP="00EF3054">
            <w:pPr>
              <w:spacing w:after="0" w:line="240" w:lineRule="auto"/>
              <w:rPr>
                <w:rFonts w:asciiTheme="minorHAnsi" w:eastAsia="Times New Roman" w:hAnsiTheme="minorHAnsi" w:cstheme="minorHAnsi"/>
                <w:sz w:val="20"/>
                <w:szCs w:val="20"/>
              </w:rPr>
            </w:pPr>
          </w:p>
          <w:p w14:paraId="712C8B8C" w14:textId="77777777"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If no reserve is held, PFCC could find it difficult to invest in transformational activities or savings would have to be made from operational budgets before any initiatives could be undertaken.</w:t>
            </w:r>
          </w:p>
          <w:p w14:paraId="718CF43C" w14:textId="77777777" w:rsidR="00EF3054" w:rsidRDefault="00EF3054" w:rsidP="00EF3054">
            <w:pPr>
              <w:spacing w:after="0" w:line="240" w:lineRule="auto"/>
              <w:rPr>
                <w:rFonts w:asciiTheme="minorHAnsi" w:eastAsia="Times New Roman" w:hAnsiTheme="minorHAnsi" w:cstheme="minorHAnsi"/>
                <w:sz w:val="20"/>
                <w:szCs w:val="20"/>
              </w:rPr>
            </w:pPr>
          </w:p>
          <w:p w14:paraId="47829363" w14:textId="77777777" w:rsidR="00EF3054" w:rsidRDefault="00EF3054" w:rsidP="00EF3054">
            <w:pPr>
              <w:spacing w:after="0" w:line="240" w:lineRule="auto"/>
              <w:rPr>
                <w:rFonts w:asciiTheme="minorHAnsi" w:eastAsia="Times New Roman" w:hAnsiTheme="minorHAnsi" w:cstheme="minorHAnsi"/>
                <w:sz w:val="20"/>
                <w:szCs w:val="20"/>
              </w:rPr>
            </w:pPr>
            <w:r w:rsidRPr="00B1524E">
              <w:rPr>
                <w:rFonts w:asciiTheme="minorHAnsi" w:eastAsia="Times New Roman" w:hAnsiTheme="minorHAnsi" w:cstheme="minorHAnsi"/>
                <w:sz w:val="20"/>
                <w:szCs w:val="20"/>
              </w:rPr>
              <w:t>If no funds were available, it may be that innovative activity is hindered.</w:t>
            </w:r>
          </w:p>
          <w:p w14:paraId="7535CA16" w14:textId="54F26156" w:rsidR="00EF3054" w:rsidRPr="00EF3054" w:rsidRDefault="00EF3054" w:rsidP="00EF3054">
            <w:pPr>
              <w:spacing w:after="0" w:line="240" w:lineRule="auto"/>
              <w:rPr>
                <w:rFonts w:asciiTheme="minorHAnsi" w:eastAsia="Times New Roman" w:hAnsiTheme="minorHAnsi" w:cstheme="minorHAnsi"/>
                <w:sz w:val="20"/>
                <w:szCs w:val="20"/>
              </w:rPr>
            </w:pPr>
          </w:p>
        </w:tc>
        <w:tc>
          <w:tcPr>
            <w:tcW w:w="1332" w:type="dxa"/>
          </w:tcPr>
          <w:p w14:paraId="61D117E7" w14:textId="57BFD406" w:rsidR="00935736" w:rsidRPr="00EF3054" w:rsidRDefault="00935736" w:rsidP="00EF3054">
            <w:pPr>
              <w:spacing w:after="0" w:line="240" w:lineRule="auto"/>
              <w:rPr>
                <w:rFonts w:asciiTheme="minorHAnsi" w:eastAsia="Times New Roman" w:hAnsiTheme="minorHAnsi" w:cstheme="minorHAnsi"/>
                <w:sz w:val="20"/>
                <w:szCs w:val="20"/>
              </w:rPr>
            </w:pPr>
          </w:p>
          <w:p w14:paraId="2D8EDD8C"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PFCC, on advice from PFCC CFO</w:t>
            </w:r>
          </w:p>
        </w:tc>
        <w:tc>
          <w:tcPr>
            <w:tcW w:w="973" w:type="dxa"/>
          </w:tcPr>
          <w:p w14:paraId="7C7C3360"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43CBE402"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Annual</w:t>
            </w:r>
          </w:p>
        </w:tc>
      </w:tr>
      <w:tr w:rsidR="00935736" w:rsidRPr="00EF3054" w14:paraId="619D5D7A" w14:textId="77777777" w:rsidTr="00935736">
        <w:trPr>
          <w:cantSplit/>
          <w:jc w:val="center"/>
        </w:trPr>
        <w:tc>
          <w:tcPr>
            <w:tcW w:w="1837" w:type="dxa"/>
          </w:tcPr>
          <w:p w14:paraId="416A592D"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p w14:paraId="27EBE180" w14:textId="77777777" w:rsidR="00935736" w:rsidRPr="00EF3054" w:rsidRDefault="00935736" w:rsidP="00EF3054">
            <w:pPr>
              <w:spacing w:after="0" w:line="240" w:lineRule="auto"/>
              <w:rPr>
                <w:rFonts w:asciiTheme="minorHAnsi" w:eastAsia="Times New Roman" w:hAnsiTheme="minorHAnsi" w:cstheme="minorHAnsi"/>
                <w:b/>
                <w:bCs/>
                <w:sz w:val="20"/>
                <w:szCs w:val="20"/>
              </w:rPr>
            </w:pPr>
            <w:r w:rsidRPr="00EF3054">
              <w:rPr>
                <w:rFonts w:asciiTheme="minorHAnsi" w:eastAsia="Times New Roman" w:hAnsiTheme="minorHAnsi" w:cstheme="minorHAnsi"/>
                <w:b/>
                <w:bCs/>
                <w:sz w:val="20"/>
                <w:szCs w:val="20"/>
              </w:rPr>
              <w:t>EARMARKED - CAPITAL RECEIPTS</w:t>
            </w:r>
          </w:p>
        </w:tc>
        <w:tc>
          <w:tcPr>
            <w:tcW w:w="3261" w:type="dxa"/>
          </w:tcPr>
          <w:p w14:paraId="1F36B049"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1015B09F" w14:textId="5323BB59"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From sales of equipment above the capital de-minimis level and used to support the capital programme funding requirements.</w:t>
            </w:r>
          </w:p>
        </w:tc>
        <w:tc>
          <w:tcPr>
            <w:tcW w:w="2410" w:type="dxa"/>
          </w:tcPr>
          <w:p w14:paraId="2B257DE8"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585C0552" w14:textId="078841FC"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Used to support funding the capital programme to minimise the cost of external borrowing on NCFRA and the taxpayer.</w:t>
            </w:r>
          </w:p>
        </w:tc>
        <w:tc>
          <w:tcPr>
            <w:tcW w:w="1745" w:type="dxa"/>
          </w:tcPr>
          <w:p w14:paraId="5D450509"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3BDF19D7"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Will vary according to activities.</w:t>
            </w:r>
          </w:p>
          <w:p w14:paraId="78EF1256"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069F6728" w14:textId="77777777" w:rsidR="00935736" w:rsidRPr="00EF3054" w:rsidRDefault="00935736" w:rsidP="00EF3054">
            <w:pPr>
              <w:spacing w:after="0" w:line="240" w:lineRule="auto"/>
              <w:rPr>
                <w:rFonts w:asciiTheme="minorHAnsi" w:eastAsia="Times New Roman" w:hAnsiTheme="minorHAnsi" w:cstheme="minorHAnsi"/>
                <w:sz w:val="20"/>
                <w:szCs w:val="20"/>
              </w:rPr>
            </w:pPr>
          </w:p>
        </w:tc>
        <w:tc>
          <w:tcPr>
            <w:tcW w:w="3691" w:type="dxa"/>
          </w:tcPr>
          <w:p w14:paraId="2707E37A"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4AE9230" w14:textId="7D3E0445"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The reserve is held when equipment over a certain value is sold.</w:t>
            </w:r>
          </w:p>
          <w:p w14:paraId="4F36CCEB" w14:textId="77777777" w:rsidR="00EF3054" w:rsidRPr="00EF3054" w:rsidRDefault="00EF3054" w:rsidP="00EF3054">
            <w:pPr>
              <w:spacing w:after="0" w:line="240" w:lineRule="auto"/>
              <w:rPr>
                <w:rFonts w:asciiTheme="minorHAnsi" w:eastAsia="Times New Roman" w:hAnsiTheme="minorHAnsi" w:cstheme="minorHAnsi"/>
                <w:sz w:val="20"/>
                <w:szCs w:val="20"/>
              </w:rPr>
            </w:pPr>
          </w:p>
          <w:p w14:paraId="6368D179" w14:textId="77777777"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This enables funds to be used in the most appropriate manner to meet capital expenditure and minimise the cost of borrowing.</w:t>
            </w:r>
          </w:p>
          <w:p w14:paraId="4BC5A705" w14:textId="4EA32254" w:rsidR="00EF3054" w:rsidRPr="00EF3054" w:rsidRDefault="00EF3054" w:rsidP="00EF3054">
            <w:pPr>
              <w:spacing w:after="0" w:line="240" w:lineRule="auto"/>
              <w:rPr>
                <w:rFonts w:asciiTheme="minorHAnsi" w:eastAsia="Times New Roman" w:hAnsiTheme="minorHAnsi" w:cstheme="minorHAnsi"/>
                <w:sz w:val="20"/>
                <w:szCs w:val="20"/>
              </w:rPr>
            </w:pPr>
          </w:p>
        </w:tc>
        <w:tc>
          <w:tcPr>
            <w:tcW w:w="1332" w:type="dxa"/>
          </w:tcPr>
          <w:p w14:paraId="2C450B07" w14:textId="2B969B04" w:rsidR="00935736" w:rsidRPr="00EF3054" w:rsidRDefault="00935736" w:rsidP="00EF3054">
            <w:pPr>
              <w:spacing w:after="0" w:line="240" w:lineRule="auto"/>
              <w:rPr>
                <w:rFonts w:asciiTheme="minorHAnsi" w:eastAsia="Times New Roman" w:hAnsiTheme="minorHAnsi" w:cstheme="minorHAnsi"/>
                <w:sz w:val="20"/>
                <w:szCs w:val="20"/>
              </w:rPr>
            </w:pPr>
          </w:p>
          <w:p w14:paraId="6FC4C66F"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PFCC, on advice from PFCC CFO</w:t>
            </w:r>
          </w:p>
        </w:tc>
        <w:tc>
          <w:tcPr>
            <w:tcW w:w="973" w:type="dxa"/>
          </w:tcPr>
          <w:p w14:paraId="5E4D1277"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4DCA3699"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Annual</w:t>
            </w:r>
          </w:p>
        </w:tc>
      </w:tr>
      <w:tr w:rsidR="00935736" w:rsidRPr="00EF3054" w14:paraId="68F378D1" w14:textId="77777777" w:rsidTr="00935736">
        <w:trPr>
          <w:cantSplit/>
          <w:jc w:val="center"/>
        </w:trPr>
        <w:tc>
          <w:tcPr>
            <w:tcW w:w="1837" w:type="dxa"/>
          </w:tcPr>
          <w:p w14:paraId="6D17FF9D"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p w14:paraId="4CB61243" w14:textId="4D7F5A85" w:rsidR="00935736" w:rsidRPr="00EF3054" w:rsidRDefault="00935736" w:rsidP="00EF3054">
            <w:pPr>
              <w:spacing w:after="0" w:line="240" w:lineRule="auto"/>
              <w:rPr>
                <w:rFonts w:asciiTheme="minorHAnsi" w:eastAsia="Times New Roman" w:hAnsiTheme="minorHAnsi" w:cstheme="minorHAnsi"/>
                <w:b/>
                <w:bCs/>
                <w:sz w:val="20"/>
                <w:szCs w:val="20"/>
              </w:rPr>
            </w:pPr>
            <w:r w:rsidRPr="00EF3054">
              <w:rPr>
                <w:rFonts w:asciiTheme="minorHAnsi" w:eastAsia="Times New Roman" w:hAnsiTheme="minorHAnsi" w:cstheme="minorHAnsi"/>
                <w:b/>
                <w:bCs/>
                <w:sz w:val="20"/>
                <w:szCs w:val="20"/>
              </w:rPr>
              <w:t xml:space="preserve">EARMARKED </w:t>
            </w:r>
            <w:r w:rsidR="00EF3054">
              <w:rPr>
                <w:rFonts w:asciiTheme="minorHAnsi" w:eastAsia="Times New Roman" w:hAnsiTheme="minorHAnsi" w:cstheme="minorHAnsi"/>
                <w:b/>
                <w:bCs/>
                <w:sz w:val="20"/>
                <w:szCs w:val="20"/>
              </w:rPr>
              <w:t>-</w:t>
            </w:r>
            <w:r w:rsidRPr="00EF3054">
              <w:rPr>
                <w:rFonts w:asciiTheme="minorHAnsi" w:eastAsia="Times New Roman" w:hAnsiTheme="minorHAnsi" w:cstheme="minorHAnsi"/>
                <w:b/>
                <w:bCs/>
                <w:sz w:val="20"/>
                <w:szCs w:val="20"/>
              </w:rPr>
              <w:t xml:space="preserve"> ESN AND CAPITAL RESERVE</w:t>
            </w:r>
          </w:p>
          <w:p w14:paraId="7FE7614A"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tc>
        <w:tc>
          <w:tcPr>
            <w:tcW w:w="3261" w:type="dxa"/>
          </w:tcPr>
          <w:p w14:paraId="6A8C42A0"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21E4DFF3" w14:textId="785E9A5F"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meet the costs of ESN and other capital requirements to support the funding of the capital programme.</w:t>
            </w:r>
          </w:p>
          <w:p w14:paraId="64702F5D" w14:textId="77777777" w:rsidR="00935736" w:rsidRPr="00EF3054" w:rsidRDefault="00935736" w:rsidP="00EF3054">
            <w:pPr>
              <w:spacing w:after="0" w:line="240" w:lineRule="auto"/>
              <w:rPr>
                <w:rFonts w:asciiTheme="minorHAnsi" w:eastAsia="Times New Roman" w:hAnsiTheme="minorHAnsi" w:cstheme="minorHAnsi"/>
                <w:sz w:val="20"/>
                <w:szCs w:val="20"/>
              </w:rPr>
            </w:pPr>
          </w:p>
        </w:tc>
        <w:tc>
          <w:tcPr>
            <w:tcW w:w="2410" w:type="dxa"/>
          </w:tcPr>
          <w:p w14:paraId="3ED5E491"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2EAE6A17" w14:textId="3B225FF1"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Used to support funding the capital programme to minimise the cost of external borrowing on NCFRA and the taxpayer.</w:t>
            </w:r>
          </w:p>
        </w:tc>
        <w:tc>
          <w:tcPr>
            <w:tcW w:w="1745" w:type="dxa"/>
          </w:tcPr>
          <w:p w14:paraId="7428BEE8"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5A30C038"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Will vary according to activities.</w:t>
            </w:r>
          </w:p>
          <w:p w14:paraId="1B4AFA97"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267C28F5" w14:textId="77777777" w:rsidR="00935736" w:rsidRPr="00EF3054" w:rsidRDefault="00935736" w:rsidP="00EF3054">
            <w:pPr>
              <w:spacing w:after="0" w:line="240" w:lineRule="auto"/>
              <w:rPr>
                <w:rFonts w:asciiTheme="minorHAnsi" w:eastAsia="Times New Roman" w:hAnsiTheme="minorHAnsi" w:cstheme="minorHAnsi"/>
                <w:sz w:val="20"/>
                <w:szCs w:val="20"/>
              </w:rPr>
            </w:pPr>
          </w:p>
        </w:tc>
        <w:tc>
          <w:tcPr>
            <w:tcW w:w="3691" w:type="dxa"/>
          </w:tcPr>
          <w:p w14:paraId="5D009B4F"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B52FE69" w14:textId="6BA30AA3"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The reserve is held from specific ESN funding or revenue underspends in previous years set aside to meet the revenue costs of capital expenditure.</w:t>
            </w:r>
          </w:p>
          <w:p w14:paraId="68DC0C1E" w14:textId="77777777" w:rsidR="00EF3054" w:rsidRPr="00EF3054" w:rsidRDefault="00EF3054" w:rsidP="00EF3054">
            <w:pPr>
              <w:spacing w:after="0" w:line="240" w:lineRule="auto"/>
              <w:rPr>
                <w:rFonts w:asciiTheme="minorHAnsi" w:eastAsia="Times New Roman" w:hAnsiTheme="minorHAnsi" w:cstheme="minorHAnsi"/>
                <w:sz w:val="20"/>
                <w:szCs w:val="20"/>
              </w:rPr>
            </w:pPr>
          </w:p>
          <w:p w14:paraId="1D43B5CF" w14:textId="77777777"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This enables funds to be used in the most appropriate manner to meet capital expenditure and minimise the cost of borrowing.</w:t>
            </w:r>
          </w:p>
          <w:p w14:paraId="7561E88E" w14:textId="4730268C" w:rsidR="00EF3054" w:rsidRPr="00EF3054" w:rsidRDefault="00EF3054" w:rsidP="00EF3054">
            <w:pPr>
              <w:spacing w:after="0" w:line="240" w:lineRule="auto"/>
              <w:rPr>
                <w:rFonts w:asciiTheme="minorHAnsi" w:eastAsia="Times New Roman" w:hAnsiTheme="minorHAnsi" w:cstheme="minorHAnsi"/>
                <w:sz w:val="20"/>
                <w:szCs w:val="20"/>
              </w:rPr>
            </w:pPr>
          </w:p>
        </w:tc>
        <w:tc>
          <w:tcPr>
            <w:tcW w:w="1332" w:type="dxa"/>
          </w:tcPr>
          <w:p w14:paraId="043BF807" w14:textId="78A537FD" w:rsidR="00935736" w:rsidRPr="00EF3054" w:rsidRDefault="00935736" w:rsidP="00EF3054">
            <w:pPr>
              <w:spacing w:after="0" w:line="240" w:lineRule="auto"/>
              <w:rPr>
                <w:rFonts w:asciiTheme="minorHAnsi" w:eastAsia="Times New Roman" w:hAnsiTheme="minorHAnsi" w:cstheme="minorHAnsi"/>
                <w:sz w:val="20"/>
                <w:szCs w:val="20"/>
              </w:rPr>
            </w:pPr>
          </w:p>
          <w:p w14:paraId="0BA6E0CA"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PFCC, on advice from PFCC CFO</w:t>
            </w:r>
          </w:p>
        </w:tc>
        <w:tc>
          <w:tcPr>
            <w:tcW w:w="973" w:type="dxa"/>
          </w:tcPr>
          <w:p w14:paraId="5C9831B0"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55B702CE"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Annual</w:t>
            </w:r>
          </w:p>
        </w:tc>
      </w:tr>
      <w:tr w:rsidR="00935736" w:rsidRPr="00EF3054" w14:paraId="43918D05" w14:textId="77777777" w:rsidTr="00935736">
        <w:trPr>
          <w:cantSplit/>
          <w:jc w:val="center"/>
        </w:trPr>
        <w:tc>
          <w:tcPr>
            <w:tcW w:w="1837" w:type="dxa"/>
          </w:tcPr>
          <w:p w14:paraId="5F6EDDEA"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p w14:paraId="3B443ABE" w14:textId="590117DB" w:rsidR="00935736" w:rsidRPr="00EF3054" w:rsidRDefault="00935736" w:rsidP="00EF3054">
            <w:pPr>
              <w:spacing w:after="0" w:line="240" w:lineRule="auto"/>
              <w:rPr>
                <w:rFonts w:asciiTheme="minorHAnsi" w:eastAsia="Times New Roman" w:hAnsiTheme="minorHAnsi" w:cstheme="minorHAnsi"/>
                <w:b/>
                <w:bCs/>
                <w:sz w:val="20"/>
                <w:szCs w:val="20"/>
              </w:rPr>
            </w:pPr>
            <w:r w:rsidRPr="00EF3054">
              <w:rPr>
                <w:rFonts w:asciiTheme="minorHAnsi" w:eastAsia="Times New Roman" w:hAnsiTheme="minorHAnsi" w:cstheme="minorHAnsi"/>
                <w:b/>
                <w:bCs/>
                <w:sz w:val="20"/>
                <w:szCs w:val="20"/>
              </w:rPr>
              <w:t xml:space="preserve">EARMARKED </w:t>
            </w:r>
            <w:r w:rsidR="00EF3054">
              <w:rPr>
                <w:rFonts w:asciiTheme="minorHAnsi" w:eastAsia="Times New Roman" w:hAnsiTheme="minorHAnsi" w:cstheme="minorHAnsi"/>
                <w:b/>
                <w:bCs/>
                <w:sz w:val="20"/>
                <w:szCs w:val="20"/>
              </w:rPr>
              <w:t>- DEVELOPER CONTRIBUTIONS (</w:t>
            </w:r>
            <w:r w:rsidRPr="00EF3054">
              <w:rPr>
                <w:rFonts w:asciiTheme="minorHAnsi" w:eastAsia="Times New Roman" w:hAnsiTheme="minorHAnsi" w:cstheme="minorHAnsi"/>
                <w:b/>
                <w:bCs/>
                <w:sz w:val="20"/>
                <w:szCs w:val="20"/>
              </w:rPr>
              <w:t>S106</w:t>
            </w:r>
            <w:r w:rsidR="00EF3054">
              <w:rPr>
                <w:rFonts w:asciiTheme="minorHAnsi" w:eastAsia="Times New Roman" w:hAnsiTheme="minorHAnsi" w:cstheme="minorHAnsi"/>
                <w:b/>
                <w:bCs/>
                <w:sz w:val="20"/>
                <w:szCs w:val="20"/>
              </w:rPr>
              <w:t>)</w:t>
            </w:r>
          </w:p>
        </w:tc>
        <w:tc>
          <w:tcPr>
            <w:tcW w:w="3261" w:type="dxa"/>
          </w:tcPr>
          <w:p w14:paraId="438E519B"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45DD8532"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meet the additional infrastructure and other requirements of new developments.</w:t>
            </w:r>
          </w:p>
        </w:tc>
        <w:tc>
          <w:tcPr>
            <w:tcW w:w="2410" w:type="dxa"/>
          </w:tcPr>
          <w:p w14:paraId="5E4B997E"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154C57CF"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To implement new infrastructure required as a result of developments without needing to use the annual operational budget.</w:t>
            </w:r>
          </w:p>
        </w:tc>
        <w:tc>
          <w:tcPr>
            <w:tcW w:w="1745" w:type="dxa"/>
          </w:tcPr>
          <w:p w14:paraId="2CD15C4B"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6CE76A5"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Will vary according to activities.</w:t>
            </w:r>
          </w:p>
          <w:p w14:paraId="69AA8A21"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4E820D4C" w14:textId="77777777" w:rsidR="00935736" w:rsidRPr="00EF3054" w:rsidRDefault="00935736" w:rsidP="00EF3054">
            <w:pPr>
              <w:spacing w:after="0" w:line="240" w:lineRule="auto"/>
              <w:rPr>
                <w:rFonts w:asciiTheme="minorHAnsi" w:eastAsia="Times New Roman" w:hAnsiTheme="minorHAnsi" w:cstheme="minorHAnsi"/>
                <w:sz w:val="20"/>
                <w:szCs w:val="20"/>
              </w:rPr>
            </w:pPr>
          </w:p>
        </w:tc>
        <w:tc>
          <w:tcPr>
            <w:tcW w:w="3691" w:type="dxa"/>
          </w:tcPr>
          <w:p w14:paraId="547DDDF0"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BB8361F" w14:textId="062824CE"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The reserve is held for funds allocated to NCFRA from developers towards the cost of NCFRA infrastructure developments.</w:t>
            </w:r>
          </w:p>
          <w:p w14:paraId="4D18AF01" w14:textId="77777777" w:rsidR="00EF3054" w:rsidRPr="00EF3054" w:rsidRDefault="00EF3054" w:rsidP="00EF3054">
            <w:pPr>
              <w:spacing w:after="0" w:line="240" w:lineRule="auto"/>
              <w:rPr>
                <w:rFonts w:asciiTheme="minorHAnsi" w:eastAsia="Times New Roman" w:hAnsiTheme="minorHAnsi" w:cstheme="minorHAnsi"/>
                <w:sz w:val="20"/>
                <w:szCs w:val="20"/>
              </w:rPr>
            </w:pPr>
          </w:p>
          <w:p w14:paraId="3248D16D" w14:textId="77777777"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This enables funds to be used in the most appropriate manner to meet capital expenditure and minimise the cost of borrowing.</w:t>
            </w:r>
          </w:p>
          <w:p w14:paraId="1824C090" w14:textId="1AE3DAAD" w:rsidR="00EF3054" w:rsidRPr="00EF3054" w:rsidRDefault="00EF3054" w:rsidP="00EF3054">
            <w:pPr>
              <w:spacing w:after="0" w:line="240" w:lineRule="auto"/>
              <w:rPr>
                <w:rFonts w:asciiTheme="minorHAnsi" w:eastAsia="Times New Roman" w:hAnsiTheme="minorHAnsi" w:cstheme="minorHAnsi"/>
                <w:sz w:val="20"/>
                <w:szCs w:val="20"/>
              </w:rPr>
            </w:pPr>
          </w:p>
        </w:tc>
        <w:tc>
          <w:tcPr>
            <w:tcW w:w="1332" w:type="dxa"/>
          </w:tcPr>
          <w:p w14:paraId="6E44F95E" w14:textId="48239555" w:rsidR="00935736" w:rsidRPr="00EF3054" w:rsidRDefault="00935736" w:rsidP="00EF3054">
            <w:pPr>
              <w:spacing w:after="0" w:line="240" w:lineRule="auto"/>
              <w:rPr>
                <w:rFonts w:asciiTheme="minorHAnsi" w:eastAsia="Times New Roman" w:hAnsiTheme="minorHAnsi" w:cstheme="minorHAnsi"/>
                <w:sz w:val="20"/>
                <w:szCs w:val="20"/>
              </w:rPr>
            </w:pPr>
          </w:p>
          <w:p w14:paraId="671F8667"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PFCC, on advice from PFCC CFO</w:t>
            </w:r>
          </w:p>
        </w:tc>
        <w:tc>
          <w:tcPr>
            <w:tcW w:w="973" w:type="dxa"/>
          </w:tcPr>
          <w:p w14:paraId="6D55A6DE"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09EF7CC0"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Annual</w:t>
            </w:r>
          </w:p>
        </w:tc>
      </w:tr>
      <w:tr w:rsidR="00935736" w:rsidRPr="00EF3054" w14:paraId="0704E96E" w14:textId="77777777" w:rsidTr="00935736">
        <w:trPr>
          <w:cantSplit/>
          <w:jc w:val="center"/>
        </w:trPr>
        <w:tc>
          <w:tcPr>
            <w:tcW w:w="1837" w:type="dxa"/>
          </w:tcPr>
          <w:p w14:paraId="41DBC64B" w14:textId="77777777" w:rsidR="00935736" w:rsidRPr="00EF3054" w:rsidRDefault="00935736" w:rsidP="00EF3054">
            <w:pPr>
              <w:spacing w:after="0" w:line="240" w:lineRule="auto"/>
              <w:rPr>
                <w:rFonts w:asciiTheme="minorHAnsi" w:eastAsia="Times New Roman" w:hAnsiTheme="minorHAnsi" w:cstheme="minorHAnsi"/>
                <w:b/>
                <w:bCs/>
                <w:sz w:val="20"/>
                <w:szCs w:val="20"/>
              </w:rPr>
            </w:pPr>
          </w:p>
          <w:p w14:paraId="2752FE0B" w14:textId="77777777" w:rsidR="00935736" w:rsidRPr="00EF3054" w:rsidRDefault="00935736" w:rsidP="00EF3054">
            <w:pPr>
              <w:spacing w:after="0" w:line="240" w:lineRule="auto"/>
              <w:rPr>
                <w:rFonts w:asciiTheme="minorHAnsi" w:eastAsia="Times New Roman" w:hAnsiTheme="minorHAnsi" w:cstheme="minorHAnsi"/>
                <w:b/>
                <w:bCs/>
                <w:sz w:val="20"/>
                <w:szCs w:val="20"/>
              </w:rPr>
            </w:pPr>
            <w:r w:rsidRPr="00EF3054">
              <w:rPr>
                <w:rFonts w:asciiTheme="minorHAnsi" w:eastAsia="Times New Roman" w:hAnsiTheme="minorHAnsi" w:cstheme="minorHAnsi"/>
                <w:b/>
                <w:bCs/>
                <w:sz w:val="20"/>
                <w:szCs w:val="20"/>
              </w:rPr>
              <w:t>EARMARKED - CAPITAL GRANTS UNAPPLIED</w:t>
            </w:r>
          </w:p>
        </w:tc>
        <w:tc>
          <w:tcPr>
            <w:tcW w:w="3261" w:type="dxa"/>
          </w:tcPr>
          <w:p w14:paraId="35E8BAD2"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3C53E76D"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Unapplied grants brought forward from the Governance Transfer with Northamptonshire County Council and additional one off grant received from the Home Office.</w:t>
            </w:r>
          </w:p>
        </w:tc>
        <w:tc>
          <w:tcPr>
            <w:tcW w:w="2410" w:type="dxa"/>
          </w:tcPr>
          <w:p w14:paraId="79E211F7"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0D83AF8"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 xml:space="preserve">Used to support funding in accordance with the grant requirements to minimise the cost of external borrowing on NCFRA and the taxpayer if purchased from capital. </w:t>
            </w:r>
          </w:p>
        </w:tc>
        <w:tc>
          <w:tcPr>
            <w:tcW w:w="1745" w:type="dxa"/>
          </w:tcPr>
          <w:p w14:paraId="325B413E"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1E2B8D1"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Will vary according to activities.</w:t>
            </w:r>
          </w:p>
          <w:p w14:paraId="21D92D34"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23A7E05C" w14:textId="77777777" w:rsidR="00935736" w:rsidRPr="00EF3054" w:rsidRDefault="00935736" w:rsidP="00EF3054">
            <w:pPr>
              <w:spacing w:after="0" w:line="240" w:lineRule="auto"/>
              <w:rPr>
                <w:rFonts w:asciiTheme="minorHAnsi" w:eastAsia="Times New Roman" w:hAnsiTheme="minorHAnsi" w:cstheme="minorHAnsi"/>
                <w:sz w:val="20"/>
                <w:szCs w:val="20"/>
              </w:rPr>
            </w:pPr>
          </w:p>
        </w:tc>
        <w:tc>
          <w:tcPr>
            <w:tcW w:w="3691" w:type="dxa"/>
          </w:tcPr>
          <w:p w14:paraId="7BF64471"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31AC91A5" w14:textId="63F9007F"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The reserve is held for grants awarded for a specific capital purpose.</w:t>
            </w:r>
          </w:p>
          <w:p w14:paraId="6294F023" w14:textId="77777777" w:rsidR="00EF3054" w:rsidRPr="00EF3054" w:rsidRDefault="00EF3054" w:rsidP="00EF3054">
            <w:pPr>
              <w:spacing w:after="0" w:line="240" w:lineRule="auto"/>
              <w:rPr>
                <w:rFonts w:asciiTheme="minorHAnsi" w:eastAsia="Times New Roman" w:hAnsiTheme="minorHAnsi" w:cstheme="minorHAnsi"/>
                <w:sz w:val="20"/>
                <w:szCs w:val="20"/>
              </w:rPr>
            </w:pPr>
          </w:p>
          <w:p w14:paraId="7C062BCD" w14:textId="77777777" w:rsidR="00935736"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This enables funds to b</w:t>
            </w:r>
            <w:r w:rsidR="00EF3054">
              <w:rPr>
                <w:rFonts w:asciiTheme="minorHAnsi" w:eastAsia="Times New Roman" w:hAnsiTheme="minorHAnsi" w:cstheme="minorHAnsi"/>
                <w:sz w:val="20"/>
                <w:szCs w:val="20"/>
              </w:rPr>
              <w:t>e</w:t>
            </w:r>
            <w:r w:rsidRPr="00EF3054">
              <w:rPr>
                <w:rFonts w:asciiTheme="minorHAnsi" w:eastAsia="Times New Roman" w:hAnsiTheme="minorHAnsi" w:cstheme="minorHAnsi"/>
                <w:sz w:val="20"/>
                <w:szCs w:val="20"/>
              </w:rPr>
              <w:t xml:space="preserve"> used in the most appropriate manner to meet capital expenditure and minimise the cost of borrowing. </w:t>
            </w:r>
          </w:p>
          <w:p w14:paraId="65087370" w14:textId="0D11B980" w:rsidR="00EF3054" w:rsidRPr="00EF3054" w:rsidRDefault="00EF3054" w:rsidP="00EF3054">
            <w:pPr>
              <w:spacing w:after="0" w:line="240" w:lineRule="auto"/>
              <w:rPr>
                <w:rFonts w:asciiTheme="minorHAnsi" w:eastAsia="Times New Roman" w:hAnsiTheme="minorHAnsi" w:cstheme="minorHAnsi"/>
                <w:sz w:val="20"/>
                <w:szCs w:val="20"/>
              </w:rPr>
            </w:pPr>
          </w:p>
        </w:tc>
        <w:tc>
          <w:tcPr>
            <w:tcW w:w="1332" w:type="dxa"/>
          </w:tcPr>
          <w:p w14:paraId="7A56F34C" w14:textId="54FC1041" w:rsidR="00935736" w:rsidRPr="00EF3054" w:rsidRDefault="00935736" w:rsidP="00EF3054">
            <w:pPr>
              <w:spacing w:after="0" w:line="240" w:lineRule="auto"/>
              <w:rPr>
                <w:rFonts w:asciiTheme="minorHAnsi" w:eastAsia="Times New Roman" w:hAnsiTheme="minorHAnsi" w:cstheme="minorHAnsi"/>
                <w:sz w:val="20"/>
                <w:szCs w:val="20"/>
              </w:rPr>
            </w:pPr>
          </w:p>
          <w:p w14:paraId="74C0AE8E"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PFCC, on advice from PFCC CFO</w:t>
            </w:r>
          </w:p>
        </w:tc>
        <w:tc>
          <w:tcPr>
            <w:tcW w:w="973" w:type="dxa"/>
          </w:tcPr>
          <w:p w14:paraId="08711077" w14:textId="77777777" w:rsidR="00935736" w:rsidRPr="00EF3054" w:rsidRDefault="00935736" w:rsidP="00EF3054">
            <w:pPr>
              <w:spacing w:after="0" w:line="240" w:lineRule="auto"/>
              <w:rPr>
                <w:rFonts w:asciiTheme="minorHAnsi" w:eastAsia="Times New Roman" w:hAnsiTheme="minorHAnsi" w:cstheme="minorHAnsi"/>
                <w:sz w:val="20"/>
                <w:szCs w:val="20"/>
              </w:rPr>
            </w:pPr>
          </w:p>
          <w:p w14:paraId="749158B4" w14:textId="77777777" w:rsidR="00935736" w:rsidRPr="00EF3054" w:rsidRDefault="00935736" w:rsidP="00EF3054">
            <w:pPr>
              <w:spacing w:after="0" w:line="240" w:lineRule="auto"/>
              <w:rPr>
                <w:rFonts w:asciiTheme="minorHAnsi" w:eastAsia="Times New Roman" w:hAnsiTheme="minorHAnsi" w:cstheme="minorHAnsi"/>
                <w:sz w:val="20"/>
                <w:szCs w:val="20"/>
              </w:rPr>
            </w:pPr>
            <w:r w:rsidRPr="00EF3054">
              <w:rPr>
                <w:rFonts w:asciiTheme="minorHAnsi" w:eastAsia="Times New Roman" w:hAnsiTheme="minorHAnsi" w:cstheme="minorHAnsi"/>
                <w:sz w:val="20"/>
                <w:szCs w:val="20"/>
              </w:rPr>
              <w:t>Annual</w:t>
            </w:r>
          </w:p>
        </w:tc>
      </w:tr>
    </w:tbl>
    <w:p w14:paraId="627BD423" w14:textId="77777777" w:rsidR="00F115BD" w:rsidRPr="00935736" w:rsidRDefault="00F115BD" w:rsidP="00F115BD">
      <w:pPr>
        <w:rPr>
          <w:rFonts w:asciiTheme="minorHAnsi" w:hAnsiTheme="minorHAnsi" w:cstheme="minorHAnsi"/>
          <w:sz w:val="20"/>
          <w:szCs w:val="20"/>
          <w:highlight w:val="yellow"/>
        </w:rPr>
      </w:pPr>
      <w:r w:rsidRPr="00935736">
        <w:rPr>
          <w:rFonts w:asciiTheme="minorHAnsi" w:hAnsiTheme="minorHAnsi" w:cstheme="minorHAnsi"/>
          <w:sz w:val="20"/>
          <w:szCs w:val="20"/>
          <w:highlight w:val="yellow"/>
        </w:rPr>
        <w:br w:type="page"/>
      </w:r>
    </w:p>
    <w:p w14:paraId="33913F32" w14:textId="77777777" w:rsidR="00E02D66" w:rsidRDefault="00E02D66" w:rsidP="00EF3054">
      <w:pPr>
        <w:rPr>
          <w:b/>
        </w:rPr>
        <w:sectPr w:rsidR="00E02D66" w:rsidSect="00F115BD">
          <w:headerReference w:type="even" r:id="rId24"/>
          <w:headerReference w:type="default" r:id="rId25"/>
          <w:footerReference w:type="even" r:id="rId26"/>
          <w:footerReference w:type="default" r:id="rId27"/>
          <w:headerReference w:type="first" r:id="rId28"/>
          <w:footerReference w:type="first" r:id="rId29"/>
          <w:pgSz w:w="16838" w:h="11906" w:orient="landscape"/>
          <w:pgMar w:top="1440" w:right="1440" w:bottom="1440" w:left="1440" w:header="709" w:footer="709" w:gutter="0"/>
          <w:cols w:space="708"/>
          <w:docGrid w:linePitch="360"/>
        </w:sectPr>
      </w:pPr>
    </w:p>
    <w:p w14:paraId="43861EE0" w14:textId="4611E29A" w:rsidR="00F115BD" w:rsidRPr="00EF3054" w:rsidRDefault="000F4427" w:rsidP="00EF3054">
      <w:pPr>
        <w:rPr>
          <w:b/>
        </w:rPr>
      </w:pPr>
      <w:r w:rsidRPr="00EF3054">
        <w:rPr>
          <w:b/>
        </w:rPr>
        <w:t>Annexe 3</w:t>
      </w:r>
    </w:p>
    <w:p w14:paraId="4BAEA0FA" w14:textId="519A5382" w:rsidR="00F115BD" w:rsidRPr="00EF3054" w:rsidRDefault="00F115BD" w:rsidP="00EF3054">
      <w:pPr>
        <w:jc w:val="center"/>
        <w:rPr>
          <w:b/>
        </w:rPr>
      </w:pPr>
      <w:r w:rsidRPr="00EF3054">
        <w:rPr>
          <w:b/>
        </w:rPr>
        <w:t xml:space="preserve">Summary of </w:t>
      </w:r>
      <w:r w:rsidR="0081263C" w:rsidRPr="00EF3054">
        <w:rPr>
          <w:b/>
        </w:rPr>
        <w:t>Reserve</w:t>
      </w:r>
      <w:r w:rsidRPr="00EF3054">
        <w:rPr>
          <w:b/>
        </w:rPr>
        <w:t>s 202</w:t>
      </w:r>
      <w:r w:rsidR="006525B4">
        <w:rPr>
          <w:b/>
        </w:rPr>
        <w:t>3</w:t>
      </w:r>
      <w:r w:rsidRPr="00EF3054">
        <w:rPr>
          <w:b/>
        </w:rPr>
        <w:t>/2</w:t>
      </w:r>
      <w:r w:rsidR="006525B4">
        <w:rPr>
          <w:b/>
        </w:rPr>
        <w:t>4</w:t>
      </w:r>
      <w:r w:rsidRPr="00EF3054">
        <w:rPr>
          <w:b/>
        </w:rPr>
        <w:t xml:space="preserve"> to 202</w:t>
      </w:r>
      <w:r w:rsidR="006525B4">
        <w:rPr>
          <w:b/>
        </w:rPr>
        <w:t>8</w:t>
      </w:r>
      <w:r w:rsidRPr="00EF3054">
        <w:rPr>
          <w:b/>
        </w:rPr>
        <w:t>/202</w:t>
      </w:r>
      <w:r w:rsidR="006525B4">
        <w:rPr>
          <w:b/>
        </w:rPr>
        <w:t>9</w:t>
      </w:r>
      <w:r w:rsidRPr="00095FC7">
        <w:rPr>
          <w:b/>
          <w:highlight w:val="yellow"/>
        </w:rPr>
        <w:t xml:space="preserve"> </w:t>
      </w:r>
    </w:p>
    <w:tbl>
      <w:tblPr>
        <w:tblW w:w="9880" w:type="dxa"/>
        <w:tblLook w:val="04A0" w:firstRow="1" w:lastRow="0" w:firstColumn="1" w:lastColumn="0" w:noHBand="0" w:noVBand="1"/>
      </w:tblPr>
      <w:tblGrid>
        <w:gridCol w:w="3648"/>
        <w:gridCol w:w="1038"/>
        <w:gridCol w:w="1038"/>
        <w:gridCol w:w="1039"/>
        <w:gridCol w:w="1039"/>
        <w:gridCol w:w="1039"/>
        <w:gridCol w:w="1039"/>
      </w:tblGrid>
      <w:tr w:rsidR="00E02D66" w:rsidRPr="00E02D66" w14:paraId="73E4F255" w14:textId="77777777" w:rsidTr="00E02D66">
        <w:trPr>
          <w:trHeight w:val="1680"/>
        </w:trPr>
        <w:tc>
          <w:tcPr>
            <w:tcW w:w="3648" w:type="dxa"/>
            <w:tcBorders>
              <w:top w:val="single" w:sz="4" w:space="0" w:color="auto"/>
              <w:left w:val="single" w:sz="4" w:space="0" w:color="auto"/>
              <w:bottom w:val="nil"/>
              <w:right w:val="nil"/>
            </w:tcBorders>
            <w:shd w:val="clear" w:color="auto" w:fill="auto"/>
            <w:noWrap/>
            <w:vAlign w:val="bottom"/>
            <w:hideMark/>
          </w:tcPr>
          <w:p w14:paraId="73CEA402" w14:textId="77777777" w:rsidR="00E02D66" w:rsidRPr="00E02D66" w:rsidRDefault="00E02D66" w:rsidP="00E02D66">
            <w:pPr>
              <w:spacing w:after="0" w:line="240" w:lineRule="auto"/>
              <w:jc w:val="center"/>
              <w:rPr>
                <w:rFonts w:eastAsia="Times New Roman" w:cs="Calibri"/>
                <w:color w:val="000000"/>
                <w:sz w:val="20"/>
                <w:szCs w:val="20"/>
                <w:lang w:eastAsia="en-GB"/>
              </w:rPr>
            </w:pPr>
            <w:r w:rsidRPr="00E02D66">
              <w:rPr>
                <w:rFonts w:eastAsia="Times New Roman" w:cs="Calibri"/>
                <w:color w:val="000000"/>
                <w:sz w:val="20"/>
                <w:szCs w:val="20"/>
                <w:lang w:eastAsia="en-GB"/>
              </w:rPr>
              <w:t> </w:t>
            </w:r>
          </w:p>
        </w:tc>
        <w:tc>
          <w:tcPr>
            <w:tcW w:w="1038" w:type="dxa"/>
            <w:tcBorders>
              <w:top w:val="single" w:sz="4" w:space="0" w:color="auto"/>
              <w:left w:val="nil"/>
              <w:bottom w:val="nil"/>
              <w:right w:val="single" w:sz="4" w:space="0" w:color="auto"/>
            </w:tcBorders>
            <w:shd w:val="clear" w:color="000000" w:fill="F2DCDB"/>
            <w:vAlign w:val="bottom"/>
            <w:hideMark/>
          </w:tcPr>
          <w:p w14:paraId="5976D457"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 xml:space="preserve">Forecast Balance at </w:t>
            </w:r>
            <w:r w:rsidRPr="00E02D66">
              <w:rPr>
                <w:rFonts w:eastAsia="Times New Roman" w:cs="Calibri"/>
                <w:b/>
                <w:bCs/>
                <w:color w:val="000000"/>
                <w:sz w:val="20"/>
                <w:szCs w:val="20"/>
                <w:lang w:eastAsia="en-GB"/>
              </w:rPr>
              <w:br/>
              <w:t>31 March 2024</w:t>
            </w:r>
          </w:p>
        </w:tc>
        <w:tc>
          <w:tcPr>
            <w:tcW w:w="1038" w:type="dxa"/>
            <w:tcBorders>
              <w:top w:val="single" w:sz="4" w:space="0" w:color="auto"/>
              <w:left w:val="nil"/>
              <w:bottom w:val="nil"/>
              <w:right w:val="nil"/>
            </w:tcBorders>
            <w:shd w:val="clear" w:color="000000" w:fill="F2DCDB"/>
            <w:vAlign w:val="bottom"/>
            <w:hideMark/>
          </w:tcPr>
          <w:p w14:paraId="3EBCF1EF"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 xml:space="preserve">Forecast Balance at </w:t>
            </w:r>
            <w:r w:rsidRPr="00E02D66">
              <w:rPr>
                <w:rFonts w:eastAsia="Times New Roman" w:cs="Calibri"/>
                <w:b/>
                <w:bCs/>
                <w:color w:val="000000"/>
                <w:sz w:val="20"/>
                <w:szCs w:val="20"/>
                <w:lang w:eastAsia="en-GB"/>
              </w:rPr>
              <w:br/>
              <w:t>31 March 2025</w:t>
            </w:r>
          </w:p>
        </w:tc>
        <w:tc>
          <w:tcPr>
            <w:tcW w:w="1039" w:type="dxa"/>
            <w:tcBorders>
              <w:top w:val="single" w:sz="4" w:space="0" w:color="auto"/>
              <w:left w:val="single" w:sz="4" w:space="0" w:color="auto"/>
              <w:bottom w:val="nil"/>
              <w:right w:val="single" w:sz="4" w:space="0" w:color="auto"/>
            </w:tcBorders>
            <w:shd w:val="clear" w:color="000000" w:fill="F2DCDB"/>
            <w:vAlign w:val="bottom"/>
            <w:hideMark/>
          </w:tcPr>
          <w:p w14:paraId="719A3FFA"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 xml:space="preserve">Forecast Balance at </w:t>
            </w:r>
            <w:r w:rsidRPr="00E02D66">
              <w:rPr>
                <w:rFonts w:eastAsia="Times New Roman" w:cs="Calibri"/>
                <w:b/>
                <w:bCs/>
                <w:color w:val="000000"/>
                <w:sz w:val="20"/>
                <w:szCs w:val="20"/>
                <w:lang w:eastAsia="en-GB"/>
              </w:rPr>
              <w:br/>
              <w:t>31 March 2026</w:t>
            </w:r>
          </w:p>
        </w:tc>
        <w:tc>
          <w:tcPr>
            <w:tcW w:w="1039" w:type="dxa"/>
            <w:tcBorders>
              <w:top w:val="single" w:sz="4" w:space="0" w:color="auto"/>
              <w:left w:val="nil"/>
              <w:bottom w:val="nil"/>
              <w:right w:val="single" w:sz="4" w:space="0" w:color="auto"/>
            </w:tcBorders>
            <w:shd w:val="clear" w:color="000000" w:fill="F2DCDB"/>
            <w:vAlign w:val="bottom"/>
            <w:hideMark/>
          </w:tcPr>
          <w:p w14:paraId="45955813"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 xml:space="preserve">Forecast Balance at </w:t>
            </w:r>
            <w:r w:rsidRPr="00E02D66">
              <w:rPr>
                <w:rFonts w:eastAsia="Times New Roman" w:cs="Calibri"/>
                <w:b/>
                <w:bCs/>
                <w:color w:val="000000"/>
                <w:sz w:val="20"/>
                <w:szCs w:val="20"/>
                <w:lang w:eastAsia="en-GB"/>
              </w:rPr>
              <w:br/>
              <w:t>31 March 2027</w:t>
            </w:r>
          </w:p>
        </w:tc>
        <w:tc>
          <w:tcPr>
            <w:tcW w:w="1039" w:type="dxa"/>
            <w:tcBorders>
              <w:top w:val="single" w:sz="4" w:space="0" w:color="auto"/>
              <w:left w:val="nil"/>
              <w:bottom w:val="nil"/>
              <w:right w:val="single" w:sz="4" w:space="0" w:color="auto"/>
            </w:tcBorders>
            <w:shd w:val="clear" w:color="000000" w:fill="F2DCDB"/>
            <w:vAlign w:val="bottom"/>
            <w:hideMark/>
          </w:tcPr>
          <w:p w14:paraId="0D60AD4B"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 xml:space="preserve">Forecast Balance at </w:t>
            </w:r>
            <w:r w:rsidRPr="00E02D66">
              <w:rPr>
                <w:rFonts w:eastAsia="Times New Roman" w:cs="Calibri"/>
                <w:b/>
                <w:bCs/>
                <w:color w:val="000000"/>
                <w:sz w:val="20"/>
                <w:szCs w:val="20"/>
                <w:lang w:eastAsia="en-GB"/>
              </w:rPr>
              <w:br/>
              <w:t>31 March 2028</w:t>
            </w:r>
          </w:p>
        </w:tc>
        <w:tc>
          <w:tcPr>
            <w:tcW w:w="1039" w:type="dxa"/>
            <w:tcBorders>
              <w:top w:val="single" w:sz="4" w:space="0" w:color="auto"/>
              <w:left w:val="nil"/>
              <w:bottom w:val="nil"/>
              <w:right w:val="single" w:sz="4" w:space="0" w:color="auto"/>
            </w:tcBorders>
            <w:shd w:val="clear" w:color="000000" w:fill="F2DCDB"/>
            <w:vAlign w:val="bottom"/>
            <w:hideMark/>
          </w:tcPr>
          <w:p w14:paraId="50E4C84C"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 xml:space="preserve">Forecast Balance at </w:t>
            </w:r>
            <w:r w:rsidRPr="00E02D66">
              <w:rPr>
                <w:rFonts w:eastAsia="Times New Roman" w:cs="Calibri"/>
                <w:b/>
                <w:bCs/>
                <w:color w:val="000000"/>
                <w:sz w:val="20"/>
                <w:szCs w:val="20"/>
                <w:lang w:eastAsia="en-GB"/>
              </w:rPr>
              <w:br/>
              <w:t>31 March 2029</w:t>
            </w:r>
          </w:p>
        </w:tc>
      </w:tr>
      <w:tr w:rsidR="00E02D66" w:rsidRPr="00E02D66" w14:paraId="7926FF48"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3131A835" w14:textId="77777777" w:rsidR="00E02D66" w:rsidRPr="00E02D66" w:rsidRDefault="00E02D66" w:rsidP="00E02D66">
            <w:pPr>
              <w:spacing w:after="0" w:line="240" w:lineRule="auto"/>
              <w:jc w:val="center"/>
              <w:rPr>
                <w:rFonts w:eastAsia="Times New Roman" w:cs="Calibri"/>
                <w:color w:val="000000"/>
                <w:sz w:val="20"/>
                <w:szCs w:val="20"/>
                <w:lang w:eastAsia="en-GB"/>
              </w:rPr>
            </w:pPr>
            <w:r w:rsidRPr="00E02D66">
              <w:rPr>
                <w:rFonts w:eastAsia="Times New Roman" w:cs="Calibri"/>
                <w:color w:val="000000"/>
                <w:sz w:val="20"/>
                <w:szCs w:val="20"/>
                <w:lang w:eastAsia="en-GB"/>
              </w:rPr>
              <w:t> </w:t>
            </w:r>
          </w:p>
        </w:tc>
        <w:tc>
          <w:tcPr>
            <w:tcW w:w="1038" w:type="dxa"/>
            <w:tcBorders>
              <w:top w:val="nil"/>
              <w:left w:val="nil"/>
              <w:bottom w:val="single" w:sz="4" w:space="0" w:color="auto"/>
              <w:right w:val="single" w:sz="4" w:space="0" w:color="auto"/>
            </w:tcBorders>
            <w:shd w:val="clear" w:color="000000" w:fill="F2DCDB"/>
            <w:vAlign w:val="bottom"/>
            <w:hideMark/>
          </w:tcPr>
          <w:p w14:paraId="590EC082"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£m</w:t>
            </w:r>
          </w:p>
        </w:tc>
        <w:tc>
          <w:tcPr>
            <w:tcW w:w="1038" w:type="dxa"/>
            <w:tcBorders>
              <w:top w:val="nil"/>
              <w:left w:val="nil"/>
              <w:bottom w:val="single" w:sz="4" w:space="0" w:color="auto"/>
              <w:right w:val="single" w:sz="4" w:space="0" w:color="auto"/>
            </w:tcBorders>
            <w:shd w:val="clear" w:color="000000" w:fill="F2DCDB"/>
            <w:vAlign w:val="bottom"/>
            <w:hideMark/>
          </w:tcPr>
          <w:p w14:paraId="25FC3177"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£m</w:t>
            </w:r>
          </w:p>
        </w:tc>
        <w:tc>
          <w:tcPr>
            <w:tcW w:w="1039" w:type="dxa"/>
            <w:tcBorders>
              <w:top w:val="nil"/>
              <w:left w:val="nil"/>
              <w:bottom w:val="single" w:sz="4" w:space="0" w:color="auto"/>
              <w:right w:val="single" w:sz="4" w:space="0" w:color="auto"/>
            </w:tcBorders>
            <w:shd w:val="clear" w:color="000000" w:fill="F2DCDB"/>
            <w:vAlign w:val="bottom"/>
            <w:hideMark/>
          </w:tcPr>
          <w:p w14:paraId="57026DD5"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£m</w:t>
            </w:r>
          </w:p>
        </w:tc>
        <w:tc>
          <w:tcPr>
            <w:tcW w:w="1039" w:type="dxa"/>
            <w:tcBorders>
              <w:top w:val="nil"/>
              <w:left w:val="nil"/>
              <w:bottom w:val="single" w:sz="4" w:space="0" w:color="auto"/>
              <w:right w:val="single" w:sz="4" w:space="0" w:color="auto"/>
            </w:tcBorders>
            <w:shd w:val="clear" w:color="000000" w:fill="F2DCDB"/>
            <w:vAlign w:val="bottom"/>
            <w:hideMark/>
          </w:tcPr>
          <w:p w14:paraId="133C68C9"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£m</w:t>
            </w:r>
          </w:p>
        </w:tc>
        <w:tc>
          <w:tcPr>
            <w:tcW w:w="1039" w:type="dxa"/>
            <w:tcBorders>
              <w:top w:val="nil"/>
              <w:left w:val="nil"/>
              <w:bottom w:val="single" w:sz="4" w:space="0" w:color="auto"/>
              <w:right w:val="single" w:sz="4" w:space="0" w:color="auto"/>
            </w:tcBorders>
            <w:shd w:val="clear" w:color="000000" w:fill="F2DCDB"/>
            <w:vAlign w:val="bottom"/>
            <w:hideMark/>
          </w:tcPr>
          <w:p w14:paraId="0F8CA9C9"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£m</w:t>
            </w:r>
          </w:p>
        </w:tc>
        <w:tc>
          <w:tcPr>
            <w:tcW w:w="1039" w:type="dxa"/>
            <w:tcBorders>
              <w:top w:val="nil"/>
              <w:left w:val="nil"/>
              <w:bottom w:val="single" w:sz="4" w:space="0" w:color="auto"/>
              <w:right w:val="single" w:sz="4" w:space="0" w:color="auto"/>
            </w:tcBorders>
            <w:shd w:val="clear" w:color="000000" w:fill="F2DCDB"/>
            <w:vAlign w:val="bottom"/>
            <w:hideMark/>
          </w:tcPr>
          <w:p w14:paraId="225A316E"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£m</w:t>
            </w:r>
          </w:p>
        </w:tc>
      </w:tr>
      <w:tr w:rsidR="00E02D66" w:rsidRPr="00E02D66" w14:paraId="66DDBD24"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681C6171" w14:textId="77777777" w:rsidR="00E02D66" w:rsidRPr="00E02D66" w:rsidRDefault="00E02D66" w:rsidP="00E02D66">
            <w:pPr>
              <w:spacing w:after="0" w:line="240" w:lineRule="auto"/>
              <w:rPr>
                <w:rFonts w:eastAsia="Times New Roman" w:cs="Calibri"/>
                <w:b/>
                <w:bCs/>
                <w:color w:val="000000"/>
                <w:sz w:val="20"/>
                <w:szCs w:val="20"/>
                <w:u w:val="single"/>
                <w:lang w:eastAsia="en-GB"/>
              </w:rPr>
            </w:pPr>
            <w:r w:rsidRPr="00E02D66">
              <w:rPr>
                <w:rFonts w:eastAsia="Times New Roman" w:cs="Calibri"/>
                <w:b/>
                <w:bCs/>
                <w:color w:val="000000"/>
                <w:sz w:val="20"/>
                <w:szCs w:val="20"/>
                <w:u w:val="single"/>
                <w:lang w:eastAsia="en-GB"/>
              </w:rPr>
              <w:t>Held to meet budgetary risks</w:t>
            </w:r>
          </w:p>
        </w:tc>
        <w:tc>
          <w:tcPr>
            <w:tcW w:w="1038" w:type="dxa"/>
            <w:tcBorders>
              <w:top w:val="nil"/>
              <w:left w:val="nil"/>
              <w:bottom w:val="nil"/>
              <w:right w:val="single" w:sz="4" w:space="0" w:color="auto"/>
            </w:tcBorders>
            <w:shd w:val="clear" w:color="auto" w:fill="auto"/>
            <w:vAlign w:val="bottom"/>
            <w:hideMark/>
          </w:tcPr>
          <w:p w14:paraId="23D328A9"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8" w:type="dxa"/>
            <w:tcBorders>
              <w:top w:val="nil"/>
              <w:left w:val="nil"/>
              <w:bottom w:val="nil"/>
              <w:right w:val="nil"/>
            </w:tcBorders>
            <w:shd w:val="clear" w:color="auto" w:fill="auto"/>
            <w:vAlign w:val="bottom"/>
            <w:hideMark/>
          </w:tcPr>
          <w:p w14:paraId="76CB917D" w14:textId="77777777" w:rsidR="00E02D66" w:rsidRPr="00E02D66" w:rsidRDefault="00E02D66" w:rsidP="00E02D66">
            <w:pPr>
              <w:spacing w:after="0" w:line="240" w:lineRule="auto"/>
              <w:jc w:val="center"/>
              <w:rPr>
                <w:rFonts w:eastAsia="Times New Roman" w:cs="Calibri"/>
                <w:b/>
                <w:bCs/>
                <w:color w:val="000000"/>
                <w:sz w:val="20"/>
                <w:szCs w:val="20"/>
                <w:lang w:eastAsia="en-GB"/>
              </w:rPr>
            </w:pPr>
          </w:p>
        </w:tc>
        <w:tc>
          <w:tcPr>
            <w:tcW w:w="1039" w:type="dxa"/>
            <w:tcBorders>
              <w:top w:val="nil"/>
              <w:left w:val="single" w:sz="4" w:space="0" w:color="auto"/>
              <w:bottom w:val="nil"/>
              <w:right w:val="single" w:sz="4" w:space="0" w:color="auto"/>
            </w:tcBorders>
            <w:shd w:val="clear" w:color="auto" w:fill="auto"/>
            <w:vAlign w:val="bottom"/>
            <w:hideMark/>
          </w:tcPr>
          <w:p w14:paraId="7A996E27"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nil"/>
            </w:tcBorders>
            <w:shd w:val="clear" w:color="auto" w:fill="auto"/>
            <w:vAlign w:val="bottom"/>
            <w:hideMark/>
          </w:tcPr>
          <w:p w14:paraId="6B23D736" w14:textId="77777777" w:rsidR="00E02D66" w:rsidRPr="00E02D66" w:rsidRDefault="00E02D66" w:rsidP="00E02D66">
            <w:pPr>
              <w:spacing w:after="0" w:line="240" w:lineRule="auto"/>
              <w:jc w:val="center"/>
              <w:rPr>
                <w:rFonts w:eastAsia="Times New Roman" w:cs="Calibri"/>
                <w:b/>
                <w:bCs/>
                <w:color w:val="000000"/>
                <w:sz w:val="20"/>
                <w:szCs w:val="20"/>
                <w:lang w:eastAsia="en-GB"/>
              </w:rPr>
            </w:pPr>
          </w:p>
        </w:tc>
        <w:tc>
          <w:tcPr>
            <w:tcW w:w="1039" w:type="dxa"/>
            <w:tcBorders>
              <w:top w:val="nil"/>
              <w:left w:val="single" w:sz="4" w:space="0" w:color="auto"/>
              <w:bottom w:val="nil"/>
              <w:right w:val="single" w:sz="4" w:space="0" w:color="auto"/>
            </w:tcBorders>
            <w:shd w:val="clear" w:color="auto" w:fill="auto"/>
            <w:vAlign w:val="bottom"/>
            <w:hideMark/>
          </w:tcPr>
          <w:p w14:paraId="590414FF"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vAlign w:val="bottom"/>
            <w:hideMark/>
          </w:tcPr>
          <w:p w14:paraId="0CA66783" w14:textId="77777777" w:rsidR="00E02D66" w:rsidRPr="00E02D66" w:rsidRDefault="00E02D66" w:rsidP="00E02D66">
            <w:pPr>
              <w:spacing w:after="0" w:line="240" w:lineRule="auto"/>
              <w:jc w:val="center"/>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r>
      <w:tr w:rsidR="00E02D66" w:rsidRPr="00E02D66" w14:paraId="46974F0A"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63AE02E4"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Insurance</w:t>
            </w:r>
          </w:p>
        </w:tc>
        <w:tc>
          <w:tcPr>
            <w:tcW w:w="1038" w:type="dxa"/>
            <w:tcBorders>
              <w:top w:val="nil"/>
              <w:left w:val="nil"/>
              <w:bottom w:val="nil"/>
              <w:right w:val="single" w:sz="4" w:space="0" w:color="auto"/>
            </w:tcBorders>
            <w:shd w:val="clear" w:color="auto" w:fill="auto"/>
            <w:noWrap/>
            <w:vAlign w:val="bottom"/>
            <w:hideMark/>
          </w:tcPr>
          <w:p w14:paraId="25B1C57D"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0.250</w:t>
            </w:r>
          </w:p>
        </w:tc>
        <w:tc>
          <w:tcPr>
            <w:tcW w:w="1038" w:type="dxa"/>
            <w:tcBorders>
              <w:top w:val="nil"/>
              <w:left w:val="nil"/>
              <w:bottom w:val="nil"/>
              <w:right w:val="single" w:sz="4" w:space="0" w:color="auto"/>
            </w:tcBorders>
            <w:shd w:val="clear" w:color="auto" w:fill="auto"/>
            <w:noWrap/>
            <w:vAlign w:val="bottom"/>
            <w:hideMark/>
          </w:tcPr>
          <w:p w14:paraId="2FF20C07"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0.250</w:t>
            </w:r>
          </w:p>
        </w:tc>
        <w:tc>
          <w:tcPr>
            <w:tcW w:w="1039" w:type="dxa"/>
            <w:tcBorders>
              <w:top w:val="nil"/>
              <w:left w:val="nil"/>
              <w:bottom w:val="nil"/>
              <w:right w:val="single" w:sz="4" w:space="0" w:color="auto"/>
            </w:tcBorders>
            <w:shd w:val="clear" w:color="auto" w:fill="auto"/>
            <w:noWrap/>
            <w:vAlign w:val="bottom"/>
            <w:hideMark/>
          </w:tcPr>
          <w:p w14:paraId="73C4242F"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0.250</w:t>
            </w:r>
          </w:p>
        </w:tc>
        <w:tc>
          <w:tcPr>
            <w:tcW w:w="1039" w:type="dxa"/>
            <w:tcBorders>
              <w:top w:val="nil"/>
              <w:left w:val="nil"/>
              <w:bottom w:val="nil"/>
              <w:right w:val="single" w:sz="4" w:space="0" w:color="auto"/>
            </w:tcBorders>
            <w:shd w:val="clear" w:color="auto" w:fill="auto"/>
            <w:noWrap/>
            <w:vAlign w:val="bottom"/>
            <w:hideMark/>
          </w:tcPr>
          <w:p w14:paraId="46AD0F64"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0.250</w:t>
            </w:r>
          </w:p>
        </w:tc>
        <w:tc>
          <w:tcPr>
            <w:tcW w:w="1039" w:type="dxa"/>
            <w:tcBorders>
              <w:top w:val="nil"/>
              <w:left w:val="nil"/>
              <w:bottom w:val="nil"/>
              <w:right w:val="single" w:sz="4" w:space="0" w:color="auto"/>
            </w:tcBorders>
            <w:shd w:val="clear" w:color="auto" w:fill="auto"/>
            <w:noWrap/>
            <w:vAlign w:val="bottom"/>
            <w:hideMark/>
          </w:tcPr>
          <w:p w14:paraId="783453F4"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0.250</w:t>
            </w:r>
          </w:p>
        </w:tc>
        <w:tc>
          <w:tcPr>
            <w:tcW w:w="1039" w:type="dxa"/>
            <w:tcBorders>
              <w:top w:val="nil"/>
              <w:left w:val="nil"/>
              <w:bottom w:val="nil"/>
              <w:right w:val="single" w:sz="4" w:space="0" w:color="auto"/>
            </w:tcBorders>
            <w:shd w:val="clear" w:color="auto" w:fill="auto"/>
            <w:noWrap/>
            <w:vAlign w:val="bottom"/>
            <w:hideMark/>
          </w:tcPr>
          <w:p w14:paraId="0A85B5AC"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0.250</w:t>
            </w:r>
          </w:p>
        </w:tc>
      </w:tr>
      <w:tr w:rsidR="00E02D66" w:rsidRPr="00E02D66" w14:paraId="293FB533"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35C01E61"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Operational Equipment</w:t>
            </w:r>
          </w:p>
        </w:tc>
        <w:tc>
          <w:tcPr>
            <w:tcW w:w="1038" w:type="dxa"/>
            <w:tcBorders>
              <w:top w:val="nil"/>
              <w:left w:val="nil"/>
              <w:bottom w:val="nil"/>
              <w:right w:val="single" w:sz="4" w:space="0" w:color="auto"/>
            </w:tcBorders>
            <w:shd w:val="clear" w:color="auto" w:fill="auto"/>
            <w:noWrap/>
            <w:vAlign w:val="bottom"/>
            <w:hideMark/>
          </w:tcPr>
          <w:p w14:paraId="265A50B9"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0.070</w:t>
            </w:r>
          </w:p>
        </w:tc>
        <w:tc>
          <w:tcPr>
            <w:tcW w:w="1038" w:type="dxa"/>
            <w:tcBorders>
              <w:top w:val="nil"/>
              <w:left w:val="nil"/>
              <w:bottom w:val="nil"/>
              <w:right w:val="single" w:sz="4" w:space="0" w:color="auto"/>
            </w:tcBorders>
            <w:shd w:val="clear" w:color="auto" w:fill="auto"/>
            <w:noWrap/>
            <w:vAlign w:val="bottom"/>
            <w:hideMark/>
          </w:tcPr>
          <w:p w14:paraId="71D788BE"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0.110</w:t>
            </w:r>
          </w:p>
        </w:tc>
        <w:tc>
          <w:tcPr>
            <w:tcW w:w="1039" w:type="dxa"/>
            <w:tcBorders>
              <w:top w:val="nil"/>
              <w:left w:val="nil"/>
              <w:bottom w:val="nil"/>
              <w:right w:val="single" w:sz="4" w:space="0" w:color="auto"/>
            </w:tcBorders>
            <w:shd w:val="clear" w:color="auto" w:fill="auto"/>
            <w:noWrap/>
            <w:vAlign w:val="bottom"/>
            <w:hideMark/>
          </w:tcPr>
          <w:p w14:paraId="74A5E26C"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0.210</w:t>
            </w:r>
          </w:p>
        </w:tc>
        <w:tc>
          <w:tcPr>
            <w:tcW w:w="1039" w:type="dxa"/>
            <w:tcBorders>
              <w:top w:val="nil"/>
              <w:left w:val="nil"/>
              <w:bottom w:val="nil"/>
              <w:right w:val="single" w:sz="4" w:space="0" w:color="auto"/>
            </w:tcBorders>
            <w:shd w:val="clear" w:color="auto" w:fill="auto"/>
            <w:noWrap/>
            <w:vAlign w:val="bottom"/>
            <w:hideMark/>
          </w:tcPr>
          <w:p w14:paraId="1AEC3DC0"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0.310</w:t>
            </w:r>
          </w:p>
        </w:tc>
        <w:tc>
          <w:tcPr>
            <w:tcW w:w="1039" w:type="dxa"/>
            <w:tcBorders>
              <w:top w:val="nil"/>
              <w:left w:val="nil"/>
              <w:bottom w:val="nil"/>
              <w:right w:val="single" w:sz="4" w:space="0" w:color="auto"/>
            </w:tcBorders>
            <w:shd w:val="clear" w:color="auto" w:fill="auto"/>
            <w:noWrap/>
            <w:vAlign w:val="bottom"/>
            <w:hideMark/>
          </w:tcPr>
          <w:p w14:paraId="7409B39B"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0.410</w:t>
            </w:r>
          </w:p>
        </w:tc>
        <w:tc>
          <w:tcPr>
            <w:tcW w:w="1039" w:type="dxa"/>
            <w:tcBorders>
              <w:top w:val="nil"/>
              <w:left w:val="nil"/>
              <w:bottom w:val="nil"/>
              <w:right w:val="single" w:sz="4" w:space="0" w:color="auto"/>
            </w:tcBorders>
            <w:shd w:val="clear" w:color="auto" w:fill="auto"/>
            <w:noWrap/>
            <w:vAlign w:val="bottom"/>
            <w:hideMark/>
          </w:tcPr>
          <w:p w14:paraId="333C3EBD"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0.410</w:t>
            </w:r>
          </w:p>
        </w:tc>
      </w:tr>
      <w:tr w:rsidR="00E02D66" w:rsidRPr="00E02D66" w14:paraId="0AD911E5"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0C172585"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 </w:t>
            </w:r>
          </w:p>
        </w:tc>
        <w:tc>
          <w:tcPr>
            <w:tcW w:w="1038" w:type="dxa"/>
            <w:tcBorders>
              <w:top w:val="single" w:sz="4" w:space="0" w:color="auto"/>
              <w:left w:val="nil"/>
              <w:bottom w:val="nil"/>
              <w:right w:val="single" w:sz="4" w:space="0" w:color="auto"/>
            </w:tcBorders>
            <w:shd w:val="clear" w:color="auto" w:fill="auto"/>
            <w:noWrap/>
            <w:vAlign w:val="bottom"/>
            <w:hideMark/>
          </w:tcPr>
          <w:p w14:paraId="6F07176F"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0.320</w:t>
            </w:r>
          </w:p>
        </w:tc>
        <w:tc>
          <w:tcPr>
            <w:tcW w:w="1038" w:type="dxa"/>
            <w:tcBorders>
              <w:top w:val="single" w:sz="4" w:space="0" w:color="auto"/>
              <w:left w:val="nil"/>
              <w:bottom w:val="nil"/>
              <w:right w:val="single" w:sz="4" w:space="0" w:color="auto"/>
            </w:tcBorders>
            <w:shd w:val="clear" w:color="auto" w:fill="auto"/>
            <w:noWrap/>
            <w:vAlign w:val="bottom"/>
            <w:hideMark/>
          </w:tcPr>
          <w:p w14:paraId="7E1AFF65"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0.360</w:t>
            </w:r>
          </w:p>
        </w:tc>
        <w:tc>
          <w:tcPr>
            <w:tcW w:w="1039" w:type="dxa"/>
            <w:tcBorders>
              <w:top w:val="single" w:sz="4" w:space="0" w:color="auto"/>
              <w:left w:val="nil"/>
              <w:bottom w:val="nil"/>
              <w:right w:val="single" w:sz="4" w:space="0" w:color="auto"/>
            </w:tcBorders>
            <w:shd w:val="clear" w:color="auto" w:fill="auto"/>
            <w:noWrap/>
            <w:vAlign w:val="bottom"/>
            <w:hideMark/>
          </w:tcPr>
          <w:p w14:paraId="6CC4D27B"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0.460</w:t>
            </w:r>
          </w:p>
        </w:tc>
        <w:tc>
          <w:tcPr>
            <w:tcW w:w="1039" w:type="dxa"/>
            <w:tcBorders>
              <w:top w:val="single" w:sz="4" w:space="0" w:color="auto"/>
              <w:left w:val="nil"/>
              <w:bottom w:val="nil"/>
              <w:right w:val="single" w:sz="4" w:space="0" w:color="auto"/>
            </w:tcBorders>
            <w:shd w:val="clear" w:color="auto" w:fill="auto"/>
            <w:noWrap/>
            <w:vAlign w:val="bottom"/>
            <w:hideMark/>
          </w:tcPr>
          <w:p w14:paraId="55CB9E36"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0.560</w:t>
            </w:r>
          </w:p>
        </w:tc>
        <w:tc>
          <w:tcPr>
            <w:tcW w:w="1039" w:type="dxa"/>
            <w:tcBorders>
              <w:top w:val="single" w:sz="4" w:space="0" w:color="auto"/>
              <w:left w:val="nil"/>
              <w:bottom w:val="nil"/>
              <w:right w:val="single" w:sz="4" w:space="0" w:color="auto"/>
            </w:tcBorders>
            <w:shd w:val="clear" w:color="auto" w:fill="auto"/>
            <w:noWrap/>
            <w:vAlign w:val="bottom"/>
            <w:hideMark/>
          </w:tcPr>
          <w:p w14:paraId="7F815C40"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0.660</w:t>
            </w:r>
          </w:p>
        </w:tc>
        <w:tc>
          <w:tcPr>
            <w:tcW w:w="1039" w:type="dxa"/>
            <w:tcBorders>
              <w:top w:val="single" w:sz="4" w:space="0" w:color="auto"/>
              <w:left w:val="nil"/>
              <w:bottom w:val="nil"/>
              <w:right w:val="single" w:sz="4" w:space="0" w:color="auto"/>
            </w:tcBorders>
            <w:shd w:val="clear" w:color="auto" w:fill="auto"/>
            <w:noWrap/>
            <w:vAlign w:val="bottom"/>
            <w:hideMark/>
          </w:tcPr>
          <w:p w14:paraId="20BCECE7"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0.660</w:t>
            </w:r>
          </w:p>
        </w:tc>
      </w:tr>
      <w:tr w:rsidR="00E02D66" w:rsidRPr="00E02D66" w14:paraId="7CBC44CF"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4490259B" w14:textId="77777777" w:rsidR="00E02D66" w:rsidRPr="00E02D66" w:rsidRDefault="00E02D66" w:rsidP="00E02D66">
            <w:pPr>
              <w:spacing w:after="0" w:line="240" w:lineRule="auto"/>
              <w:rPr>
                <w:rFonts w:eastAsia="Times New Roman" w:cs="Calibri"/>
                <w:b/>
                <w:bCs/>
                <w:color w:val="000000"/>
                <w:sz w:val="20"/>
                <w:szCs w:val="20"/>
                <w:u w:val="single"/>
                <w:lang w:eastAsia="en-GB"/>
              </w:rPr>
            </w:pPr>
            <w:r w:rsidRPr="00E02D66">
              <w:rPr>
                <w:rFonts w:eastAsia="Times New Roman" w:cs="Calibri"/>
                <w:b/>
                <w:bCs/>
                <w:color w:val="000000"/>
                <w:sz w:val="20"/>
                <w:szCs w:val="20"/>
                <w:u w:val="single"/>
                <w:lang w:eastAsia="en-GB"/>
              </w:rPr>
              <w:t>Held to support the medium term budget</w:t>
            </w:r>
          </w:p>
        </w:tc>
        <w:tc>
          <w:tcPr>
            <w:tcW w:w="1038" w:type="dxa"/>
            <w:tcBorders>
              <w:top w:val="nil"/>
              <w:left w:val="nil"/>
              <w:bottom w:val="nil"/>
              <w:right w:val="single" w:sz="4" w:space="0" w:color="auto"/>
            </w:tcBorders>
            <w:shd w:val="clear" w:color="auto" w:fill="auto"/>
            <w:noWrap/>
            <w:vAlign w:val="bottom"/>
            <w:hideMark/>
          </w:tcPr>
          <w:p w14:paraId="68FF739D"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8" w:type="dxa"/>
            <w:tcBorders>
              <w:top w:val="nil"/>
              <w:left w:val="nil"/>
              <w:bottom w:val="nil"/>
              <w:right w:val="single" w:sz="4" w:space="0" w:color="auto"/>
            </w:tcBorders>
            <w:shd w:val="clear" w:color="auto" w:fill="auto"/>
            <w:noWrap/>
            <w:vAlign w:val="bottom"/>
            <w:hideMark/>
          </w:tcPr>
          <w:p w14:paraId="2B0332BE"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34BE5B4C"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05C135E6"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603D7060"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300CF914"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r>
      <w:tr w:rsidR="00E02D66" w:rsidRPr="00E02D66" w14:paraId="5B382CFC"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5DA8C384"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 xml:space="preserve">Carry Forwards </w:t>
            </w:r>
          </w:p>
        </w:tc>
        <w:tc>
          <w:tcPr>
            <w:tcW w:w="1038" w:type="dxa"/>
            <w:tcBorders>
              <w:top w:val="nil"/>
              <w:left w:val="nil"/>
              <w:bottom w:val="nil"/>
              <w:right w:val="single" w:sz="4" w:space="0" w:color="auto"/>
            </w:tcBorders>
            <w:shd w:val="clear" w:color="auto" w:fill="auto"/>
            <w:noWrap/>
            <w:vAlign w:val="bottom"/>
            <w:hideMark/>
          </w:tcPr>
          <w:p w14:paraId="2E6184C8"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0.012</w:t>
            </w:r>
          </w:p>
        </w:tc>
        <w:tc>
          <w:tcPr>
            <w:tcW w:w="1038" w:type="dxa"/>
            <w:tcBorders>
              <w:top w:val="nil"/>
              <w:left w:val="nil"/>
              <w:bottom w:val="nil"/>
              <w:right w:val="single" w:sz="4" w:space="0" w:color="auto"/>
            </w:tcBorders>
            <w:shd w:val="clear" w:color="auto" w:fill="auto"/>
            <w:noWrap/>
            <w:vAlign w:val="bottom"/>
            <w:hideMark/>
          </w:tcPr>
          <w:p w14:paraId="6E2FC0B9"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0.000</w:t>
            </w:r>
          </w:p>
        </w:tc>
        <w:tc>
          <w:tcPr>
            <w:tcW w:w="1039" w:type="dxa"/>
            <w:tcBorders>
              <w:top w:val="nil"/>
              <w:left w:val="nil"/>
              <w:bottom w:val="nil"/>
              <w:right w:val="single" w:sz="4" w:space="0" w:color="auto"/>
            </w:tcBorders>
            <w:shd w:val="clear" w:color="auto" w:fill="auto"/>
            <w:noWrap/>
            <w:vAlign w:val="bottom"/>
            <w:hideMark/>
          </w:tcPr>
          <w:p w14:paraId="390171C4"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0.000</w:t>
            </w:r>
          </w:p>
        </w:tc>
        <w:tc>
          <w:tcPr>
            <w:tcW w:w="1039" w:type="dxa"/>
            <w:tcBorders>
              <w:top w:val="nil"/>
              <w:left w:val="nil"/>
              <w:bottom w:val="nil"/>
              <w:right w:val="single" w:sz="4" w:space="0" w:color="auto"/>
            </w:tcBorders>
            <w:shd w:val="clear" w:color="auto" w:fill="auto"/>
            <w:noWrap/>
            <w:vAlign w:val="bottom"/>
            <w:hideMark/>
          </w:tcPr>
          <w:p w14:paraId="07765016"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0.000</w:t>
            </w:r>
          </w:p>
        </w:tc>
        <w:tc>
          <w:tcPr>
            <w:tcW w:w="1039" w:type="dxa"/>
            <w:tcBorders>
              <w:top w:val="nil"/>
              <w:left w:val="nil"/>
              <w:bottom w:val="nil"/>
              <w:right w:val="single" w:sz="4" w:space="0" w:color="auto"/>
            </w:tcBorders>
            <w:shd w:val="clear" w:color="auto" w:fill="auto"/>
            <w:noWrap/>
            <w:vAlign w:val="bottom"/>
            <w:hideMark/>
          </w:tcPr>
          <w:p w14:paraId="60EB1456"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0.000</w:t>
            </w:r>
          </w:p>
        </w:tc>
        <w:tc>
          <w:tcPr>
            <w:tcW w:w="1039" w:type="dxa"/>
            <w:tcBorders>
              <w:top w:val="nil"/>
              <w:left w:val="nil"/>
              <w:bottom w:val="nil"/>
              <w:right w:val="single" w:sz="4" w:space="0" w:color="auto"/>
            </w:tcBorders>
            <w:shd w:val="clear" w:color="auto" w:fill="auto"/>
            <w:noWrap/>
            <w:vAlign w:val="bottom"/>
            <w:hideMark/>
          </w:tcPr>
          <w:p w14:paraId="357817DC"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0.000</w:t>
            </w:r>
          </w:p>
        </w:tc>
      </w:tr>
      <w:tr w:rsidR="00E02D66" w:rsidRPr="00E02D66" w14:paraId="2EA5FBD3"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1522A620"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Smoothing Reserve</w:t>
            </w:r>
          </w:p>
        </w:tc>
        <w:tc>
          <w:tcPr>
            <w:tcW w:w="1038" w:type="dxa"/>
            <w:tcBorders>
              <w:top w:val="nil"/>
              <w:left w:val="nil"/>
              <w:bottom w:val="nil"/>
              <w:right w:val="single" w:sz="4" w:space="0" w:color="auto"/>
            </w:tcBorders>
            <w:shd w:val="clear" w:color="auto" w:fill="auto"/>
            <w:noWrap/>
            <w:vAlign w:val="bottom"/>
            <w:hideMark/>
          </w:tcPr>
          <w:p w14:paraId="6D4BE6A6"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0.977</w:t>
            </w:r>
          </w:p>
        </w:tc>
        <w:tc>
          <w:tcPr>
            <w:tcW w:w="1038" w:type="dxa"/>
            <w:tcBorders>
              <w:top w:val="nil"/>
              <w:left w:val="nil"/>
              <w:bottom w:val="nil"/>
              <w:right w:val="single" w:sz="4" w:space="0" w:color="auto"/>
            </w:tcBorders>
            <w:shd w:val="clear" w:color="auto" w:fill="auto"/>
            <w:noWrap/>
            <w:vAlign w:val="bottom"/>
            <w:hideMark/>
          </w:tcPr>
          <w:p w14:paraId="13DC6405"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0.230</w:t>
            </w:r>
          </w:p>
        </w:tc>
        <w:tc>
          <w:tcPr>
            <w:tcW w:w="1039" w:type="dxa"/>
            <w:tcBorders>
              <w:top w:val="nil"/>
              <w:left w:val="nil"/>
              <w:bottom w:val="nil"/>
              <w:right w:val="single" w:sz="4" w:space="0" w:color="auto"/>
            </w:tcBorders>
            <w:shd w:val="clear" w:color="auto" w:fill="auto"/>
            <w:noWrap/>
            <w:vAlign w:val="bottom"/>
            <w:hideMark/>
          </w:tcPr>
          <w:p w14:paraId="08F5D515"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0.230</w:t>
            </w:r>
          </w:p>
        </w:tc>
        <w:tc>
          <w:tcPr>
            <w:tcW w:w="1039" w:type="dxa"/>
            <w:tcBorders>
              <w:top w:val="nil"/>
              <w:left w:val="nil"/>
              <w:bottom w:val="nil"/>
              <w:right w:val="single" w:sz="4" w:space="0" w:color="auto"/>
            </w:tcBorders>
            <w:shd w:val="clear" w:color="auto" w:fill="auto"/>
            <w:noWrap/>
            <w:vAlign w:val="bottom"/>
            <w:hideMark/>
          </w:tcPr>
          <w:p w14:paraId="59FC421F"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0.230</w:t>
            </w:r>
          </w:p>
        </w:tc>
        <w:tc>
          <w:tcPr>
            <w:tcW w:w="1039" w:type="dxa"/>
            <w:tcBorders>
              <w:top w:val="nil"/>
              <w:left w:val="nil"/>
              <w:bottom w:val="nil"/>
              <w:right w:val="single" w:sz="4" w:space="0" w:color="auto"/>
            </w:tcBorders>
            <w:shd w:val="clear" w:color="auto" w:fill="auto"/>
            <w:noWrap/>
            <w:vAlign w:val="bottom"/>
            <w:hideMark/>
          </w:tcPr>
          <w:p w14:paraId="3D8181A5"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0.230</w:t>
            </w:r>
          </w:p>
        </w:tc>
        <w:tc>
          <w:tcPr>
            <w:tcW w:w="1039" w:type="dxa"/>
            <w:tcBorders>
              <w:top w:val="nil"/>
              <w:left w:val="nil"/>
              <w:bottom w:val="nil"/>
              <w:right w:val="single" w:sz="4" w:space="0" w:color="auto"/>
            </w:tcBorders>
            <w:shd w:val="clear" w:color="auto" w:fill="auto"/>
            <w:noWrap/>
            <w:vAlign w:val="bottom"/>
            <w:hideMark/>
          </w:tcPr>
          <w:p w14:paraId="2C575D60"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0.230</w:t>
            </w:r>
          </w:p>
        </w:tc>
      </w:tr>
      <w:tr w:rsidR="00E02D66" w:rsidRPr="00E02D66" w14:paraId="69BF83CA"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30BAA039"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8" w:type="dxa"/>
            <w:tcBorders>
              <w:top w:val="single" w:sz="4" w:space="0" w:color="auto"/>
              <w:left w:val="nil"/>
              <w:bottom w:val="nil"/>
              <w:right w:val="single" w:sz="4" w:space="0" w:color="auto"/>
            </w:tcBorders>
            <w:shd w:val="clear" w:color="auto" w:fill="auto"/>
            <w:noWrap/>
            <w:vAlign w:val="bottom"/>
            <w:hideMark/>
          </w:tcPr>
          <w:p w14:paraId="02A18AFE"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0.989</w:t>
            </w:r>
          </w:p>
        </w:tc>
        <w:tc>
          <w:tcPr>
            <w:tcW w:w="1038" w:type="dxa"/>
            <w:tcBorders>
              <w:top w:val="single" w:sz="4" w:space="0" w:color="auto"/>
              <w:left w:val="nil"/>
              <w:bottom w:val="nil"/>
              <w:right w:val="single" w:sz="4" w:space="0" w:color="auto"/>
            </w:tcBorders>
            <w:shd w:val="clear" w:color="auto" w:fill="auto"/>
            <w:noWrap/>
            <w:vAlign w:val="bottom"/>
            <w:hideMark/>
          </w:tcPr>
          <w:p w14:paraId="0A5DF56A"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0.230</w:t>
            </w:r>
          </w:p>
        </w:tc>
        <w:tc>
          <w:tcPr>
            <w:tcW w:w="1039" w:type="dxa"/>
            <w:tcBorders>
              <w:top w:val="single" w:sz="4" w:space="0" w:color="auto"/>
              <w:left w:val="nil"/>
              <w:bottom w:val="nil"/>
              <w:right w:val="single" w:sz="4" w:space="0" w:color="auto"/>
            </w:tcBorders>
            <w:shd w:val="clear" w:color="auto" w:fill="auto"/>
            <w:noWrap/>
            <w:vAlign w:val="bottom"/>
            <w:hideMark/>
          </w:tcPr>
          <w:p w14:paraId="519C8D65"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0.230</w:t>
            </w:r>
          </w:p>
        </w:tc>
        <w:tc>
          <w:tcPr>
            <w:tcW w:w="1039" w:type="dxa"/>
            <w:tcBorders>
              <w:top w:val="single" w:sz="4" w:space="0" w:color="auto"/>
              <w:left w:val="nil"/>
              <w:bottom w:val="nil"/>
              <w:right w:val="single" w:sz="4" w:space="0" w:color="auto"/>
            </w:tcBorders>
            <w:shd w:val="clear" w:color="auto" w:fill="auto"/>
            <w:noWrap/>
            <w:vAlign w:val="bottom"/>
            <w:hideMark/>
          </w:tcPr>
          <w:p w14:paraId="7DE93AC3"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0.230</w:t>
            </w:r>
          </w:p>
        </w:tc>
        <w:tc>
          <w:tcPr>
            <w:tcW w:w="1039" w:type="dxa"/>
            <w:tcBorders>
              <w:top w:val="single" w:sz="4" w:space="0" w:color="auto"/>
              <w:left w:val="nil"/>
              <w:bottom w:val="nil"/>
              <w:right w:val="single" w:sz="4" w:space="0" w:color="auto"/>
            </w:tcBorders>
            <w:shd w:val="clear" w:color="auto" w:fill="auto"/>
            <w:noWrap/>
            <w:vAlign w:val="bottom"/>
            <w:hideMark/>
          </w:tcPr>
          <w:p w14:paraId="77804F03"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0.230</w:t>
            </w:r>
          </w:p>
        </w:tc>
        <w:tc>
          <w:tcPr>
            <w:tcW w:w="1039" w:type="dxa"/>
            <w:tcBorders>
              <w:top w:val="single" w:sz="4" w:space="0" w:color="auto"/>
              <w:left w:val="nil"/>
              <w:bottom w:val="nil"/>
              <w:right w:val="single" w:sz="4" w:space="0" w:color="auto"/>
            </w:tcBorders>
            <w:shd w:val="clear" w:color="auto" w:fill="auto"/>
            <w:noWrap/>
            <w:vAlign w:val="bottom"/>
            <w:hideMark/>
          </w:tcPr>
          <w:p w14:paraId="10640FD1"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0.230</w:t>
            </w:r>
          </w:p>
        </w:tc>
      </w:tr>
      <w:tr w:rsidR="00E02D66" w:rsidRPr="00E02D66" w14:paraId="4FDB15D0"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732FC56E" w14:textId="77777777" w:rsidR="00E02D66" w:rsidRPr="00E02D66" w:rsidRDefault="00E02D66" w:rsidP="00E02D66">
            <w:pPr>
              <w:spacing w:after="0" w:line="240" w:lineRule="auto"/>
              <w:rPr>
                <w:rFonts w:eastAsia="Times New Roman" w:cs="Calibri"/>
                <w:b/>
                <w:bCs/>
                <w:color w:val="000000"/>
                <w:sz w:val="20"/>
                <w:szCs w:val="20"/>
                <w:u w:val="single"/>
                <w:lang w:eastAsia="en-GB"/>
              </w:rPr>
            </w:pPr>
            <w:r w:rsidRPr="00E02D66">
              <w:rPr>
                <w:rFonts w:eastAsia="Times New Roman" w:cs="Calibri"/>
                <w:b/>
                <w:bCs/>
                <w:color w:val="000000"/>
                <w:sz w:val="20"/>
                <w:szCs w:val="20"/>
                <w:u w:val="single"/>
                <w:lang w:eastAsia="en-GB"/>
              </w:rPr>
              <w:t>Held to facilitate change programmes</w:t>
            </w:r>
          </w:p>
        </w:tc>
        <w:tc>
          <w:tcPr>
            <w:tcW w:w="1038" w:type="dxa"/>
            <w:tcBorders>
              <w:top w:val="nil"/>
              <w:left w:val="nil"/>
              <w:bottom w:val="nil"/>
              <w:right w:val="single" w:sz="4" w:space="0" w:color="auto"/>
            </w:tcBorders>
            <w:shd w:val="clear" w:color="auto" w:fill="auto"/>
            <w:noWrap/>
            <w:vAlign w:val="bottom"/>
            <w:hideMark/>
          </w:tcPr>
          <w:p w14:paraId="0AB60021"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8" w:type="dxa"/>
            <w:tcBorders>
              <w:top w:val="nil"/>
              <w:left w:val="nil"/>
              <w:bottom w:val="nil"/>
              <w:right w:val="single" w:sz="4" w:space="0" w:color="auto"/>
            </w:tcBorders>
            <w:shd w:val="clear" w:color="auto" w:fill="auto"/>
            <w:noWrap/>
            <w:vAlign w:val="bottom"/>
            <w:hideMark/>
          </w:tcPr>
          <w:p w14:paraId="032FAC83"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56F9CBBF"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480A3408"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4A7AF8FD"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6AAED2D5"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r>
      <w:tr w:rsidR="00E02D66" w:rsidRPr="00E02D66" w14:paraId="4A9A68A2"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22E09DA3"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Transformation Reserve</w:t>
            </w:r>
          </w:p>
        </w:tc>
        <w:tc>
          <w:tcPr>
            <w:tcW w:w="1038" w:type="dxa"/>
            <w:tcBorders>
              <w:top w:val="nil"/>
              <w:left w:val="nil"/>
              <w:bottom w:val="nil"/>
              <w:right w:val="single" w:sz="4" w:space="0" w:color="auto"/>
            </w:tcBorders>
            <w:shd w:val="clear" w:color="auto" w:fill="auto"/>
            <w:noWrap/>
            <w:vAlign w:val="bottom"/>
            <w:hideMark/>
          </w:tcPr>
          <w:p w14:paraId="1E0C3E39"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1.000</w:t>
            </w:r>
          </w:p>
        </w:tc>
        <w:tc>
          <w:tcPr>
            <w:tcW w:w="1038" w:type="dxa"/>
            <w:tcBorders>
              <w:top w:val="nil"/>
              <w:left w:val="nil"/>
              <w:bottom w:val="nil"/>
              <w:right w:val="single" w:sz="4" w:space="0" w:color="auto"/>
            </w:tcBorders>
            <w:shd w:val="clear" w:color="auto" w:fill="auto"/>
            <w:noWrap/>
            <w:vAlign w:val="bottom"/>
            <w:hideMark/>
          </w:tcPr>
          <w:p w14:paraId="56BBD989"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1.000</w:t>
            </w:r>
          </w:p>
        </w:tc>
        <w:tc>
          <w:tcPr>
            <w:tcW w:w="1039" w:type="dxa"/>
            <w:tcBorders>
              <w:top w:val="nil"/>
              <w:left w:val="nil"/>
              <w:bottom w:val="nil"/>
              <w:right w:val="single" w:sz="4" w:space="0" w:color="auto"/>
            </w:tcBorders>
            <w:shd w:val="clear" w:color="auto" w:fill="auto"/>
            <w:noWrap/>
            <w:vAlign w:val="bottom"/>
            <w:hideMark/>
          </w:tcPr>
          <w:p w14:paraId="7F954BE2"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1.000</w:t>
            </w:r>
          </w:p>
        </w:tc>
        <w:tc>
          <w:tcPr>
            <w:tcW w:w="1039" w:type="dxa"/>
            <w:tcBorders>
              <w:top w:val="nil"/>
              <w:left w:val="nil"/>
              <w:bottom w:val="nil"/>
              <w:right w:val="single" w:sz="4" w:space="0" w:color="auto"/>
            </w:tcBorders>
            <w:shd w:val="clear" w:color="auto" w:fill="auto"/>
            <w:noWrap/>
            <w:vAlign w:val="bottom"/>
            <w:hideMark/>
          </w:tcPr>
          <w:p w14:paraId="1D8D2B9E"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1.000</w:t>
            </w:r>
          </w:p>
        </w:tc>
        <w:tc>
          <w:tcPr>
            <w:tcW w:w="1039" w:type="dxa"/>
            <w:tcBorders>
              <w:top w:val="nil"/>
              <w:left w:val="nil"/>
              <w:bottom w:val="nil"/>
              <w:right w:val="single" w:sz="4" w:space="0" w:color="auto"/>
            </w:tcBorders>
            <w:shd w:val="clear" w:color="auto" w:fill="auto"/>
            <w:noWrap/>
            <w:vAlign w:val="bottom"/>
            <w:hideMark/>
          </w:tcPr>
          <w:p w14:paraId="4BCF1275"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1.000</w:t>
            </w:r>
          </w:p>
        </w:tc>
        <w:tc>
          <w:tcPr>
            <w:tcW w:w="1039" w:type="dxa"/>
            <w:tcBorders>
              <w:top w:val="nil"/>
              <w:left w:val="nil"/>
              <w:bottom w:val="nil"/>
              <w:right w:val="single" w:sz="4" w:space="0" w:color="auto"/>
            </w:tcBorders>
            <w:shd w:val="clear" w:color="auto" w:fill="auto"/>
            <w:noWrap/>
            <w:vAlign w:val="bottom"/>
            <w:hideMark/>
          </w:tcPr>
          <w:p w14:paraId="6203E5F9"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1.000</w:t>
            </w:r>
          </w:p>
        </w:tc>
      </w:tr>
      <w:tr w:rsidR="00E02D66" w:rsidRPr="00E02D66" w14:paraId="69BFB145"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20ACED43"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8" w:type="dxa"/>
            <w:tcBorders>
              <w:top w:val="single" w:sz="4" w:space="0" w:color="auto"/>
              <w:left w:val="nil"/>
              <w:bottom w:val="nil"/>
              <w:right w:val="single" w:sz="4" w:space="0" w:color="auto"/>
            </w:tcBorders>
            <w:shd w:val="clear" w:color="auto" w:fill="auto"/>
            <w:noWrap/>
            <w:vAlign w:val="bottom"/>
            <w:hideMark/>
          </w:tcPr>
          <w:p w14:paraId="2516F816"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1.000</w:t>
            </w:r>
          </w:p>
        </w:tc>
        <w:tc>
          <w:tcPr>
            <w:tcW w:w="1038" w:type="dxa"/>
            <w:tcBorders>
              <w:top w:val="single" w:sz="4" w:space="0" w:color="auto"/>
              <w:left w:val="nil"/>
              <w:bottom w:val="nil"/>
              <w:right w:val="single" w:sz="4" w:space="0" w:color="auto"/>
            </w:tcBorders>
            <w:shd w:val="clear" w:color="auto" w:fill="auto"/>
            <w:noWrap/>
            <w:vAlign w:val="bottom"/>
            <w:hideMark/>
          </w:tcPr>
          <w:p w14:paraId="7D38282C"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1.000</w:t>
            </w:r>
          </w:p>
        </w:tc>
        <w:tc>
          <w:tcPr>
            <w:tcW w:w="1039" w:type="dxa"/>
            <w:tcBorders>
              <w:top w:val="single" w:sz="4" w:space="0" w:color="auto"/>
              <w:left w:val="nil"/>
              <w:bottom w:val="nil"/>
              <w:right w:val="single" w:sz="4" w:space="0" w:color="auto"/>
            </w:tcBorders>
            <w:shd w:val="clear" w:color="auto" w:fill="auto"/>
            <w:noWrap/>
            <w:vAlign w:val="bottom"/>
            <w:hideMark/>
          </w:tcPr>
          <w:p w14:paraId="6E6A2B6C"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1.000</w:t>
            </w:r>
          </w:p>
        </w:tc>
        <w:tc>
          <w:tcPr>
            <w:tcW w:w="1039" w:type="dxa"/>
            <w:tcBorders>
              <w:top w:val="single" w:sz="4" w:space="0" w:color="auto"/>
              <w:left w:val="nil"/>
              <w:bottom w:val="nil"/>
              <w:right w:val="single" w:sz="4" w:space="0" w:color="auto"/>
            </w:tcBorders>
            <w:shd w:val="clear" w:color="auto" w:fill="auto"/>
            <w:noWrap/>
            <w:vAlign w:val="bottom"/>
            <w:hideMark/>
          </w:tcPr>
          <w:p w14:paraId="7A10CFC8"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1.000</w:t>
            </w:r>
          </w:p>
        </w:tc>
        <w:tc>
          <w:tcPr>
            <w:tcW w:w="1039" w:type="dxa"/>
            <w:tcBorders>
              <w:top w:val="single" w:sz="4" w:space="0" w:color="auto"/>
              <w:left w:val="nil"/>
              <w:bottom w:val="nil"/>
              <w:right w:val="single" w:sz="4" w:space="0" w:color="auto"/>
            </w:tcBorders>
            <w:shd w:val="clear" w:color="auto" w:fill="auto"/>
            <w:noWrap/>
            <w:vAlign w:val="bottom"/>
            <w:hideMark/>
          </w:tcPr>
          <w:p w14:paraId="72002E1B"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1.000</w:t>
            </w:r>
          </w:p>
        </w:tc>
        <w:tc>
          <w:tcPr>
            <w:tcW w:w="1039" w:type="dxa"/>
            <w:tcBorders>
              <w:top w:val="single" w:sz="4" w:space="0" w:color="auto"/>
              <w:left w:val="nil"/>
              <w:bottom w:val="nil"/>
              <w:right w:val="single" w:sz="4" w:space="0" w:color="auto"/>
            </w:tcBorders>
            <w:shd w:val="clear" w:color="auto" w:fill="auto"/>
            <w:noWrap/>
            <w:vAlign w:val="bottom"/>
            <w:hideMark/>
          </w:tcPr>
          <w:p w14:paraId="0BF5A4CB"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1.000</w:t>
            </w:r>
          </w:p>
        </w:tc>
      </w:tr>
      <w:tr w:rsidR="00E02D66" w:rsidRPr="00E02D66" w14:paraId="339A7F70"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7A00A6BD" w14:textId="77777777" w:rsidR="00E02D66" w:rsidRPr="00E02D66" w:rsidRDefault="00E02D66" w:rsidP="00E02D66">
            <w:pPr>
              <w:spacing w:after="0" w:line="240" w:lineRule="auto"/>
              <w:rPr>
                <w:rFonts w:eastAsia="Times New Roman" w:cs="Calibri"/>
                <w:b/>
                <w:bCs/>
                <w:color w:val="000000"/>
                <w:sz w:val="20"/>
                <w:szCs w:val="20"/>
                <w:u w:val="single"/>
                <w:lang w:eastAsia="en-GB"/>
              </w:rPr>
            </w:pPr>
            <w:r w:rsidRPr="00E02D66">
              <w:rPr>
                <w:rFonts w:eastAsia="Times New Roman" w:cs="Calibri"/>
                <w:b/>
                <w:bCs/>
                <w:color w:val="000000"/>
                <w:sz w:val="20"/>
                <w:szCs w:val="20"/>
                <w:u w:val="single"/>
                <w:lang w:eastAsia="en-GB"/>
              </w:rPr>
              <w:t>Committed to future capital programmes</w:t>
            </w:r>
          </w:p>
        </w:tc>
        <w:tc>
          <w:tcPr>
            <w:tcW w:w="1038" w:type="dxa"/>
            <w:tcBorders>
              <w:top w:val="nil"/>
              <w:left w:val="nil"/>
              <w:bottom w:val="nil"/>
              <w:right w:val="single" w:sz="4" w:space="0" w:color="auto"/>
            </w:tcBorders>
            <w:shd w:val="clear" w:color="auto" w:fill="auto"/>
            <w:noWrap/>
            <w:vAlign w:val="bottom"/>
            <w:hideMark/>
          </w:tcPr>
          <w:p w14:paraId="06099879"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8" w:type="dxa"/>
            <w:tcBorders>
              <w:top w:val="nil"/>
              <w:left w:val="nil"/>
              <w:bottom w:val="nil"/>
              <w:right w:val="single" w:sz="4" w:space="0" w:color="auto"/>
            </w:tcBorders>
            <w:shd w:val="clear" w:color="auto" w:fill="auto"/>
            <w:noWrap/>
            <w:vAlign w:val="bottom"/>
            <w:hideMark/>
          </w:tcPr>
          <w:p w14:paraId="392B1E84"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463E8F82"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69145B18"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4CF7A500"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5381BF73"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r>
      <w:tr w:rsidR="00E02D66" w:rsidRPr="00E02D66" w14:paraId="60300948"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4917AB4D"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Capital Receipts</w:t>
            </w:r>
          </w:p>
        </w:tc>
        <w:tc>
          <w:tcPr>
            <w:tcW w:w="1038" w:type="dxa"/>
            <w:tcBorders>
              <w:top w:val="nil"/>
              <w:left w:val="nil"/>
              <w:bottom w:val="nil"/>
              <w:right w:val="single" w:sz="4" w:space="0" w:color="auto"/>
            </w:tcBorders>
            <w:shd w:val="clear" w:color="auto" w:fill="auto"/>
            <w:noWrap/>
            <w:vAlign w:val="bottom"/>
            <w:hideMark/>
          </w:tcPr>
          <w:p w14:paraId="2C138AFB"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0.442</w:t>
            </w:r>
          </w:p>
        </w:tc>
        <w:tc>
          <w:tcPr>
            <w:tcW w:w="1038" w:type="dxa"/>
            <w:tcBorders>
              <w:top w:val="nil"/>
              <w:left w:val="nil"/>
              <w:bottom w:val="nil"/>
              <w:right w:val="single" w:sz="4" w:space="0" w:color="auto"/>
            </w:tcBorders>
            <w:shd w:val="clear" w:color="auto" w:fill="auto"/>
            <w:noWrap/>
            <w:vAlign w:val="bottom"/>
            <w:hideMark/>
          </w:tcPr>
          <w:p w14:paraId="04C78924"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0.042</w:t>
            </w:r>
          </w:p>
        </w:tc>
        <w:tc>
          <w:tcPr>
            <w:tcW w:w="1039" w:type="dxa"/>
            <w:tcBorders>
              <w:top w:val="nil"/>
              <w:left w:val="nil"/>
              <w:bottom w:val="nil"/>
              <w:right w:val="single" w:sz="4" w:space="0" w:color="auto"/>
            </w:tcBorders>
            <w:shd w:val="clear" w:color="auto" w:fill="auto"/>
            <w:noWrap/>
            <w:vAlign w:val="bottom"/>
            <w:hideMark/>
          </w:tcPr>
          <w:p w14:paraId="75E4E844"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0.042</w:t>
            </w:r>
          </w:p>
        </w:tc>
        <w:tc>
          <w:tcPr>
            <w:tcW w:w="1039" w:type="dxa"/>
            <w:tcBorders>
              <w:top w:val="nil"/>
              <w:left w:val="nil"/>
              <w:bottom w:val="nil"/>
              <w:right w:val="single" w:sz="4" w:space="0" w:color="auto"/>
            </w:tcBorders>
            <w:shd w:val="clear" w:color="auto" w:fill="auto"/>
            <w:noWrap/>
            <w:vAlign w:val="bottom"/>
            <w:hideMark/>
          </w:tcPr>
          <w:p w14:paraId="69AF6FC3"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0.042</w:t>
            </w:r>
          </w:p>
        </w:tc>
        <w:tc>
          <w:tcPr>
            <w:tcW w:w="1039" w:type="dxa"/>
            <w:tcBorders>
              <w:top w:val="nil"/>
              <w:left w:val="nil"/>
              <w:bottom w:val="nil"/>
              <w:right w:val="single" w:sz="4" w:space="0" w:color="auto"/>
            </w:tcBorders>
            <w:shd w:val="clear" w:color="auto" w:fill="auto"/>
            <w:noWrap/>
            <w:vAlign w:val="bottom"/>
            <w:hideMark/>
          </w:tcPr>
          <w:p w14:paraId="0A5F7DCF"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0.042</w:t>
            </w:r>
          </w:p>
        </w:tc>
        <w:tc>
          <w:tcPr>
            <w:tcW w:w="1039" w:type="dxa"/>
            <w:tcBorders>
              <w:top w:val="nil"/>
              <w:left w:val="nil"/>
              <w:bottom w:val="nil"/>
              <w:right w:val="single" w:sz="4" w:space="0" w:color="auto"/>
            </w:tcBorders>
            <w:shd w:val="clear" w:color="auto" w:fill="auto"/>
            <w:noWrap/>
            <w:vAlign w:val="bottom"/>
            <w:hideMark/>
          </w:tcPr>
          <w:p w14:paraId="0C6A2C3E"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0.042</w:t>
            </w:r>
          </w:p>
        </w:tc>
      </w:tr>
      <w:tr w:rsidR="00E02D66" w:rsidRPr="00E02D66" w14:paraId="17BAF0F8"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2DE1094A"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Capital and ESN Reserve</w:t>
            </w:r>
          </w:p>
        </w:tc>
        <w:tc>
          <w:tcPr>
            <w:tcW w:w="1038" w:type="dxa"/>
            <w:tcBorders>
              <w:top w:val="nil"/>
              <w:left w:val="nil"/>
              <w:bottom w:val="nil"/>
              <w:right w:val="single" w:sz="4" w:space="0" w:color="auto"/>
            </w:tcBorders>
            <w:shd w:val="clear" w:color="auto" w:fill="auto"/>
            <w:noWrap/>
            <w:vAlign w:val="bottom"/>
            <w:hideMark/>
          </w:tcPr>
          <w:p w14:paraId="2D2E3892"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0.063</w:t>
            </w:r>
          </w:p>
        </w:tc>
        <w:tc>
          <w:tcPr>
            <w:tcW w:w="1038" w:type="dxa"/>
            <w:tcBorders>
              <w:top w:val="nil"/>
              <w:left w:val="nil"/>
              <w:bottom w:val="nil"/>
              <w:right w:val="single" w:sz="4" w:space="0" w:color="auto"/>
            </w:tcBorders>
            <w:shd w:val="clear" w:color="auto" w:fill="auto"/>
            <w:noWrap/>
            <w:vAlign w:val="bottom"/>
            <w:hideMark/>
          </w:tcPr>
          <w:p w14:paraId="613D06F6"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0.063</w:t>
            </w:r>
          </w:p>
        </w:tc>
        <w:tc>
          <w:tcPr>
            <w:tcW w:w="1039" w:type="dxa"/>
            <w:tcBorders>
              <w:top w:val="nil"/>
              <w:left w:val="nil"/>
              <w:bottom w:val="nil"/>
              <w:right w:val="single" w:sz="4" w:space="0" w:color="auto"/>
            </w:tcBorders>
            <w:shd w:val="clear" w:color="auto" w:fill="auto"/>
            <w:noWrap/>
            <w:vAlign w:val="bottom"/>
            <w:hideMark/>
          </w:tcPr>
          <w:p w14:paraId="7D4107F8"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0.063</w:t>
            </w:r>
          </w:p>
        </w:tc>
        <w:tc>
          <w:tcPr>
            <w:tcW w:w="1039" w:type="dxa"/>
            <w:tcBorders>
              <w:top w:val="nil"/>
              <w:left w:val="nil"/>
              <w:bottom w:val="nil"/>
              <w:right w:val="single" w:sz="4" w:space="0" w:color="auto"/>
            </w:tcBorders>
            <w:shd w:val="clear" w:color="auto" w:fill="auto"/>
            <w:noWrap/>
            <w:vAlign w:val="bottom"/>
            <w:hideMark/>
          </w:tcPr>
          <w:p w14:paraId="42DBB7EB"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0.063</w:t>
            </w:r>
          </w:p>
        </w:tc>
        <w:tc>
          <w:tcPr>
            <w:tcW w:w="1039" w:type="dxa"/>
            <w:tcBorders>
              <w:top w:val="nil"/>
              <w:left w:val="nil"/>
              <w:bottom w:val="nil"/>
              <w:right w:val="single" w:sz="4" w:space="0" w:color="auto"/>
            </w:tcBorders>
            <w:shd w:val="clear" w:color="auto" w:fill="auto"/>
            <w:noWrap/>
            <w:vAlign w:val="bottom"/>
            <w:hideMark/>
          </w:tcPr>
          <w:p w14:paraId="022B91E9"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0.063</w:t>
            </w:r>
          </w:p>
        </w:tc>
        <w:tc>
          <w:tcPr>
            <w:tcW w:w="1039" w:type="dxa"/>
            <w:tcBorders>
              <w:top w:val="nil"/>
              <w:left w:val="nil"/>
              <w:bottom w:val="nil"/>
              <w:right w:val="single" w:sz="4" w:space="0" w:color="auto"/>
            </w:tcBorders>
            <w:shd w:val="clear" w:color="auto" w:fill="auto"/>
            <w:noWrap/>
            <w:vAlign w:val="bottom"/>
            <w:hideMark/>
          </w:tcPr>
          <w:p w14:paraId="5C893B75"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0.063</w:t>
            </w:r>
          </w:p>
        </w:tc>
      </w:tr>
      <w:tr w:rsidR="00E02D66" w:rsidRPr="00E02D66" w14:paraId="287E60A9"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79BB0F11"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S106 Developer Contributions</w:t>
            </w:r>
          </w:p>
        </w:tc>
        <w:tc>
          <w:tcPr>
            <w:tcW w:w="1038" w:type="dxa"/>
            <w:tcBorders>
              <w:top w:val="nil"/>
              <w:left w:val="nil"/>
              <w:bottom w:val="nil"/>
              <w:right w:val="single" w:sz="4" w:space="0" w:color="auto"/>
            </w:tcBorders>
            <w:shd w:val="clear" w:color="auto" w:fill="auto"/>
            <w:noWrap/>
            <w:vAlign w:val="bottom"/>
            <w:hideMark/>
          </w:tcPr>
          <w:p w14:paraId="183DE921"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0.000</w:t>
            </w:r>
          </w:p>
        </w:tc>
        <w:tc>
          <w:tcPr>
            <w:tcW w:w="1038" w:type="dxa"/>
            <w:tcBorders>
              <w:top w:val="nil"/>
              <w:left w:val="nil"/>
              <w:bottom w:val="nil"/>
              <w:right w:val="single" w:sz="4" w:space="0" w:color="auto"/>
            </w:tcBorders>
            <w:shd w:val="clear" w:color="auto" w:fill="auto"/>
            <w:noWrap/>
            <w:vAlign w:val="bottom"/>
            <w:hideMark/>
          </w:tcPr>
          <w:p w14:paraId="1A254479"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0.000</w:t>
            </w:r>
          </w:p>
        </w:tc>
        <w:tc>
          <w:tcPr>
            <w:tcW w:w="1039" w:type="dxa"/>
            <w:tcBorders>
              <w:top w:val="nil"/>
              <w:left w:val="nil"/>
              <w:bottom w:val="nil"/>
              <w:right w:val="single" w:sz="4" w:space="0" w:color="auto"/>
            </w:tcBorders>
            <w:shd w:val="clear" w:color="auto" w:fill="auto"/>
            <w:noWrap/>
            <w:vAlign w:val="bottom"/>
            <w:hideMark/>
          </w:tcPr>
          <w:p w14:paraId="22C09340"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0.000</w:t>
            </w:r>
          </w:p>
        </w:tc>
        <w:tc>
          <w:tcPr>
            <w:tcW w:w="1039" w:type="dxa"/>
            <w:tcBorders>
              <w:top w:val="nil"/>
              <w:left w:val="nil"/>
              <w:bottom w:val="nil"/>
              <w:right w:val="single" w:sz="4" w:space="0" w:color="auto"/>
            </w:tcBorders>
            <w:shd w:val="clear" w:color="auto" w:fill="auto"/>
            <w:noWrap/>
            <w:vAlign w:val="bottom"/>
            <w:hideMark/>
          </w:tcPr>
          <w:p w14:paraId="50DDC80E"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0.000</w:t>
            </w:r>
          </w:p>
        </w:tc>
        <w:tc>
          <w:tcPr>
            <w:tcW w:w="1039" w:type="dxa"/>
            <w:tcBorders>
              <w:top w:val="nil"/>
              <w:left w:val="nil"/>
              <w:bottom w:val="nil"/>
              <w:right w:val="single" w:sz="4" w:space="0" w:color="auto"/>
            </w:tcBorders>
            <w:shd w:val="clear" w:color="auto" w:fill="auto"/>
            <w:noWrap/>
            <w:vAlign w:val="bottom"/>
            <w:hideMark/>
          </w:tcPr>
          <w:p w14:paraId="675097B3"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0.000</w:t>
            </w:r>
          </w:p>
        </w:tc>
        <w:tc>
          <w:tcPr>
            <w:tcW w:w="1039" w:type="dxa"/>
            <w:tcBorders>
              <w:top w:val="nil"/>
              <w:left w:val="nil"/>
              <w:bottom w:val="nil"/>
              <w:right w:val="single" w:sz="4" w:space="0" w:color="auto"/>
            </w:tcBorders>
            <w:shd w:val="clear" w:color="auto" w:fill="auto"/>
            <w:noWrap/>
            <w:vAlign w:val="bottom"/>
            <w:hideMark/>
          </w:tcPr>
          <w:p w14:paraId="19D8AD55"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0.000</w:t>
            </w:r>
          </w:p>
        </w:tc>
      </w:tr>
      <w:tr w:rsidR="00E02D66" w:rsidRPr="00E02D66" w14:paraId="00205AAD"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134EF183"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Capital Grants Unapplied</w:t>
            </w:r>
          </w:p>
        </w:tc>
        <w:tc>
          <w:tcPr>
            <w:tcW w:w="1038" w:type="dxa"/>
            <w:tcBorders>
              <w:top w:val="nil"/>
              <w:left w:val="nil"/>
              <w:bottom w:val="nil"/>
              <w:right w:val="single" w:sz="4" w:space="0" w:color="auto"/>
            </w:tcBorders>
            <w:shd w:val="clear" w:color="auto" w:fill="auto"/>
            <w:noWrap/>
            <w:vAlign w:val="bottom"/>
            <w:hideMark/>
          </w:tcPr>
          <w:p w14:paraId="5693F851"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0.417</w:t>
            </w:r>
          </w:p>
        </w:tc>
        <w:tc>
          <w:tcPr>
            <w:tcW w:w="1038" w:type="dxa"/>
            <w:tcBorders>
              <w:top w:val="nil"/>
              <w:left w:val="nil"/>
              <w:bottom w:val="nil"/>
              <w:right w:val="single" w:sz="4" w:space="0" w:color="auto"/>
            </w:tcBorders>
            <w:shd w:val="clear" w:color="auto" w:fill="auto"/>
            <w:noWrap/>
            <w:vAlign w:val="bottom"/>
            <w:hideMark/>
          </w:tcPr>
          <w:p w14:paraId="05AA3171"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0.417</w:t>
            </w:r>
          </w:p>
        </w:tc>
        <w:tc>
          <w:tcPr>
            <w:tcW w:w="1039" w:type="dxa"/>
            <w:tcBorders>
              <w:top w:val="nil"/>
              <w:left w:val="nil"/>
              <w:bottom w:val="nil"/>
              <w:right w:val="single" w:sz="4" w:space="0" w:color="auto"/>
            </w:tcBorders>
            <w:shd w:val="clear" w:color="auto" w:fill="auto"/>
            <w:noWrap/>
            <w:vAlign w:val="bottom"/>
            <w:hideMark/>
          </w:tcPr>
          <w:p w14:paraId="6D3772BF"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0.417</w:t>
            </w:r>
          </w:p>
        </w:tc>
        <w:tc>
          <w:tcPr>
            <w:tcW w:w="1039" w:type="dxa"/>
            <w:tcBorders>
              <w:top w:val="nil"/>
              <w:left w:val="nil"/>
              <w:bottom w:val="nil"/>
              <w:right w:val="single" w:sz="4" w:space="0" w:color="auto"/>
            </w:tcBorders>
            <w:shd w:val="clear" w:color="auto" w:fill="auto"/>
            <w:noWrap/>
            <w:vAlign w:val="bottom"/>
            <w:hideMark/>
          </w:tcPr>
          <w:p w14:paraId="0339FA28"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0.417</w:t>
            </w:r>
          </w:p>
        </w:tc>
        <w:tc>
          <w:tcPr>
            <w:tcW w:w="1039" w:type="dxa"/>
            <w:tcBorders>
              <w:top w:val="nil"/>
              <w:left w:val="nil"/>
              <w:bottom w:val="nil"/>
              <w:right w:val="single" w:sz="4" w:space="0" w:color="auto"/>
            </w:tcBorders>
            <w:shd w:val="clear" w:color="auto" w:fill="auto"/>
            <w:noWrap/>
            <w:vAlign w:val="bottom"/>
            <w:hideMark/>
          </w:tcPr>
          <w:p w14:paraId="623E923E"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0.417</w:t>
            </w:r>
          </w:p>
        </w:tc>
        <w:tc>
          <w:tcPr>
            <w:tcW w:w="1039" w:type="dxa"/>
            <w:tcBorders>
              <w:top w:val="nil"/>
              <w:left w:val="nil"/>
              <w:bottom w:val="nil"/>
              <w:right w:val="single" w:sz="4" w:space="0" w:color="auto"/>
            </w:tcBorders>
            <w:shd w:val="clear" w:color="auto" w:fill="auto"/>
            <w:noWrap/>
            <w:vAlign w:val="bottom"/>
            <w:hideMark/>
          </w:tcPr>
          <w:p w14:paraId="157D39D5"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0.417</w:t>
            </w:r>
          </w:p>
        </w:tc>
      </w:tr>
      <w:tr w:rsidR="00E02D66" w:rsidRPr="00E02D66" w14:paraId="6AFB26CB"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74435E75"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 </w:t>
            </w:r>
          </w:p>
        </w:tc>
        <w:tc>
          <w:tcPr>
            <w:tcW w:w="1038" w:type="dxa"/>
            <w:tcBorders>
              <w:top w:val="nil"/>
              <w:left w:val="nil"/>
              <w:bottom w:val="nil"/>
              <w:right w:val="single" w:sz="4" w:space="0" w:color="auto"/>
            </w:tcBorders>
            <w:shd w:val="clear" w:color="auto" w:fill="auto"/>
            <w:noWrap/>
            <w:vAlign w:val="bottom"/>
            <w:hideMark/>
          </w:tcPr>
          <w:p w14:paraId="578BB6E0"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0.922</w:t>
            </w:r>
          </w:p>
        </w:tc>
        <w:tc>
          <w:tcPr>
            <w:tcW w:w="1038" w:type="dxa"/>
            <w:tcBorders>
              <w:top w:val="nil"/>
              <w:left w:val="nil"/>
              <w:bottom w:val="nil"/>
              <w:right w:val="single" w:sz="4" w:space="0" w:color="auto"/>
            </w:tcBorders>
            <w:shd w:val="clear" w:color="auto" w:fill="auto"/>
            <w:noWrap/>
            <w:vAlign w:val="bottom"/>
            <w:hideMark/>
          </w:tcPr>
          <w:p w14:paraId="25F387B8"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0.522</w:t>
            </w:r>
          </w:p>
        </w:tc>
        <w:tc>
          <w:tcPr>
            <w:tcW w:w="1039" w:type="dxa"/>
            <w:tcBorders>
              <w:top w:val="nil"/>
              <w:left w:val="nil"/>
              <w:bottom w:val="nil"/>
              <w:right w:val="single" w:sz="4" w:space="0" w:color="auto"/>
            </w:tcBorders>
            <w:shd w:val="clear" w:color="auto" w:fill="auto"/>
            <w:noWrap/>
            <w:vAlign w:val="bottom"/>
            <w:hideMark/>
          </w:tcPr>
          <w:p w14:paraId="0AAA573E"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0.522</w:t>
            </w:r>
          </w:p>
        </w:tc>
        <w:tc>
          <w:tcPr>
            <w:tcW w:w="1039" w:type="dxa"/>
            <w:tcBorders>
              <w:top w:val="nil"/>
              <w:left w:val="nil"/>
              <w:bottom w:val="nil"/>
              <w:right w:val="single" w:sz="4" w:space="0" w:color="auto"/>
            </w:tcBorders>
            <w:shd w:val="clear" w:color="auto" w:fill="auto"/>
            <w:noWrap/>
            <w:vAlign w:val="bottom"/>
            <w:hideMark/>
          </w:tcPr>
          <w:p w14:paraId="43E19E3F"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0.522</w:t>
            </w:r>
          </w:p>
        </w:tc>
        <w:tc>
          <w:tcPr>
            <w:tcW w:w="1039" w:type="dxa"/>
            <w:tcBorders>
              <w:top w:val="nil"/>
              <w:left w:val="nil"/>
              <w:bottom w:val="nil"/>
              <w:right w:val="single" w:sz="4" w:space="0" w:color="auto"/>
            </w:tcBorders>
            <w:shd w:val="clear" w:color="auto" w:fill="auto"/>
            <w:noWrap/>
            <w:vAlign w:val="bottom"/>
            <w:hideMark/>
          </w:tcPr>
          <w:p w14:paraId="41809D9F"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0.522</w:t>
            </w:r>
          </w:p>
        </w:tc>
        <w:tc>
          <w:tcPr>
            <w:tcW w:w="1039" w:type="dxa"/>
            <w:tcBorders>
              <w:top w:val="nil"/>
              <w:left w:val="nil"/>
              <w:bottom w:val="nil"/>
              <w:right w:val="single" w:sz="4" w:space="0" w:color="auto"/>
            </w:tcBorders>
            <w:shd w:val="clear" w:color="auto" w:fill="auto"/>
            <w:noWrap/>
            <w:vAlign w:val="bottom"/>
            <w:hideMark/>
          </w:tcPr>
          <w:p w14:paraId="7E2BA237"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0.522</w:t>
            </w:r>
          </w:p>
        </w:tc>
      </w:tr>
      <w:tr w:rsidR="00E02D66" w:rsidRPr="00E02D66" w14:paraId="4BAAC6B6"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400C1BAD" w14:textId="77777777" w:rsidR="00E02D66" w:rsidRPr="00E02D66" w:rsidRDefault="00E02D66" w:rsidP="00E02D66">
            <w:pPr>
              <w:spacing w:after="0" w:line="240" w:lineRule="auto"/>
              <w:rPr>
                <w:rFonts w:eastAsia="Times New Roman" w:cs="Calibri"/>
                <w:color w:val="FF0000"/>
                <w:sz w:val="20"/>
                <w:szCs w:val="20"/>
                <w:lang w:eastAsia="en-GB"/>
              </w:rPr>
            </w:pPr>
            <w:r w:rsidRPr="00E02D66">
              <w:rPr>
                <w:rFonts w:eastAsia="Times New Roman" w:cs="Calibri"/>
                <w:color w:val="FF0000"/>
                <w:sz w:val="20"/>
                <w:szCs w:val="20"/>
                <w:lang w:eastAsia="en-GB"/>
              </w:rPr>
              <w:t> </w:t>
            </w:r>
          </w:p>
        </w:tc>
        <w:tc>
          <w:tcPr>
            <w:tcW w:w="1038" w:type="dxa"/>
            <w:tcBorders>
              <w:top w:val="nil"/>
              <w:left w:val="nil"/>
              <w:bottom w:val="nil"/>
              <w:right w:val="single" w:sz="4" w:space="0" w:color="auto"/>
            </w:tcBorders>
            <w:shd w:val="clear" w:color="auto" w:fill="auto"/>
            <w:noWrap/>
            <w:vAlign w:val="bottom"/>
            <w:hideMark/>
          </w:tcPr>
          <w:p w14:paraId="2B8EA546" w14:textId="77777777" w:rsidR="00E02D66" w:rsidRPr="00E02D66" w:rsidRDefault="00E02D66" w:rsidP="00E02D66">
            <w:pPr>
              <w:spacing w:after="0" w:line="240" w:lineRule="auto"/>
              <w:rPr>
                <w:rFonts w:eastAsia="Times New Roman" w:cs="Calibri"/>
                <w:b/>
                <w:bCs/>
                <w:color w:val="FF0000"/>
                <w:sz w:val="20"/>
                <w:szCs w:val="20"/>
                <w:lang w:eastAsia="en-GB"/>
              </w:rPr>
            </w:pPr>
            <w:r w:rsidRPr="00E02D66">
              <w:rPr>
                <w:rFonts w:eastAsia="Times New Roman" w:cs="Calibri"/>
                <w:b/>
                <w:bCs/>
                <w:color w:val="FF0000"/>
                <w:sz w:val="20"/>
                <w:szCs w:val="20"/>
                <w:lang w:eastAsia="en-GB"/>
              </w:rPr>
              <w:t> </w:t>
            </w:r>
          </w:p>
        </w:tc>
        <w:tc>
          <w:tcPr>
            <w:tcW w:w="1038" w:type="dxa"/>
            <w:tcBorders>
              <w:top w:val="nil"/>
              <w:left w:val="nil"/>
              <w:bottom w:val="nil"/>
              <w:right w:val="single" w:sz="4" w:space="0" w:color="auto"/>
            </w:tcBorders>
            <w:shd w:val="clear" w:color="auto" w:fill="auto"/>
            <w:noWrap/>
            <w:vAlign w:val="bottom"/>
            <w:hideMark/>
          </w:tcPr>
          <w:p w14:paraId="1A6737B6" w14:textId="77777777" w:rsidR="00E02D66" w:rsidRPr="00E02D66" w:rsidRDefault="00E02D66" w:rsidP="00E02D66">
            <w:pPr>
              <w:spacing w:after="0" w:line="240" w:lineRule="auto"/>
              <w:rPr>
                <w:rFonts w:eastAsia="Times New Roman" w:cs="Calibri"/>
                <w:b/>
                <w:bCs/>
                <w:color w:val="FF0000"/>
                <w:sz w:val="20"/>
                <w:szCs w:val="20"/>
                <w:lang w:eastAsia="en-GB"/>
              </w:rPr>
            </w:pPr>
            <w:r w:rsidRPr="00E02D66">
              <w:rPr>
                <w:rFonts w:eastAsia="Times New Roman" w:cs="Calibri"/>
                <w:b/>
                <w:bCs/>
                <w:color w:val="FF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04D10D53" w14:textId="77777777" w:rsidR="00E02D66" w:rsidRPr="00E02D66" w:rsidRDefault="00E02D66" w:rsidP="00E02D66">
            <w:pPr>
              <w:spacing w:after="0" w:line="240" w:lineRule="auto"/>
              <w:rPr>
                <w:rFonts w:eastAsia="Times New Roman" w:cs="Calibri"/>
                <w:b/>
                <w:bCs/>
                <w:color w:val="FF0000"/>
                <w:sz w:val="20"/>
                <w:szCs w:val="20"/>
                <w:lang w:eastAsia="en-GB"/>
              </w:rPr>
            </w:pPr>
            <w:r w:rsidRPr="00E02D66">
              <w:rPr>
                <w:rFonts w:eastAsia="Times New Roman" w:cs="Calibri"/>
                <w:b/>
                <w:bCs/>
                <w:color w:val="FF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62F8D236" w14:textId="77777777" w:rsidR="00E02D66" w:rsidRPr="00E02D66" w:rsidRDefault="00E02D66" w:rsidP="00E02D66">
            <w:pPr>
              <w:spacing w:after="0" w:line="240" w:lineRule="auto"/>
              <w:rPr>
                <w:rFonts w:eastAsia="Times New Roman" w:cs="Calibri"/>
                <w:b/>
                <w:bCs/>
                <w:color w:val="FF0000"/>
                <w:sz w:val="20"/>
                <w:szCs w:val="20"/>
                <w:lang w:eastAsia="en-GB"/>
              </w:rPr>
            </w:pPr>
            <w:r w:rsidRPr="00E02D66">
              <w:rPr>
                <w:rFonts w:eastAsia="Times New Roman" w:cs="Calibri"/>
                <w:b/>
                <w:bCs/>
                <w:color w:val="FF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7EA55022" w14:textId="77777777" w:rsidR="00E02D66" w:rsidRPr="00E02D66" w:rsidRDefault="00E02D66" w:rsidP="00E02D66">
            <w:pPr>
              <w:spacing w:after="0" w:line="240" w:lineRule="auto"/>
              <w:rPr>
                <w:rFonts w:eastAsia="Times New Roman" w:cs="Calibri"/>
                <w:b/>
                <w:bCs/>
                <w:color w:val="FF0000"/>
                <w:sz w:val="20"/>
                <w:szCs w:val="20"/>
                <w:lang w:eastAsia="en-GB"/>
              </w:rPr>
            </w:pPr>
            <w:r w:rsidRPr="00E02D66">
              <w:rPr>
                <w:rFonts w:eastAsia="Times New Roman" w:cs="Calibri"/>
                <w:b/>
                <w:bCs/>
                <w:color w:val="FF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2700257C" w14:textId="77777777" w:rsidR="00E02D66" w:rsidRPr="00E02D66" w:rsidRDefault="00E02D66" w:rsidP="00E02D66">
            <w:pPr>
              <w:spacing w:after="0" w:line="240" w:lineRule="auto"/>
              <w:rPr>
                <w:rFonts w:eastAsia="Times New Roman" w:cs="Calibri"/>
                <w:b/>
                <w:bCs/>
                <w:color w:val="FF0000"/>
                <w:sz w:val="20"/>
                <w:szCs w:val="20"/>
                <w:lang w:eastAsia="en-GB"/>
              </w:rPr>
            </w:pPr>
            <w:r w:rsidRPr="00E02D66">
              <w:rPr>
                <w:rFonts w:eastAsia="Times New Roman" w:cs="Calibri"/>
                <w:b/>
                <w:bCs/>
                <w:color w:val="FF0000"/>
                <w:sz w:val="20"/>
                <w:szCs w:val="20"/>
                <w:lang w:eastAsia="en-GB"/>
              </w:rPr>
              <w:t> </w:t>
            </w:r>
          </w:p>
        </w:tc>
      </w:tr>
      <w:tr w:rsidR="00E02D66" w:rsidRPr="00E02D66" w14:paraId="52CCC105" w14:textId="77777777" w:rsidTr="00E02D66">
        <w:trPr>
          <w:trHeight w:val="315"/>
        </w:trPr>
        <w:tc>
          <w:tcPr>
            <w:tcW w:w="3648" w:type="dxa"/>
            <w:tcBorders>
              <w:top w:val="nil"/>
              <w:left w:val="single" w:sz="4" w:space="0" w:color="auto"/>
              <w:bottom w:val="nil"/>
              <w:right w:val="nil"/>
            </w:tcBorders>
            <w:shd w:val="clear" w:color="auto" w:fill="auto"/>
            <w:noWrap/>
            <w:vAlign w:val="bottom"/>
            <w:hideMark/>
          </w:tcPr>
          <w:p w14:paraId="71960496"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Total Earmarked Reserves</w:t>
            </w:r>
          </w:p>
        </w:tc>
        <w:tc>
          <w:tcPr>
            <w:tcW w:w="1038" w:type="dxa"/>
            <w:tcBorders>
              <w:top w:val="single" w:sz="4" w:space="0" w:color="auto"/>
              <w:left w:val="nil"/>
              <w:bottom w:val="single" w:sz="8" w:space="0" w:color="auto"/>
              <w:right w:val="single" w:sz="4" w:space="0" w:color="auto"/>
            </w:tcBorders>
            <w:shd w:val="clear" w:color="auto" w:fill="auto"/>
            <w:noWrap/>
            <w:vAlign w:val="bottom"/>
            <w:hideMark/>
          </w:tcPr>
          <w:p w14:paraId="233AF1D8"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3.231</w:t>
            </w:r>
          </w:p>
        </w:tc>
        <w:tc>
          <w:tcPr>
            <w:tcW w:w="1038" w:type="dxa"/>
            <w:tcBorders>
              <w:top w:val="single" w:sz="4" w:space="0" w:color="auto"/>
              <w:left w:val="nil"/>
              <w:bottom w:val="single" w:sz="8" w:space="0" w:color="auto"/>
              <w:right w:val="single" w:sz="4" w:space="0" w:color="auto"/>
            </w:tcBorders>
            <w:shd w:val="clear" w:color="auto" w:fill="auto"/>
            <w:noWrap/>
            <w:vAlign w:val="bottom"/>
            <w:hideMark/>
          </w:tcPr>
          <w:p w14:paraId="275CAEFB"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2.112</w:t>
            </w:r>
          </w:p>
        </w:tc>
        <w:tc>
          <w:tcPr>
            <w:tcW w:w="1039" w:type="dxa"/>
            <w:tcBorders>
              <w:top w:val="single" w:sz="4" w:space="0" w:color="auto"/>
              <w:left w:val="nil"/>
              <w:bottom w:val="single" w:sz="8" w:space="0" w:color="auto"/>
              <w:right w:val="single" w:sz="4" w:space="0" w:color="auto"/>
            </w:tcBorders>
            <w:shd w:val="clear" w:color="auto" w:fill="auto"/>
            <w:noWrap/>
            <w:vAlign w:val="bottom"/>
            <w:hideMark/>
          </w:tcPr>
          <w:p w14:paraId="29B19FE9"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2.212</w:t>
            </w:r>
          </w:p>
        </w:tc>
        <w:tc>
          <w:tcPr>
            <w:tcW w:w="1039" w:type="dxa"/>
            <w:tcBorders>
              <w:top w:val="single" w:sz="4" w:space="0" w:color="auto"/>
              <w:left w:val="nil"/>
              <w:bottom w:val="single" w:sz="8" w:space="0" w:color="auto"/>
              <w:right w:val="single" w:sz="4" w:space="0" w:color="auto"/>
            </w:tcBorders>
            <w:shd w:val="clear" w:color="auto" w:fill="auto"/>
            <w:noWrap/>
            <w:vAlign w:val="bottom"/>
            <w:hideMark/>
          </w:tcPr>
          <w:p w14:paraId="1E50877C"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2.312</w:t>
            </w:r>
          </w:p>
        </w:tc>
        <w:tc>
          <w:tcPr>
            <w:tcW w:w="1039" w:type="dxa"/>
            <w:tcBorders>
              <w:top w:val="single" w:sz="4" w:space="0" w:color="auto"/>
              <w:left w:val="nil"/>
              <w:bottom w:val="single" w:sz="8" w:space="0" w:color="auto"/>
              <w:right w:val="single" w:sz="4" w:space="0" w:color="auto"/>
            </w:tcBorders>
            <w:shd w:val="clear" w:color="auto" w:fill="auto"/>
            <w:noWrap/>
            <w:vAlign w:val="bottom"/>
            <w:hideMark/>
          </w:tcPr>
          <w:p w14:paraId="126A71B9"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2.412</w:t>
            </w:r>
          </w:p>
        </w:tc>
        <w:tc>
          <w:tcPr>
            <w:tcW w:w="1039" w:type="dxa"/>
            <w:tcBorders>
              <w:top w:val="single" w:sz="4" w:space="0" w:color="auto"/>
              <w:left w:val="nil"/>
              <w:bottom w:val="single" w:sz="8" w:space="0" w:color="auto"/>
              <w:right w:val="single" w:sz="4" w:space="0" w:color="auto"/>
            </w:tcBorders>
            <w:shd w:val="clear" w:color="auto" w:fill="auto"/>
            <w:noWrap/>
            <w:vAlign w:val="bottom"/>
            <w:hideMark/>
          </w:tcPr>
          <w:p w14:paraId="1899793C"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2.412</w:t>
            </w:r>
          </w:p>
        </w:tc>
      </w:tr>
      <w:tr w:rsidR="00E02D66" w:rsidRPr="00E02D66" w14:paraId="6EECDC45"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1415CEEF"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8" w:type="dxa"/>
            <w:tcBorders>
              <w:top w:val="nil"/>
              <w:left w:val="nil"/>
              <w:bottom w:val="nil"/>
              <w:right w:val="single" w:sz="4" w:space="0" w:color="auto"/>
            </w:tcBorders>
            <w:shd w:val="clear" w:color="auto" w:fill="auto"/>
            <w:noWrap/>
            <w:vAlign w:val="bottom"/>
            <w:hideMark/>
          </w:tcPr>
          <w:p w14:paraId="23B072CE"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8" w:type="dxa"/>
            <w:tcBorders>
              <w:top w:val="nil"/>
              <w:left w:val="nil"/>
              <w:bottom w:val="nil"/>
              <w:right w:val="single" w:sz="4" w:space="0" w:color="auto"/>
            </w:tcBorders>
            <w:shd w:val="clear" w:color="auto" w:fill="auto"/>
            <w:noWrap/>
            <w:vAlign w:val="bottom"/>
            <w:hideMark/>
          </w:tcPr>
          <w:p w14:paraId="4331035B"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4A5A8E94"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0F1C9969"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57361C39"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51E590B2"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r>
      <w:tr w:rsidR="00E02D66" w:rsidRPr="00E02D66" w14:paraId="7B5D9063" w14:textId="77777777" w:rsidTr="00E02D66">
        <w:trPr>
          <w:trHeight w:val="300"/>
        </w:trPr>
        <w:tc>
          <w:tcPr>
            <w:tcW w:w="3648" w:type="dxa"/>
            <w:tcBorders>
              <w:top w:val="nil"/>
              <w:left w:val="single" w:sz="4" w:space="0" w:color="auto"/>
              <w:bottom w:val="nil"/>
              <w:right w:val="nil"/>
            </w:tcBorders>
            <w:shd w:val="clear" w:color="auto" w:fill="auto"/>
            <w:noWrap/>
            <w:vAlign w:val="bottom"/>
            <w:hideMark/>
          </w:tcPr>
          <w:p w14:paraId="0FCB3A95"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 xml:space="preserve">General Fund </w:t>
            </w:r>
          </w:p>
        </w:tc>
        <w:tc>
          <w:tcPr>
            <w:tcW w:w="1038" w:type="dxa"/>
            <w:tcBorders>
              <w:top w:val="nil"/>
              <w:left w:val="nil"/>
              <w:bottom w:val="nil"/>
              <w:right w:val="single" w:sz="4" w:space="0" w:color="auto"/>
            </w:tcBorders>
            <w:shd w:val="clear" w:color="auto" w:fill="auto"/>
            <w:noWrap/>
            <w:vAlign w:val="bottom"/>
            <w:hideMark/>
          </w:tcPr>
          <w:p w14:paraId="02930ED2"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2.000</w:t>
            </w:r>
          </w:p>
        </w:tc>
        <w:tc>
          <w:tcPr>
            <w:tcW w:w="1038" w:type="dxa"/>
            <w:tcBorders>
              <w:top w:val="nil"/>
              <w:left w:val="nil"/>
              <w:bottom w:val="nil"/>
              <w:right w:val="single" w:sz="4" w:space="0" w:color="auto"/>
            </w:tcBorders>
            <w:shd w:val="clear" w:color="auto" w:fill="auto"/>
            <w:noWrap/>
            <w:vAlign w:val="bottom"/>
            <w:hideMark/>
          </w:tcPr>
          <w:p w14:paraId="5EAC339A"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2.000</w:t>
            </w:r>
          </w:p>
        </w:tc>
        <w:tc>
          <w:tcPr>
            <w:tcW w:w="1039" w:type="dxa"/>
            <w:tcBorders>
              <w:top w:val="nil"/>
              <w:left w:val="nil"/>
              <w:bottom w:val="nil"/>
              <w:right w:val="single" w:sz="4" w:space="0" w:color="auto"/>
            </w:tcBorders>
            <w:shd w:val="clear" w:color="auto" w:fill="auto"/>
            <w:noWrap/>
            <w:vAlign w:val="bottom"/>
            <w:hideMark/>
          </w:tcPr>
          <w:p w14:paraId="0F448653"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2.000</w:t>
            </w:r>
          </w:p>
        </w:tc>
        <w:tc>
          <w:tcPr>
            <w:tcW w:w="1039" w:type="dxa"/>
            <w:tcBorders>
              <w:top w:val="nil"/>
              <w:left w:val="nil"/>
              <w:bottom w:val="nil"/>
              <w:right w:val="single" w:sz="4" w:space="0" w:color="auto"/>
            </w:tcBorders>
            <w:shd w:val="clear" w:color="auto" w:fill="auto"/>
            <w:noWrap/>
            <w:vAlign w:val="bottom"/>
            <w:hideMark/>
          </w:tcPr>
          <w:p w14:paraId="52E1CD6E"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2.000</w:t>
            </w:r>
          </w:p>
        </w:tc>
        <w:tc>
          <w:tcPr>
            <w:tcW w:w="1039" w:type="dxa"/>
            <w:tcBorders>
              <w:top w:val="nil"/>
              <w:left w:val="nil"/>
              <w:bottom w:val="nil"/>
              <w:right w:val="single" w:sz="4" w:space="0" w:color="auto"/>
            </w:tcBorders>
            <w:shd w:val="clear" w:color="auto" w:fill="auto"/>
            <w:noWrap/>
            <w:vAlign w:val="bottom"/>
            <w:hideMark/>
          </w:tcPr>
          <w:p w14:paraId="3B92E667"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2.000</w:t>
            </w:r>
          </w:p>
        </w:tc>
        <w:tc>
          <w:tcPr>
            <w:tcW w:w="1039" w:type="dxa"/>
            <w:tcBorders>
              <w:top w:val="nil"/>
              <w:left w:val="nil"/>
              <w:bottom w:val="nil"/>
              <w:right w:val="single" w:sz="4" w:space="0" w:color="auto"/>
            </w:tcBorders>
            <w:shd w:val="clear" w:color="auto" w:fill="auto"/>
            <w:noWrap/>
            <w:vAlign w:val="bottom"/>
            <w:hideMark/>
          </w:tcPr>
          <w:p w14:paraId="0D9DD769" w14:textId="77777777" w:rsidR="00E02D66" w:rsidRPr="00E02D66" w:rsidRDefault="00E02D66" w:rsidP="00E02D66">
            <w:pPr>
              <w:spacing w:after="0" w:line="240" w:lineRule="auto"/>
              <w:jc w:val="right"/>
              <w:rPr>
                <w:rFonts w:eastAsia="Times New Roman" w:cs="Calibri"/>
                <w:color w:val="000000"/>
                <w:sz w:val="20"/>
                <w:szCs w:val="20"/>
                <w:lang w:eastAsia="en-GB"/>
              </w:rPr>
            </w:pPr>
            <w:r w:rsidRPr="00E02D66">
              <w:rPr>
                <w:rFonts w:eastAsia="Times New Roman" w:cs="Calibri"/>
                <w:color w:val="000000"/>
                <w:sz w:val="20"/>
                <w:szCs w:val="20"/>
                <w:lang w:eastAsia="en-GB"/>
              </w:rPr>
              <w:t>2.000</w:t>
            </w:r>
          </w:p>
        </w:tc>
      </w:tr>
      <w:tr w:rsidR="00E02D66" w:rsidRPr="00E02D66" w14:paraId="1BF07B88" w14:textId="77777777" w:rsidTr="00E02D66">
        <w:trPr>
          <w:trHeight w:val="600"/>
        </w:trPr>
        <w:tc>
          <w:tcPr>
            <w:tcW w:w="3648" w:type="dxa"/>
            <w:tcBorders>
              <w:top w:val="nil"/>
              <w:left w:val="single" w:sz="4" w:space="0" w:color="auto"/>
              <w:bottom w:val="nil"/>
              <w:right w:val="nil"/>
            </w:tcBorders>
            <w:shd w:val="clear" w:color="auto" w:fill="auto"/>
            <w:noWrap/>
            <w:vAlign w:val="bottom"/>
            <w:hideMark/>
          </w:tcPr>
          <w:p w14:paraId="4F791D7A" w14:textId="77777777" w:rsidR="00E02D66" w:rsidRPr="00E02D66" w:rsidRDefault="00E02D66" w:rsidP="00E02D66">
            <w:pPr>
              <w:spacing w:after="0" w:line="240" w:lineRule="auto"/>
              <w:rPr>
                <w:rFonts w:eastAsia="Times New Roman" w:cs="Calibri"/>
                <w:color w:val="000000"/>
                <w:sz w:val="20"/>
                <w:szCs w:val="20"/>
                <w:lang w:eastAsia="en-GB"/>
              </w:rPr>
            </w:pPr>
            <w:r w:rsidRPr="00E02D66">
              <w:rPr>
                <w:rFonts w:eastAsia="Times New Roman" w:cs="Calibri"/>
                <w:color w:val="000000"/>
                <w:sz w:val="20"/>
                <w:szCs w:val="20"/>
                <w:lang w:eastAsia="en-GB"/>
              </w:rPr>
              <w:t> </w:t>
            </w:r>
          </w:p>
        </w:tc>
        <w:tc>
          <w:tcPr>
            <w:tcW w:w="1038" w:type="dxa"/>
            <w:tcBorders>
              <w:top w:val="nil"/>
              <w:left w:val="nil"/>
              <w:bottom w:val="nil"/>
              <w:right w:val="single" w:sz="4" w:space="0" w:color="auto"/>
            </w:tcBorders>
            <w:shd w:val="clear" w:color="auto" w:fill="auto"/>
            <w:noWrap/>
            <w:vAlign w:val="bottom"/>
            <w:hideMark/>
          </w:tcPr>
          <w:p w14:paraId="746CA05E"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8" w:type="dxa"/>
            <w:tcBorders>
              <w:top w:val="nil"/>
              <w:left w:val="nil"/>
              <w:bottom w:val="nil"/>
              <w:right w:val="single" w:sz="4" w:space="0" w:color="auto"/>
            </w:tcBorders>
            <w:shd w:val="clear" w:color="auto" w:fill="auto"/>
            <w:noWrap/>
            <w:vAlign w:val="bottom"/>
            <w:hideMark/>
          </w:tcPr>
          <w:p w14:paraId="06512831"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727FA4F5"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25E83DF2"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599D38F7"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c>
          <w:tcPr>
            <w:tcW w:w="1039" w:type="dxa"/>
            <w:tcBorders>
              <w:top w:val="nil"/>
              <w:left w:val="nil"/>
              <w:bottom w:val="nil"/>
              <w:right w:val="single" w:sz="4" w:space="0" w:color="auto"/>
            </w:tcBorders>
            <w:shd w:val="clear" w:color="auto" w:fill="auto"/>
            <w:noWrap/>
            <w:vAlign w:val="bottom"/>
            <w:hideMark/>
          </w:tcPr>
          <w:p w14:paraId="7F9F4394"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 </w:t>
            </w:r>
          </w:p>
        </w:tc>
      </w:tr>
      <w:tr w:rsidR="00E02D66" w:rsidRPr="00E02D66" w14:paraId="000E36CB" w14:textId="77777777" w:rsidTr="00E02D66">
        <w:trPr>
          <w:trHeight w:val="300"/>
        </w:trPr>
        <w:tc>
          <w:tcPr>
            <w:tcW w:w="3648" w:type="dxa"/>
            <w:tcBorders>
              <w:top w:val="nil"/>
              <w:left w:val="single" w:sz="4" w:space="0" w:color="auto"/>
              <w:bottom w:val="single" w:sz="4" w:space="0" w:color="auto"/>
              <w:right w:val="nil"/>
            </w:tcBorders>
            <w:shd w:val="clear" w:color="auto" w:fill="auto"/>
            <w:noWrap/>
            <w:vAlign w:val="bottom"/>
            <w:hideMark/>
          </w:tcPr>
          <w:p w14:paraId="73BFC022" w14:textId="77777777" w:rsidR="00E02D66" w:rsidRPr="00E02D66" w:rsidRDefault="00E02D66" w:rsidP="00E02D66">
            <w:pPr>
              <w:spacing w:after="0" w:line="240" w:lineRule="auto"/>
              <w:rPr>
                <w:rFonts w:eastAsia="Times New Roman" w:cs="Calibri"/>
                <w:b/>
                <w:bCs/>
                <w:color w:val="000000"/>
                <w:sz w:val="20"/>
                <w:szCs w:val="20"/>
                <w:lang w:eastAsia="en-GB"/>
              </w:rPr>
            </w:pPr>
            <w:r w:rsidRPr="00E02D66">
              <w:rPr>
                <w:rFonts w:eastAsia="Times New Roman" w:cs="Calibri"/>
                <w:b/>
                <w:bCs/>
                <w:color w:val="000000"/>
                <w:sz w:val="20"/>
                <w:szCs w:val="20"/>
                <w:lang w:eastAsia="en-GB"/>
              </w:rPr>
              <w:t>Total Reserves</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1E3ACD3E"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5.231</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50E084C9"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4.112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5052F4E0"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4.212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98917C2"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4.312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B6133E9"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4.412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B114198" w14:textId="77777777" w:rsidR="00E02D66" w:rsidRPr="00E02D66" w:rsidRDefault="00E02D66" w:rsidP="00E02D66">
            <w:pPr>
              <w:spacing w:after="0" w:line="240" w:lineRule="auto"/>
              <w:jc w:val="right"/>
              <w:rPr>
                <w:rFonts w:eastAsia="Times New Roman" w:cs="Calibri"/>
                <w:b/>
                <w:bCs/>
                <w:color w:val="000000"/>
                <w:sz w:val="20"/>
                <w:szCs w:val="20"/>
                <w:lang w:eastAsia="en-GB"/>
              </w:rPr>
            </w:pPr>
            <w:r w:rsidRPr="00E02D66">
              <w:rPr>
                <w:rFonts w:eastAsia="Times New Roman" w:cs="Calibri"/>
                <w:b/>
                <w:bCs/>
                <w:color w:val="000000"/>
                <w:sz w:val="20"/>
                <w:szCs w:val="20"/>
                <w:lang w:eastAsia="en-GB"/>
              </w:rPr>
              <w:t>4.412</w:t>
            </w:r>
          </w:p>
        </w:tc>
      </w:tr>
    </w:tbl>
    <w:p w14:paraId="3ADDAD41" w14:textId="70238281" w:rsidR="00F115BD" w:rsidRPr="00EF3054" w:rsidRDefault="00F115BD" w:rsidP="00EF3054">
      <w:pPr>
        <w:jc w:val="center"/>
        <w:rPr>
          <w:b/>
        </w:rPr>
      </w:pPr>
    </w:p>
    <w:sectPr w:rsidR="00F115BD" w:rsidRPr="00EF3054" w:rsidSect="00E02D6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C6DBE" w14:textId="77777777" w:rsidR="005454FF" w:rsidRDefault="005454FF" w:rsidP="008B7473">
      <w:pPr>
        <w:spacing w:after="0" w:line="240" w:lineRule="auto"/>
      </w:pPr>
      <w:r>
        <w:separator/>
      </w:r>
    </w:p>
  </w:endnote>
  <w:endnote w:type="continuationSeparator" w:id="0">
    <w:p w14:paraId="3E3BB044" w14:textId="77777777" w:rsidR="005454FF" w:rsidRDefault="005454FF" w:rsidP="008B7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85D77" w14:textId="77777777" w:rsidR="00F115BD" w:rsidRDefault="00F115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C658BF" w14:textId="77777777" w:rsidR="00F115BD" w:rsidRDefault="00F115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36B7" w14:textId="77777777" w:rsidR="00F115BD" w:rsidRDefault="00F115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E19BD" w14:textId="77777777" w:rsidR="00F115BD" w:rsidRDefault="00F115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F1FF8" w14:textId="77777777" w:rsidR="00F4100B" w:rsidRDefault="00F4100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582" w14:textId="77777777" w:rsidR="00F4100B" w:rsidRDefault="00F410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5B50" w14:textId="77777777" w:rsidR="00F4100B" w:rsidRDefault="00F41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5686C" w14:textId="77777777" w:rsidR="005454FF" w:rsidRDefault="005454FF" w:rsidP="008B7473">
      <w:pPr>
        <w:spacing w:after="0" w:line="240" w:lineRule="auto"/>
      </w:pPr>
      <w:r>
        <w:separator/>
      </w:r>
    </w:p>
  </w:footnote>
  <w:footnote w:type="continuationSeparator" w:id="0">
    <w:p w14:paraId="56768947" w14:textId="77777777" w:rsidR="005454FF" w:rsidRDefault="005454FF" w:rsidP="008B7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D511" w14:textId="77777777" w:rsidR="00F115BD" w:rsidRDefault="00F115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876E7" w14:textId="77777777" w:rsidR="00F115BD" w:rsidRDefault="00F115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BEB28" w14:textId="77777777" w:rsidR="00F115BD" w:rsidRDefault="00F115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CF06E" w14:textId="77777777" w:rsidR="00F4100B" w:rsidRDefault="00F410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AE8B5" w14:textId="77777777" w:rsidR="00F4100B" w:rsidRPr="008B7473" w:rsidRDefault="00F4100B" w:rsidP="008B7473">
    <w:pPr>
      <w:pStyle w:val="Header"/>
      <w:jc w:val="center"/>
    </w:pPr>
  </w:p>
  <w:p w14:paraId="0F6E4531" w14:textId="77777777" w:rsidR="00F4100B" w:rsidRDefault="00F4100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EF782" w14:textId="77777777" w:rsidR="00F4100B" w:rsidRDefault="00F41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3F35"/>
    <w:multiLevelType w:val="hybridMultilevel"/>
    <w:tmpl w:val="1A78F33A"/>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F23316"/>
    <w:multiLevelType w:val="hybridMultilevel"/>
    <w:tmpl w:val="3C444FE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15:restartNumberingAfterBreak="0">
    <w:nsid w:val="07D77E0D"/>
    <w:multiLevelType w:val="multilevel"/>
    <w:tmpl w:val="48343F1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766290"/>
    <w:multiLevelType w:val="hybridMultilevel"/>
    <w:tmpl w:val="1226BBB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9E4620"/>
    <w:multiLevelType w:val="hybridMultilevel"/>
    <w:tmpl w:val="18F00F42"/>
    <w:lvl w:ilvl="0" w:tplc="08090001">
      <w:start w:val="1"/>
      <w:numFmt w:val="bullet"/>
      <w:lvlText w:val=""/>
      <w:lvlJc w:val="left"/>
      <w:pPr>
        <w:ind w:left="1723" w:hanging="360"/>
      </w:pPr>
      <w:rPr>
        <w:rFonts w:ascii="Symbol" w:hAnsi="Symbol" w:hint="default"/>
      </w:rPr>
    </w:lvl>
    <w:lvl w:ilvl="1" w:tplc="08090003" w:tentative="1">
      <w:start w:val="1"/>
      <w:numFmt w:val="bullet"/>
      <w:lvlText w:val="o"/>
      <w:lvlJc w:val="left"/>
      <w:pPr>
        <w:ind w:left="2443" w:hanging="360"/>
      </w:pPr>
      <w:rPr>
        <w:rFonts w:ascii="Courier New" w:hAnsi="Courier New" w:cs="Courier New" w:hint="default"/>
      </w:rPr>
    </w:lvl>
    <w:lvl w:ilvl="2" w:tplc="08090005" w:tentative="1">
      <w:start w:val="1"/>
      <w:numFmt w:val="bullet"/>
      <w:lvlText w:val=""/>
      <w:lvlJc w:val="left"/>
      <w:pPr>
        <w:ind w:left="3163" w:hanging="360"/>
      </w:pPr>
      <w:rPr>
        <w:rFonts w:ascii="Wingdings" w:hAnsi="Wingdings" w:hint="default"/>
      </w:rPr>
    </w:lvl>
    <w:lvl w:ilvl="3" w:tplc="08090001" w:tentative="1">
      <w:start w:val="1"/>
      <w:numFmt w:val="bullet"/>
      <w:lvlText w:val=""/>
      <w:lvlJc w:val="left"/>
      <w:pPr>
        <w:ind w:left="3883" w:hanging="360"/>
      </w:pPr>
      <w:rPr>
        <w:rFonts w:ascii="Symbol" w:hAnsi="Symbol" w:hint="default"/>
      </w:rPr>
    </w:lvl>
    <w:lvl w:ilvl="4" w:tplc="08090003" w:tentative="1">
      <w:start w:val="1"/>
      <w:numFmt w:val="bullet"/>
      <w:lvlText w:val="o"/>
      <w:lvlJc w:val="left"/>
      <w:pPr>
        <w:ind w:left="4603" w:hanging="360"/>
      </w:pPr>
      <w:rPr>
        <w:rFonts w:ascii="Courier New" w:hAnsi="Courier New" w:cs="Courier New" w:hint="default"/>
      </w:rPr>
    </w:lvl>
    <w:lvl w:ilvl="5" w:tplc="08090005" w:tentative="1">
      <w:start w:val="1"/>
      <w:numFmt w:val="bullet"/>
      <w:lvlText w:val=""/>
      <w:lvlJc w:val="left"/>
      <w:pPr>
        <w:ind w:left="5323" w:hanging="360"/>
      </w:pPr>
      <w:rPr>
        <w:rFonts w:ascii="Wingdings" w:hAnsi="Wingdings" w:hint="default"/>
      </w:rPr>
    </w:lvl>
    <w:lvl w:ilvl="6" w:tplc="08090001" w:tentative="1">
      <w:start w:val="1"/>
      <w:numFmt w:val="bullet"/>
      <w:lvlText w:val=""/>
      <w:lvlJc w:val="left"/>
      <w:pPr>
        <w:ind w:left="6043" w:hanging="360"/>
      </w:pPr>
      <w:rPr>
        <w:rFonts w:ascii="Symbol" w:hAnsi="Symbol" w:hint="default"/>
      </w:rPr>
    </w:lvl>
    <w:lvl w:ilvl="7" w:tplc="08090003" w:tentative="1">
      <w:start w:val="1"/>
      <w:numFmt w:val="bullet"/>
      <w:lvlText w:val="o"/>
      <w:lvlJc w:val="left"/>
      <w:pPr>
        <w:ind w:left="6763" w:hanging="360"/>
      </w:pPr>
      <w:rPr>
        <w:rFonts w:ascii="Courier New" w:hAnsi="Courier New" w:cs="Courier New" w:hint="default"/>
      </w:rPr>
    </w:lvl>
    <w:lvl w:ilvl="8" w:tplc="08090005" w:tentative="1">
      <w:start w:val="1"/>
      <w:numFmt w:val="bullet"/>
      <w:lvlText w:val=""/>
      <w:lvlJc w:val="left"/>
      <w:pPr>
        <w:ind w:left="7483" w:hanging="360"/>
      </w:pPr>
      <w:rPr>
        <w:rFonts w:ascii="Wingdings" w:hAnsi="Wingdings" w:hint="default"/>
      </w:rPr>
    </w:lvl>
  </w:abstractNum>
  <w:abstractNum w:abstractNumId="5" w15:restartNumberingAfterBreak="0">
    <w:nsid w:val="103329D6"/>
    <w:multiLevelType w:val="hybridMultilevel"/>
    <w:tmpl w:val="E8243ECE"/>
    <w:lvl w:ilvl="0" w:tplc="08090001">
      <w:start w:val="1"/>
      <w:numFmt w:val="bullet"/>
      <w:lvlText w:val=""/>
      <w:lvlJc w:val="left"/>
      <w:pPr>
        <w:tabs>
          <w:tab w:val="num" w:pos="900"/>
        </w:tabs>
        <w:ind w:left="900" w:hanging="360"/>
      </w:pPr>
      <w:rPr>
        <w:rFonts w:ascii="Symbol" w:hAnsi="Symbol" w:hint="default"/>
      </w:rPr>
    </w:lvl>
    <w:lvl w:ilvl="1" w:tplc="08090001">
      <w:start w:val="1"/>
      <w:numFmt w:val="bullet"/>
      <w:lvlText w:val=""/>
      <w:lvlJc w:val="left"/>
      <w:pPr>
        <w:tabs>
          <w:tab w:val="num" w:pos="1620"/>
        </w:tabs>
        <w:ind w:left="1620" w:hanging="360"/>
      </w:pPr>
      <w:rPr>
        <w:rFonts w:ascii="Symbol" w:hAnsi="Symbol" w:hint="default"/>
      </w:r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6" w15:restartNumberingAfterBreak="0">
    <w:nsid w:val="125E441B"/>
    <w:multiLevelType w:val="multilevel"/>
    <w:tmpl w:val="0809001F"/>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792" w:hanging="432"/>
      </w:pPr>
      <w:rPr>
        <w:sz w:val="24"/>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13374C49"/>
    <w:multiLevelType w:val="hybridMultilevel"/>
    <w:tmpl w:val="C8B20BB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16A61A57"/>
    <w:multiLevelType w:val="hybridMultilevel"/>
    <w:tmpl w:val="59CC818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17FB2130"/>
    <w:multiLevelType w:val="hybridMultilevel"/>
    <w:tmpl w:val="6D42E748"/>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964531"/>
    <w:multiLevelType w:val="multilevel"/>
    <w:tmpl w:val="DEC014A0"/>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C8B3E02"/>
    <w:multiLevelType w:val="hybridMultilevel"/>
    <w:tmpl w:val="06903B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0727EAC"/>
    <w:multiLevelType w:val="hybridMultilevel"/>
    <w:tmpl w:val="A79CBA6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22071E6F"/>
    <w:multiLevelType w:val="hybridMultilevel"/>
    <w:tmpl w:val="0630CC42"/>
    <w:lvl w:ilvl="0" w:tplc="AB6E0AE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AFD78AB"/>
    <w:multiLevelType w:val="hybridMultilevel"/>
    <w:tmpl w:val="31166820"/>
    <w:lvl w:ilvl="0" w:tplc="08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1EF5332"/>
    <w:multiLevelType w:val="hybridMultilevel"/>
    <w:tmpl w:val="3614FDB4"/>
    <w:lvl w:ilvl="0" w:tplc="08090001">
      <w:start w:val="1"/>
      <w:numFmt w:val="bullet"/>
      <w:lvlText w:val=""/>
      <w:lvlJc w:val="left"/>
      <w:pPr>
        <w:ind w:left="1065" w:hanging="360"/>
      </w:pPr>
      <w:rPr>
        <w:rFonts w:ascii="Symbol" w:hAnsi="Symbol" w:hint="default"/>
      </w:rPr>
    </w:lvl>
    <w:lvl w:ilvl="1" w:tplc="08090003">
      <w:start w:val="1"/>
      <w:numFmt w:val="bullet"/>
      <w:lvlText w:val="o"/>
      <w:lvlJc w:val="left"/>
      <w:pPr>
        <w:ind w:left="1785" w:hanging="360"/>
      </w:pPr>
      <w:rPr>
        <w:rFonts w:ascii="Courier New" w:hAnsi="Courier New" w:cs="Courier New" w:hint="default"/>
      </w:rPr>
    </w:lvl>
    <w:lvl w:ilvl="2" w:tplc="08090005">
      <w:start w:val="1"/>
      <w:numFmt w:val="bullet"/>
      <w:lvlText w:val=""/>
      <w:lvlJc w:val="left"/>
      <w:pPr>
        <w:ind w:left="2505" w:hanging="360"/>
      </w:pPr>
      <w:rPr>
        <w:rFonts w:ascii="Wingdings" w:hAnsi="Wingdings" w:hint="default"/>
      </w:rPr>
    </w:lvl>
    <w:lvl w:ilvl="3" w:tplc="08090001">
      <w:start w:val="1"/>
      <w:numFmt w:val="bullet"/>
      <w:lvlText w:val=""/>
      <w:lvlJc w:val="left"/>
      <w:pPr>
        <w:ind w:left="3225" w:hanging="360"/>
      </w:pPr>
      <w:rPr>
        <w:rFonts w:ascii="Symbol" w:hAnsi="Symbol" w:hint="default"/>
      </w:rPr>
    </w:lvl>
    <w:lvl w:ilvl="4" w:tplc="08090003">
      <w:start w:val="1"/>
      <w:numFmt w:val="bullet"/>
      <w:lvlText w:val="o"/>
      <w:lvlJc w:val="left"/>
      <w:pPr>
        <w:ind w:left="3945" w:hanging="360"/>
      </w:pPr>
      <w:rPr>
        <w:rFonts w:ascii="Courier New" w:hAnsi="Courier New" w:cs="Courier New" w:hint="default"/>
      </w:rPr>
    </w:lvl>
    <w:lvl w:ilvl="5" w:tplc="08090005">
      <w:start w:val="1"/>
      <w:numFmt w:val="bullet"/>
      <w:lvlText w:val=""/>
      <w:lvlJc w:val="left"/>
      <w:pPr>
        <w:ind w:left="4665" w:hanging="360"/>
      </w:pPr>
      <w:rPr>
        <w:rFonts w:ascii="Wingdings" w:hAnsi="Wingdings" w:hint="default"/>
      </w:rPr>
    </w:lvl>
    <w:lvl w:ilvl="6" w:tplc="08090001">
      <w:start w:val="1"/>
      <w:numFmt w:val="bullet"/>
      <w:lvlText w:val=""/>
      <w:lvlJc w:val="left"/>
      <w:pPr>
        <w:ind w:left="5385" w:hanging="360"/>
      </w:pPr>
      <w:rPr>
        <w:rFonts w:ascii="Symbol" w:hAnsi="Symbol" w:hint="default"/>
      </w:rPr>
    </w:lvl>
    <w:lvl w:ilvl="7" w:tplc="08090003">
      <w:start w:val="1"/>
      <w:numFmt w:val="bullet"/>
      <w:lvlText w:val="o"/>
      <w:lvlJc w:val="left"/>
      <w:pPr>
        <w:ind w:left="6105" w:hanging="360"/>
      </w:pPr>
      <w:rPr>
        <w:rFonts w:ascii="Courier New" w:hAnsi="Courier New" w:cs="Courier New" w:hint="default"/>
      </w:rPr>
    </w:lvl>
    <w:lvl w:ilvl="8" w:tplc="08090005">
      <w:start w:val="1"/>
      <w:numFmt w:val="bullet"/>
      <w:lvlText w:val=""/>
      <w:lvlJc w:val="left"/>
      <w:pPr>
        <w:ind w:left="6825" w:hanging="360"/>
      </w:pPr>
      <w:rPr>
        <w:rFonts w:ascii="Wingdings" w:hAnsi="Wingdings" w:hint="default"/>
      </w:rPr>
    </w:lvl>
  </w:abstractNum>
  <w:abstractNum w:abstractNumId="16" w15:restartNumberingAfterBreak="0">
    <w:nsid w:val="330D3C47"/>
    <w:multiLevelType w:val="hybridMultilevel"/>
    <w:tmpl w:val="6C9E790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15:restartNumberingAfterBreak="0">
    <w:nsid w:val="33632298"/>
    <w:multiLevelType w:val="hybridMultilevel"/>
    <w:tmpl w:val="C45EBE3C"/>
    <w:lvl w:ilvl="0" w:tplc="08090001">
      <w:start w:val="1"/>
      <w:numFmt w:val="bullet"/>
      <w:lvlText w:val=""/>
      <w:lvlJc w:val="left"/>
      <w:pPr>
        <w:ind w:left="1150" w:hanging="360"/>
      </w:pPr>
      <w:rPr>
        <w:rFonts w:ascii="Symbol" w:hAnsi="Symbo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8" w15:restartNumberingAfterBreak="0">
    <w:nsid w:val="37625B79"/>
    <w:multiLevelType w:val="hybridMultilevel"/>
    <w:tmpl w:val="9196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D3492B"/>
    <w:multiLevelType w:val="hybridMultilevel"/>
    <w:tmpl w:val="9620B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816DE2"/>
    <w:multiLevelType w:val="hybridMultilevel"/>
    <w:tmpl w:val="71683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F6266B"/>
    <w:multiLevelType w:val="multilevel"/>
    <w:tmpl w:val="13B2D06A"/>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A93230A"/>
    <w:multiLevelType w:val="multilevel"/>
    <w:tmpl w:val="92BA65F6"/>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BB77501"/>
    <w:multiLevelType w:val="hybridMultilevel"/>
    <w:tmpl w:val="88CEBC2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BF00BE5"/>
    <w:multiLevelType w:val="hybridMultilevel"/>
    <w:tmpl w:val="1F264C1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4CED6782"/>
    <w:multiLevelType w:val="hybridMultilevel"/>
    <w:tmpl w:val="7F36A30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6" w15:restartNumberingAfterBreak="0">
    <w:nsid w:val="50A34ECB"/>
    <w:multiLevelType w:val="hybridMultilevel"/>
    <w:tmpl w:val="86B43D88"/>
    <w:lvl w:ilvl="0" w:tplc="FE6C2C92">
      <w:start w:val="1"/>
      <w:numFmt w:val="decimal"/>
      <w:pStyle w:val="PanelPara"/>
      <w:lvlText w:val="%1."/>
      <w:lvlJc w:val="left"/>
      <w:pPr>
        <w:ind w:left="720" w:hanging="360"/>
      </w:pPr>
      <w:rPr>
        <w:rFonts w:hint="default"/>
        <w:i w:val="0"/>
        <w:iCs w:val="0"/>
      </w:rPr>
    </w:lvl>
    <w:lvl w:ilvl="1" w:tplc="0726BE4A">
      <w:start w:val="1"/>
      <w:numFmt w:val="lowerLetter"/>
      <w:pStyle w:val="PanelPara2"/>
      <w:lvlText w:val="%2."/>
      <w:lvlJc w:val="left"/>
      <w:pPr>
        <w:ind w:left="1440" w:hanging="360"/>
      </w:pPr>
      <w:rPr>
        <w:b w:val="0"/>
        <w:bCs w:val="0"/>
      </w:rPr>
    </w:lvl>
    <w:lvl w:ilvl="2" w:tplc="03C4D3EA">
      <w:start w:val="1"/>
      <w:numFmt w:val="bullet"/>
      <w:pStyle w:val="PanelBullet"/>
      <w:lvlText w:val=""/>
      <w:lvlJc w:val="left"/>
      <w:pPr>
        <w:ind w:left="2340" w:hanging="36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A31BFF"/>
    <w:multiLevelType w:val="hybridMultilevel"/>
    <w:tmpl w:val="7972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F2732A"/>
    <w:multiLevelType w:val="hybridMultilevel"/>
    <w:tmpl w:val="EAA07C74"/>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9" w15:restartNumberingAfterBreak="0">
    <w:nsid w:val="57191332"/>
    <w:multiLevelType w:val="multilevel"/>
    <w:tmpl w:val="1BC26A64"/>
    <w:lvl w:ilvl="0">
      <w:start w:val="1"/>
      <w:numFmt w:val="decimal"/>
      <w:lvlText w:val="%1."/>
      <w:lvlJc w:val="left"/>
      <w:pPr>
        <w:ind w:left="567" w:hanging="567"/>
      </w:pPr>
      <w:rPr>
        <w:rFonts w:hint="default"/>
        <w:b w:val="0"/>
        <w:bCs/>
        <w:i w:val="0"/>
        <w:iCs w:val="0"/>
      </w:rPr>
    </w:lvl>
    <w:lvl w:ilvl="1">
      <w:start w:val="1"/>
      <w:numFmt w:val="lowerLetter"/>
      <w:lvlText w:val="%2."/>
      <w:lvlJc w:val="left"/>
      <w:pPr>
        <w:ind w:left="1134" w:hanging="567"/>
      </w:pPr>
      <w:rPr>
        <w:rFonts w:hint="default"/>
      </w:rPr>
    </w:lvl>
    <w:lvl w:ilvl="2">
      <w:start w:val="1"/>
      <w:numFmt w:val="bullet"/>
      <w:lvlText w:val=""/>
      <w:lvlJc w:val="left"/>
      <w:pPr>
        <w:ind w:left="1701" w:hanging="567"/>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C091BEE"/>
    <w:multiLevelType w:val="hybridMultilevel"/>
    <w:tmpl w:val="58C00EC0"/>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1" w15:restartNumberingAfterBreak="0">
    <w:nsid w:val="5D1B210C"/>
    <w:multiLevelType w:val="hybridMultilevel"/>
    <w:tmpl w:val="C9BE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0141E2"/>
    <w:multiLevelType w:val="multilevel"/>
    <w:tmpl w:val="8432EB84"/>
    <w:lvl w:ilvl="0">
      <w:start w:val="1"/>
      <w:numFmt w:val="decimal"/>
      <w:pStyle w:val="ReservesHeading"/>
      <w:lvlText w:val="%1."/>
      <w:lvlJc w:val="left"/>
      <w:pPr>
        <w:ind w:left="360" w:hanging="360"/>
      </w:pPr>
    </w:lvl>
    <w:lvl w:ilvl="1">
      <w:start w:val="1"/>
      <w:numFmt w:val="decimal"/>
      <w:pStyle w:val="ReservesBody"/>
      <w:lvlText w:val="%1.%2."/>
      <w:lvlJc w:val="left"/>
      <w:pPr>
        <w:ind w:left="792" w:hanging="432"/>
      </w:pPr>
      <w:rPr>
        <w:i w:val="0"/>
        <w:iCs/>
      </w:rPr>
    </w:lvl>
    <w:lvl w:ilvl="2">
      <w:start w:val="1"/>
      <w:numFmt w:val="bullet"/>
      <w:pStyle w:val="Reserves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6F33B72"/>
    <w:multiLevelType w:val="hybridMultilevel"/>
    <w:tmpl w:val="CA30506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4" w15:restartNumberingAfterBreak="0">
    <w:nsid w:val="66FF1C9E"/>
    <w:multiLevelType w:val="hybridMultilevel"/>
    <w:tmpl w:val="07163BC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5" w15:restartNumberingAfterBreak="0">
    <w:nsid w:val="67920B07"/>
    <w:multiLevelType w:val="multilevel"/>
    <w:tmpl w:val="69265F84"/>
    <w:lvl w:ilvl="0">
      <w:start w:val="1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A4076D4"/>
    <w:multiLevelType w:val="hybridMultilevel"/>
    <w:tmpl w:val="C4A458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26E4294"/>
    <w:multiLevelType w:val="hybridMultilevel"/>
    <w:tmpl w:val="EB2C799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8" w15:restartNumberingAfterBreak="0">
    <w:nsid w:val="72D07622"/>
    <w:multiLevelType w:val="hybridMultilevel"/>
    <w:tmpl w:val="72FA5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402062"/>
    <w:multiLevelType w:val="hybridMultilevel"/>
    <w:tmpl w:val="F3BACD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CE6A66"/>
    <w:multiLevelType w:val="multilevel"/>
    <w:tmpl w:val="50B0FA4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86D36CF"/>
    <w:multiLevelType w:val="hybridMultilevel"/>
    <w:tmpl w:val="C9F4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F87D69"/>
    <w:multiLevelType w:val="hybridMultilevel"/>
    <w:tmpl w:val="B72A43C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3" w15:restartNumberingAfterBreak="0">
    <w:nsid w:val="7A141D02"/>
    <w:multiLevelType w:val="hybridMultilevel"/>
    <w:tmpl w:val="1136AB68"/>
    <w:lvl w:ilvl="0" w:tplc="F5902C62">
      <w:start w:val="1"/>
      <w:numFmt w:val="lowerLetter"/>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1241A5"/>
    <w:multiLevelType w:val="hybridMultilevel"/>
    <w:tmpl w:val="50D8DF9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5" w15:restartNumberingAfterBreak="0">
    <w:nsid w:val="7B617E82"/>
    <w:multiLevelType w:val="hybridMultilevel"/>
    <w:tmpl w:val="CD188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256EFF"/>
    <w:multiLevelType w:val="hybridMultilevel"/>
    <w:tmpl w:val="1C3EC9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EE7288F"/>
    <w:multiLevelType w:val="hybridMultilevel"/>
    <w:tmpl w:val="597A2E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589891818">
    <w:abstractNumId w:val="43"/>
  </w:num>
  <w:num w:numId="2" w16cid:durableId="1074352990">
    <w:abstractNumId w:val="11"/>
  </w:num>
  <w:num w:numId="3" w16cid:durableId="793253558">
    <w:abstractNumId w:val="33"/>
  </w:num>
  <w:num w:numId="4" w16cid:durableId="91974621">
    <w:abstractNumId w:val="39"/>
  </w:num>
  <w:num w:numId="5" w16cid:durableId="146021628">
    <w:abstractNumId w:val="34"/>
  </w:num>
  <w:num w:numId="6" w16cid:durableId="1063718023">
    <w:abstractNumId w:val="15"/>
  </w:num>
  <w:num w:numId="7" w16cid:durableId="1023435902">
    <w:abstractNumId w:val="35"/>
  </w:num>
  <w:num w:numId="8" w16cid:durableId="1762218624">
    <w:abstractNumId w:val="19"/>
  </w:num>
  <w:num w:numId="9" w16cid:durableId="500657726">
    <w:abstractNumId w:val="13"/>
  </w:num>
  <w:num w:numId="10" w16cid:durableId="2065789428">
    <w:abstractNumId w:val="47"/>
  </w:num>
  <w:num w:numId="11" w16cid:durableId="1230269577">
    <w:abstractNumId w:val="9"/>
  </w:num>
  <w:num w:numId="12" w16cid:durableId="908226172">
    <w:abstractNumId w:val="5"/>
  </w:num>
  <w:num w:numId="13" w16cid:durableId="2046129926">
    <w:abstractNumId w:val="28"/>
  </w:num>
  <w:num w:numId="14" w16cid:durableId="851605453">
    <w:abstractNumId w:val="25"/>
  </w:num>
  <w:num w:numId="15" w16cid:durableId="1182235540">
    <w:abstractNumId w:val="12"/>
  </w:num>
  <w:num w:numId="16" w16cid:durableId="2005665418">
    <w:abstractNumId w:val="44"/>
  </w:num>
  <w:num w:numId="17" w16cid:durableId="1786734347">
    <w:abstractNumId w:val="4"/>
  </w:num>
  <w:num w:numId="18" w16cid:durableId="1473012678">
    <w:abstractNumId w:val="27"/>
  </w:num>
  <w:num w:numId="19" w16cid:durableId="635138613">
    <w:abstractNumId w:val="38"/>
  </w:num>
  <w:num w:numId="20" w16cid:durableId="823424949">
    <w:abstractNumId w:val="31"/>
  </w:num>
  <w:num w:numId="21" w16cid:durableId="2134053110">
    <w:abstractNumId w:val="18"/>
  </w:num>
  <w:num w:numId="22" w16cid:durableId="1596937989">
    <w:abstractNumId w:val="20"/>
  </w:num>
  <w:num w:numId="23" w16cid:durableId="1437870157">
    <w:abstractNumId w:val="45"/>
  </w:num>
  <w:num w:numId="24" w16cid:durableId="24451821">
    <w:abstractNumId w:val="1"/>
  </w:num>
  <w:num w:numId="25" w16cid:durableId="1340817851">
    <w:abstractNumId w:val="42"/>
  </w:num>
  <w:num w:numId="26" w16cid:durableId="224144709">
    <w:abstractNumId w:val="17"/>
  </w:num>
  <w:num w:numId="27" w16cid:durableId="914316696">
    <w:abstractNumId w:val="16"/>
  </w:num>
  <w:num w:numId="28" w16cid:durableId="501579482">
    <w:abstractNumId w:val="7"/>
  </w:num>
  <w:num w:numId="29" w16cid:durableId="317922872">
    <w:abstractNumId w:val="8"/>
  </w:num>
  <w:num w:numId="30" w16cid:durableId="813332659">
    <w:abstractNumId w:val="24"/>
  </w:num>
  <w:num w:numId="31" w16cid:durableId="1865744957">
    <w:abstractNumId w:val="0"/>
  </w:num>
  <w:num w:numId="32" w16cid:durableId="694427509">
    <w:abstractNumId w:val="6"/>
  </w:num>
  <w:num w:numId="33" w16cid:durableId="392974922">
    <w:abstractNumId w:val="21"/>
  </w:num>
  <w:num w:numId="34" w16cid:durableId="650140126">
    <w:abstractNumId w:val="22"/>
  </w:num>
  <w:num w:numId="35" w16cid:durableId="237640423">
    <w:abstractNumId w:val="10"/>
  </w:num>
  <w:num w:numId="36" w16cid:durableId="33696533">
    <w:abstractNumId w:val="2"/>
  </w:num>
  <w:num w:numId="37" w16cid:durableId="1666363">
    <w:abstractNumId w:val="46"/>
  </w:num>
  <w:num w:numId="38" w16cid:durableId="639919451">
    <w:abstractNumId w:val="40"/>
  </w:num>
  <w:num w:numId="39" w16cid:durableId="128593465">
    <w:abstractNumId w:val="36"/>
  </w:num>
  <w:num w:numId="40" w16cid:durableId="1094479676">
    <w:abstractNumId w:val="30"/>
  </w:num>
  <w:num w:numId="41" w16cid:durableId="122769230">
    <w:abstractNumId w:val="37"/>
  </w:num>
  <w:num w:numId="42" w16cid:durableId="23942781">
    <w:abstractNumId w:val="41"/>
  </w:num>
  <w:num w:numId="43" w16cid:durableId="573055904">
    <w:abstractNumId w:val="23"/>
  </w:num>
  <w:num w:numId="44" w16cid:durableId="2122337214">
    <w:abstractNumId w:val="14"/>
  </w:num>
  <w:num w:numId="45" w16cid:durableId="790783875">
    <w:abstractNumId w:val="3"/>
  </w:num>
  <w:num w:numId="46" w16cid:durableId="267733528">
    <w:abstractNumId w:val="26"/>
  </w:num>
  <w:num w:numId="47" w16cid:durableId="389572821">
    <w:abstractNumId w:val="29"/>
  </w:num>
  <w:num w:numId="48" w16cid:durableId="63263824">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9D6"/>
    <w:rsid w:val="00000509"/>
    <w:rsid w:val="00001328"/>
    <w:rsid w:val="00001BB6"/>
    <w:rsid w:val="00003EF6"/>
    <w:rsid w:val="00004738"/>
    <w:rsid w:val="0000490D"/>
    <w:rsid w:val="000117A6"/>
    <w:rsid w:val="000139F2"/>
    <w:rsid w:val="000143C4"/>
    <w:rsid w:val="000201F9"/>
    <w:rsid w:val="00020C70"/>
    <w:rsid w:val="00021940"/>
    <w:rsid w:val="000249E2"/>
    <w:rsid w:val="00025636"/>
    <w:rsid w:val="00030825"/>
    <w:rsid w:val="00034EB5"/>
    <w:rsid w:val="00035FDC"/>
    <w:rsid w:val="00040449"/>
    <w:rsid w:val="0004158E"/>
    <w:rsid w:val="00044BFF"/>
    <w:rsid w:val="00052820"/>
    <w:rsid w:val="000532B4"/>
    <w:rsid w:val="00053369"/>
    <w:rsid w:val="00057EAA"/>
    <w:rsid w:val="000625A6"/>
    <w:rsid w:val="00062F65"/>
    <w:rsid w:val="000641E8"/>
    <w:rsid w:val="000659CF"/>
    <w:rsid w:val="000713E6"/>
    <w:rsid w:val="00071BDF"/>
    <w:rsid w:val="000725CF"/>
    <w:rsid w:val="00074D41"/>
    <w:rsid w:val="00076099"/>
    <w:rsid w:val="00076927"/>
    <w:rsid w:val="0008004F"/>
    <w:rsid w:val="00080D8C"/>
    <w:rsid w:val="00080E5A"/>
    <w:rsid w:val="000827F0"/>
    <w:rsid w:val="000827F1"/>
    <w:rsid w:val="000836B9"/>
    <w:rsid w:val="000858DF"/>
    <w:rsid w:val="00085B04"/>
    <w:rsid w:val="00085EFA"/>
    <w:rsid w:val="000877B3"/>
    <w:rsid w:val="000937CF"/>
    <w:rsid w:val="00093D14"/>
    <w:rsid w:val="000949B7"/>
    <w:rsid w:val="00095FC7"/>
    <w:rsid w:val="00096589"/>
    <w:rsid w:val="00097D5E"/>
    <w:rsid w:val="000A0A55"/>
    <w:rsid w:val="000A0AFB"/>
    <w:rsid w:val="000A1215"/>
    <w:rsid w:val="000A1296"/>
    <w:rsid w:val="000A1DFA"/>
    <w:rsid w:val="000A4FAF"/>
    <w:rsid w:val="000A77F0"/>
    <w:rsid w:val="000A7C1D"/>
    <w:rsid w:val="000B0DB2"/>
    <w:rsid w:val="000B25F3"/>
    <w:rsid w:val="000B2F67"/>
    <w:rsid w:val="000B4203"/>
    <w:rsid w:val="000B6B36"/>
    <w:rsid w:val="000C2930"/>
    <w:rsid w:val="000C6AF3"/>
    <w:rsid w:val="000C77AF"/>
    <w:rsid w:val="000D033B"/>
    <w:rsid w:val="000D3FDC"/>
    <w:rsid w:val="000D54E6"/>
    <w:rsid w:val="000D63B7"/>
    <w:rsid w:val="000E0FA1"/>
    <w:rsid w:val="000E3187"/>
    <w:rsid w:val="000E3592"/>
    <w:rsid w:val="000E35D2"/>
    <w:rsid w:val="000E43A3"/>
    <w:rsid w:val="000E78A0"/>
    <w:rsid w:val="000E7A5D"/>
    <w:rsid w:val="000F0DD3"/>
    <w:rsid w:val="000F4427"/>
    <w:rsid w:val="000F4B4A"/>
    <w:rsid w:val="00101736"/>
    <w:rsid w:val="00106757"/>
    <w:rsid w:val="00110E27"/>
    <w:rsid w:val="00114269"/>
    <w:rsid w:val="0011485D"/>
    <w:rsid w:val="001171A6"/>
    <w:rsid w:val="00123782"/>
    <w:rsid w:val="00124159"/>
    <w:rsid w:val="001256C4"/>
    <w:rsid w:val="001306B5"/>
    <w:rsid w:val="0013118D"/>
    <w:rsid w:val="00136C60"/>
    <w:rsid w:val="00141288"/>
    <w:rsid w:val="00141870"/>
    <w:rsid w:val="0014427A"/>
    <w:rsid w:val="00144B22"/>
    <w:rsid w:val="00145044"/>
    <w:rsid w:val="00150A47"/>
    <w:rsid w:val="00152B93"/>
    <w:rsid w:val="00152D49"/>
    <w:rsid w:val="00152E7B"/>
    <w:rsid w:val="001535B1"/>
    <w:rsid w:val="001603AB"/>
    <w:rsid w:val="00160572"/>
    <w:rsid w:val="001638AD"/>
    <w:rsid w:val="00163A8D"/>
    <w:rsid w:val="00166842"/>
    <w:rsid w:val="00170610"/>
    <w:rsid w:val="001713EB"/>
    <w:rsid w:val="001720D0"/>
    <w:rsid w:val="00173107"/>
    <w:rsid w:val="001733C8"/>
    <w:rsid w:val="0017545F"/>
    <w:rsid w:val="0017599E"/>
    <w:rsid w:val="00176903"/>
    <w:rsid w:val="0017694F"/>
    <w:rsid w:val="00176DC4"/>
    <w:rsid w:val="00180319"/>
    <w:rsid w:val="00184BF7"/>
    <w:rsid w:val="00190B72"/>
    <w:rsid w:val="001946E0"/>
    <w:rsid w:val="00195039"/>
    <w:rsid w:val="001972C4"/>
    <w:rsid w:val="001A1872"/>
    <w:rsid w:val="001A2092"/>
    <w:rsid w:val="001A6BFA"/>
    <w:rsid w:val="001A7B70"/>
    <w:rsid w:val="001B0FA5"/>
    <w:rsid w:val="001B1E92"/>
    <w:rsid w:val="001B20EF"/>
    <w:rsid w:val="001B3EA3"/>
    <w:rsid w:val="001B4F2E"/>
    <w:rsid w:val="001B5AD6"/>
    <w:rsid w:val="001C32E6"/>
    <w:rsid w:val="001C4612"/>
    <w:rsid w:val="001D11DE"/>
    <w:rsid w:val="001D15C6"/>
    <w:rsid w:val="001D2459"/>
    <w:rsid w:val="001D2C10"/>
    <w:rsid w:val="001D3171"/>
    <w:rsid w:val="001D38A8"/>
    <w:rsid w:val="001D38B2"/>
    <w:rsid w:val="001D38F9"/>
    <w:rsid w:val="001D55FA"/>
    <w:rsid w:val="001E10E3"/>
    <w:rsid w:val="001E27E5"/>
    <w:rsid w:val="001E2D6F"/>
    <w:rsid w:val="001E61BE"/>
    <w:rsid w:val="001E6428"/>
    <w:rsid w:val="001E6880"/>
    <w:rsid w:val="001F0F83"/>
    <w:rsid w:val="001F587A"/>
    <w:rsid w:val="001F7CE7"/>
    <w:rsid w:val="00200286"/>
    <w:rsid w:val="00201750"/>
    <w:rsid w:val="00203453"/>
    <w:rsid w:val="00203AAF"/>
    <w:rsid w:val="00205AAD"/>
    <w:rsid w:val="00206F72"/>
    <w:rsid w:val="002072FC"/>
    <w:rsid w:val="00211F1A"/>
    <w:rsid w:val="00212327"/>
    <w:rsid w:val="002124FB"/>
    <w:rsid w:val="002125C2"/>
    <w:rsid w:val="0021623B"/>
    <w:rsid w:val="00217928"/>
    <w:rsid w:val="00217B88"/>
    <w:rsid w:val="002201B9"/>
    <w:rsid w:val="00224AFC"/>
    <w:rsid w:val="00224E1E"/>
    <w:rsid w:val="00227D1A"/>
    <w:rsid w:val="002307C3"/>
    <w:rsid w:val="00232B0F"/>
    <w:rsid w:val="002336B4"/>
    <w:rsid w:val="00240256"/>
    <w:rsid w:val="0024161B"/>
    <w:rsid w:val="002433ED"/>
    <w:rsid w:val="00244366"/>
    <w:rsid w:val="002455CC"/>
    <w:rsid w:val="002464CA"/>
    <w:rsid w:val="002469AB"/>
    <w:rsid w:val="002478B9"/>
    <w:rsid w:val="00252D26"/>
    <w:rsid w:val="00253C0B"/>
    <w:rsid w:val="00256682"/>
    <w:rsid w:val="0026046C"/>
    <w:rsid w:val="00261263"/>
    <w:rsid w:val="002617A5"/>
    <w:rsid w:val="00263E8C"/>
    <w:rsid w:val="00264D9D"/>
    <w:rsid w:val="0026511C"/>
    <w:rsid w:val="002677DC"/>
    <w:rsid w:val="0027069C"/>
    <w:rsid w:val="0027196D"/>
    <w:rsid w:val="00273010"/>
    <w:rsid w:val="0027745A"/>
    <w:rsid w:val="00281527"/>
    <w:rsid w:val="00282AC6"/>
    <w:rsid w:val="002942FC"/>
    <w:rsid w:val="00297A65"/>
    <w:rsid w:val="002A0550"/>
    <w:rsid w:val="002A0F54"/>
    <w:rsid w:val="002A2813"/>
    <w:rsid w:val="002A4535"/>
    <w:rsid w:val="002A4A3F"/>
    <w:rsid w:val="002A5432"/>
    <w:rsid w:val="002A5974"/>
    <w:rsid w:val="002A7320"/>
    <w:rsid w:val="002A7A12"/>
    <w:rsid w:val="002B12B4"/>
    <w:rsid w:val="002B14F8"/>
    <w:rsid w:val="002B4BFE"/>
    <w:rsid w:val="002B586C"/>
    <w:rsid w:val="002C0234"/>
    <w:rsid w:val="002C0C90"/>
    <w:rsid w:val="002C1A75"/>
    <w:rsid w:val="002C21A3"/>
    <w:rsid w:val="002C2B5D"/>
    <w:rsid w:val="002C4DB5"/>
    <w:rsid w:val="002C7710"/>
    <w:rsid w:val="002D393C"/>
    <w:rsid w:val="002D6993"/>
    <w:rsid w:val="002D6AA6"/>
    <w:rsid w:val="002E0207"/>
    <w:rsid w:val="002E0D24"/>
    <w:rsid w:val="002E15EF"/>
    <w:rsid w:val="002E38D7"/>
    <w:rsid w:val="002E509C"/>
    <w:rsid w:val="002E592E"/>
    <w:rsid w:val="002F12F7"/>
    <w:rsid w:val="002F25D8"/>
    <w:rsid w:val="002F2EF9"/>
    <w:rsid w:val="002F40BD"/>
    <w:rsid w:val="002F436F"/>
    <w:rsid w:val="002F5B6F"/>
    <w:rsid w:val="002F67D0"/>
    <w:rsid w:val="002F71D1"/>
    <w:rsid w:val="00300676"/>
    <w:rsid w:val="00306D43"/>
    <w:rsid w:val="0030759E"/>
    <w:rsid w:val="00307680"/>
    <w:rsid w:val="00307B74"/>
    <w:rsid w:val="00310079"/>
    <w:rsid w:val="003138C8"/>
    <w:rsid w:val="00316966"/>
    <w:rsid w:val="00316AA5"/>
    <w:rsid w:val="00316B97"/>
    <w:rsid w:val="0031719D"/>
    <w:rsid w:val="003204A0"/>
    <w:rsid w:val="0032205E"/>
    <w:rsid w:val="00324B40"/>
    <w:rsid w:val="00325554"/>
    <w:rsid w:val="00325769"/>
    <w:rsid w:val="00325C81"/>
    <w:rsid w:val="00325CC7"/>
    <w:rsid w:val="00327ADF"/>
    <w:rsid w:val="00327FAC"/>
    <w:rsid w:val="003319A8"/>
    <w:rsid w:val="00331DA8"/>
    <w:rsid w:val="0034131C"/>
    <w:rsid w:val="003432F7"/>
    <w:rsid w:val="00345F79"/>
    <w:rsid w:val="0034617D"/>
    <w:rsid w:val="00346B86"/>
    <w:rsid w:val="00347130"/>
    <w:rsid w:val="00350253"/>
    <w:rsid w:val="0035516C"/>
    <w:rsid w:val="00356802"/>
    <w:rsid w:val="00356B50"/>
    <w:rsid w:val="00357350"/>
    <w:rsid w:val="00360495"/>
    <w:rsid w:val="003621E3"/>
    <w:rsid w:val="00366013"/>
    <w:rsid w:val="00373F28"/>
    <w:rsid w:val="00374DD2"/>
    <w:rsid w:val="00375414"/>
    <w:rsid w:val="003757AA"/>
    <w:rsid w:val="00377422"/>
    <w:rsid w:val="003803AD"/>
    <w:rsid w:val="00381FA2"/>
    <w:rsid w:val="00382818"/>
    <w:rsid w:val="003862BE"/>
    <w:rsid w:val="00390DAC"/>
    <w:rsid w:val="00392883"/>
    <w:rsid w:val="00393FE3"/>
    <w:rsid w:val="003A185E"/>
    <w:rsid w:val="003A1A04"/>
    <w:rsid w:val="003A432E"/>
    <w:rsid w:val="003A55F5"/>
    <w:rsid w:val="003A623B"/>
    <w:rsid w:val="003B06F6"/>
    <w:rsid w:val="003B2C75"/>
    <w:rsid w:val="003B300B"/>
    <w:rsid w:val="003B3D3F"/>
    <w:rsid w:val="003B66A9"/>
    <w:rsid w:val="003B7D5D"/>
    <w:rsid w:val="003C093B"/>
    <w:rsid w:val="003C0D8C"/>
    <w:rsid w:val="003C4580"/>
    <w:rsid w:val="003C55D5"/>
    <w:rsid w:val="003C582D"/>
    <w:rsid w:val="003C5986"/>
    <w:rsid w:val="003C6A2F"/>
    <w:rsid w:val="003D0134"/>
    <w:rsid w:val="003D2AB6"/>
    <w:rsid w:val="003D6DAC"/>
    <w:rsid w:val="003D7EB9"/>
    <w:rsid w:val="003E291E"/>
    <w:rsid w:val="003E2C5F"/>
    <w:rsid w:val="003E384A"/>
    <w:rsid w:val="003F03E3"/>
    <w:rsid w:val="003F0D6A"/>
    <w:rsid w:val="003F70D0"/>
    <w:rsid w:val="00402579"/>
    <w:rsid w:val="0040314A"/>
    <w:rsid w:val="00403BB8"/>
    <w:rsid w:val="00405417"/>
    <w:rsid w:val="00405C42"/>
    <w:rsid w:val="004075E3"/>
    <w:rsid w:val="00410606"/>
    <w:rsid w:val="0041232D"/>
    <w:rsid w:val="00412A1A"/>
    <w:rsid w:val="004160E0"/>
    <w:rsid w:val="00417074"/>
    <w:rsid w:val="004202DC"/>
    <w:rsid w:val="004222BA"/>
    <w:rsid w:val="004242FB"/>
    <w:rsid w:val="004309F8"/>
    <w:rsid w:val="00430ADC"/>
    <w:rsid w:val="00440870"/>
    <w:rsid w:val="00440E7B"/>
    <w:rsid w:val="00441EF7"/>
    <w:rsid w:val="00442D89"/>
    <w:rsid w:val="00443389"/>
    <w:rsid w:val="00444BEC"/>
    <w:rsid w:val="00445B65"/>
    <w:rsid w:val="00454617"/>
    <w:rsid w:val="00460C78"/>
    <w:rsid w:val="0046298F"/>
    <w:rsid w:val="004636B5"/>
    <w:rsid w:val="0046656D"/>
    <w:rsid w:val="004715E3"/>
    <w:rsid w:val="00472A18"/>
    <w:rsid w:val="00474F2A"/>
    <w:rsid w:val="00474F97"/>
    <w:rsid w:val="00475162"/>
    <w:rsid w:val="00475D06"/>
    <w:rsid w:val="00477074"/>
    <w:rsid w:val="004777A1"/>
    <w:rsid w:val="00480243"/>
    <w:rsid w:val="00480296"/>
    <w:rsid w:val="00481E66"/>
    <w:rsid w:val="004826A0"/>
    <w:rsid w:val="00483217"/>
    <w:rsid w:val="004837A4"/>
    <w:rsid w:val="0048565A"/>
    <w:rsid w:val="00485DFD"/>
    <w:rsid w:val="004862CF"/>
    <w:rsid w:val="004909F4"/>
    <w:rsid w:val="00492E61"/>
    <w:rsid w:val="004936C0"/>
    <w:rsid w:val="00493F3C"/>
    <w:rsid w:val="004951D5"/>
    <w:rsid w:val="0049621D"/>
    <w:rsid w:val="00497F9F"/>
    <w:rsid w:val="004A00F7"/>
    <w:rsid w:val="004A058F"/>
    <w:rsid w:val="004A0A59"/>
    <w:rsid w:val="004A41CF"/>
    <w:rsid w:val="004A59B3"/>
    <w:rsid w:val="004A5C45"/>
    <w:rsid w:val="004A6926"/>
    <w:rsid w:val="004B3B2B"/>
    <w:rsid w:val="004B566F"/>
    <w:rsid w:val="004B580C"/>
    <w:rsid w:val="004B5FAB"/>
    <w:rsid w:val="004B6F0B"/>
    <w:rsid w:val="004C083D"/>
    <w:rsid w:val="004C1E3B"/>
    <w:rsid w:val="004C3815"/>
    <w:rsid w:val="004C5989"/>
    <w:rsid w:val="004C5EDF"/>
    <w:rsid w:val="004C6A8C"/>
    <w:rsid w:val="004C787E"/>
    <w:rsid w:val="004D1F07"/>
    <w:rsid w:val="004D2895"/>
    <w:rsid w:val="004D3941"/>
    <w:rsid w:val="004D41C0"/>
    <w:rsid w:val="004D6FB2"/>
    <w:rsid w:val="004D799E"/>
    <w:rsid w:val="004E00ED"/>
    <w:rsid w:val="004E09C1"/>
    <w:rsid w:val="004E1242"/>
    <w:rsid w:val="004E1816"/>
    <w:rsid w:val="004E1FE1"/>
    <w:rsid w:val="004E24DC"/>
    <w:rsid w:val="004E3764"/>
    <w:rsid w:val="004E3993"/>
    <w:rsid w:val="004E43E1"/>
    <w:rsid w:val="004E492C"/>
    <w:rsid w:val="004F0728"/>
    <w:rsid w:val="004F31D7"/>
    <w:rsid w:val="004F4763"/>
    <w:rsid w:val="004F754D"/>
    <w:rsid w:val="005011AD"/>
    <w:rsid w:val="00501DCB"/>
    <w:rsid w:val="00504080"/>
    <w:rsid w:val="0051282F"/>
    <w:rsid w:val="005135B5"/>
    <w:rsid w:val="00515C5D"/>
    <w:rsid w:val="00517249"/>
    <w:rsid w:val="0051750C"/>
    <w:rsid w:val="0052043B"/>
    <w:rsid w:val="005233E7"/>
    <w:rsid w:val="00525E25"/>
    <w:rsid w:val="005266F8"/>
    <w:rsid w:val="0052769F"/>
    <w:rsid w:val="00530253"/>
    <w:rsid w:val="00531AAF"/>
    <w:rsid w:val="005321BC"/>
    <w:rsid w:val="005347E5"/>
    <w:rsid w:val="005416FC"/>
    <w:rsid w:val="0054433E"/>
    <w:rsid w:val="005445FA"/>
    <w:rsid w:val="0054521E"/>
    <w:rsid w:val="00545397"/>
    <w:rsid w:val="005454FF"/>
    <w:rsid w:val="00545CA8"/>
    <w:rsid w:val="005465AE"/>
    <w:rsid w:val="00553631"/>
    <w:rsid w:val="00553FA0"/>
    <w:rsid w:val="00554F7A"/>
    <w:rsid w:val="00555BD5"/>
    <w:rsid w:val="00556444"/>
    <w:rsid w:val="00556D06"/>
    <w:rsid w:val="0056081F"/>
    <w:rsid w:val="00566A9A"/>
    <w:rsid w:val="00567F73"/>
    <w:rsid w:val="00571D45"/>
    <w:rsid w:val="005737F1"/>
    <w:rsid w:val="005751D3"/>
    <w:rsid w:val="00576105"/>
    <w:rsid w:val="00577522"/>
    <w:rsid w:val="00577789"/>
    <w:rsid w:val="00581C5C"/>
    <w:rsid w:val="00583413"/>
    <w:rsid w:val="0058465D"/>
    <w:rsid w:val="005866E2"/>
    <w:rsid w:val="00590FA8"/>
    <w:rsid w:val="00592481"/>
    <w:rsid w:val="00592B61"/>
    <w:rsid w:val="00596D6D"/>
    <w:rsid w:val="005970A7"/>
    <w:rsid w:val="005A192C"/>
    <w:rsid w:val="005A2421"/>
    <w:rsid w:val="005A2A59"/>
    <w:rsid w:val="005A3AD5"/>
    <w:rsid w:val="005A451A"/>
    <w:rsid w:val="005A6827"/>
    <w:rsid w:val="005A743F"/>
    <w:rsid w:val="005B0E16"/>
    <w:rsid w:val="005B2230"/>
    <w:rsid w:val="005B2D82"/>
    <w:rsid w:val="005B362B"/>
    <w:rsid w:val="005B36E3"/>
    <w:rsid w:val="005B52D6"/>
    <w:rsid w:val="005B7AB8"/>
    <w:rsid w:val="005B7E37"/>
    <w:rsid w:val="005B7F15"/>
    <w:rsid w:val="005C0133"/>
    <w:rsid w:val="005C032A"/>
    <w:rsid w:val="005C5E82"/>
    <w:rsid w:val="005C62BC"/>
    <w:rsid w:val="005D0A8D"/>
    <w:rsid w:val="005D2DA4"/>
    <w:rsid w:val="005D7E8E"/>
    <w:rsid w:val="005E07E0"/>
    <w:rsid w:val="005E30A1"/>
    <w:rsid w:val="005E55D6"/>
    <w:rsid w:val="005E59A5"/>
    <w:rsid w:val="005E744A"/>
    <w:rsid w:val="005F1F9D"/>
    <w:rsid w:val="005F27C6"/>
    <w:rsid w:val="005F5983"/>
    <w:rsid w:val="006014AB"/>
    <w:rsid w:val="0060386D"/>
    <w:rsid w:val="00603C70"/>
    <w:rsid w:val="00604389"/>
    <w:rsid w:val="00604DE9"/>
    <w:rsid w:val="00610EDE"/>
    <w:rsid w:val="00613696"/>
    <w:rsid w:val="00613FA4"/>
    <w:rsid w:val="00623ECD"/>
    <w:rsid w:val="00626335"/>
    <w:rsid w:val="00630456"/>
    <w:rsid w:val="00631AB8"/>
    <w:rsid w:val="006362C7"/>
    <w:rsid w:val="006376AA"/>
    <w:rsid w:val="006376AD"/>
    <w:rsid w:val="006437C2"/>
    <w:rsid w:val="00644F8B"/>
    <w:rsid w:val="00646AE0"/>
    <w:rsid w:val="006473E4"/>
    <w:rsid w:val="00647AF9"/>
    <w:rsid w:val="006500AF"/>
    <w:rsid w:val="0065046F"/>
    <w:rsid w:val="00652497"/>
    <w:rsid w:val="006525B4"/>
    <w:rsid w:val="006543AD"/>
    <w:rsid w:val="00654ADC"/>
    <w:rsid w:val="00657220"/>
    <w:rsid w:val="00660B65"/>
    <w:rsid w:val="00661683"/>
    <w:rsid w:val="00663A14"/>
    <w:rsid w:val="00663B57"/>
    <w:rsid w:val="0066419D"/>
    <w:rsid w:val="006642DA"/>
    <w:rsid w:val="006649CD"/>
    <w:rsid w:val="006660EE"/>
    <w:rsid w:val="00671160"/>
    <w:rsid w:val="00671A58"/>
    <w:rsid w:val="00672089"/>
    <w:rsid w:val="00674A0C"/>
    <w:rsid w:val="006754D2"/>
    <w:rsid w:val="00680CDA"/>
    <w:rsid w:val="006829D8"/>
    <w:rsid w:val="006832EB"/>
    <w:rsid w:val="00684A23"/>
    <w:rsid w:val="00684EFE"/>
    <w:rsid w:val="00690779"/>
    <w:rsid w:val="0069624E"/>
    <w:rsid w:val="006A2025"/>
    <w:rsid w:val="006A4B06"/>
    <w:rsid w:val="006B03FC"/>
    <w:rsid w:val="006B2D15"/>
    <w:rsid w:val="006B5EDE"/>
    <w:rsid w:val="006C2CFF"/>
    <w:rsid w:val="006C3038"/>
    <w:rsid w:val="006C5D8B"/>
    <w:rsid w:val="006C6ED6"/>
    <w:rsid w:val="006D2047"/>
    <w:rsid w:val="006D4ACB"/>
    <w:rsid w:val="006E0068"/>
    <w:rsid w:val="006E12D0"/>
    <w:rsid w:val="006E2B37"/>
    <w:rsid w:val="006E3F7F"/>
    <w:rsid w:val="006E5909"/>
    <w:rsid w:val="006E5916"/>
    <w:rsid w:val="006E6646"/>
    <w:rsid w:val="006E6D1C"/>
    <w:rsid w:val="006F03BB"/>
    <w:rsid w:val="006F5196"/>
    <w:rsid w:val="006F5862"/>
    <w:rsid w:val="006F61D1"/>
    <w:rsid w:val="006F62F7"/>
    <w:rsid w:val="006F7974"/>
    <w:rsid w:val="007029AF"/>
    <w:rsid w:val="00703492"/>
    <w:rsid w:val="00707614"/>
    <w:rsid w:val="00707BE4"/>
    <w:rsid w:val="00711868"/>
    <w:rsid w:val="00711B0F"/>
    <w:rsid w:val="00711CCA"/>
    <w:rsid w:val="007121AA"/>
    <w:rsid w:val="007126EB"/>
    <w:rsid w:val="00713B11"/>
    <w:rsid w:val="0071506C"/>
    <w:rsid w:val="00721518"/>
    <w:rsid w:val="00725432"/>
    <w:rsid w:val="0072700A"/>
    <w:rsid w:val="00727CDD"/>
    <w:rsid w:val="00731306"/>
    <w:rsid w:val="00733E07"/>
    <w:rsid w:val="007402A1"/>
    <w:rsid w:val="00741D4E"/>
    <w:rsid w:val="007433CF"/>
    <w:rsid w:val="00744199"/>
    <w:rsid w:val="00746715"/>
    <w:rsid w:val="00746FA2"/>
    <w:rsid w:val="0075019E"/>
    <w:rsid w:val="00756DB7"/>
    <w:rsid w:val="00757703"/>
    <w:rsid w:val="00760581"/>
    <w:rsid w:val="00760A8C"/>
    <w:rsid w:val="007618C4"/>
    <w:rsid w:val="00761925"/>
    <w:rsid w:val="00763B70"/>
    <w:rsid w:val="0076412E"/>
    <w:rsid w:val="007728F2"/>
    <w:rsid w:val="0077512D"/>
    <w:rsid w:val="00775AA4"/>
    <w:rsid w:val="00775D09"/>
    <w:rsid w:val="00777477"/>
    <w:rsid w:val="00777A9F"/>
    <w:rsid w:val="0078177C"/>
    <w:rsid w:val="00785C65"/>
    <w:rsid w:val="007868AD"/>
    <w:rsid w:val="00791043"/>
    <w:rsid w:val="00793ECA"/>
    <w:rsid w:val="007946AB"/>
    <w:rsid w:val="00797F7F"/>
    <w:rsid w:val="007A17F8"/>
    <w:rsid w:val="007A2E61"/>
    <w:rsid w:val="007A4232"/>
    <w:rsid w:val="007A5DE3"/>
    <w:rsid w:val="007A6383"/>
    <w:rsid w:val="007A67E5"/>
    <w:rsid w:val="007A7133"/>
    <w:rsid w:val="007B36CE"/>
    <w:rsid w:val="007B3992"/>
    <w:rsid w:val="007B5228"/>
    <w:rsid w:val="007B55BE"/>
    <w:rsid w:val="007B5EED"/>
    <w:rsid w:val="007C1FE2"/>
    <w:rsid w:val="007C2E80"/>
    <w:rsid w:val="007C5C82"/>
    <w:rsid w:val="007C6141"/>
    <w:rsid w:val="007C77E8"/>
    <w:rsid w:val="007D1EA0"/>
    <w:rsid w:val="007D2B47"/>
    <w:rsid w:val="007D5313"/>
    <w:rsid w:val="007D71C1"/>
    <w:rsid w:val="007E1A85"/>
    <w:rsid w:val="007E231E"/>
    <w:rsid w:val="007E29EE"/>
    <w:rsid w:val="007F195D"/>
    <w:rsid w:val="007F1A0D"/>
    <w:rsid w:val="007F274C"/>
    <w:rsid w:val="007F59B8"/>
    <w:rsid w:val="007F7EE9"/>
    <w:rsid w:val="00800DD8"/>
    <w:rsid w:val="008019EE"/>
    <w:rsid w:val="00802B30"/>
    <w:rsid w:val="00807BFD"/>
    <w:rsid w:val="0081175B"/>
    <w:rsid w:val="0081263C"/>
    <w:rsid w:val="00813DB4"/>
    <w:rsid w:val="00814B38"/>
    <w:rsid w:val="0081614D"/>
    <w:rsid w:val="008166E2"/>
    <w:rsid w:val="00816BE6"/>
    <w:rsid w:val="0081721C"/>
    <w:rsid w:val="0082107C"/>
    <w:rsid w:val="00822958"/>
    <w:rsid w:val="0082525E"/>
    <w:rsid w:val="00826374"/>
    <w:rsid w:val="008264AF"/>
    <w:rsid w:val="0083163E"/>
    <w:rsid w:val="00833580"/>
    <w:rsid w:val="00835AD3"/>
    <w:rsid w:val="00840A03"/>
    <w:rsid w:val="0084375B"/>
    <w:rsid w:val="0084427A"/>
    <w:rsid w:val="0084554A"/>
    <w:rsid w:val="008462AC"/>
    <w:rsid w:val="00847633"/>
    <w:rsid w:val="0085150F"/>
    <w:rsid w:val="008521C2"/>
    <w:rsid w:val="00857409"/>
    <w:rsid w:val="00857CE6"/>
    <w:rsid w:val="00865F33"/>
    <w:rsid w:val="00866EDA"/>
    <w:rsid w:val="00866FEA"/>
    <w:rsid w:val="008671C8"/>
    <w:rsid w:val="00872601"/>
    <w:rsid w:val="00872960"/>
    <w:rsid w:val="00873836"/>
    <w:rsid w:val="00874BF3"/>
    <w:rsid w:val="00874D19"/>
    <w:rsid w:val="00876802"/>
    <w:rsid w:val="00880A1F"/>
    <w:rsid w:val="00880B2E"/>
    <w:rsid w:val="00881C6F"/>
    <w:rsid w:val="00883AB6"/>
    <w:rsid w:val="008842FE"/>
    <w:rsid w:val="008844B8"/>
    <w:rsid w:val="00884B1D"/>
    <w:rsid w:val="00885446"/>
    <w:rsid w:val="008908BE"/>
    <w:rsid w:val="00893058"/>
    <w:rsid w:val="00894851"/>
    <w:rsid w:val="008A0357"/>
    <w:rsid w:val="008A36BB"/>
    <w:rsid w:val="008A3711"/>
    <w:rsid w:val="008A64C8"/>
    <w:rsid w:val="008B3AB9"/>
    <w:rsid w:val="008B4D54"/>
    <w:rsid w:val="008B6BE2"/>
    <w:rsid w:val="008B7473"/>
    <w:rsid w:val="008C2267"/>
    <w:rsid w:val="008C38F1"/>
    <w:rsid w:val="008C3B36"/>
    <w:rsid w:val="008C58D0"/>
    <w:rsid w:val="008C66D2"/>
    <w:rsid w:val="008C6DF5"/>
    <w:rsid w:val="008D11E7"/>
    <w:rsid w:val="008D52A0"/>
    <w:rsid w:val="008D5CE7"/>
    <w:rsid w:val="008D770E"/>
    <w:rsid w:val="008D7F04"/>
    <w:rsid w:val="008E2AAE"/>
    <w:rsid w:val="008E47BF"/>
    <w:rsid w:val="008E570F"/>
    <w:rsid w:val="008F4126"/>
    <w:rsid w:val="008F5708"/>
    <w:rsid w:val="008F5FD0"/>
    <w:rsid w:val="008F7A4B"/>
    <w:rsid w:val="00900E93"/>
    <w:rsid w:val="00901127"/>
    <w:rsid w:val="009032E5"/>
    <w:rsid w:val="009064C8"/>
    <w:rsid w:val="009070CE"/>
    <w:rsid w:val="0090776D"/>
    <w:rsid w:val="009078B0"/>
    <w:rsid w:val="00910645"/>
    <w:rsid w:val="00920BE8"/>
    <w:rsid w:val="0092228D"/>
    <w:rsid w:val="00922DE8"/>
    <w:rsid w:val="0092329E"/>
    <w:rsid w:val="009234D8"/>
    <w:rsid w:val="00924A74"/>
    <w:rsid w:val="00926601"/>
    <w:rsid w:val="009331D9"/>
    <w:rsid w:val="009333A1"/>
    <w:rsid w:val="00933FD5"/>
    <w:rsid w:val="00933FD8"/>
    <w:rsid w:val="00934B13"/>
    <w:rsid w:val="00934CA7"/>
    <w:rsid w:val="00935736"/>
    <w:rsid w:val="009428A9"/>
    <w:rsid w:val="00943DCE"/>
    <w:rsid w:val="00947856"/>
    <w:rsid w:val="00947D75"/>
    <w:rsid w:val="00952A50"/>
    <w:rsid w:val="009537E3"/>
    <w:rsid w:val="00956F1D"/>
    <w:rsid w:val="00962D34"/>
    <w:rsid w:val="009639B1"/>
    <w:rsid w:val="00964490"/>
    <w:rsid w:val="00964F88"/>
    <w:rsid w:val="009731AD"/>
    <w:rsid w:val="00981785"/>
    <w:rsid w:val="00981FE1"/>
    <w:rsid w:val="00984C55"/>
    <w:rsid w:val="009866D8"/>
    <w:rsid w:val="00990511"/>
    <w:rsid w:val="0099232D"/>
    <w:rsid w:val="00994DF3"/>
    <w:rsid w:val="00994E9C"/>
    <w:rsid w:val="009954BF"/>
    <w:rsid w:val="00997E49"/>
    <w:rsid w:val="009A005E"/>
    <w:rsid w:val="009A0C55"/>
    <w:rsid w:val="009A0E45"/>
    <w:rsid w:val="009A40BA"/>
    <w:rsid w:val="009A4F6C"/>
    <w:rsid w:val="009A53F8"/>
    <w:rsid w:val="009A6E69"/>
    <w:rsid w:val="009A76A2"/>
    <w:rsid w:val="009B17BC"/>
    <w:rsid w:val="009B71B8"/>
    <w:rsid w:val="009C070A"/>
    <w:rsid w:val="009C0AA2"/>
    <w:rsid w:val="009C1984"/>
    <w:rsid w:val="009C318B"/>
    <w:rsid w:val="009C6B1A"/>
    <w:rsid w:val="009D134E"/>
    <w:rsid w:val="009D50D0"/>
    <w:rsid w:val="009D6FAF"/>
    <w:rsid w:val="009D76F4"/>
    <w:rsid w:val="009D7914"/>
    <w:rsid w:val="009D7B36"/>
    <w:rsid w:val="009E3F3D"/>
    <w:rsid w:val="009E48A8"/>
    <w:rsid w:val="009E5FBE"/>
    <w:rsid w:val="009E6BBB"/>
    <w:rsid w:val="009E7910"/>
    <w:rsid w:val="009F0F92"/>
    <w:rsid w:val="009F418B"/>
    <w:rsid w:val="009F5E3F"/>
    <w:rsid w:val="009F7330"/>
    <w:rsid w:val="009F7F26"/>
    <w:rsid w:val="00A01E9B"/>
    <w:rsid w:val="00A04688"/>
    <w:rsid w:val="00A05AEA"/>
    <w:rsid w:val="00A0665D"/>
    <w:rsid w:val="00A07E71"/>
    <w:rsid w:val="00A11E19"/>
    <w:rsid w:val="00A11E47"/>
    <w:rsid w:val="00A13958"/>
    <w:rsid w:val="00A14F12"/>
    <w:rsid w:val="00A201A7"/>
    <w:rsid w:val="00A209BC"/>
    <w:rsid w:val="00A20BAD"/>
    <w:rsid w:val="00A30345"/>
    <w:rsid w:val="00A303B4"/>
    <w:rsid w:val="00A31120"/>
    <w:rsid w:val="00A3127E"/>
    <w:rsid w:val="00A327CE"/>
    <w:rsid w:val="00A3280C"/>
    <w:rsid w:val="00A3383F"/>
    <w:rsid w:val="00A342E3"/>
    <w:rsid w:val="00A427E5"/>
    <w:rsid w:val="00A428C8"/>
    <w:rsid w:val="00A448D3"/>
    <w:rsid w:val="00A4509E"/>
    <w:rsid w:val="00A458F0"/>
    <w:rsid w:val="00A47796"/>
    <w:rsid w:val="00A5056A"/>
    <w:rsid w:val="00A50652"/>
    <w:rsid w:val="00A51E08"/>
    <w:rsid w:val="00A52E83"/>
    <w:rsid w:val="00A53C80"/>
    <w:rsid w:val="00A5441B"/>
    <w:rsid w:val="00A5533F"/>
    <w:rsid w:val="00A579F7"/>
    <w:rsid w:val="00A607E3"/>
    <w:rsid w:val="00A62A01"/>
    <w:rsid w:val="00A71AF3"/>
    <w:rsid w:val="00A71DF5"/>
    <w:rsid w:val="00A744C6"/>
    <w:rsid w:val="00A75A24"/>
    <w:rsid w:val="00A80E58"/>
    <w:rsid w:val="00A81E58"/>
    <w:rsid w:val="00A821F9"/>
    <w:rsid w:val="00A825E7"/>
    <w:rsid w:val="00A82B46"/>
    <w:rsid w:val="00A8426B"/>
    <w:rsid w:val="00A85D01"/>
    <w:rsid w:val="00A91265"/>
    <w:rsid w:val="00AA06A9"/>
    <w:rsid w:val="00AA2AC1"/>
    <w:rsid w:val="00AA7D42"/>
    <w:rsid w:val="00AB0685"/>
    <w:rsid w:val="00AB49A9"/>
    <w:rsid w:val="00AB72FD"/>
    <w:rsid w:val="00AB7FAB"/>
    <w:rsid w:val="00AC3803"/>
    <w:rsid w:val="00AD2BF1"/>
    <w:rsid w:val="00AD3087"/>
    <w:rsid w:val="00AD400F"/>
    <w:rsid w:val="00AD40C9"/>
    <w:rsid w:val="00AD4A51"/>
    <w:rsid w:val="00AD69D6"/>
    <w:rsid w:val="00AD7BCC"/>
    <w:rsid w:val="00AE170F"/>
    <w:rsid w:val="00AE34A2"/>
    <w:rsid w:val="00AE34F2"/>
    <w:rsid w:val="00AE4160"/>
    <w:rsid w:val="00AE423E"/>
    <w:rsid w:val="00AE543F"/>
    <w:rsid w:val="00AE6244"/>
    <w:rsid w:val="00AE741C"/>
    <w:rsid w:val="00AF1642"/>
    <w:rsid w:val="00B02F64"/>
    <w:rsid w:val="00B03511"/>
    <w:rsid w:val="00B03FEA"/>
    <w:rsid w:val="00B12135"/>
    <w:rsid w:val="00B125AC"/>
    <w:rsid w:val="00B13739"/>
    <w:rsid w:val="00B14362"/>
    <w:rsid w:val="00B15A8E"/>
    <w:rsid w:val="00B17AAE"/>
    <w:rsid w:val="00B17E86"/>
    <w:rsid w:val="00B25293"/>
    <w:rsid w:val="00B2620C"/>
    <w:rsid w:val="00B2624F"/>
    <w:rsid w:val="00B27B34"/>
    <w:rsid w:val="00B31CEB"/>
    <w:rsid w:val="00B34874"/>
    <w:rsid w:val="00B3738C"/>
    <w:rsid w:val="00B4513E"/>
    <w:rsid w:val="00B45F7E"/>
    <w:rsid w:val="00B46761"/>
    <w:rsid w:val="00B47251"/>
    <w:rsid w:val="00B51651"/>
    <w:rsid w:val="00B537F3"/>
    <w:rsid w:val="00B53C4F"/>
    <w:rsid w:val="00B57A23"/>
    <w:rsid w:val="00B60304"/>
    <w:rsid w:val="00B607EA"/>
    <w:rsid w:val="00B6262D"/>
    <w:rsid w:val="00B63812"/>
    <w:rsid w:val="00B63BCB"/>
    <w:rsid w:val="00B63F92"/>
    <w:rsid w:val="00B646D2"/>
    <w:rsid w:val="00B6693B"/>
    <w:rsid w:val="00B70261"/>
    <w:rsid w:val="00B70D02"/>
    <w:rsid w:val="00B72E98"/>
    <w:rsid w:val="00B806C8"/>
    <w:rsid w:val="00B82C60"/>
    <w:rsid w:val="00B8333B"/>
    <w:rsid w:val="00B84288"/>
    <w:rsid w:val="00B8512A"/>
    <w:rsid w:val="00B8520C"/>
    <w:rsid w:val="00B959D2"/>
    <w:rsid w:val="00B95B38"/>
    <w:rsid w:val="00B96947"/>
    <w:rsid w:val="00B96D4F"/>
    <w:rsid w:val="00B971E7"/>
    <w:rsid w:val="00BA0229"/>
    <w:rsid w:val="00BA2259"/>
    <w:rsid w:val="00BA2FE9"/>
    <w:rsid w:val="00BA39C4"/>
    <w:rsid w:val="00BB04C7"/>
    <w:rsid w:val="00BB1B4A"/>
    <w:rsid w:val="00BB23D8"/>
    <w:rsid w:val="00BB3693"/>
    <w:rsid w:val="00BB3ECE"/>
    <w:rsid w:val="00BB48B1"/>
    <w:rsid w:val="00BB5414"/>
    <w:rsid w:val="00BB5425"/>
    <w:rsid w:val="00BB54DB"/>
    <w:rsid w:val="00BB57D9"/>
    <w:rsid w:val="00BB7C6E"/>
    <w:rsid w:val="00BC0D5A"/>
    <w:rsid w:val="00BC4AE0"/>
    <w:rsid w:val="00BC5485"/>
    <w:rsid w:val="00BC7016"/>
    <w:rsid w:val="00BC794E"/>
    <w:rsid w:val="00BD007C"/>
    <w:rsid w:val="00BD09A5"/>
    <w:rsid w:val="00BD0B11"/>
    <w:rsid w:val="00BD23A3"/>
    <w:rsid w:val="00BD4313"/>
    <w:rsid w:val="00BD4901"/>
    <w:rsid w:val="00BD5A3C"/>
    <w:rsid w:val="00BD62CF"/>
    <w:rsid w:val="00BE0A83"/>
    <w:rsid w:val="00BE0D4D"/>
    <w:rsid w:val="00BE2C7D"/>
    <w:rsid w:val="00BE60D8"/>
    <w:rsid w:val="00BE7CBF"/>
    <w:rsid w:val="00BF095D"/>
    <w:rsid w:val="00BF231A"/>
    <w:rsid w:val="00BF3C41"/>
    <w:rsid w:val="00BF5769"/>
    <w:rsid w:val="00BF592B"/>
    <w:rsid w:val="00BF5F3A"/>
    <w:rsid w:val="00C03AB2"/>
    <w:rsid w:val="00C06D1B"/>
    <w:rsid w:val="00C0712F"/>
    <w:rsid w:val="00C12DA6"/>
    <w:rsid w:val="00C1301C"/>
    <w:rsid w:val="00C149FE"/>
    <w:rsid w:val="00C154A3"/>
    <w:rsid w:val="00C164C8"/>
    <w:rsid w:val="00C204D3"/>
    <w:rsid w:val="00C242D6"/>
    <w:rsid w:val="00C24A75"/>
    <w:rsid w:val="00C251B1"/>
    <w:rsid w:val="00C26022"/>
    <w:rsid w:val="00C26A06"/>
    <w:rsid w:val="00C270EC"/>
    <w:rsid w:val="00C27A89"/>
    <w:rsid w:val="00C32C6F"/>
    <w:rsid w:val="00C33A64"/>
    <w:rsid w:val="00C3443A"/>
    <w:rsid w:val="00C36A05"/>
    <w:rsid w:val="00C36B7A"/>
    <w:rsid w:val="00C41186"/>
    <w:rsid w:val="00C4559D"/>
    <w:rsid w:val="00C45B29"/>
    <w:rsid w:val="00C45BF2"/>
    <w:rsid w:val="00C46B47"/>
    <w:rsid w:val="00C50B44"/>
    <w:rsid w:val="00C51408"/>
    <w:rsid w:val="00C53C8E"/>
    <w:rsid w:val="00C5646D"/>
    <w:rsid w:val="00C62692"/>
    <w:rsid w:val="00C644FE"/>
    <w:rsid w:val="00C662E1"/>
    <w:rsid w:val="00C66AF0"/>
    <w:rsid w:val="00C701FB"/>
    <w:rsid w:val="00C70823"/>
    <w:rsid w:val="00C70F56"/>
    <w:rsid w:val="00C720EC"/>
    <w:rsid w:val="00C75B26"/>
    <w:rsid w:val="00C770AE"/>
    <w:rsid w:val="00C77744"/>
    <w:rsid w:val="00C777E5"/>
    <w:rsid w:val="00C81FD4"/>
    <w:rsid w:val="00C82987"/>
    <w:rsid w:val="00C87CB8"/>
    <w:rsid w:val="00C93291"/>
    <w:rsid w:val="00C93BF6"/>
    <w:rsid w:val="00C9443A"/>
    <w:rsid w:val="00CA1329"/>
    <w:rsid w:val="00CA3A68"/>
    <w:rsid w:val="00CA6836"/>
    <w:rsid w:val="00CA6DD9"/>
    <w:rsid w:val="00CA7451"/>
    <w:rsid w:val="00CB0070"/>
    <w:rsid w:val="00CB12C0"/>
    <w:rsid w:val="00CB212F"/>
    <w:rsid w:val="00CB35D9"/>
    <w:rsid w:val="00CB63D5"/>
    <w:rsid w:val="00CB6701"/>
    <w:rsid w:val="00CB7DDA"/>
    <w:rsid w:val="00CC1C60"/>
    <w:rsid w:val="00CC297E"/>
    <w:rsid w:val="00CC2BF4"/>
    <w:rsid w:val="00CC3A2D"/>
    <w:rsid w:val="00CC52F4"/>
    <w:rsid w:val="00CC576E"/>
    <w:rsid w:val="00CC5B0E"/>
    <w:rsid w:val="00CD24F7"/>
    <w:rsid w:val="00CD36C5"/>
    <w:rsid w:val="00CD7C13"/>
    <w:rsid w:val="00CE0559"/>
    <w:rsid w:val="00CE1A52"/>
    <w:rsid w:val="00CE48A3"/>
    <w:rsid w:val="00CF0BBA"/>
    <w:rsid w:val="00CF380E"/>
    <w:rsid w:val="00CF3E12"/>
    <w:rsid w:val="00CF3E62"/>
    <w:rsid w:val="00CF5D71"/>
    <w:rsid w:val="00CF7749"/>
    <w:rsid w:val="00D0097E"/>
    <w:rsid w:val="00D02514"/>
    <w:rsid w:val="00D065B7"/>
    <w:rsid w:val="00D1098C"/>
    <w:rsid w:val="00D15A0A"/>
    <w:rsid w:val="00D163FB"/>
    <w:rsid w:val="00D16776"/>
    <w:rsid w:val="00D1683A"/>
    <w:rsid w:val="00D20309"/>
    <w:rsid w:val="00D221D7"/>
    <w:rsid w:val="00D23B4B"/>
    <w:rsid w:val="00D26B05"/>
    <w:rsid w:val="00D30F18"/>
    <w:rsid w:val="00D37BDA"/>
    <w:rsid w:val="00D404BE"/>
    <w:rsid w:val="00D40F27"/>
    <w:rsid w:val="00D4681B"/>
    <w:rsid w:val="00D46F5F"/>
    <w:rsid w:val="00D47A69"/>
    <w:rsid w:val="00D47E49"/>
    <w:rsid w:val="00D50510"/>
    <w:rsid w:val="00D51DFF"/>
    <w:rsid w:val="00D54E6F"/>
    <w:rsid w:val="00D57531"/>
    <w:rsid w:val="00D622BF"/>
    <w:rsid w:val="00D62F6B"/>
    <w:rsid w:val="00D6320F"/>
    <w:rsid w:val="00D647AD"/>
    <w:rsid w:val="00D652BB"/>
    <w:rsid w:val="00D66C31"/>
    <w:rsid w:val="00D66D30"/>
    <w:rsid w:val="00D67AA7"/>
    <w:rsid w:val="00D72DFE"/>
    <w:rsid w:val="00D74B46"/>
    <w:rsid w:val="00D74F80"/>
    <w:rsid w:val="00D8183B"/>
    <w:rsid w:val="00D82500"/>
    <w:rsid w:val="00D87062"/>
    <w:rsid w:val="00D9094E"/>
    <w:rsid w:val="00D90E84"/>
    <w:rsid w:val="00D9181A"/>
    <w:rsid w:val="00D91FF6"/>
    <w:rsid w:val="00D92C2F"/>
    <w:rsid w:val="00D92F45"/>
    <w:rsid w:val="00D93AA7"/>
    <w:rsid w:val="00D94EA2"/>
    <w:rsid w:val="00D9502C"/>
    <w:rsid w:val="00D953AE"/>
    <w:rsid w:val="00D96E64"/>
    <w:rsid w:val="00DA13EF"/>
    <w:rsid w:val="00DA5F99"/>
    <w:rsid w:val="00DA6D88"/>
    <w:rsid w:val="00DB1D88"/>
    <w:rsid w:val="00DC09E2"/>
    <w:rsid w:val="00DC1274"/>
    <w:rsid w:val="00DC32DD"/>
    <w:rsid w:val="00DC3411"/>
    <w:rsid w:val="00DC3D0A"/>
    <w:rsid w:val="00DC66F5"/>
    <w:rsid w:val="00DC67A1"/>
    <w:rsid w:val="00DD0003"/>
    <w:rsid w:val="00DD01D1"/>
    <w:rsid w:val="00DD3B22"/>
    <w:rsid w:val="00DD3F36"/>
    <w:rsid w:val="00DD64E3"/>
    <w:rsid w:val="00DD68B7"/>
    <w:rsid w:val="00DD7A0F"/>
    <w:rsid w:val="00DD7EA1"/>
    <w:rsid w:val="00DE1CCE"/>
    <w:rsid w:val="00DE46B4"/>
    <w:rsid w:val="00DF12DC"/>
    <w:rsid w:val="00DF2770"/>
    <w:rsid w:val="00DF5346"/>
    <w:rsid w:val="00E0063A"/>
    <w:rsid w:val="00E00C27"/>
    <w:rsid w:val="00E02D63"/>
    <w:rsid w:val="00E02D66"/>
    <w:rsid w:val="00E047F5"/>
    <w:rsid w:val="00E06514"/>
    <w:rsid w:val="00E06583"/>
    <w:rsid w:val="00E06B24"/>
    <w:rsid w:val="00E07C2B"/>
    <w:rsid w:val="00E11CF4"/>
    <w:rsid w:val="00E12ACE"/>
    <w:rsid w:val="00E12EBF"/>
    <w:rsid w:val="00E13336"/>
    <w:rsid w:val="00E1639E"/>
    <w:rsid w:val="00E165A1"/>
    <w:rsid w:val="00E170A1"/>
    <w:rsid w:val="00E235A6"/>
    <w:rsid w:val="00E240D3"/>
    <w:rsid w:val="00E24403"/>
    <w:rsid w:val="00E40B40"/>
    <w:rsid w:val="00E4122B"/>
    <w:rsid w:val="00E41D15"/>
    <w:rsid w:val="00E43932"/>
    <w:rsid w:val="00E4450C"/>
    <w:rsid w:val="00E44E2B"/>
    <w:rsid w:val="00E46427"/>
    <w:rsid w:val="00E50CF0"/>
    <w:rsid w:val="00E519D0"/>
    <w:rsid w:val="00E525A0"/>
    <w:rsid w:val="00E52808"/>
    <w:rsid w:val="00E53588"/>
    <w:rsid w:val="00E54E5F"/>
    <w:rsid w:val="00E55273"/>
    <w:rsid w:val="00E55CDF"/>
    <w:rsid w:val="00E55F55"/>
    <w:rsid w:val="00E61CF4"/>
    <w:rsid w:val="00E628F8"/>
    <w:rsid w:val="00E65221"/>
    <w:rsid w:val="00E67E42"/>
    <w:rsid w:val="00E72E42"/>
    <w:rsid w:val="00E73100"/>
    <w:rsid w:val="00E736E9"/>
    <w:rsid w:val="00E73A1C"/>
    <w:rsid w:val="00E77C89"/>
    <w:rsid w:val="00E844FD"/>
    <w:rsid w:val="00E84EA9"/>
    <w:rsid w:val="00E8698D"/>
    <w:rsid w:val="00E96230"/>
    <w:rsid w:val="00E966EE"/>
    <w:rsid w:val="00E9677E"/>
    <w:rsid w:val="00E96CEA"/>
    <w:rsid w:val="00E9734C"/>
    <w:rsid w:val="00E97920"/>
    <w:rsid w:val="00EA2316"/>
    <w:rsid w:val="00EA5622"/>
    <w:rsid w:val="00EA6AB9"/>
    <w:rsid w:val="00EB2105"/>
    <w:rsid w:val="00EB3BA0"/>
    <w:rsid w:val="00EB4008"/>
    <w:rsid w:val="00EB7DA6"/>
    <w:rsid w:val="00EC1585"/>
    <w:rsid w:val="00EC3166"/>
    <w:rsid w:val="00EC5084"/>
    <w:rsid w:val="00EC6BC5"/>
    <w:rsid w:val="00EC6FB2"/>
    <w:rsid w:val="00EC7063"/>
    <w:rsid w:val="00ED1138"/>
    <w:rsid w:val="00ED1C35"/>
    <w:rsid w:val="00ED33C0"/>
    <w:rsid w:val="00ED47A2"/>
    <w:rsid w:val="00ED6358"/>
    <w:rsid w:val="00ED710B"/>
    <w:rsid w:val="00EE032F"/>
    <w:rsid w:val="00EE0A88"/>
    <w:rsid w:val="00EE150B"/>
    <w:rsid w:val="00EE632C"/>
    <w:rsid w:val="00EE6D37"/>
    <w:rsid w:val="00EE76A9"/>
    <w:rsid w:val="00EF07CF"/>
    <w:rsid w:val="00EF3054"/>
    <w:rsid w:val="00EF40A7"/>
    <w:rsid w:val="00EF67F6"/>
    <w:rsid w:val="00EF7039"/>
    <w:rsid w:val="00F0010F"/>
    <w:rsid w:val="00F01470"/>
    <w:rsid w:val="00F01D44"/>
    <w:rsid w:val="00F01E15"/>
    <w:rsid w:val="00F02E18"/>
    <w:rsid w:val="00F04701"/>
    <w:rsid w:val="00F0481B"/>
    <w:rsid w:val="00F05E4B"/>
    <w:rsid w:val="00F07600"/>
    <w:rsid w:val="00F10927"/>
    <w:rsid w:val="00F115BD"/>
    <w:rsid w:val="00F139DF"/>
    <w:rsid w:val="00F148BD"/>
    <w:rsid w:val="00F14CA5"/>
    <w:rsid w:val="00F15021"/>
    <w:rsid w:val="00F157CA"/>
    <w:rsid w:val="00F22504"/>
    <w:rsid w:val="00F30B07"/>
    <w:rsid w:val="00F35FA0"/>
    <w:rsid w:val="00F368AA"/>
    <w:rsid w:val="00F401B9"/>
    <w:rsid w:val="00F4100B"/>
    <w:rsid w:val="00F45164"/>
    <w:rsid w:val="00F45FFF"/>
    <w:rsid w:val="00F47639"/>
    <w:rsid w:val="00F50C82"/>
    <w:rsid w:val="00F528F6"/>
    <w:rsid w:val="00F570CC"/>
    <w:rsid w:val="00F5755E"/>
    <w:rsid w:val="00F60CEB"/>
    <w:rsid w:val="00F6339A"/>
    <w:rsid w:val="00F646E9"/>
    <w:rsid w:val="00F65175"/>
    <w:rsid w:val="00F65E59"/>
    <w:rsid w:val="00F65F9A"/>
    <w:rsid w:val="00F671CE"/>
    <w:rsid w:val="00F67A25"/>
    <w:rsid w:val="00F70FF7"/>
    <w:rsid w:val="00F719C1"/>
    <w:rsid w:val="00F7268F"/>
    <w:rsid w:val="00F72E9D"/>
    <w:rsid w:val="00F75D07"/>
    <w:rsid w:val="00F76237"/>
    <w:rsid w:val="00F7672B"/>
    <w:rsid w:val="00F80F47"/>
    <w:rsid w:val="00F81011"/>
    <w:rsid w:val="00F82D97"/>
    <w:rsid w:val="00F8390C"/>
    <w:rsid w:val="00F8460A"/>
    <w:rsid w:val="00F8557F"/>
    <w:rsid w:val="00F85DB4"/>
    <w:rsid w:val="00F86CED"/>
    <w:rsid w:val="00F86E8E"/>
    <w:rsid w:val="00F87DAA"/>
    <w:rsid w:val="00F93358"/>
    <w:rsid w:val="00F93700"/>
    <w:rsid w:val="00F94116"/>
    <w:rsid w:val="00F96766"/>
    <w:rsid w:val="00FA211E"/>
    <w:rsid w:val="00FA574B"/>
    <w:rsid w:val="00FA6E44"/>
    <w:rsid w:val="00FA7F5D"/>
    <w:rsid w:val="00FB021F"/>
    <w:rsid w:val="00FB1950"/>
    <w:rsid w:val="00FB1FA0"/>
    <w:rsid w:val="00FB22FA"/>
    <w:rsid w:val="00FB28DB"/>
    <w:rsid w:val="00FB5949"/>
    <w:rsid w:val="00FC067A"/>
    <w:rsid w:val="00FC5C79"/>
    <w:rsid w:val="00FC6FAF"/>
    <w:rsid w:val="00FD0772"/>
    <w:rsid w:val="00FD0C59"/>
    <w:rsid w:val="00FD300A"/>
    <w:rsid w:val="00FD4496"/>
    <w:rsid w:val="00FD668D"/>
    <w:rsid w:val="00FD6BBC"/>
    <w:rsid w:val="00FE211D"/>
    <w:rsid w:val="00FE29E6"/>
    <w:rsid w:val="00FE30AB"/>
    <w:rsid w:val="00FE4B39"/>
    <w:rsid w:val="00FE520B"/>
    <w:rsid w:val="00FE7E7D"/>
    <w:rsid w:val="00FF5501"/>
    <w:rsid w:val="00FF7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8B54AA"/>
  <w15:docId w15:val="{29B4A77A-B3A4-4D83-9500-51B4D422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lsdException w:name="heading 2" w:locked="1" w:semiHidden="1" w:uiPriority="0" w:unhideWhenUsed="1"/>
    <w:lsdException w:name="heading 3" w:locked="1" w:semiHidden="1" w:uiPriority="0" w:unhideWhenUsed="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lsdException w:name="heading 8" w:locked="1" w:semiHidden="1" w:uiPriority="0" w:unhideWhenUsed="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501"/>
    <w:pPr>
      <w:spacing w:after="200" w:line="276" w:lineRule="auto"/>
    </w:pPr>
    <w:rPr>
      <w:sz w:val="22"/>
      <w:szCs w:val="22"/>
      <w:lang w:eastAsia="en-US"/>
    </w:rPr>
  </w:style>
  <w:style w:type="paragraph" w:styleId="Heading1">
    <w:name w:val="heading 1"/>
    <w:basedOn w:val="Normal"/>
    <w:next w:val="Normal"/>
    <w:link w:val="Heading1Char"/>
    <w:locked/>
    <w:rsid w:val="00866FE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locked/>
    <w:rsid w:val="00F85DB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locked/>
    <w:rsid w:val="00F85DB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locked/>
    <w:rsid w:val="00F115BD"/>
    <w:pPr>
      <w:keepNext/>
      <w:tabs>
        <w:tab w:val="num" w:pos="864"/>
      </w:tabs>
      <w:spacing w:after="0" w:line="240" w:lineRule="auto"/>
      <w:ind w:left="864" w:hanging="864"/>
      <w:outlineLvl w:val="3"/>
    </w:pPr>
    <w:rPr>
      <w:rFonts w:ascii="Arial" w:eastAsia="Times New Roman" w:hAnsi="Arial" w:cs="Arial"/>
      <w:b/>
      <w:bCs/>
      <w:color w:val="000080"/>
      <w:sz w:val="20"/>
      <w:szCs w:val="20"/>
    </w:rPr>
  </w:style>
  <w:style w:type="paragraph" w:styleId="Heading5">
    <w:name w:val="heading 5"/>
    <w:basedOn w:val="Normal"/>
    <w:next w:val="Normal"/>
    <w:link w:val="Heading5Char"/>
    <w:qFormat/>
    <w:locked/>
    <w:rsid w:val="00866FEA"/>
    <w:pPr>
      <w:spacing w:before="240" w:after="60" w:line="240" w:lineRule="auto"/>
      <w:outlineLvl w:val="4"/>
    </w:pPr>
    <w:rPr>
      <w:rFonts w:ascii="Century Gothic" w:eastAsia="Times New Roman" w:hAnsi="Century Gothic"/>
      <w:b/>
      <w:bCs/>
      <w:i/>
      <w:iCs/>
      <w:sz w:val="26"/>
      <w:szCs w:val="26"/>
    </w:rPr>
  </w:style>
  <w:style w:type="paragraph" w:styleId="Heading6">
    <w:name w:val="heading 6"/>
    <w:basedOn w:val="Normal"/>
    <w:next w:val="Normal"/>
    <w:link w:val="Heading6Char"/>
    <w:qFormat/>
    <w:locked/>
    <w:rsid w:val="00200286"/>
    <w:pPr>
      <w:keepNext/>
      <w:spacing w:after="0" w:line="240" w:lineRule="auto"/>
      <w:outlineLvl w:val="5"/>
    </w:pPr>
    <w:rPr>
      <w:rFonts w:ascii="Century Gothic" w:eastAsia="Times New Roman" w:hAnsi="Century Gothic"/>
      <w:b/>
      <w:szCs w:val="20"/>
    </w:rPr>
  </w:style>
  <w:style w:type="paragraph" w:styleId="Heading7">
    <w:name w:val="heading 7"/>
    <w:basedOn w:val="Normal"/>
    <w:next w:val="Normal"/>
    <w:link w:val="Heading7Char"/>
    <w:locked/>
    <w:rsid w:val="00866FEA"/>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locked/>
    <w:rsid w:val="00866FEA"/>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locked/>
    <w:rsid w:val="00F115BD"/>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9"/>
    <w:locked/>
    <w:rsid w:val="00200286"/>
    <w:rPr>
      <w:rFonts w:ascii="Century Gothic" w:hAnsi="Century Gothic" w:cs="Times New Roman"/>
      <w:b/>
      <w:sz w:val="20"/>
      <w:szCs w:val="20"/>
      <w:lang w:eastAsia="en-US"/>
    </w:rPr>
  </w:style>
  <w:style w:type="paragraph" w:styleId="Header">
    <w:name w:val="header"/>
    <w:aliases w:val="MEL Header"/>
    <w:basedOn w:val="Normal"/>
    <w:link w:val="HeaderChar"/>
    <w:uiPriority w:val="99"/>
    <w:rsid w:val="008B7473"/>
    <w:pPr>
      <w:tabs>
        <w:tab w:val="center" w:pos="4513"/>
        <w:tab w:val="right" w:pos="9026"/>
      </w:tabs>
      <w:spacing w:after="0" w:line="240" w:lineRule="auto"/>
    </w:pPr>
  </w:style>
  <w:style w:type="character" w:customStyle="1" w:styleId="HeaderChar">
    <w:name w:val="Header Char"/>
    <w:aliases w:val="MEL Header Char"/>
    <w:link w:val="Header"/>
    <w:uiPriority w:val="99"/>
    <w:locked/>
    <w:rsid w:val="008B7473"/>
    <w:rPr>
      <w:rFonts w:cs="Times New Roman"/>
    </w:rPr>
  </w:style>
  <w:style w:type="paragraph" w:styleId="Footer">
    <w:name w:val="footer"/>
    <w:basedOn w:val="Normal"/>
    <w:link w:val="FooterChar"/>
    <w:rsid w:val="008B7473"/>
    <w:pPr>
      <w:tabs>
        <w:tab w:val="center" w:pos="4513"/>
        <w:tab w:val="right" w:pos="9026"/>
      </w:tabs>
      <w:spacing w:after="0" w:line="240" w:lineRule="auto"/>
    </w:pPr>
  </w:style>
  <w:style w:type="character" w:customStyle="1" w:styleId="FooterChar">
    <w:name w:val="Footer Char"/>
    <w:link w:val="Footer"/>
    <w:uiPriority w:val="99"/>
    <w:locked/>
    <w:rsid w:val="008B7473"/>
    <w:rPr>
      <w:rFonts w:cs="Times New Roman"/>
    </w:rPr>
  </w:style>
  <w:style w:type="paragraph" w:styleId="ListParagraph">
    <w:name w:val="List Paragraph"/>
    <w:basedOn w:val="Normal"/>
    <w:link w:val="ListParagraphChar"/>
    <w:uiPriority w:val="34"/>
    <w:qFormat/>
    <w:rsid w:val="00101736"/>
    <w:pPr>
      <w:ind w:left="720"/>
      <w:contextualSpacing/>
    </w:pPr>
  </w:style>
  <w:style w:type="table" w:styleId="TableGrid">
    <w:name w:val="Table Grid"/>
    <w:basedOn w:val="TableNormal"/>
    <w:uiPriority w:val="39"/>
    <w:rsid w:val="004F75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F754D"/>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F754D"/>
    <w:rPr>
      <w:rFonts w:ascii="Tahoma" w:hAnsi="Tahoma" w:cs="Tahoma"/>
      <w:sz w:val="16"/>
      <w:szCs w:val="16"/>
    </w:rPr>
  </w:style>
  <w:style w:type="character" w:styleId="CommentReference">
    <w:name w:val="annotation reference"/>
    <w:rsid w:val="00F6339A"/>
    <w:rPr>
      <w:rFonts w:cs="Times New Roman"/>
      <w:sz w:val="16"/>
      <w:szCs w:val="16"/>
    </w:rPr>
  </w:style>
  <w:style w:type="paragraph" w:styleId="CommentText">
    <w:name w:val="annotation text"/>
    <w:basedOn w:val="Normal"/>
    <w:link w:val="CommentTextChar"/>
    <w:rsid w:val="00F6339A"/>
    <w:pPr>
      <w:spacing w:line="240" w:lineRule="auto"/>
    </w:pPr>
    <w:rPr>
      <w:sz w:val="20"/>
      <w:szCs w:val="20"/>
    </w:rPr>
  </w:style>
  <w:style w:type="character" w:customStyle="1" w:styleId="CommentTextChar">
    <w:name w:val="Comment Text Char"/>
    <w:link w:val="CommentText"/>
    <w:locked/>
    <w:rsid w:val="00F6339A"/>
    <w:rPr>
      <w:rFonts w:cs="Times New Roman"/>
      <w:sz w:val="20"/>
      <w:szCs w:val="20"/>
    </w:rPr>
  </w:style>
  <w:style w:type="paragraph" w:styleId="CommentSubject">
    <w:name w:val="annotation subject"/>
    <w:basedOn w:val="CommentText"/>
    <w:next w:val="CommentText"/>
    <w:link w:val="CommentSubjectChar"/>
    <w:rsid w:val="00F6339A"/>
    <w:rPr>
      <w:b/>
      <w:bCs/>
    </w:rPr>
  </w:style>
  <w:style w:type="character" w:customStyle="1" w:styleId="CommentSubjectChar">
    <w:name w:val="Comment Subject Char"/>
    <w:link w:val="CommentSubject"/>
    <w:locked/>
    <w:rsid w:val="00F6339A"/>
    <w:rPr>
      <w:rFonts w:cs="Times New Roman"/>
      <w:b/>
      <w:bCs/>
      <w:sz w:val="20"/>
      <w:szCs w:val="20"/>
    </w:rPr>
  </w:style>
  <w:style w:type="paragraph" w:styleId="BodyText">
    <w:name w:val="Body Text"/>
    <w:basedOn w:val="Normal"/>
    <w:link w:val="BodyTextChar"/>
    <w:uiPriority w:val="99"/>
    <w:semiHidden/>
    <w:rsid w:val="00BE60D8"/>
    <w:pPr>
      <w:spacing w:after="120"/>
    </w:pPr>
  </w:style>
  <w:style w:type="character" w:customStyle="1" w:styleId="BodyTextChar">
    <w:name w:val="Body Text Char"/>
    <w:link w:val="BodyText"/>
    <w:uiPriority w:val="99"/>
    <w:semiHidden/>
    <w:locked/>
    <w:rsid w:val="00BE60D8"/>
    <w:rPr>
      <w:rFonts w:cs="Times New Roman"/>
    </w:rPr>
  </w:style>
  <w:style w:type="character" w:styleId="Hyperlink">
    <w:name w:val="Hyperlink"/>
    <w:uiPriority w:val="99"/>
    <w:rsid w:val="003B7D5D"/>
    <w:rPr>
      <w:rFonts w:cs="Times New Roman"/>
      <w:color w:val="0000FF"/>
      <w:u w:val="single"/>
    </w:rPr>
  </w:style>
  <w:style w:type="paragraph" w:styleId="BodyTextIndent2">
    <w:name w:val="Body Text Indent 2"/>
    <w:basedOn w:val="Normal"/>
    <w:link w:val="BodyTextIndent2Char"/>
    <w:rsid w:val="00173107"/>
    <w:pPr>
      <w:spacing w:after="120" w:line="480" w:lineRule="auto"/>
      <w:ind w:left="283"/>
    </w:pPr>
    <w:rPr>
      <w:rFonts w:ascii="Century Gothic" w:eastAsia="Times New Roman" w:hAnsi="Century Gothic"/>
      <w:sz w:val="20"/>
      <w:szCs w:val="20"/>
    </w:rPr>
  </w:style>
  <w:style w:type="character" w:customStyle="1" w:styleId="BodyTextIndent2Char">
    <w:name w:val="Body Text Indent 2 Char"/>
    <w:link w:val="BodyTextIndent2"/>
    <w:uiPriority w:val="99"/>
    <w:locked/>
    <w:rsid w:val="00173107"/>
    <w:rPr>
      <w:rFonts w:ascii="Century Gothic" w:hAnsi="Century Gothic" w:cs="Times New Roman"/>
      <w:sz w:val="20"/>
      <w:szCs w:val="20"/>
      <w:lang w:eastAsia="en-US"/>
    </w:rPr>
  </w:style>
  <w:style w:type="paragraph" w:styleId="NoSpacing">
    <w:name w:val="No Spacing"/>
    <w:uiPriority w:val="1"/>
    <w:qFormat/>
    <w:rsid w:val="001946E0"/>
    <w:rPr>
      <w:sz w:val="22"/>
      <w:szCs w:val="22"/>
      <w:lang w:eastAsia="en-US"/>
    </w:rPr>
  </w:style>
  <w:style w:type="character" w:customStyle="1" w:styleId="emailstyle17">
    <w:name w:val="emailstyle17"/>
    <w:uiPriority w:val="99"/>
    <w:semiHidden/>
    <w:rsid w:val="005737F1"/>
    <w:rPr>
      <w:rFonts w:ascii="Arial" w:hAnsi="Arial" w:cs="Arial"/>
      <w:color w:val="auto"/>
      <w:sz w:val="20"/>
      <w:szCs w:val="20"/>
    </w:rPr>
  </w:style>
  <w:style w:type="paragraph" w:customStyle="1" w:styleId="Default">
    <w:name w:val="Default"/>
    <w:rsid w:val="008462AC"/>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327ADF"/>
    <w:pPr>
      <w:spacing w:before="100" w:beforeAutospacing="1" w:after="100" w:afterAutospacing="1" w:line="240" w:lineRule="auto"/>
    </w:pPr>
    <w:rPr>
      <w:rFonts w:ascii="Times New Roman" w:eastAsiaTheme="minorHAnsi" w:hAnsi="Times New Roman"/>
      <w:sz w:val="24"/>
      <w:szCs w:val="24"/>
      <w:lang w:eastAsia="en-GB"/>
    </w:rPr>
  </w:style>
  <w:style w:type="character" w:customStyle="1" w:styleId="Heading1Char">
    <w:name w:val="Heading 1 Char"/>
    <w:basedOn w:val="DefaultParagraphFont"/>
    <w:link w:val="Heading1"/>
    <w:rsid w:val="00866FEA"/>
    <w:rPr>
      <w:rFonts w:ascii="Arial" w:eastAsia="Times New Roman" w:hAnsi="Arial" w:cs="Arial"/>
      <w:b/>
      <w:bCs/>
      <w:kern w:val="32"/>
      <w:sz w:val="32"/>
      <w:szCs w:val="32"/>
      <w:lang w:eastAsia="en-US"/>
    </w:rPr>
  </w:style>
  <w:style w:type="character" w:customStyle="1" w:styleId="Heading5Char">
    <w:name w:val="Heading 5 Char"/>
    <w:basedOn w:val="DefaultParagraphFont"/>
    <w:link w:val="Heading5"/>
    <w:rsid w:val="00866FEA"/>
    <w:rPr>
      <w:rFonts w:ascii="Century Gothic" w:eastAsia="Times New Roman" w:hAnsi="Century Gothic"/>
      <w:b/>
      <w:bCs/>
      <w:i/>
      <w:iCs/>
      <w:sz w:val="26"/>
      <w:szCs w:val="26"/>
      <w:lang w:eastAsia="en-US"/>
    </w:rPr>
  </w:style>
  <w:style w:type="character" w:customStyle="1" w:styleId="Heading7Char">
    <w:name w:val="Heading 7 Char"/>
    <w:basedOn w:val="DefaultParagraphFont"/>
    <w:link w:val="Heading7"/>
    <w:rsid w:val="00866FEA"/>
    <w:rPr>
      <w:rFonts w:ascii="Times New Roman" w:eastAsia="Times New Roman" w:hAnsi="Times New Roman"/>
      <w:sz w:val="24"/>
      <w:szCs w:val="24"/>
      <w:lang w:eastAsia="en-US"/>
    </w:rPr>
  </w:style>
  <w:style w:type="character" w:customStyle="1" w:styleId="Heading8Char">
    <w:name w:val="Heading 8 Char"/>
    <w:basedOn w:val="DefaultParagraphFont"/>
    <w:link w:val="Heading8"/>
    <w:rsid w:val="00866FEA"/>
    <w:rPr>
      <w:rFonts w:ascii="Times New Roman" w:eastAsia="Times New Roman" w:hAnsi="Times New Roman"/>
      <w:i/>
      <w:iCs/>
      <w:sz w:val="24"/>
      <w:szCs w:val="24"/>
      <w:lang w:eastAsia="en-US"/>
    </w:rPr>
  </w:style>
  <w:style w:type="paragraph" w:styleId="BodyTextIndent">
    <w:name w:val="Body Text Indent"/>
    <w:basedOn w:val="Normal"/>
    <w:link w:val="BodyTextIndentChar"/>
    <w:rsid w:val="00866FEA"/>
    <w:pPr>
      <w:spacing w:after="120" w:line="240" w:lineRule="auto"/>
      <w:ind w:left="283"/>
    </w:pPr>
    <w:rPr>
      <w:rFonts w:ascii="Century Gothic" w:eastAsia="Times New Roman" w:hAnsi="Century Gothic"/>
      <w:sz w:val="20"/>
      <w:szCs w:val="20"/>
    </w:rPr>
  </w:style>
  <w:style w:type="character" w:customStyle="1" w:styleId="BodyTextIndentChar">
    <w:name w:val="Body Text Indent Char"/>
    <w:basedOn w:val="DefaultParagraphFont"/>
    <w:link w:val="BodyTextIndent"/>
    <w:rsid w:val="00866FEA"/>
    <w:rPr>
      <w:rFonts w:ascii="Century Gothic" w:eastAsia="Times New Roman" w:hAnsi="Century Gothic"/>
      <w:lang w:eastAsia="en-US"/>
    </w:rPr>
  </w:style>
  <w:style w:type="paragraph" w:styleId="FootnoteText">
    <w:name w:val="footnote text"/>
    <w:basedOn w:val="Normal"/>
    <w:link w:val="FootnoteTextChar"/>
    <w:uiPriority w:val="99"/>
    <w:semiHidden/>
    <w:unhideWhenUsed/>
    <w:rsid w:val="002D699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D6993"/>
    <w:rPr>
      <w:rFonts w:asciiTheme="minorHAnsi" w:hAnsiTheme="minorHAnsi" w:cstheme="minorBidi"/>
      <w:lang w:eastAsia="en-US"/>
    </w:rPr>
  </w:style>
  <w:style w:type="character" w:styleId="FootnoteReference">
    <w:name w:val="footnote reference"/>
    <w:basedOn w:val="DefaultParagraphFont"/>
    <w:uiPriority w:val="99"/>
    <w:semiHidden/>
    <w:unhideWhenUsed/>
    <w:rsid w:val="002D6993"/>
    <w:rPr>
      <w:vertAlign w:val="superscript"/>
    </w:rPr>
  </w:style>
  <w:style w:type="table" w:customStyle="1" w:styleId="TableGrid1">
    <w:name w:val="Table Grid1"/>
    <w:basedOn w:val="TableNormal"/>
    <w:next w:val="TableGrid"/>
    <w:uiPriority w:val="99"/>
    <w:rsid w:val="00430A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F85DB4"/>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semiHidden/>
    <w:rsid w:val="00F85DB4"/>
    <w:rPr>
      <w:rFonts w:asciiTheme="majorHAnsi" w:eastAsiaTheme="majorEastAsia" w:hAnsiTheme="majorHAnsi" w:cstheme="majorBidi"/>
      <w:color w:val="243F60" w:themeColor="accent1" w:themeShade="7F"/>
      <w:sz w:val="24"/>
      <w:szCs w:val="24"/>
      <w:lang w:eastAsia="en-US"/>
    </w:rPr>
  </w:style>
  <w:style w:type="character" w:styleId="UnresolvedMention">
    <w:name w:val="Unresolved Mention"/>
    <w:basedOn w:val="DefaultParagraphFont"/>
    <w:uiPriority w:val="99"/>
    <w:semiHidden/>
    <w:unhideWhenUsed/>
    <w:rsid w:val="00663A14"/>
    <w:rPr>
      <w:color w:val="605E5C"/>
      <w:shd w:val="clear" w:color="auto" w:fill="E1DFDD"/>
    </w:rPr>
  </w:style>
  <w:style w:type="character" w:customStyle="1" w:styleId="Heading4Char">
    <w:name w:val="Heading 4 Char"/>
    <w:basedOn w:val="DefaultParagraphFont"/>
    <w:link w:val="Heading4"/>
    <w:rsid w:val="00F115BD"/>
    <w:rPr>
      <w:rFonts w:ascii="Arial" w:eastAsia="Times New Roman" w:hAnsi="Arial" w:cs="Arial"/>
      <w:b/>
      <w:bCs/>
      <w:color w:val="000080"/>
      <w:lang w:eastAsia="en-US"/>
    </w:rPr>
  </w:style>
  <w:style w:type="character" w:customStyle="1" w:styleId="Heading9Char">
    <w:name w:val="Heading 9 Char"/>
    <w:basedOn w:val="DefaultParagraphFont"/>
    <w:link w:val="Heading9"/>
    <w:rsid w:val="00F115BD"/>
    <w:rPr>
      <w:rFonts w:ascii="Arial" w:eastAsia="Times New Roman" w:hAnsi="Arial" w:cs="Arial"/>
      <w:sz w:val="22"/>
      <w:szCs w:val="22"/>
      <w:lang w:eastAsia="en-US"/>
    </w:rPr>
  </w:style>
  <w:style w:type="paragraph" w:styleId="BodyTextIndent3">
    <w:name w:val="Body Text Indent 3"/>
    <w:basedOn w:val="Normal"/>
    <w:link w:val="BodyTextIndent3Char"/>
    <w:rsid w:val="00F115BD"/>
    <w:pPr>
      <w:spacing w:after="0" w:line="240" w:lineRule="auto"/>
      <w:ind w:left="576"/>
      <w:jc w:val="both"/>
    </w:pPr>
    <w:rPr>
      <w:rFonts w:ascii="Arial" w:eastAsia="Times New Roman" w:hAnsi="Arial"/>
      <w:lang w:val="en"/>
    </w:rPr>
  </w:style>
  <w:style w:type="character" w:customStyle="1" w:styleId="BodyTextIndent3Char">
    <w:name w:val="Body Text Indent 3 Char"/>
    <w:basedOn w:val="DefaultParagraphFont"/>
    <w:link w:val="BodyTextIndent3"/>
    <w:rsid w:val="00F115BD"/>
    <w:rPr>
      <w:rFonts w:ascii="Arial" w:eastAsia="Times New Roman" w:hAnsi="Arial"/>
      <w:sz w:val="22"/>
      <w:szCs w:val="22"/>
      <w:lang w:val="en" w:eastAsia="en-US"/>
    </w:rPr>
  </w:style>
  <w:style w:type="character" w:styleId="PageNumber">
    <w:name w:val="page number"/>
    <w:basedOn w:val="DefaultParagraphFont"/>
    <w:rsid w:val="00F115BD"/>
  </w:style>
  <w:style w:type="paragraph" w:customStyle="1" w:styleId="StyleCCC">
    <w:name w:val="StyleCCC"/>
    <w:basedOn w:val="Normal"/>
    <w:rsid w:val="00F115BD"/>
    <w:pPr>
      <w:tabs>
        <w:tab w:val="num" w:pos="360"/>
      </w:tabs>
      <w:spacing w:after="0" w:line="240" w:lineRule="auto"/>
      <w:ind w:left="360" w:hanging="360"/>
    </w:pPr>
    <w:rPr>
      <w:rFonts w:ascii="Arial" w:eastAsia="Times New Roman" w:hAnsi="Arial"/>
      <w:sz w:val="24"/>
      <w:szCs w:val="20"/>
    </w:rPr>
  </w:style>
  <w:style w:type="paragraph" w:customStyle="1" w:styleId="Char">
    <w:name w:val="Char"/>
    <w:basedOn w:val="Normal"/>
    <w:rsid w:val="00F115BD"/>
    <w:pPr>
      <w:spacing w:after="160" w:line="240" w:lineRule="exact"/>
    </w:pPr>
    <w:rPr>
      <w:rFonts w:ascii="Verdana" w:eastAsia="Times New Roman" w:hAnsi="Verdana" w:cs="Verdana"/>
      <w:sz w:val="20"/>
      <w:szCs w:val="20"/>
      <w:lang w:val="en-US"/>
    </w:rPr>
  </w:style>
  <w:style w:type="paragraph" w:styleId="Title">
    <w:name w:val="Title"/>
    <w:basedOn w:val="Normal"/>
    <w:next w:val="Normal"/>
    <w:link w:val="TitleChar"/>
    <w:qFormat/>
    <w:locked/>
    <w:rsid w:val="00F115BD"/>
    <w:pPr>
      <w:spacing w:before="240" w:after="60" w:line="240" w:lineRule="auto"/>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rsid w:val="00F115BD"/>
    <w:rPr>
      <w:rFonts w:ascii="Calibri Light" w:eastAsia="Times New Roman" w:hAnsi="Calibri Light"/>
      <w:b/>
      <w:bCs/>
      <w:kern w:val="28"/>
      <w:sz w:val="32"/>
      <w:szCs w:val="32"/>
      <w:lang w:eastAsia="en-US"/>
    </w:rPr>
  </w:style>
  <w:style w:type="paragraph" w:styleId="Revision">
    <w:name w:val="Revision"/>
    <w:hidden/>
    <w:uiPriority w:val="99"/>
    <w:semiHidden/>
    <w:rsid w:val="004C5989"/>
    <w:rPr>
      <w:sz w:val="22"/>
      <w:szCs w:val="22"/>
      <w:lang w:eastAsia="en-US"/>
    </w:rPr>
  </w:style>
  <w:style w:type="paragraph" w:customStyle="1" w:styleId="PanelPara">
    <w:name w:val="Panel Para"/>
    <w:basedOn w:val="ListParagraph"/>
    <w:link w:val="PanelParaChar"/>
    <w:qFormat/>
    <w:rsid w:val="00FC067A"/>
    <w:pPr>
      <w:numPr>
        <w:numId w:val="46"/>
      </w:numPr>
      <w:spacing w:after="240" w:line="240" w:lineRule="auto"/>
      <w:ind w:left="567" w:hanging="567"/>
      <w:contextualSpacing w:val="0"/>
      <w:jc w:val="both"/>
    </w:pPr>
    <w:rPr>
      <w:rFonts w:asciiTheme="minorHAnsi" w:hAnsiTheme="minorHAnsi" w:cstheme="minorHAnsi"/>
      <w:sz w:val="24"/>
      <w:szCs w:val="24"/>
    </w:rPr>
  </w:style>
  <w:style w:type="character" w:customStyle="1" w:styleId="PanelParaChar">
    <w:name w:val="Panel Para Char"/>
    <w:basedOn w:val="DefaultParagraphFont"/>
    <w:link w:val="PanelPara"/>
    <w:rsid w:val="00FC067A"/>
    <w:rPr>
      <w:rFonts w:asciiTheme="minorHAnsi" w:hAnsiTheme="minorHAnsi" w:cstheme="minorHAnsi"/>
      <w:sz w:val="24"/>
      <w:szCs w:val="24"/>
      <w:lang w:eastAsia="en-US"/>
    </w:rPr>
  </w:style>
  <w:style w:type="paragraph" w:customStyle="1" w:styleId="PanelHeading">
    <w:name w:val="Panel Heading"/>
    <w:basedOn w:val="Normal"/>
    <w:link w:val="PanelHeadingChar"/>
    <w:qFormat/>
    <w:rsid w:val="00095FC7"/>
    <w:pPr>
      <w:spacing w:after="240"/>
      <w:jc w:val="both"/>
    </w:pPr>
    <w:rPr>
      <w:rFonts w:asciiTheme="minorHAnsi" w:hAnsiTheme="minorHAnsi" w:cstheme="minorHAnsi"/>
      <w:b/>
      <w:sz w:val="24"/>
      <w:szCs w:val="24"/>
    </w:rPr>
  </w:style>
  <w:style w:type="paragraph" w:customStyle="1" w:styleId="PanelPara2">
    <w:name w:val="Panel Para 2"/>
    <w:basedOn w:val="PanelPara"/>
    <w:link w:val="PanelPara2Char"/>
    <w:qFormat/>
    <w:rsid w:val="00FC067A"/>
    <w:pPr>
      <w:numPr>
        <w:ilvl w:val="1"/>
      </w:numPr>
      <w:ind w:left="1134" w:hanging="567"/>
    </w:pPr>
  </w:style>
  <w:style w:type="character" w:customStyle="1" w:styleId="PanelHeadingChar">
    <w:name w:val="Panel Heading Char"/>
    <w:basedOn w:val="DefaultParagraphFont"/>
    <w:link w:val="PanelHeading"/>
    <w:rsid w:val="00095FC7"/>
    <w:rPr>
      <w:rFonts w:asciiTheme="minorHAnsi" w:hAnsiTheme="minorHAnsi" w:cstheme="minorHAnsi"/>
      <w:b/>
      <w:sz w:val="24"/>
      <w:szCs w:val="24"/>
      <w:lang w:eastAsia="en-US"/>
    </w:rPr>
  </w:style>
  <w:style w:type="paragraph" w:customStyle="1" w:styleId="PanelBullet">
    <w:name w:val="Panel Bullet"/>
    <w:basedOn w:val="PanelPara2"/>
    <w:link w:val="PanelBulletChar"/>
    <w:qFormat/>
    <w:rsid w:val="008C66D2"/>
    <w:pPr>
      <w:numPr>
        <w:ilvl w:val="2"/>
      </w:numPr>
      <w:spacing w:after="120"/>
      <w:ind w:left="1701" w:hanging="567"/>
    </w:pPr>
  </w:style>
  <w:style w:type="character" w:customStyle="1" w:styleId="PanelPara2Char">
    <w:name w:val="Panel Para 2 Char"/>
    <w:basedOn w:val="PanelParaChar"/>
    <w:link w:val="PanelPara2"/>
    <w:rsid w:val="00FC067A"/>
    <w:rPr>
      <w:rFonts w:asciiTheme="minorHAnsi" w:hAnsiTheme="minorHAnsi" w:cstheme="minorHAnsi"/>
      <w:sz w:val="24"/>
      <w:szCs w:val="24"/>
      <w:lang w:eastAsia="en-US"/>
    </w:rPr>
  </w:style>
  <w:style w:type="character" w:customStyle="1" w:styleId="PanelBulletChar">
    <w:name w:val="Panel Bullet Char"/>
    <w:basedOn w:val="PanelPara2Char"/>
    <w:link w:val="PanelBullet"/>
    <w:rsid w:val="008C66D2"/>
    <w:rPr>
      <w:rFonts w:asciiTheme="minorHAnsi" w:hAnsiTheme="minorHAnsi" w:cstheme="minorHAnsi"/>
      <w:sz w:val="24"/>
      <w:szCs w:val="24"/>
      <w:lang w:eastAsia="en-US"/>
    </w:rPr>
  </w:style>
  <w:style w:type="paragraph" w:customStyle="1" w:styleId="ReservesHeading">
    <w:name w:val="Reserves Heading"/>
    <w:basedOn w:val="Normal"/>
    <w:link w:val="ReservesHeadingChar"/>
    <w:qFormat/>
    <w:rsid w:val="009428A9"/>
    <w:pPr>
      <w:numPr>
        <w:numId w:val="48"/>
      </w:numPr>
      <w:spacing w:after="240" w:line="240" w:lineRule="auto"/>
      <w:ind w:left="567" w:hanging="567"/>
      <w:jc w:val="both"/>
    </w:pPr>
    <w:rPr>
      <w:rFonts w:eastAsia="Times New Roman" w:cs="Calibri"/>
      <w:b/>
      <w:bCs/>
      <w:sz w:val="24"/>
      <w:szCs w:val="24"/>
    </w:rPr>
  </w:style>
  <w:style w:type="paragraph" w:customStyle="1" w:styleId="ReservesBody">
    <w:name w:val="Reserves Body"/>
    <w:basedOn w:val="ReservesHeading"/>
    <w:link w:val="ReservesBodyChar"/>
    <w:qFormat/>
    <w:rsid w:val="009428A9"/>
    <w:pPr>
      <w:numPr>
        <w:ilvl w:val="1"/>
      </w:numPr>
      <w:ind w:left="567" w:hanging="567"/>
    </w:pPr>
    <w:rPr>
      <w:b w:val="0"/>
      <w:bCs w:val="0"/>
    </w:rPr>
  </w:style>
  <w:style w:type="character" w:customStyle="1" w:styleId="ReservesHeadingChar">
    <w:name w:val="Reserves Heading Char"/>
    <w:basedOn w:val="DefaultParagraphFont"/>
    <w:link w:val="ReservesHeading"/>
    <w:rsid w:val="009428A9"/>
    <w:rPr>
      <w:rFonts w:eastAsia="Times New Roman" w:cs="Calibri"/>
      <w:b/>
      <w:bCs/>
      <w:sz w:val="24"/>
      <w:szCs w:val="24"/>
      <w:lang w:eastAsia="en-US"/>
    </w:rPr>
  </w:style>
  <w:style w:type="paragraph" w:customStyle="1" w:styleId="Reservesbullet">
    <w:name w:val="Reserves bullet"/>
    <w:basedOn w:val="ReservesBody"/>
    <w:link w:val="ReservesbulletChar"/>
    <w:qFormat/>
    <w:rsid w:val="009428A9"/>
    <w:pPr>
      <w:numPr>
        <w:ilvl w:val="2"/>
      </w:numPr>
      <w:spacing w:after="120"/>
      <w:ind w:left="1077" w:hanging="357"/>
    </w:pPr>
  </w:style>
  <w:style w:type="character" w:customStyle="1" w:styleId="ReservesBodyChar">
    <w:name w:val="Reserves Body Char"/>
    <w:basedOn w:val="ReservesHeadingChar"/>
    <w:link w:val="ReservesBody"/>
    <w:rsid w:val="009428A9"/>
    <w:rPr>
      <w:rFonts w:eastAsia="Times New Roman" w:cs="Calibri"/>
      <w:b w:val="0"/>
      <w:bCs w:val="0"/>
      <w:sz w:val="24"/>
      <w:szCs w:val="24"/>
      <w:lang w:eastAsia="en-US"/>
    </w:rPr>
  </w:style>
  <w:style w:type="character" w:customStyle="1" w:styleId="ReservesbulletChar">
    <w:name w:val="Reserves bullet Char"/>
    <w:basedOn w:val="ReservesBodyChar"/>
    <w:link w:val="Reservesbullet"/>
    <w:rsid w:val="009428A9"/>
    <w:rPr>
      <w:rFonts w:eastAsia="Times New Roman" w:cs="Calibri"/>
      <w:b w:val="0"/>
      <w:bCs w:val="0"/>
      <w:sz w:val="24"/>
      <w:szCs w:val="24"/>
      <w:lang w:eastAsia="en-US"/>
    </w:rPr>
  </w:style>
  <w:style w:type="character" w:customStyle="1" w:styleId="ListParagraphChar">
    <w:name w:val="List Paragraph Char"/>
    <w:basedOn w:val="DefaultParagraphFont"/>
    <w:link w:val="ListParagraph"/>
    <w:uiPriority w:val="34"/>
    <w:rsid w:val="007868A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583">
      <w:bodyDiv w:val="1"/>
      <w:marLeft w:val="0"/>
      <w:marRight w:val="0"/>
      <w:marTop w:val="0"/>
      <w:marBottom w:val="0"/>
      <w:divBdr>
        <w:top w:val="none" w:sz="0" w:space="0" w:color="auto"/>
        <w:left w:val="none" w:sz="0" w:space="0" w:color="auto"/>
        <w:bottom w:val="none" w:sz="0" w:space="0" w:color="auto"/>
        <w:right w:val="none" w:sz="0" w:space="0" w:color="auto"/>
      </w:divBdr>
    </w:div>
    <w:div w:id="13384480">
      <w:bodyDiv w:val="1"/>
      <w:marLeft w:val="0"/>
      <w:marRight w:val="0"/>
      <w:marTop w:val="0"/>
      <w:marBottom w:val="0"/>
      <w:divBdr>
        <w:top w:val="none" w:sz="0" w:space="0" w:color="auto"/>
        <w:left w:val="none" w:sz="0" w:space="0" w:color="auto"/>
        <w:bottom w:val="none" w:sz="0" w:space="0" w:color="auto"/>
        <w:right w:val="none" w:sz="0" w:space="0" w:color="auto"/>
      </w:divBdr>
    </w:div>
    <w:div w:id="16129193">
      <w:bodyDiv w:val="1"/>
      <w:marLeft w:val="0"/>
      <w:marRight w:val="0"/>
      <w:marTop w:val="0"/>
      <w:marBottom w:val="0"/>
      <w:divBdr>
        <w:top w:val="none" w:sz="0" w:space="0" w:color="auto"/>
        <w:left w:val="none" w:sz="0" w:space="0" w:color="auto"/>
        <w:bottom w:val="none" w:sz="0" w:space="0" w:color="auto"/>
        <w:right w:val="none" w:sz="0" w:space="0" w:color="auto"/>
      </w:divBdr>
    </w:div>
    <w:div w:id="70542213">
      <w:bodyDiv w:val="1"/>
      <w:marLeft w:val="0"/>
      <w:marRight w:val="0"/>
      <w:marTop w:val="0"/>
      <w:marBottom w:val="0"/>
      <w:divBdr>
        <w:top w:val="none" w:sz="0" w:space="0" w:color="auto"/>
        <w:left w:val="none" w:sz="0" w:space="0" w:color="auto"/>
        <w:bottom w:val="none" w:sz="0" w:space="0" w:color="auto"/>
        <w:right w:val="none" w:sz="0" w:space="0" w:color="auto"/>
      </w:divBdr>
    </w:div>
    <w:div w:id="77875207">
      <w:bodyDiv w:val="1"/>
      <w:marLeft w:val="0"/>
      <w:marRight w:val="0"/>
      <w:marTop w:val="0"/>
      <w:marBottom w:val="0"/>
      <w:divBdr>
        <w:top w:val="none" w:sz="0" w:space="0" w:color="auto"/>
        <w:left w:val="none" w:sz="0" w:space="0" w:color="auto"/>
        <w:bottom w:val="none" w:sz="0" w:space="0" w:color="auto"/>
        <w:right w:val="none" w:sz="0" w:space="0" w:color="auto"/>
      </w:divBdr>
    </w:div>
    <w:div w:id="95518438">
      <w:bodyDiv w:val="1"/>
      <w:marLeft w:val="0"/>
      <w:marRight w:val="0"/>
      <w:marTop w:val="0"/>
      <w:marBottom w:val="0"/>
      <w:divBdr>
        <w:top w:val="none" w:sz="0" w:space="0" w:color="auto"/>
        <w:left w:val="none" w:sz="0" w:space="0" w:color="auto"/>
        <w:bottom w:val="none" w:sz="0" w:space="0" w:color="auto"/>
        <w:right w:val="none" w:sz="0" w:space="0" w:color="auto"/>
      </w:divBdr>
    </w:div>
    <w:div w:id="130296754">
      <w:bodyDiv w:val="1"/>
      <w:marLeft w:val="0"/>
      <w:marRight w:val="0"/>
      <w:marTop w:val="0"/>
      <w:marBottom w:val="0"/>
      <w:divBdr>
        <w:top w:val="none" w:sz="0" w:space="0" w:color="auto"/>
        <w:left w:val="none" w:sz="0" w:space="0" w:color="auto"/>
        <w:bottom w:val="none" w:sz="0" w:space="0" w:color="auto"/>
        <w:right w:val="none" w:sz="0" w:space="0" w:color="auto"/>
      </w:divBdr>
    </w:div>
    <w:div w:id="203055843">
      <w:bodyDiv w:val="1"/>
      <w:marLeft w:val="0"/>
      <w:marRight w:val="0"/>
      <w:marTop w:val="0"/>
      <w:marBottom w:val="0"/>
      <w:divBdr>
        <w:top w:val="none" w:sz="0" w:space="0" w:color="auto"/>
        <w:left w:val="none" w:sz="0" w:space="0" w:color="auto"/>
        <w:bottom w:val="none" w:sz="0" w:space="0" w:color="auto"/>
        <w:right w:val="none" w:sz="0" w:space="0" w:color="auto"/>
      </w:divBdr>
    </w:div>
    <w:div w:id="253981878">
      <w:bodyDiv w:val="1"/>
      <w:marLeft w:val="0"/>
      <w:marRight w:val="0"/>
      <w:marTop w:val="0"/>
      <w:marBottom w:val="0"/>
      <w:divBdr>
        <w:top w:val="none" w:sz="0" w:space="0" w:color="auto"/>
        <w:left w:val="none" w:sz="0" w:space="0" w:color="auto"/>
        <w:bottom w:val="none" w:sz="0" w:space="0" w:color="auto"/>
        <w:right w:val="none" w:sz="0" w:space="0" w:color="auto"/>
      </w:divBdr>
    </w:div>
    <w:div w:id="283200012">
      <w:bodyDiv w:val="1"/>
      <w:marLeft w:val="0"/>
      <w:marRight w:val="0"/>
      <w:marTop w:val="0"/>
      <w:marBottom w:val="0"/>
      <w:divBdr>
        <w:top w:val="none" w:sz="0" w:space="0" w:color="auto"/>
        <w:left w:val="none" w:sz="0" w:space="0" w:color="auto"/>
        <w:bottom w:val="none" w:sz="0" w:space="0" w:color="auto"/>
        <w:right w:val="none" w:sz="0" w:space="0" w:color="auto"/>
      </w:divBdr>
    </w:div>
    <w:div w:id="387343775">
      <w:bodyDiv w:val="1"/>
      <w:marLeft w:val="0"/>
      <w:marRight w:val="0"/>
      <w:marTop w:val="0"/>
      <w:marBottom w:val="0"/>
      <w:divBdr>
        <w:top w:val="none" w:sz="0" w:space="0" w:color="auto"/>
        <w:left w:val="none" w:sz="0" w:space="0" w:color="auto"/>
        <w:bottom w:val="none" w:sz="0" w:space="0" w:color="auto"/>
        <w:right w:val="none" w:sz="0" w:space="0" w:color="auto"/>
      </w:divBdr>
    </w:div>
    <w:div w:id="395396756">
      <w:bodyDiv w:val="1"/>
      <w:marLeft w:val="0"/>
      <w:marRight w:val="0"/>
      <w:marTop w:val="0"/>
      <w:marBottom w:val="0"/>
      <w:divBdr>
        <w:top w:val="none" w:sz="0" w:space="0" w:color="auto"/>
        <w:left w:val="none" w:sz="0" w:space="0" w:color="auto"/>
        <w:bottom w:val="none" w:sz="0" w:space="0" w:color="auto"/>
        <w:right w:val="none" w:sz="0" w:space="0" w:color="auto"/>
      </w:divBdr>
    </w:div>
    <w:div w:id="402338239">
      <w:bodyDiv w:val="1"/>
      <w:marLeft w:val="0"/>
      <w:marRight w:val="0"/>
      <w:marTop w:val="0"/>
      <w:marBottom w:val="0"/>
      <w:divBdr>
        <w:top w:val="none" w:sz="0" w:space="0" w:color="auto"/>
        <w:left w:val="none" w:sz="0" w:space="0" w:color="auto"/>
        <w:bottom w:val="none" w:sz="0" w:space="0" w:color="auto"/>
        <w:right w:val="none" w:sz="0" w:space="0" w:color="auto"/>
      </w:divBdr>
    </w:div>
    <w:div w:id="406222546">
      <w:marLeft w:val="0"/>
      <w:marRight w:val="0"/>
      <w:marTop w:val="0"/>
      <w:marBottom w:val="0"/>
      <w:divBdr>
        <w:top w:val="none" w:sz="0" w:space="0" w:color="auto"/>
        <w:left w:val="none" w:sz="0" w:space="0" w:color="auto"/>
        <w:bottom w:val="none" w:sz="0" w:space="0" w:color="auto"/>
        <w:right w:val="none" w:sz="0" w:space="0" w:color="auto"/>
      </w:divBdr>
    </w:div>
    <w:div w:id="406222547">
      <w:marLeft w:val="0"/>
      <w:marRight w:val="0"/>
      <w:marTop w:val="0"/>
      <w:marBottom w:val="0"/>
      <w:divBdr>
        <w:top w:val="none" w:sz="0" w:space="0" w:color="auto"/>
        <w:left w:val="none" w:sz="0" w:space="0" w:color="auto"/>
        <w:bottom w:val="none" w:sz="0" w:space="0" w:color="auto"/>
        <w:right w:val="none" w:sz="0" w:space="0" w:color="auto"/>
      </w:divBdr>
    </w:div>
    <w:div w:id="406222549">
      <w:marLeft w:val="0"/>
      <w:marRight w:val="0"/>
      <w:marTop w:val="0"/>
      <w:marBottom w:val="0"/>
      <w:divBdr>
        <w:top w:val="none" w:sz="0" w:space="0" w:color="auto"/>
        <w:left w:val="none" w:sz="0" w:space="0" w:color="auto"/>
        <w:bottom w:val="none" w:sz="0" w:space="0" w:color="auto"/>
        <w:right w:val="none" w:sz="0" w:space="0" w:color="auto"/>
      </w:divBdr>
      <w:divsChild>
        <w:div w:id="406222548">
          <w:marLeft w:val="0"/>
          <w:marRight w:val="0"/>
          <w:marTop w:val="0"/>
          <w:marBottom w:val="0"/>
          <w:divBdr>
            <w:top w:val="none" w:sz="0" w:space="0" w:color="auto"/>
            <w:left w:val="none" w:sz="0" w:space="0" w:color="auto"/>
            <w:bottom w:val="none" w:sz="0" w:space="0" w:color="auto"/>
            <w:right w:val="none" w:sz="0" w:space="0" w:color="auto"/>
          </w:divBdr>
        </w:div>
      </w:divsChild>
    </w:div>
    <w:div w:id="471482221">
      <w:bodyDiv w:val="1"/>
      <w:marLeft w:val="0"/>
      <w:marRight w:val="0"/>
      <w:marTop w:val="0"/>
      <w:marBottom w:val="0"/>
      <w:divBdr>
        <w:top w:val="none" w:sz="0" w:space="0" w:color="auto"/>
        <w:left w:val="none" w:sz="0" w:space="0" w:color="auto"/>
        <w:bottom w:val="none" w:sz="0" w:space="0" w:color="auto"/>
        <w:right w:val="none" w:sz="0" w:space="0" w:color="auto"/>
      </w:divBdr>
    </w:div>
    <w:div w:id="477498690">
      <w:bodyDiv w:val="1"/>
      <w:marLeft w:val="0"/>
      <w:marRight w:val="0"/>
      <w:marTop w:val="0"/>
      <w:marBottom w:val="0"/>
      <w:divBdr>
        <w:top w:val="none" w:sz="0" w:space="0" w:color="auto"/>
        <w:left w:val="none" w:sz="0" w:space="0" w:color="auto"/>
        <w:bottom w:val="none" w:sz="0" w:space="0" w:color="auto"/>
        <w:right w:val="none" w:sz="0" w:space="0" w:color="auto"/>
      </w:divBdr>
    </w:div>
    <w:div w:id="500583293">
      <w:bodyDiv w:val="1"/>
      <w:marLeft w:val="0"/>
      <w:marRight w:val="0"/>
      <w:marTop w:val="0"/>
      <w:marBottom w:val="0"/>
      <w:divBdr>
        <w:top w:val="none" w:sz="0" w:space="0" w:color="auto"/>
        <w:left w:val="none" w:sz="0" w:space="0" w:color="auto"/>
        <w:bottom w:val="none" w:sz="0" w:space="0" w:color="auto"/>
        <w:right w:val="none" w:sz="0" w:space="0" w:color="auto"/>
      </w:divBdr>
    </w:div>
    <w:div w:id="509292832">
      <w:bodyDiv w:val="1"/>
      <w:marLeft w:val="0"/>
      <w:marRight w:val="0"/>
      <w:marTop w:val="0"/>
      <w:marBottom w:val="0"/>
      <w:divBdr>
        <w:top w:val="none" w:sz="0" w:space="0" w:color="auto"/>
        <w:left w:val="none" w:sz="0" w:space="0" w:color="auto"/>
        <w:bottom w:val="none" w:sz="0" w:space="0" w:color="auto"/>
        <w:right w:val="none" w:sz="0" w:space="0" w:color="auto"/>
      </w:divBdr>
    </w:div>
    <w:div w:id="513542817">
      <w:bodyDiv w:val="1"/>
      <w:marLeft w:val="0"/>
      <w:marRight w:val="0"/>
      <w:marTop w:val="0"/>
      <w:marBottom w:val="0"/>
      <w:divBdr>
        <w:top w:val="none" w:sz="0" w:space="0" w:color="auto"/>
        <w:left w:val="none" w:sz="0" w:space="0" w:color="auto"/>
        <w:bottom w:val="none" w:sz="0" w:space="0" w:color="auto"/>
        <w:right w:val="none" w:sz="0" w:space="0" w:color="auto"/>
      </w:divBdr>
    </w:div>
    <w:div w:id="551579603">
      <w:bodyDiv w:val="1"/>
      <w:marLeft w:val="0"/>
      <w:marRight w:val="0"/>
      <w:marTop w:val="0"/>
      <w:marBottom w:val="0"/>
      <w:divBdr>
        <w:top w:val="none" w:sz="0" w:space="0" w:color="auto"/>
        <w:left w:val="none" w:sz="0" w:space="0" w:color="auto"/>
        <w:bottom w:val="none" w:sz="0" w:space="0" w:color="auto"/>
        <w:right w:val="none" w:sz="0" w:space="0" w:color="auto"/>
      </w:divBdr>
    </w:div>
    <w:div w:id="595015623">
      <w:bodyDiv w:val="1"/>
      <w:marLeft w:val="0"/>
      <w:marRight w:val="0"/>
      <w:marTop w:val="0"/>
      <w:marBottom w:val="0"/>
      <w:divBdr>
        <w:top w:val="none" w:sz="0" w:space="0" w:color="auto"/>
        <w:left w:val="none" w:sz="0" w:space="0" w:color="auto"/>
        <w:bottom w:val="none" w:sz="0" w:space="0" w:color="auto"/>
        <w:right w:val="none" w:sz="0" w:space="0" w:color="auto"/>
      </w:divBdr>
    </w:div>
    <w:div w:id="615406144">
      <w:bodyDiv w:val="1"/>
      <w:marLeft w:val="0"/>
      <w:marRight w:val="0"/>
      <w:marTop w:val="0"/>
      <w:marBottom w:val="0"/>
      <w:divBdr>
        <w:top w:val="none" w:sz="0" w:space="0" w:color="auto"/>
        <w:left w:val="none" w:sz="0" w:space="0" w:color="auto"/>
        <w:bottom w:val="none" w:sz="0" w:space="0" w:color="auto"/>
        <w:right w:val="none" w:sz="0" w:space="0" w:color="auto"/>
      </w:divBdr>
      <w:divsChild>
        <w:div w:id="98068100">
          <w:marLeft w:val="547"/>
          <w:marRight w:val="0"/>
          <w:marTop w:val="0"/>
          <w:marBottom w:val="0"/>
          <w:divBdr>
            <w:top w:val="none" w:sz="0" w:space="0" w:color="auto"/>
            <w:left w:val="none" w:sz="0" w:space="0" w:color="auto"/>
            <w:bottom w:val="none" w:sz="0" w:space="0" w:color="auto"/>
            <w:right w:val="none" w:sz="0" w:space="0" w:color="auto"/>
          </w:divBdr>
        </w:div>
        <w:div w:id="1340084514">
          <w:marLeft w:val="1267"/>
          <w:marRight w:val="0"/>
          <w:marTop w:val="0"/>
          <w:marBottom w:val="0"/>
          <w:divBdr>
            <w:top w:val="none" w:sz="0" w:space="0" w:color="auto"/>
            <w:left w:val="none" w:sz="0" w:space="0" w:color="auto"/>
            <w:bottom w:val="none" w:sz="0" w:space="0" w:color="auto"/>
            <w:right w:val="none" w:sz="0" w:space="0" w:color="auto"/>
          </w:divBdr>
        </w:div>
        <w:div w:id="1574853183">
          <w:marLeft w:val="1267"/>
          <w:marRight w:val="0"/>
          <w:marTop w:val="0"/>
          <w:marBottom w:val="0"/>
          <w:divBdr>
            <w:top w:val="none" w:sz="0" w:space="0" w:color="auto"/>
            <w:left w:val="none" w:sz="0" w:space="0" w:color="auto"/>
            <w:bottom w:val="none" w:sz="0" w:space="0" w:color="auto"/>
            <w:right w:val="none" w:sz="0" w:space="0" w:color="auto"/>
          </w:divBdr>
        </w:div>
        <w:div w:id="543255615">
          <w:marLeft w:val="547"/>
          <w:marRight w:val="0"/>
          <w:marTop w:val="0"/>
          <w:marBottom w:val="0"/>
          <w:divBdr>
            <w:top w:val="none" w:sz="0" w:space="0" w:color="auto"/>
            <w:left w:val="none" w:sz="0" w:space="0" w:color="auto"/>
            <w:bottom w:val="none" w:sz="0" w:space="0" w:color="auto"/>
            <w:right w:val="none" w:sz="0" w:space="0" w:color="auto"/>
          </w:divBdr>
        </w:div>
        <w:div w:id="1419641908">
          <w:marLeft w:val="547"/>
          <w:marRight w:val="0"/>
          <w:marTop w:val="0"/>
          <w:marBottom w:val="0"/>
          <w:divBdr>
            <w:top w:val="none" w:sz="0" w:space="0" w:color="auto"/>
            <w:left w:val="none" w:sz="0" w:space="0" w:color="auto"/>
            <w:bottom w:val="none" w:sz="0" w:space="0" w:color="auto"/>
            <w:right w:val="none" w:sz="0" w:space="0" w:color="auto"/>
          </w:divBdr>
        </w:div>
        <w:div w:id="1656295882">
          <w:marLeft w:val="547"/>
          <w:marRight w:val="0"/>
          <w:marTop w:val="0"/>
          <w:marBottom w:val="0"/>
          <w:divBdr>
            <w:top w:val="none" w:sz="0" w:space="0" w:color="auto"/>
            <w:left w:val="none" w:sz="0" w:space="0" w:color="auto"/>
            <w:bottom w:val="none" w:sz="0" w:space="0" w:color="auto"/>
            <w:right w:val="none" w:sz="0" w:space="0" w:color="auto"/>
          </w:divBdr>
        </w:div>
        <w:div w:id="1853295621">
          <w:marLeft w:val="547"/>
          <w:marRight w:val="0"/>
          <w:marTop w:val="0"/>
          <w:marBottom w:val="0"/>
          <w:divBdr>
            <w:top w:val="none" w:sz="0" w:space="0" w:color="auto"/>
            <w:left w:val="none" w:sz="0" w:space="0" w:color="auto"/>
            <w:bottom w:val="none" w:sz="0" w:space="0" w:color="auto"/>
            <w:right w:val="none" w:sz="0" w:space="0" w:color="auto"/>
          </w:divBdr>
        </w:div>
        <w:div w:id="500971328">
          <w:marLeft w:val="547"/>
          <w:marRight w:val="0"/>
          <w:marTop w:val="0"/>
          <w:marBottom w:val="0"/>
          <w:divBdr>
            <w:top w:val="none" w:sz="0" w:space="0" w:color="auto"/>
            <w:left w:val="none" w:sz="0" w:space="0" w:color="auto"/>
            <w:bottom w:val="none" w:sz="0" w:space="0" w:color="auto"/>
            <w:right w:val="none" w:sz="0" w:space="0" w:color="auto"/>
          </w:divBdr>
        </w:div>
      </w:divsChild>
    </w:div>
    <w:div w:id="641154720">
      <w:bodyDiv w:val="1"/>
      <w:marLeft w:val="0"/>
      <w:marRight w:val="0"/>
      <w:marTop w:val="0"/>
      <w:marBottom w:val="0"/>
      <w:divBdr>
        <w:top w:val="none" w:sz="0" w:space="0" w:color="auto"/>
        <w:left w:val="none" w:sz="0" w:space="0" w:color="auto"/>
        <w:bottom w:val="none" w:sz="0" w:space="0" w:color="auto"/>
        <w:right w:val="none" w:sz="0" w:space="0" w:color="auto"/>
      </w:divBdr>
    </w:div>
    <w:div w:id="652758950">
      <w:bodyDiv w:val="1"/>
      <w:marLeft w:val="0"/>
      <w:marRight w:val="0"/>
      <w:marTop w:val="0"/>
      <w:marBottom w:val="0"/>
      <w:divBdr>
        <w:top w:val="none" w:sz="0" w:space="0" w:color="auto"/>
        <w:left w:val="none" w:sz="0" w:space="0" w:color="auto"/>
        <w:bottom w:val="none" w:sz="0" w:space="0" w:color="auto"/>
        <w:right w:val="none" w:sz="0" w:space="0" w:color="auto"/>
      </w:divBdr>
    </w:div>
    <w:div w:id="680548251">
      <w:bodyDiv w:val="1"/>
      <w:marLeft w:val="0"/>
      <w:marRight w:val="0"/>
      <w:marTop w:val="0"/>
      <w:marBottom w:val="0"/>
      <w:divBdr>
        <w:top w:val="none" w:sz="0" w:space="0" w:color="auto"/>
        <w:left w:val="none" w:sz="0" w:space="0" w:color="auto"/>
        <w:bottom w:val="none" w:sz="0" w:space="0" w:color="auto"/>
        <w:right w:val="none" w:sz="0" w:space="0" w:color="auto"/>
      </w:divBdr>
      <w:divsChild>
        <w:div w:id="1173179612">
          <w:marLeft w:val="1440"/>
          <w:marRight w:val="0"/>
          <w:marTop w:val="0"/>
          <w:marBottom w:val="0"/>
          <w:divBdr>
            <w:top w:val="none" w:sz="0" w:space="0" w:color="auto"/>
            <w:left w:val="none" w:sz="0" w:space="0" w:color="auto"/>
            <w:bottom w:val="none" w:sz="0" w:space="0" w:color="auto"/>
            <w:right w:val="none" w:sz="0" w:space="0" w:color="auto"/>
          </w:divBdr>
        </w:div>
        <w:div w:id="558899631">
          <w:marLeft w:val="1440"/>
          <w:marRight w:val="0"/>
          <w:marTop w:val="0"/>
          <w:marBottom w:val="0"/>
          <w:divBdr>
            <w:top w:val="none" w:sz="0" w:space="0" w:color="auto"/>
            <w:left w:val="none" w:sz="0" w:space="0" w:color="auto"/>
            <w:bottom w:val="none" w:sz="0" w:space="0" w:color="auto"/>
            <w:right w:val="none" w:sz="0" w:space="0" w:color="auto"/>
          </w:divBdr>
        </w:div>
        <w:div w:id="1377506054">
          <w:marLeft w:val="1440"/>
          <w:marRight w:val="0"/>
          <w:marTop w:val="0"/>
          <w:marBottom w:val="0"/>
          <w:divBdr>
            <w:top w:val="none" w:sz="0" w:space="0" w:color="auto"/>
            <w:left w:val="none" w:sz="0" w:space="0" w:color="auto"/>
            <w:bottom w:val="none" w:sz="0" w:space="0" w:color="auto"/>
            <w:right w:val="none" w:sz="0" w:space="0" w:color="auto"/>
          </w:divBdr>
        </w:div>
        <w:div w:id="216359848">
          <w:marLeft w:val="1440"/>
          <w:marRight w:val="0"/>
          <w:marTop w:val="0"/>
          <w:marBottom w:val="0"/>
          <w:divBdr>
            <w:top w:val="none" w:sz="0" w:space="0" w:color="auto"/>
            <w:left w:val="none" w:sz="0" w:space="0" w:color="auto"/>
            <w:bottom w:val="none" w:sz="0" w:space="0" w:color="auto"/>
            <w:right w:val="none" w:sz="0" w:space="0" w:color="auto"/>
          </w:divBdr>
        </w:div>
        <w:div w:id="1775245735">
          <w:marLeft w:val="1440"/>
          <w:marRight w:val="0"/>
          <w:marTop w:val="0"/>
          <w:marBottom w:val="0"/>
          <w:divBdr>
            <w:top w:val="none" w:sz="0" w:space="0" w:color="auto"/>
            <w:left w:val="none" w:sz="0" w:space="0" w:color="auto"/>
            <w:bottom w:val="none" w:sz="0" w:space="0" w:color="auto"/>
            <w:right w:val="none" w:sz="0" w:space="0" w:color="auto"/>
          </w:divBdr>
        </w:div>
        <w:div w:id="744650911">
          <w:marLeft w:val="1440"/>
          <w:marRight w:val="0"/>
          <w:marTop w:val="0"/>
          <w:marBottom w:val="0"/>
          <w:divBdr>
            <w:top w:val="none" w:sz="0" w:space="0" w:color="auto"/>
            <w:left w:val="none" w:sz="0" w:space="0" w:color="auto"/>
            <w:bottom w:val="none" w:sz="0" w:space="0" w:color="auto"/>
            <w:right w:val="none" w:sz="0" w:space="0" w:color="auto"/>
          </w:divBdr>
        </w:div>
      </w:divsChild>
    </w:div>
    <w:div w:id="714961804">
      <w:bodyDiv w:val="1"/>
      <w:marLeft w:val="0"/>
      <w:marRight w:val="0"/>
      <w:marTop w:val="0"/>
      <w:marBottom w:val="0"/>
      <w:divBdr>
        <w:top w:val="none" w:sz="0" w:space="0" w:color="auto"/>
        <w:left w:val="none" w:sz="0" w:space="0" w:color="auto"/>
        <w:bottom w:val="none" w:sz="0" w:space="0" w:color="auto"/>
        <w:right w:val="none" w:sz="0" w:space="0" w:color="auto"/>
      </w:divBdr>
    </w:div>
    <w:div w:id="734544886">
      <w:bodyDiv w:val="1"/>
      <w:marLeft w:val="0"/>
      <w:marRight w:val="0"/>
      <w:marTop w:val="0"/>
      <w:marBottom w:val="0"/>
      <w:divBdr>
        <w:top w:val="none" w:sz="0" w:space="0" w:color="auto"/>
        <w:left w:val="none" w:sz="0" w:space="0" w:color="auto"/>
        <w:bottom w:val="none" w:sz="0" w:space="0" w:color="auto"/>
        <w:right w:val="none" w:sz="0" w:space="0" w:color="auto"/>
      </w:divBdr>
    </w:div>
    <w:div w:id="748312665">
      <w:bodyDiv w:val="1"/>
      <w:marLeft w:val="0"/>
      <w:marRight w:val="0"/>
      <w:marTop w:val="0"/>
      <w:marBottom w:val="0"/>
      <w:divBdr>
        <w:top w:val="none" w:sz="0" w:space="0" w:color="auto"/>
        <w:left w:val="none" w:sz="0" w:space="0" w:color="auto"/>
        <w:bottom w:val="none" w:sz="0" w:space="0" w:color="auto"/>
        <w:right w:val="none" w:sz="0" w:space="0" w:color="auto"/>
      </w:divBdr>
    </w:div>
    <w:div w:id="826165251">
      <w:bodyDiv w:val="1"/>
      <w:marLeft w:val="0"/>
      <w:marRight w:val="0"/>
      <w:marTop w:val="0"/>
      <w:marBottom w:val="0"/>
      <w:divBdr>
        <w:top w:val="none" w:sz="0" w:space="0" w:color="auto"/>
        <w:left w:val="none" w:sz="0" w:space="0" w:color="auto"/>
        <w:bottom w:val="none" w:sz="0" w:space="0" w:color="auto"/>
        <w:right w:val="none" w:sz="0" w:space="0" w:color="auto"/>
      </w:divBdr>
    </w:div>
    <w:div w:id="857238972">
      <w:bodyDiv w:val="1"/>
      <w:marLeft w:val="0"/>
      <w:marRight w:val="0"/>
      <w:marTop w:val="0"/>
      <w:marBottom w:val="0"/>
      <w:divBdr>
        <w:top w:val="none" w:sz="0" w:space="0" w:color="auto"/>
        <w:left w:val="none" w:sz="0" w:space="0" w:color="auto"/>
        <w:bottom w:val="none" w:sz="0" w:space="0" w:color="auto"/>
        <w:right w:val="none" w:sz="0" w:space="0" w:color="auto"/>
      </w:divBdr>
    </w:div>
    <w:div w:id="897473710">
      <w:bodyDiv w:val="1"/>
      <w:marLeft w:val="0"/>
      <w:marRight w:val="0"/>
      <w:marTop w:val="0"/>
      <w:marBottom w:val="0"/>
      <w:divBdr>
        <w:top w:val="none" w:sz="0" w:space="0" w:color="auto"/>
        <w:left w:val="none" w:sz="0" w:space="0" w:color="auto"/>
        <w:bottom w:val="none" w:sz="0" w:space="0" w:color="auto"/>
        <w:right w:val="none" w:sz="0" w:space="0" w:color="auto"/>
      </w:divBdr>
    </w:div>
    <w:div w:id="986276046">
      <w:bodyDiv w:val="1"/>
      <w:marLeft w:val="0"/>
      <w:marRight w:val="0"/>
      <w:marTop w:val="0"/>
      <w:marBottom w:val="0"/>
      <w:divBdr>
        <w:top w:val="none" w:sz="0" w:space="0" w:color="auto"/>
        <w:left w:val="none" w:sz="0" w:space="0" w:color="auto"/>
        <w:bottom w:val="none" w:sz="0" w:space="0" w:color="auto"/>
        <w:right w:val="none" w:sz="0" w:space="0" w:color="auto"/>
      </w:divBdr>
    </w:div>
    <w:div w:id="1013187263">
      <w:bodyDiv w:val="1"/>
      <w:marLeft w:val="0"/>
      <w:marRight w:val="0"/>
      <w:marTop w:val="0"/>
      <w:marBottom w:val="0"/>
      <w:divBdr>
        <w:top w:val="none" w:sz="0" w:space="0" w:color="auto"/>
        <w:left w:val="none" w:sz="0" w:space="0" w:color="auto"/>
        <w:bottom w:val="none" w:sz="0" w:space="0" w:color="auto"/>
        <w:right w:val="none" w:sz="0" w:space="0" w:color="auto"/>
      </w:divBdr>
    </w:div>
    <w:div w:id="1050805000">
      <w:bodyDiv w:val="1"/>
      <w:marLeft w:val="0"/>
      <w:marRight w:val="0"/>
      <w:marTop w:val="0"/>
      <w:marBottom w:val="0"/>
      <w:divBdr>
        <w:top w:val="none" w:sz="0" w:space="0" w:color="auto"/>
        <w:left w:val="none" w:sz="0" w:space="0" w:color="auto"/>
        <w:bottom w:val="none" w:sz="0" w:space="0" w:color="auto"/>
        <w:right w:val="none" w:sz="0" w:space="0" w:color="auto"/>
      </w:divBdr>
    </w:div>
    <w:div w:id="1059478166">
      <w:bodyDiv w:val="1"/>
      <w:marLeft w:val="0"/>
      <w:marRight w:val="0"/>
      <w:marTop w:val="0"/>
      <w:marBottom w:val="0"/>
      <w:divBdr>
        <w:top w:val="none" w:sz="0" w:space="0" w:color="auto"/>
        <w:left w:val="none" w:sz="0" w:space="0" w:color="auto"/>
        <w:bottom w:val="none" w:sz="0" w:space="0" w:color="auto"/>
        <w:right w:val="none" w:sz="0" w:space="0" w:color="auto"/>
      </w:divBdr>
    </w:div>
    <w:div w:id="1059749505">
      <w:bodyDiv w:val="1"/>
      <w:marLeft w:val="0"/>
      <w:marRight w:val="0"/>
      <w:marTop w:val="0"/>
      <w:marBottom w:val="0"/>
      <w:divBdr>
        <w:top w:val="none" w:sz="0" w:space="0" w:color="auto"/>
        <w:left w:val="none" w:sz="0" w:space="0" w:color="auto"/>
        <w:bottom w:val="none" w:sz="0" w:space="0" w:color="auto"/>
        <w:right w:val="none" w:sz="0" w:space="0" w:color="auto"/>
      </w:divBdr>
    </w:div>
    <w:div w:id="1094328982">
      <w:bodyDiv w:val="1"/>
      <w:marLeft w:val="0"/>
      <w:marRight w:val="0"/>
      <w:marTop w:val="0"/>
      <w:marBottom w:val="0"/>
      <w:divBdr>
        <w:top w:val="none" w:sz="0" w:space="0" w:color="auto"/>
        <w:left w:val="none" w:sz="0" w:space="0" w:color="auto"/>
        <w:bottom w:val="none" w:sz="0" w:space="0" w:color="auto"/>
        <w:right w:val="none" w:sz="0" w:space="0" w:color="auto"/>
      </w:divBdr>
    </w:div>
    <w:div w:id="1133333483">
      <w:bodyDiv w:val="1"/>
      <w:marLeft w:val="0"/>
      <w:marRight w:val="0"/>
      <w:marTop w:val="0"/>
      <w:marBottom w:val="0"/>
      <w:divBdr>
        <w:top w:val="none" w:sz="0" w:space="0" w:color="auto"/>
        <w:left w:val="none" w:sz="0" w:space="0" w:color="auto"/>
        <w:bottom w:val="none" w:sz="0" w:space="0" w:color="auto"/>
        <w:right w:val="none" w:sz="0" w:space="0" w:color="auto"/>
      </w:divBdr>
    </w:div>
    <w:div w:id="1172453084">
      <w:bodyDiv w:val="1"/>
      <w:marLeft w:val="0"/>
      <w:marRight w:val="0"/>
      <w:marTop w:val="0"/>
      <w:marBottom w:val="0"/>
      <w:divBdr>
        <w:top w:val="none" w:sz="0" w:space="0" w:color="auto"/>
        <w:left w:val="none" w:sz="0" w:space="0" w:color="auto"/>
        <w:bottom w:val="none" w:sz="0" w:space="0" w:color="auto"/>
        <w:right w:val="none" w:sz="0" w:space="0" w:color="auto"/>
      </w:divBdr>
    </w:div>
    <w:div w:id="1185704494">
      <w:bodyDiv w:val="1"/>
      <w:marLeft w:val="0"/>
      <w:marRight w:val="0"/>
      <w:marTop w:val="0"/>
      <w:marBottom w:val="0"/>
      <w:divBdr>
        <w:top w:val="none" w:sz="0" w:space="0" w:color="auto"/>
        <w:left w:val="none" w:sz="0" w:space="0" w:color="auto"/>
        <w:bottom w:val="none" w:sz="0" w:space="0" w:color="auto"/>
        <w:right w:val="none" w:sz="0" w:space="0" w:color="auto"/>
      </w:divBdr>
    </w:div>
    <w:div w:id="1189832104">
      <w:bodyDiv w:val="1"/>
      <w:marLeft w:val="0"/>
      <w:marRight w:val="0"/>
      <w:marTop w:val="0"/>
      <w:marBottom w:val="0"/>
      <w:divBdr>
        <w:top w:val="none" w:sz="0" w:space="0" w:color="auto"/>
        <w:left w:val="none" w:sz="0" w:space="0" w:color="auto"/>
        <w:bottom w:val="none" w:sz="0" w:space="0" w:color="auto"/>
        <w:right w:val="none" w:sz="0" w:space="0" w:color="auto"/>
      </w:divBdr>
    </w:div>
    <w:div w:id="1274435864">
      <w:bodyDiv w:val="1"/>
      <w:marLeft w:val="0"/>
      <w:marRight w:val="0"/>
      <w:marTop w:val="0"/>
      <w:marBottom w:val="0"/>
      <w:divBdr>
        <w:top w:val="none" w:sz="0" w:space="0" w:color="auto"/>
        <w:left w:val="none" w:sz="0" w:space="0" w:color="auto"/>
        <w:bottom w:val="none" w:sz="0" w:space="0" w:color="auto"/>
        <w:right w:val="none" w:sz="0" w:space="0" w:color="auto"/>
      </w:divBdr>
    </w:div>
    <w:div w:id="1301152300">
      <w:bodyDiv w:val="1"/>
      <w:marLeft w:val="0"/>
      <w:marRight w:val="0"/>
      <w:marTop w:val="0"/>
      <w:marBottom w:val="0"/>
      <w:divBdr>
        <w:top w:val="none" w:sz="0" w:space="0" w:color="auto"/>
        <w:left w:val="none" w:sz="0" w:space="0" w:color="auto"/>
        <w:bottom w:val="none" w:sz="0" w:space="0" w:color="auto"/>
        <w:right w:val="none" w:sz="0" w:space="0" w:color="auto"/>
      </w:divBdr>
    </w:div>
    <w:div w:id="1354308835">
      <w:bodyDiv w:val="1"/>
      <w:marLeft w:val="0"/>
      <w:marRight w:val="0"/>
      <w:marTop w:val="0"/>
      <w:marBottom w:val="0"/>
      <w:divBdr>
        <w:top w:val="none" w:sz="0" w:space="0" w:color="auto"/>
        <w:left w:val="none" w:sz="0" w:space="0" w:color="auto"/>
        <w:bottom w:val="none" w:sz="0" w:space="0" w:color="auto"/>
        <w:right w:val="none" w:sz="0" w:space="0" w:color="auto"/>
      </w:divBdr>
    </w:div>
    <w:div w:id="1357806503">
      <w:bodyDiv w:val="1"/>
      <w:marLeft w:val="0"/>
      <w:marRight w:val="0"/>
      <w:marTop w:val="0"/>
      <w:marBottom w:val="0"/>
      <w:divBdr>
        <w:top w:val="none" w:sz="0" w:space="0" w:color="auto"/>
        <w:left w:val="none" w:sz="0" w:space="0" w:color="auto"/>
        <w:bottom w:val="none" w:sz="0" w:space="0" w:color="auto"/>
        <w:right w:val="none" w:sz="0" w:space="0" w:color="auto"/>
      </w:divBdr>
    </w:div>
    <w:div w:id="1384327888">
      <w:bodyDiv w:val="1"/>
      <w:marLeft w:val="0"/>
      <w:marRight w:val="0"/>
      <w:marTop w:val="0"/>
      <w:marBottom w:val="0"/>
      <w:divBdr>
        <w:top w:val="none" w:sz="0" w:space="0" w:color="auto"/>
        <w:left w:val="none" w:sz="0" w:space="0" w:color="auto"/>
        <w:bottom w:val="none" w:sz="0" w:space="0" w:color="auto"/>
        <w:right w:val="none" w:sz="0" w:space="0" w:color="auto"/>
      </w:divBdr>
    </w:div>
    <w:div w:id="1487818127">
      <w:bodyDiv w:val="1"/>
      <w:marLeft w:val="0"/>
      <w:marRight w:val="0"/>
      <w:marTop w:val="0"/>
      <w:marBottom w:val="0"/>
      <w:divBdr>
        <w:top w:val="none" w:sz="0" w:space="0" w:color="auto"/>
        <w:left w:val="none" w:sz="0" w:space="0" w:color="auto"/>
        <w:bottom w:val="none" w:sz="0" w:space="0" w:color="auto"/>
        <w:right w:val="none" w:sz="0" w:space="0" w:color="auto"/>
      </w:divBdr>
    </w:div>
    <w:div w:id="1512256237">
      <w:bodyDiv w:val="1"/>
      <w:marLeft w:val="0"/>
      <w:marRight w:val="0"/>
      <w:marTop w:val="0"/>
      <w:marBottom w:val="0"/>
      <w:divBdr>
        <w:top w:val="none" w:sz="0" w:space="0" w:color="auto"/>
        <w:left w:val="none" w:sz="0" w:space="0" w:color="auto"/>
        <w:bottom w:val="none" w:sz="0" w:space="0" w:color="auto"/>
        <w:right w:val="none" w:sz="0" w:space="0" w:color="auto"/>
      </w:divBdr>
    </w:div>
    <w:div w:id="1549142943">
      <w:bodyDiv w:val="1"/>
      <w:marLeft w:val="0"/>
      <w:marRight w:val="0"/>
      <w:marTop w:val="0"/>
      <w:marBottom w:val="0"/>
      <w:divBdr>
        <w:top w:val="none" w:sz="0" w:space="0" w:color="auto"/>
        <w:left w:val="none" w:sz="0" w:space="0" w:color="auto"/>
        <w:bottom w:val="none" w:sz="0" w:space="0" w:color="auto"/>
        <w:right w:val="none" w:sz="0" w:space="0" w:color="auto"/>
      </w:divBdr>
    </w:div>
    <w:div w:id="1587036780">
      <w:bodyDiv w:val="1"/>
      <w:marLeft w:val="0"/>
      <w:marRight w:val="0"/>
      <w:marTop w:val="0"/>
      <w:marBottom w:val="0"/>
      <w:divBdr>
        <w:top w:val="none" w:sz="0" w:space="0" w:color="auto"/>
        <w:left w:val="none" w:sz="0" w:space="0" w:color="auto"/>
        <w:bottom w:val="none" w:sz="0" w:space="0" w:color="auto"/>
        <w:right w:val="none" w:sz="0" w:space="0" w:color="auto"/>
      </w:divBdr>
    </w:div>
    <w:div w:id="1617524406">
      <w:bodyDiv w:val="1"/>
      <w:marLeft w:val="0"/>
      <w:marRight w:val="0"/>
      <w:marTop w:val="0"/>
      <w:marBottom w:val="0"/>
      <w:divBdr>
        <w:top w:val="none" w:sz="0" w:space="0" w:color="auto"/>
        <w:left w:val="none" w:sz="0" w:space="0" w:color="auto"/>
        <w:bottom w:val="none" w:sz="0" w:space="0" w:color="auto"/>
        <w:right w:val="none" w:sz="0" w:space="0" w:color="auto"/>
      </w:divBdr>
    </w:div>
    <w:div w:id="1621955198">
      <w:bodyDiv w:val="1"/>
      <w:marLeft w:val="0"/>
      <w:marRight w:val="0"/>
      <w:marTop w:val="0"/>
      <w:marBottom w:val="0"/>
      <w:divBdr>
        <w:top w:val="none" w:sz="0" w:space="0" w:color="auto"/>
        <w:left w:val="none" w:sz="0" w:space="0" w:color="auto"/>
        <w:bottom w:val="none" w:sz="0" w:space="0" w:color="auto"/>
        <w:right w:val="none" w:sz="0" w:space="0" w:color="auto"/>
      </w:divBdr>
    </w:div>
    <w:div w:id="1640114712">
      <w:bodyDiv w:val="1"/>
      <w:marLeft w:val="0"/>
      <w:marRight w:val="0"/>
      <w:marTop w:val="0"/>
      <w:marBottom w:val="0"/>
      <w:divBdr>
        <w:top w:val="none" w:sz="0" w:space="0" w:color="auto"/>
        <w:left w:val="none" w:sz="0" w:space="0" w:color="auto"/>
        <w:bottom w:val="none" w:sz="0" w:space="0" w:color="auto"/>
        <w:right w:val="none" w:sz="0" w:space="0" w:color="auto"/>
      </w:divBdr>
    </w:div>
    <w:div w:id="1650986513">
      <w:bodyDiv w:val="1"/>
      <w:marLeft w:val="0"/>
      <w:marRight w:val="0"/>
      <w:marTop w:val="0"/>
      <w:marBottom w:val="0"/>
      <w:divBdr>
        <w:top w:val="none" w:sz="0" w:space="0" w:color="auto"/>
        <w:left w:val="none" w:sz="0" w:space="0" w:color="auto"/>
        <w:bottom w:val="none" w:sz="0" w:space="0" w:color="auto"/>
        <w:right w:val="none" w:sz="0" w:space="0" w:color="auto"/>
      </w:divBdr>
    </w:div>
    <w:div w:id="1711681238">
      <w:bodyDiv w:val="1"/>
      <w:marLeft w:val="0"/>
      <w:marRight w:val="0"/>
      <w:marTop w:val="0"/>
      <w:marBottom w:val="0"/>
      <w:divBdr>
        <w:top w:val="none" w:sz="0" w:space="0" w:color="auto"/>
        <w:left w:val="none" w:sz="0" w:space="0" w:color="auto"/>
        <w:bottom w:val="none" w:sz="0" w:space="0" w:color="auto"/>
        <w:right w:val="none" w:sz="0" w:space="0" w:color="auto"/>
      </w:divBdr>
    </w:div>
    <w:div w:id="1722359641">
      <w:bodyDiv w:val="1"/>
      <w:marLeft w:val="0"/>
      <w:marRight w:val="0"/>
      <w:marTop w:val="0"/>
      <w:marBottom w:val="0"/>
      <w:divBdr>
        <w:top w:val="none" w:sz="0" w:space="0" w:color="auto"/>
        <w:left w:val="none" w:sz="0" w:space="0" w:color="auto"/>
        <w:bottom w:val="none" w:sz="0" w:space="0" w:color="auto"/>
        <w:right w:val="none" w:sz="0" w:space="0" w:color="auto"/>
      </w:divBdr>
    </w:div>
    <w:div w:id="1786272985">
      <w:bodyDiv w:val="1"/>
      <w:marLeft w:val="0"/>
      <w:marRight w:val="0"/>
      <w:marTop w:val="0"/>
      <w:marBottom w:val="0"/>
      <w:divBdr>
        <w:top w:val="none" w:sz="0" w:space="0" w:color="auto"/>
        <w:left w:val="none" w:sz="0" w:space="0" w:color="auto"/>
        <w:bottom w:val="none" w:sz="0" w:space="0" w:color="auto"/>
        <w:right w:val="none" w:sz="0" w:space="0" w:color="auto"/>
      </w:divBdr>
    </w:div>
    <w:div w:id="1856117596">
      <w:bodyDiv w:val="1"/>
      <w:marLeft w:val="0"/>
      <w:marRight w:val="0"/>
      <w:marTop w:val="0"/>
      <w:marBottom w:val="0"/>
      <w:divBdr>
        <w:top w:val="none" w:sz="0" w:space="0" w:color="auto"/>
        <w:left w:val="none" w:sz="0" w:space="0" w:color="auto"/>
        <w:bottom w:val="none" w:sz="0" w:space="0" w:color="auto"/>
        <w:right w:val="none" w:sz="0" w:space="0" w:color="auto"/>
      </w:divBdr>
    </w:div>
    <w:div w:id="1888251328">
      <w:bodyDiv w:val="1"/>
      <w:marLeft w:val="0"/>
      <w:marRight w:val="0"/>
      <w:marTop w:val="0"/>
      <w:marBottom w:val="0"/>
      <w:divBdr>
        <w:top w:val="none" w:sz="0" w:space="0" w:color="auto"/>
        <w:left w:val="none" w:sz="0" w:space="0" w:color="auto"/>
        <w:bottom w:val="none" w:sz="0" w:space="0" w:color="auto"/>
        <w:right w:val="none" w:sz="0" w:space="0" w:color="auto"/>
      </w:divBdr>
    </w:div>
    <w:div w:id="1891185243">
      <w:bodyDiv w:val="1"/>
      <w:marLeft w:val="0"/>
      <w:marRight w:val="0"/>
      <w:marTop w:val="0"/>
      <w:marBottom w:val="0"/>
      <w:divBdr>
        <w:top w:val="none" w:sz="0" w:space="0" w:color="auto"/>
        <w:left w:val="none" w:sz="0" w:space="0" w:color="auto"/>
        <w:bottom w:val="none" w:sz="0" w:space="0" w:color="auto"/>
        <w:right w:val="none" w:sz="0" w:space="0" w:color="auto"/>
      </w:divBdr>
    </w:div>
    <w:div w:id="1898514003">
      <w:bodyDiv w:val="1"/>
      <w:marLeft w:val="0"/>
      <w:marRight w:val="0"/>
      <w:marTop w:val="0"/>
      <w:marBottom w:val="0"/>
      <w:divBdr>
        <w:top w:val="none" w:sz="0" w:space="0" w:color="auto"/>
        <w:left w:val="none" w:sz="0" w:space="0" w:color="auto"/>
        <w:bottom w:val="none" w:sz="0" w:space="0" w:color="auto"/>
        <w:right w:val="none" w:sz="0" w:space="0" w:color="auto"/>
      </w:divBdr>
    </w:div>
    <w:div w:id="1900431792">
      <w:bodyDiv w:val="1"/>
      <w:marLeft w:val="0"/>
      <w:marRight w:val="0"/>
      <w:marTop w:val="0"/>
      <w:marBottom w:val="0"/>
      <w:divBdr>
        <w:top w:val="none" w:sz="0" w:space="0" w:color="auto"/>
        <w:left w:val="none" w:sz="0" w:space="0" w:color="auto"/>
        <w:bottom w:val="none" w:sz="0" w:space="0" w:color="auto"/>
        <w:right w:val="none" w:sz="0" w:space="0" w:color="auto"/>
      </w:divBdr>
    </w:div>
    <w:div w:id="1917787990">
      <w:bodyDiv w:val="1"/>
      <w:marLeft w:val="0"/>
      <w:marRight w:val="0"/>
      <w:marTop w:val="0"/>
      <w:marBottom w:val="0"/>
      <w:divBdr>
        <w:top w:val="none" w:sz="0" w:space="0" w:color="auto"/>
        <w:left w:val="none" w:sz="0" w:space="0" w:color="auto"/>
        <w:bottom w:val="none" w:sz="0" w:space="0" w:color="auto"/>
        <w:right w:val="none" w:sz="0" w:space="0" w:color="auto"/>
      </w:divBdr>
    </w:div>
    <w:div w:id="1935168779">
      <w:bodyDiv w:val="1"/>
      <w:marLeft w:val="0"/>
      <w:marRight w:val="0"/>
      <w:marTop w:val="0"/>
      <w:marBottom w:val="0"/>
      <w:divBdr>
        <w:top w:val="none" w:sz="0" w:space="0" w:color="auto"/>
        <w:left w:val="none" w:sz="0" w:space="0" w:color="auto"/>
        <w:bottom w:val="none" w:sz="0" w:space="0" w:color="auto"/>
        <w:right w:val="none" w:sz="0" w:space="0" w:color="auto"/>
      </w:divBdr>
    </w:div>
    <w:div w:id="1940063948">
      <w:bodyDiv w:val="1"/>
      <w:marLeft w:val="0"/>
      <w:marRight w:val="0"/>
      <w:marTop w:val="0"/>
      <w:marBottom w:val="0"/>
      <w:divBdr>
        <w:top w:val="none" w:sz="0" w:space="0" w:color="auto"/>
        <w:left w:val="none" w:sz="0" w:space="0" w:color="auto"/>
        <w:bottom w:val="none" w:sz="0" w:space="0" w:color="auto"/>
        <w:right w:val="none" w:sz="0" w:space="0" w:color="auto"/>
      </w:divBdr>
    </w:div>
    <w:div w:id="211478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header" Target="header5.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3.xml"/><Relationship Id="rId28" Type="http://schemas.openxmlformats.org/officeDocument/2006/relationships/header" Target="header6.xml"/><Relationship Id="rId10" Type="http://schemas.openxmlformats.org/officeDocument/2006/relationships/chart" Target="charts/chart2.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diagramQuickStyle" Target="diagrams/quickStyle1.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npa.priv\pcc\PCC\Finance\Police%20and%20Crime%20Panel\23.24\February%202024\CSP%2024-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0641\AppData\Local\Microsoft\Windows\INetCache\Content.Outlook\EZ2Y0X3T\Copy%20of%20population%20%20growth%20for%20Budget%20report%202024.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Indicative 2024/25 Band D Council</a:t>
            </a:r>
            <a:r>
              <a:rPr lang="en-GB" sz="1100" baseline="0"/>
              <a:t> Tax (£)</a:t>
            </a:r>
            <a:endParaRPr lang="en-GB"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bg1">
                <a:lumMod val="65000"/>
              </a:schemeClr>
            </a:soli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C15E-4DFA-804A-284FF9990504}"/>
              </c:ext>
            </c:extLst>
          </c:dPt>
          <c:cat>
            <c:strRef>
              <c:f>'Council Tax'!$J$2:$J$31</c:f>
              <c:strCache>
                <c:ptCount val="30"/>
                <c:pt idx="0">
                  <c:v>West Midlands </c:v>
                </c:pt>
                <c:pt idx="1">
                  <c:v>Northamptonshire </c:v>
                </c:pt>
                <c:pt idx="2">
                  <c:v>Buckinghamshire </c:v>
                </c:pt>
                <c:pt idx="3">
                  <c:v>West Yorkshire </c:v>
                </c:pt>
                <c:pt idx="4">
                  <c:v>Berkshire </c:v>
                </c:pt>
                <c:pt idx="5">
                  <c:v>Leicestershire </c:v>
                </c:pt>
                <c:pt idx="6">
                  <c:v>Cambridgeshire </c:v>
                </c:pt>
                <c:pt idx="7">
                  <c:v>Essex </c:v>
                </c:pt>
                <c:pt idx="8">
                  <c:v>Hampshire</c:v>
                </c:pt>
                <c:pt idx="9">
                  <c:v>North Yorkshire </c:v>
                </c:pt>
                <c:pt idx="10">
                  <c:v>Lancashire </c:v>
                </c:pt>
                <c:pt idx="11">
                  <c:v>South Yorkshire </c:v>
                </c:pt>
                <c:pt idx="12">
                  <c:v>Avon </c:v>
                </c:pt>
                <c:pt idx="13">
                  <c:v>Staffordshire </c:v>
                </c:pt>
                <c:pt idx="14">
                  <c:v>Dorset and Wiltshire </c:v>
                </c:pt>
                <c:pt idx="15">
                  <c:v>Derbyshire </c:v>
                </c:pt>
                <c:pt idx="16">
                  <c:v>Cleveland </c:v>
                </c:pt>
                <c:pt idx="17">
                  <c:v>Kent </c:v>
                </c:pt>
                <c:pt idx="18">
                  <c:v>Cheshire </c:v>
                </c:pt>
                <c:pt idx="19">
                  <c:v>Merseyside</c:v>
                </c:pt>
                <c:pt idx="20">
                  <c:v>Nottinghamshire </c:v>
                </c:pt>
                <c:pt idx="21">
                  <c:v>Cumbria</c:v>
                </c:pt>
                <c:pt idx="22">
                  <c:v>Tyne and Wear </c:v>
                </c:pt>
                <c:pt idx="23">
                  <c:v>Hereford &amp; Worcester </c:v>
                </c:pt>
                <c:pt idx="24">
                  <c:v>Humberside </c:v>
                </c:pt>
                <c:pt idx="25">
                  <c:v>Devon &amp; Somerset </c:v>
                </c:pt>
                <c:pt idx="26">
                  <c:v>East Sussex </c:v>
                </c:pt>
                <c:pt idx="27">
                  <c:v>Bedfordshire </c:v>
                </c:pt>
                <c:pt idx="28">
                  <c:v>Shropshire </c:v>
                </c:pt>
                <c:pt idx="29">
                  <c:v>Durham </c:v>
                </c:pt>
              </c:strCache>
            </c:strRef>
          </c:cat>
          <c:val>
            <c:numRef>
              <c:f>'Council Tax'!$K$2:$K$31</c:f>
              <c:numCache>
                <c:formatCode>0.00</c:formatCode>
                <c:ptCount val="30"/>
                <c:pt idx="0">
                  <c:v>75.203298000000004</c:v>
                </c:pt>
                <c:pt idx="1">
                  <c:v>75.388680000000008</c:v>
                </c:pt>
                <c:pt idx="2">
                  <c:v>79.467084</c:v>
                </c:pt>
                <c:pt idx="3">
                  <c:v>79.487682000000007</c:v>
                </c:pt>
                <c:pt idx="4">
                  <c:v>81.31060500000001</c:v>
                </c:pt>
                <c:pt idx="5">
                  <c:v>81.660771000000011</c:v>
                </c:pt>
                <c:pt idx="6">
                  <c:v>82.309608000000011</c:v>
                </c:pt>
                <c:pt idx="7">
                  <c:v>82.680372000000006</c:v>
                </c:pt>
                <c:pt idx="8">
                  <c:v>82.834857000000014</c:v>
                </c:pt>
                <c:pt idx="9">
                  <c:v>83.020239000000004</c:v>
                </c:pt>
                <c:pt idx="10">
                  <c:v>84.729872999999998</c:v>
                </c:pt>
                <c:pt idx="11">
                  <c:v>85.049142000000003</c:v>
                </c:pt>
                <c:pt idx="12">
                  <c:v>85.430205000000001</c:v>
                </c:pt>
                <c:pt idx="13">
                  <c:v>86.769075000000001</c:v>
                </c:pt>
                <c:pt idx="14">
                  <c:v>86.954457000000005</c:v>
                </c:pt>
                <c:pt idx="15">
                  <c:v>88.406616</c:v>
                </c:pt>
                <c:pt idx="16">
                  <c:v>89.457114000000004</c:v>
                </c:pt>
                <c:pt idx="17">
                  <c:v>89.910269999999997</c:v>
                </c:pt>
                <c:pt idx="18">
                  <c:v>90.095652000000001</c:v>
                </c:pt>
                <c:pt idx="19">
                  <c:v>91.259439</c:v>
                </c:pt>
                <c:pt idx="20">
                  <c:v>92.248142999999999</c:v>
                </c:pt>
                <c:pt idx="21">
                  <c:v>93.247146000000015</c:v>
                </c:pt>
                <c:pt idx="22">
                  <c:v>95.111265000000003</c:v>
                </c:pt>
                <c:pt idx="23">
                  <c:v>97.222560000000016</c:v>
                </c:pt>
                <c:pt idx="24">
                  <c:v>97.943489999999997</c:v>
                </c:pt>
                <c:pt idx="25">
                  <c:v>99.684021000000016</c:v>
                </c:pt>
                <c:pt idx="26">
                  <c:v>107.49066300000001</c:v>
                </c:pt>
                <c:pt idx="27">
                  <c:v>112.72255500000001</c:v>
                </c:pt>
                <c:pt idx="28">
                  <c:v>114.483684</c:v>
                </c:pt>
                <c:pt idx="29">
                  <c:v>118.119231</c:v>
                </c:pt>
              </c:numCache>
            </c:numRef>
          </c:val>
          <c:extLst>
            <c:ext xmlns:c16="http://schemas.microsoft.com/office/drawing/2014/chart" uri="{C3380CC4-5D6E-409C-BE32-E72D297353CC}">
              <c16:uniqueId val="{00000002-C15E-4DFA-804A-284FF9990504}"/>
            </c:ext>
          </c:extLst>
        </c:ser>
        <c:dLbls>
          <c:showLegendKey val="0"/>
          <c:showVal val="0"/>
          <c:showCatName val="0"/>
          <c:showSerName val="0"/>
          <c:showPercent val="0"/>
          <c:showBubbleSize val="0"/>
        </c:dLbls>
        <c:gapWidth val="50"/>
        <c:overlap val="-27"/>
        <c:axId val="1867313344"/>
        <c:axId val="1551598592"/>
      </c:barChart>
      <c:catAx>
        <c:axId val="186731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5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1598592"/>
        <c:crosses val="autoZero"/>
        <c:auto val="1"/>
        <c:lblAlgn val="ctr"/>
        <c:lblOffset val="100"/>
        <c:noMultiLvlLbl val="0"/>
      </c:catAx>
      <c:valAx>
        <c:axId val="15515985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7313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Core Spending Power (Indicative) 2024/25</a:t>
            </a:r>
          </a:p>
          <a:p>
            <a:pPr>
              <a:defRPr sz="1100" b="1"/>
            </a:pPr>
            <a:r>
              <a:rPr lang="en-US" sz="1100" b="1"/>
              <a:t>£m</a:t>
            </a:r>
          </a:p>
        </c:rich>
      </c:tx>
      <c:layout>
        <c:manualLayout>
          <c:xMode val="edge"/>
          <c:yMode val="edge"/>
          <c:x val="0.27455581207012292"/>
          <c:y val="1.8390796608215791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797770500368932E-2"/>
          <c:y val="0.12665147905447557"/>
          <c:w val="0.89406656076219548"/>
          <c:h val="0.53576097640938658"/>
        </c:manualLayout>
      </c:layout>
      <c:barChart>
        <c:barDir val="col"/>
        <c:grouping val="clustered"/>
        <c:varyColors val="0"/>
        <c:ser>
          <c:idx val="0"/>
          <c:order val="0"/>
          <c:tx>
            <c:strRef>
              <c:f>'Core Spending Power'!$P$4</c:f>
              <c:strCache>
                <c:ptCount val="1"/>
                <c:pt idx="0">
                  <c:v>£m</c:v>
                </c:pt>
              </c:strCache>
            </c:strRef>
          </c:tx>
          <c:spPr>
            <a:solidFill>
              <a:schemeClr val="bg1">
                <a:lumMod val="65000"/>
              </a:schemeClr>
            </a:solidFill>
            <a:ln>
              <a:noFill/>
            </a:ln>
            <a:effectLst/>
          </c:spPr>
          <c:invertIfNegative val="0"/>
          <c:dPt>
            <c:idx val="2"/>
            <c:invertIfNegative val="0"/>
            <c:bubble3D val="0"/>
            <c:spPr>
              <a:solidFill>
                <a:srgbClr val="C00000"/>
              </a:solidFill>
              <a:ln>
                <a:noFill/>
              </a:ln>
              <a:effectLst/>
            </c:spPr>
            <c:extLst>
              <c:ext xmlns:c16="http://schemas.microsoft.com/office/drawing/2014/chart" uri="{C3380CC4-5D6E-409C-BE32-E72D297353CC}">
                <c16:uniqueId val="{00000001-BCBA-451F-AA37-D84469F1A3AD}"/>
              </c:ext>
            </c:extLst>
          </c:dPt>
          <c:cat>
            <c:strRef>
              <c:f>'Core Spending Power'!$A$5:$A$34</c:f>
              <c:strCache>
                <c:ptCount val="30"/>
                <c:pt idx="0">
                  <c:v>Shropshire</c:v>
                </c:pt>
                <c:pt idx="1">
                  <c:v>Cumbria</c:v>
                </c:pt>
                <c:pt idx="2">
                  <c:v>Northamptonshire</c:v>
                </c:pt>
                <c:pt idx="3">
                  <c:v>Cleveland</c:v>
                </c:pt>
                <c:pt idx="4">
                  <c:v>Durham</c:v>
                </c:pt>
                <c:pt idx="5">
                  <c:v>Buckinghamshire</c:v>
                </c:pt>
                <c:pt idx="6">
                  <c:v>Cambridgeshire</c:v>
                </c:pt>
                <c:pt idx="7">
                  <c:v>Bedfordshire</c:v>
                </c:pt>
                <c:pt idx="8">
                  <c:v>North Yorkshire</c:v>
                </c:pt>
                <c:pt idx="9">
                  <c:v>Hereford and Worcester</c:v>
                </c:pt>
                <c:pt idx="10">
                  <c:v>Berkshire</c:v>
                </c:pt>
                <c:pt idx="11">
                  <c:v>Leicestershire</c:v>
                </c:pt>
                <c:pt idx="12">
                  <c:v>East Sussex</c:v>
                </c:pt>
                <c:pt idx="13">
                  <c:v>Derbyshire</c:v>
                </c:pt>
                <c:pt idx="14">
                  <c:v>Staffordshire</c:v>
                </c:pt>
                <c:pt idx="15">
                  <c:v>Nottinghamshire</c:v>
                </c:pt>
                <c:pt idx="16">
                  <c:v>Cheshire</c:v>
                </c:pt>
                <c:pt idx="17">
                  <c:v>Avon</c:v>
                </c:pt>
                <c:pt idx="18">
                  <c:v>Humberside</c:v>
                </c:pt>
                <c:pt idx="19">
                  <c:v>Tyne and Wear</c:v>
                </c:pt>
                <c:pt idx="20">
                  <c:v>South Yorkshire</c:v>
                </c:pt>
                <c:pt idx="21">
                  <c:v>Dorset and Wiltshire</c:v>
                </c:pt>
                <c:pt idx="22">
                  <c:v>Lancashire</c:v>
                </c:pt>
                <c:pt idx="23">
                  <c:v>Merseyside</c:v>
                </c:pt>
                <c:pt idx="24">
                  <c:v>Essex</c:v>
                </c:pt>
                <c:pt idx="25">
                  <c:v>Kent</c:v>
                </c:pt>
                <c:pt idx="26">
                  <c:v>Hampshire and IoW</c:v>
                </c:pt>
                <c:pt idx="27">
                  <c:v>Devon and Somerset</c:v>
                </c:pt>
                <c:pt idx="28">
                  <c:v>West Yorkshire</c:v>
                </c:pt>
                <c:pt idx="29">
                  <c:v>West Midlands</c:v>
                </c:pt>
              </c:strCache>
            </c:strRef>
          </c:cat>
          <c:val>
            <c:numRef>
              <c:f>'Core Spending Power'!$P$5:$P$34</c:f>
              <c:numCache>
                <c:formatCode>0.0</c:formatCode>
                <c:ptCount val="30"/>
                <c:pt idx="0">
                  <c:v>28.544300158753501</c:v>
                </c:pt>
                <c:pt idx="1">
                  <c:v>29.237622123553798</c:v>
                </c:pt>
                <c:pt idx="2">
                  <c:v>30.723281639798198</c:v>
                </c:pt>
                <c:pt idx="3">
                  <c:v>34.565311705380701</c:v>
                </c:pt>
                <c:pt idx="4">
                  <c:v>36.805152526746298</c:v>
                </c:pt>
                <c:pt idx="5">
                  <c:v>37.0322687829903</c:v>
                </c:pt>
                <c:pt idx="6">
                  <c:v>38.117263660594702</c:v>
                </c:pt>
                <c:pt idx="7">
                  <c:v>38.689971006874799</c:v>
                </c:pt>
                <c:pt idx="8">
                  <c:v>39.906316798390897</c:v>
                </c:pt>
                <c:pt idx="9">
                  <c:v>40.431146080252198</c:v>
                </c:pt>
                <c:pt idx="10">
                  <c:v>45.157345325051402</c:v>
                </c:pt>
                <c:pt idx="11">
                  <c:v>47.118300060540903</c:v>
                </c:pt>
                <c:pt idx="12">
                  <c:v>48.599361524814498</c:v>
                </c:pt>
                <c:pt idx="13">
                  <c:v>48.7008085362</c:v>
                </c:pt>
                <c:pt idx="14">
                  <c:v>51.904453953616397</c:v>
                </c:pt>
                <c:pt idx="15">
                  <c:v>54.268965509724602</c:v>
                </c:pt>
                <c:pt idx="16">
                  <c:v>55.503785587180403</c:v>
                </c:pt>
                <c:pt idx="17">
                  <c:v>56.019600891976502</c:v>
                </c:pt>
                <c:pt idx="18">
                  <c:v>56.3754139481481</c:v>
                </c:pt>
                <c:pt idx="19">
                  <c:v>62.351759969288402</c:v>
                </c:pt>
                <c:pt idx="20">
                  <c:v>65.298487701009904</c:v>
                </c:pt>
                <c:pt idx="21">
                  <c:v>71.825555689121899</c:v>
                </c:pt>
                <c:pt idx="22">
                  <c:v>73.326035675249798</c:v>
                </c:pt>
                <c:pt idx="23">
                  <c:v>78.629071301067199</c:v>
                </c:pt>
                <c:pt idx="24">
                  <c:v>91.226286319024695</c:v>
                </c:pt>
                <c:pt idx="25">
                  <c:v>91.509277459039595</c:v>
                </c:pt>
                <c:pt idx="26">
                  <c:v>95.545238088564503</c:v>
                </c:pt>
                <c:pt idx="27">
                  <c:v>96.9712572549371</c:v>
                </c:pt>
                <c:pt idx="28">
                  <c:v>107.433303199991</c:v>
                </c:pt>
                <c:pt idx="29">
                  <c:v>128.943039461604</c:v>
                </c:pt>
              </c:numCache>
            </c:numRef>
          </c:val>
          <c:extLst>
            <c:ext xmlns:c16="http://schemas.microsoft.com/office/drawing/2014/chart" uri="{C3380CC4-5D6E-409C-BE32-E72D297353CC}">
              <c16:uniqueId val="{00000002-BCBA-451F-AA37-D84469F1A3AD}"/>
            </c:ext>
          </c:extLst>
        </c:ser>
        <c:dLbls>
          <c:showLegendKey val="0"/>
          <c:showVal val="0"/>
          <c:showCatName val="0"/>
          <c:showSerName val="0"/>
          <c:showPercent val="0"/>
          <c:showBubbleSize val="0"/>
        </c:dLbls>
        <c:gapWidth val="50"/>
        <c:overlap val="-27"/>
        <c:axId val="684958783"/>
        <c:axId val="1174515887"/>
      </c:barChart>
      <c:catAx>
        <c:axId val="684958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5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4515887"/>
        <c:crosses val="autoZero"/>
        <c:auto val="1"/>
        <c:lblAlgn val="ctr"/>
        <c:lblOffset val="100"/>
        <c:noMultiLvlLbl val="0"/>
      </c:catAx>
      <c:valAx>
        <c:axId val="117451588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9587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en-GB" sz="1200" b="0" i="0" baseline="0">
                <a:solidFill>
                  <a:schemeClr val="tx1"/>
                </a:solidFill>
                <a:effectLst/>
              </a:rPr>
              <a:t>Mid-Year Population Increases 2002 - 2022</a:t>
            </a:r>
            <a:endParaRPr lang="en-GB" sz="1200">
              <a:solidFill>
                <a:schemeClr val="tx1"/>
              </a:solidFill>
              <a:effectLst/>
            </a:endParaRPr>
          </a:p>
        </c:rich>
      </c:tx>
      <c:layout>
        <c:manualLayout>
          <c:xMode val="edge"/>
          <c:yMode val="edge"/>
          <c:x val="0.29750100749678471"/>
          <c:y val="3.184043583624544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9.7253017788406296E-2"/>
          <c:y val="0.12425723424694944"/>
          <c:w val="0.87349327241213448"/>
          <c:h val="0.64593499995957027"/>
        </c:manualLayout>
      </c:layout>
      <c:lineChart>
        <c:grouping val="standard"/>
        <c:varyColors val="0"/>
        <c:ser>
          <c:idx val="0"/>
          <c:order val="0"/>
          <c:tx>
            <c:strRef>
              <c:f>Sheet1!$A$14</c:f>
              <c:strCache>
                <c:ptCount val="1"/>
                <c:pt idx="0">
                  <c:v>England</c:v>
                </c:pt>
              </c:strCache>
            </c:strRef>
          </c:tx>
          <c:spPr>
            <a:ln w="28575" cap="rnd">
              <a:solidFill>
                <a:srgbClr val="0070C0"/>
              </a:solidFill>
              <a:round/>
            </a:ln>
            <a:effectLst/>
          </c:spPr>
          <c:marker>
            <c:symbol val="none"/>
          </c:marker>
          <c:cat>
            <c:numRef>
              <c:f>Sheet1!$C$13:$V$13</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Sheet1!$C$14:$V$14</c:f>
              <c:numCache>
                <c:formatCode>0.00%</c:formatCode>
                <c:ptCount val="20"/>
                <c:pt idx="0">
                  <c:v>9.6213032115473347E-3</c:v>
                </c:pt>
                <c:pt idx="1">
                  <c:v>1.5062847845568307E-2</c:v>
                </c:pt>
                <c:pt idx="2">
                  <c:v>2.3383092806988331E-2</c:v>
                </c:pt>
                <c:pt idx="3">
                  <c:v>3.0646062368045329E-2</c:v>
                </c:pt>
                <c:pt idx="4">
                  <c:v>3.905676279914562E-2</c:v>
                </c:pt>
                <c:pt idx="5">
                  <c:v>4.784871898027545E-2</c:v>
                </c:pt>
                <c:pt idx="6">
                  <c:v>5.5543965787003234E-2</c:v>
                </c:pt>
                <c:pt idx="7">
                  <c:v>6.456465924011015E-2</c:v>
                </c:pt>
                <c:pt idx="8">
                  <c:v>7.3962422375233233E-2</c:v>
                </c:pt>
                <c:pt idx="9">
                  <c:v>8.1779651608321707E-2</c:v>
                </c:pt>
                <c:pt idx="10">
                  <c:v>8.9304220086388317E-2</c:v>
                </c:pt>
                <c:pt idx="11">
                  <c:v>9.8420566204728333E-2</c:v>
                </c:pt>
                <c:pt idx="12">
                  <c:v>0.10791928031339129</c:v>
                </c:pt>
                <c:pt idx="13">
                  <c:v>0.1176612919305996</c:v>
                </c:pt>
                <c:pt idx="14">
                  <c:v>0.12476674804355921</c:v>
                </c:pt>
                <c:pt idx="15">
                  <c:v>0.13200132514330812</c:v>
                </c:pt>
                <c:pt idx="16">
                  <c:v>0.13826592759445114</c:v>
                </c:pt>
                <c:pt idx="17">
                  <c:v>0.14358803784351087</c:v>
                </c:pt>
                <c:pt idx="18">
                  <c:v>0.20520942615155191</c:v>
                </c:pt>
                <c:pt idx="19">
                  <c:v>0.21479999999999999</c:v>
                </c:pt>
              </c:numCache>
            </c:numRef>
          </c:val>
          <c:smooth val="1"/>
          <c:extLst>
            <c:ext xmlns:c16="http://schemas.microsoft.com/office/drawing/2014/chart" uri="{C3380CC4-5D6E-409C-BE32-E72D297353CC}">
              <c16:uniqueId val="{00000000-B8C3-45C6-B915-28C1514EE3A2}"/>
            </c:ext>
          </c:extLst>
        </c:ser>
        <c:ser>
          <c:idx val="1"/>
          <c:order val="1"/>
          <c:tx>
            <c:strRef>
              <c:f>Sheet1!$A$15</c:f>
              <c:strCache>
                <c:ptCount val="1"/>
                <c:pt idx="0">
                  <c:v>Northamptonshire</c:v>
                </c:pt>
              </c:strCache>
            </c:strRef>
          </c:tx>
          <c:spPr>
            <a:ln w="28575" cap="rnd">
              <a:solidFill>
                <a:srgbClr val="C00000"/>
              </a:solidFill>
              <a:round/>
            </a:ln>
            <a:effectLst/>
          </c:spPr>
          <c:marker>
            <c:symbol val="none"/>
          </c:marker>
          <c:cat>
            <c:numRef>
              <c:f>Sheet1!$C$13:$V$13</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Sheet1!$C$15:$V$15</c:f>
              <c:numCache>
                <c:formatCode>0.0%</c:formatCode>
                <c:ptCount val="20"/>
                <c:pt idx="0">
                  <c:v>1.8510711806601098E-2</c:v>
                </c:pt>
                <c:pt idx="1">
                  <c:v>2.4770755611059517E-2</c:v>
                </c:pt>
                <c:pt idx="2">
                  <c:v>3.7186245019699325E-2</c:v>
                </c:pt>
                <c:pt idx="3">
                  <c:v>5.1692113612663355E-2</c:v>
                </c:pt>
                <c:pt idx="4">
                  <c:v>6.5098116281502277E-2</c:v>
                </c:pt>
                <c:pt idx="5">
                  <c:v>7.482733372848209E-2</c:v>
                </c:pt>
                <c:pt idx="6">
                  <c:v>8.3168247789966815E-2</c:v>
                </c:pt>
                <c:pt idx="7">
                  <c:v>9.0374429860567429E-2</c:v>
                </c:pt>
                <c:pt idx="8">
                  <c:v>9.9813625024960939E-2</c:v>
                </c:pt>
                <c:pt idx="9">
                  <c:v>0.10989942724561243</c:v>
                </c:pt>
                <c:pt idx="10">
                  <c:v>0.11833701540129259</c:v>
                </c:pt>
                <c:pt idx="11">
                  <c:v>0.13053379948208044</c:v>
                </c:pt>
                <c:pt idx="12">
                  <c:v>0.1445055833251451</c:v>
                </c:pt>
                <c:pt idx="13">
                  <c:v>0.16080546953498176</c:v>
                </c:pt>
                <c:pt idx="14">
                  <c:v>0.17468374892628363</c:v>
                </c:pt>
                <c:pt idx="15">
                  <c:v>0.18484720738653473</c:v>
                </c:pt>
                <c:pt idx="16">
                  <c:v>0.19381095618603264</c:v>
                </c:pt>
                <c:pt idx="17">
                  <c:v>0.19999651339332411</c:v>
                </c:pt>
                <c:pt idx="18">
                  <c:v>0.24440161905335459</c:v>
                </c:pt>
                <c:pt idx="19" formatCode="0.00%">
                  <c:v>0.251</c:v>
                </c:pt>
              </c:numCache>
            </c:numRef>
          </c:val>
          <c:smooth val="1"/>
          <c:extLst>
            <c:ext xmlns:c16="http://schemas.microsoft.com/office/drawing/2014/chart" uri="{C3380CC4-5D6E-409C-BE32-E72D297353CC}">
              <c16:uniqueId val="{00000001-B8C3-45C6-B915-28C1514EE3A2}"/>
            </c:ext>
          </c:extLst>
        </c:ser>
        <c:dLbls>
          <c:showLegendKey val="0"/>
          <c:showVal val="0"/>
          <c:showCatName val="0"/>
          <c:showSerName val="0"/>
          <c:showPercent val="0"/>
          <c:showBubbleSize val="0"/>
        </c:dLbls>
        <c:smooth val="0"/>
        <c:axId val="2030032288"/>
        <c:axId val="2030033536"/>
      </c:lineChart>
      <c:catAx>
        <c:axId val="203003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030033536"/>
        <c:crosses val="autoZero"/>
        <c:auto val="1"/>
        <c:lblAlgn val="ctr"/>
        <c:lblOffset val="100"/>
        <c:noMultiLvlLbl val="0"/>
      </c:catAx>
      <c:valAx>
        <c:axId val="2030033536"/>
        <c:scaling>
          <c:orientation val="minMax"/>
        </c:scaling>
        <c:delete val="0"/>
        <c:axPos val="l"/>
        <c:majorGridlines>
          <c:spPr>
            <a:ln w="9525" cap="flat" cmpd="sng" algn="ctr">
              <a:solidFill>
                <a:schemeClr val="tx1"/>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030032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3F396D-FAD9-434C-B431-993BEA1F1B6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58D56BA6-200A-400B-BFC7-EBF76D8C8B08}">
      <dgm:prSet phldrT="[Text]"/>
      <dgm:spPr/>
      <dgm:t>
        <a:bodyPr/>
        <a:lstStyle/>
        <a:p>
          <a:r>
            <a:rPr lang="en-GB" dirty="0"/>
            <a:t>September/ October</a:t>
          </a:r>
        </a:p>
      </dgm:t>
    </dgm:pt>
    <dgm:pt modelId="{62E5B131-F2A4-46D7-A531-F8377ACC2443}" type="parTrans" cxnId="{A814B54D-1702-434E-8A55-9EA985368E61}">
      <dgm:prSet/>
      <dgm:spPr/>
      <dgm:t>
        <a:bodyPr/>
        <a:lstStyle/>
        <a:p>
          <a:endParaRPr lang="en-GB"/>
        </a:p>
      </dgm:t>
    </dgm:pt>
    <dgm:pt modelId="{8BF36C57-A1E2-4000-A74C-EEB26BEAB328}" type="sibTrans" cxnId="{A814B54D-1702-434E-8A55-9EA985368E61}">
      <dgm:prSet/>
      <dgm:spPr/>
      <dgm:t>
        <a:bodyPr/>
        <a:lstStyle/>
        <a:p>
          <a:endParaRPr lang="en-GB"/>
        </a:p>
      </dgm:t>
    </dgm:pt>
    <dgm:pt modelId="{FBF3BEDF-45C4-46F7-BAC0-00D15BB0AE3C}">
      <dgm:prSet phldrT="[Text]"/>
      <dgm:spPr/>
      <dgm:t>
        <a:bodyPr/>
        <a:lstStyle/>
        <a:p>
          <a:pPr>
            <a:buNone/>
          </a:pPr>
          <a:r>
            <a:rPr lang="en-GB" dirty="0">
              <a:solidFill>
                <a:schemeClr val="tx1"/>
              </a:solidFill>
              <a:latin typeface="Calibri" panose="020F0502020204030204" pitchFamily="34" charset="0"/>
              <a:cs typeface="Calibri" panose="020F0502020204030204" pitchFamily="34" charset="0"/>
            </a:rPr>
            <a:t>Finance personnel calculate the budget requirements in conjunction with budget holders</a:t>
          </a:r>
          <a:endParaRPr lang="en-GB" dirty="0"/>
        </a:p>
      </dgm:t>
    </dgm:pt>
    <dgm:pt modelId="{EA11BC2E-2E92-4675-A3EE-4DCB06D409AC}" type="parTrans" cxnId="{5DFAEC87-1AB7-4820-939D-A16151E1E602}">
      <dgm:prSet/>
      <dgm:spPr/>
      <dgm:t>
        <a:bodyPr/>
        <a:lstStyle/>
        <a:p>
          <a:endParaRPr lang="en-GB"/>
        </a:p>
      </dgm:t>
    </dgm:pt>
    <dgm:pt modelId="{EF61D74B-2A49-4411-BD2A-07FF49CFB1B9}" type="sibTrans" cxnId="{5DFAEC87-1AB7-4820-939D-A16151E1E602}">
      <dgm:prSet/>
      <dgm:spPr/>
      <dgm:t>
        <a:bodyPr/>
        <a:lstStyle/>
        <a:p>
          <a:endParaRPr lang="en-GB"/>
        </a:p>
      </dgm:t>
    </dgm:pt>
    <dgm:pt modelId="{8CFA7F46-3F36-44EF-97ED-3294C53D6A91}">
      <dgm:prSet phldrT="[Text]"/>
      <dgm:spPr/>
      <dgm:t>
        <a:bodyPr/>
        <a:lstStyle/>
        <a:p>
          <a:pPr>
            <a:buNone/>
          </a:pPr>
          <a:r>
            <a:rPr lang="en-GB" dirty="0">
              <a:solidFill>
                <a:schemeClr val="tx1"/>
              </a:solidFill>
              <a:latin typeface="Calibri" panose="020F0502020204030204" pitchFamily="34" charset="0"/>
              <a:cs typeface="Calibri" panose="020F0502020204030204" pitchFamily="34" charset="0"/>
            </a:rPr>
            <a:t>Review and Challenge by Joint Head of Finance and CC CFO</a:t>
          </a:r>
          <a:endParaRPr lang="en-GB" dirty="0"/>
        </a:p>
      </dgm:t>
    </dgm:pt>
    <dgm:pt modelId="{44375A24-BBC7-4947-AF37-0EE2EEC88B20}" type="parTrans" cxnId="{4CB026C6-0939-4312-B8ED-8FB31B339EA4}">
      <dgm:prSet/>
      <dgm:spPr/>
      <dgm:t>
        <a:bodyPr/>
        <a:lstStyle/>
        <a:p>
          <a:endParaRPr lang="en-GB"/>
        </a:p>
      </dgm:t>
    </dgm:pt>
    <dgm:pt modelId="{209495F1-F492-4763-ABD5-1FE9B304899A}" type="sibTrans" cxnId="{4CB026C6-0939-4312-B8ED-8FB31B339EA4}">
      <dgm:prSet/>
      <dgm:spPr/>
      <dgm:t>
        <a:bodyPr/>
        <a:lstStyle/>
        <a:p>
          <a:endParaRPr lang="en-GB"/>
        </a:p>
      </dgm:t>
    </dgm:pt>
    <dgm:pt modelId="{9F0ED3C2-CDE0-4FCB-A7F9-1792C9708150}">
      <dgm:prSet phldrT="[Text]"/>
      <dgm:spPr/>
      <dgm:t>
        <a:bodyPr/>
        <a:lstStyle/>
        <a:p>
          <a:r>
            <a:rPr lang="en-GB" dirty="0"/>
            <a:t>October/ November</a:t>
          </a:r>
        </a:p>
      </dgm:t>
    </dgm:pt>
    <dgm:pt modelId="{CB75B86D-59B8-4896-9EC7-A56190B92500}" type="parTrans" cxnId="{D3D3D273-AB98-448C-80F3-D2389E7CE731}">
      <dgm:prSet/>
      <dgm:spPr/>
      <dgm:t>
        <a:bodyPr/>
        <a:lstStyle/>
        <a:p>
          <a:endParaRPr lang="en-GB"/>
        </a:p>
      </dgm:t>
    </dgm:pt>
    <dgm:pt modelId="{ED769993-7F3A-4372-8DEB-5CE741AD1616}" type="sibTrans" cxnId="{D3D3D273-AB98-448C-80F3-D2389E7CE731}">
      <dgm:prSet/>
      <dgm:spPr/>
      <dgm:t>
        <a:bodyPr/>
        <a:lstStyle/>
        <a:p>
          <a:endParaRPr lang="en-GB"/>
        </a:p>
      </dgm:t>
    </dgm:pt>
    <dgm:pt modelId="{3B1CEB3D-4914-43F5-8318-B58F40D70609}">
      <dgm:prSet phldrT="[Text]"/>
      <dgm:spPr/>
      <dgm:t>
        <a:bodyPr/>
        <a:lstStyle/>
        <a:p>
          <a:pPr>
            <a:buNone/>
          </a:pPr>
          <a:r>
            <a:rPr lang="en-GB" dirty="0">
              <a:solidFill>
                <a:schemeClr val="tx1"/>
              </a:solidFill>
              <a:latin typeface="Calibri" panose="020F0502020204030204" pitchFamily="34" charset="0"/>
              <a:cs typeface="Calibri" panose="020F0502020204030204" pitchFamily="34" charset="0"/>
            </a:rPr>
            <a:t>Review and further challenge by PFCC CFO</a:t>
          </a:r>
          <a:endParaRPr lang="en-GB" dirty="0"/>
        </a:p>
      </dgm:t>
    </dgm:pt>
    <dgm:pt modelId="{5016D617-AD71-4802-A53E-4FEFEAE2C9D0}" type="parTrans" cxnId="{70ECDBB9-25D9-48EC-B523-FC02C876BF3A}">
      <dgm:prSet/>
      <dgm:spPr/>
      <dgm:t>
        <a:bodyPr/>
        <a:lstStyle/>
        <a:p>
          <a:endParaRPr lang="en-GB"/>
        </a:p>
      </dgm:t>
    </dgm:pt>
    <dgm:pt modelId="{82BF9941-2772-4B57-97A8-5FB170C955FB}" type="sibTrans" cxnId="{70ECDBB9-25D9-48EC-B523-FC02C876BF3A}">
      <dgm:prSet/>
      <dgm:spPr/>
      <dgm:t>
        <a:bodyPr/>
        <a:lstStyle/>
        <a:p>
          <a:endParaRPr lang="en-GB"/>
        </a:p>
      </dgm:t>
    </dgm:pt>
    <dgm:pt modelId="{82FF0DAF-BB70-4602-BB3D-FECD5A68A2EC}">
      <dgm:prSet phldrT="[Text]"/>
      <dgm:spPr/>
      <dgm:t>
        <a:bodyPr/>
        <a:lstStyle/>
        <a:p>
          <a:r>
            <a:rPr lang="en-GB" dirty="0"/>
            <a:t>October</a:t>
          </a:r>
        </a:p>
      </dgm:t>
    </dgm:pt>
    <dgm:pt modelId="{C1A173C6-A5E2-4507-9B67-57E30BA5C608}" type="parTrans" cxnId="{8E14D47C-545F-423D-B994-633EDFFEFB3A}">
      <dgm:prSet/>
      <dgm:spPr/>
      <dgm:t>
        <a:bodyPr/>
        <a:lstStyle/>
        <a:p>
          <a:endParaRPr lang="en-GB"/>
        </a:p>
      </dgm:t>
    </dgm:pt>
    <dgm:pt modelId="{5A7A3C5A-725B-4724-A154-67BD86E1BB12}" type="sibTrans" cxnId="{8E14D47C-545F-423D-B994-633EDFFEFB3A}">
      <dgm:prSet/>
      <dgm:spPr/>
      <dgm:t>
        <a:bodyPr/>
        <a:lstStyle/>
        <a:p>
          <a:endParaRPr lang="en-GB"/>
        </a:p>
      </dgm:t>
    </dgm:pt>
    <dgm:pt modelId="{2C2503A6-1FF0-47AC-A13D-0A0BE77A6AFE}">
      <dgm:prSet phldrT="[Text]"/>
      <dgm:spPr/>
      <dgm:t>
        <a:bodyPr/>
        <a:lstStyle/>
        <a:p>
          <a:pPr>
            <a:buNone/>
          </a:pPr>
          <a:r>
            <a:rPr lang="en-GB" dirty="0">
              <a:solidFill>
                <a:schemeClr val="tx1"/>
              </a:solidFill>
              <a:latin typeface="Calibri" panose="020F0502020204030204" pitchFamily="34" charset="0"/>
              <a:cs typeface="Calibri" panose="020F0502020204030204" pitchFamily="34" charset="0"/>
            </a:rPr>
            <a:t>First level of reconciliation and scrutiny by team leader </a:t>
          </a:r>
          <a:endParaRPr lang="en-GB" dirty="0"/>
        </a:p>
      </dgm:t>
    </dgm:pt>
    <dgm:pt modelId="{E4A59C71-0E3D-44E9-967B-F1E10ADC78B3}" type="parTrans" cxnId="{97C5AB28-A21A-4DCC-AFC2-5E0B70B01B80}">
      <dgm:prSet/>
      <dgm:spPr/>
      <dgm:t>
        <a:bodyPr/>
        <a:lstStyle/>
        <a:p>
          <a:endParaRPr lang="en-GB"/>
        </a:p>
      </dgm:t>
    </dgm:pt>
    <dgm:pt modelId="{07ADC382-0698-4A50-8940-D39CE8D1E31C}" type="sibTrans" cxnId="{97C5AB28-A21A-4DCC-AFC2-5E0B70B01B80}">
      <dgm:prSet/>
      <dgm:spPr/>
      <dgm:t>
        <a:bodyPr/>
        <a:lstStyle/>
        <a:p>
          <a:endParaRPr lang="en-GB"/>
        </a:p>
      </dgm:t>
    </dgm:pt>
    <dgm:pt modelId="{B7DFAB61-C46A-4EA2-8493-72B794392D41}">
      <dgm:prSet phldrT="[Text]"/>
      <dgm:spPr/>
      <dgm:t>
        <a:bodyPr/>
        <a:lstStyle/>
        <a:p>
          <a:r>
            <a:rPr lang="en-GB" dirty="0"/>
            <a:t>October</a:t>
          </a:r>
        </a:p>
      </dgm:t>
    </dgm:pt>
    <dgm:pt modelId="{9654F6BC-CB5F-4F46-97A9-EA108E2946E8}" type="parTrans" cxnId="{E8153720-C513-4146-9012-810E72BDBE0D}">
      <dgm:prSet/>
      <dgm:spPr/>
      <dgm:t>
        <a:bodyPr/>
        <a:lstStyle/>
        <a:p>
          <a:endParaRPr lang="en-GB"/>
        </a:p>
      </dgm:t>
    </dgm:pt>
    <dgm:pt modelId="{6E04C1E2-5D86-40B4-8508-10E45451F34D}" type="sibTrans" cxnId="{E8153720-C513-4146-9012-810E72BDBE0D}">
      <dgm:prSet/>
      <dgm:spPr/>
      <dgm:t>
        <a:bodyPr/>
        <a:lstStyle/>
        <a:p>
          <a:endParaRPr lang="en-GB"/>
        </a:p>
      </dgm:t>
    </dgm:pt>
    <dgm:pt modelId="{719001B5-FABC-4998-840E-3709978992B1}">
      <dgm:prSet phldrT="[Text]"/>
      <dgm:spPr/>
      <dgm:t>
        <a:bodyPr/>
        <a:lstStyle/>
        <a:p>
          <a:pPr>
            <a:buNone/>
          </a:pPr>
          <a:r>
            <a:rPr lang="en-GB" dirty="0">
              <a:solidFill>
                <a:schemeClr val="tx1"/>
              </a:solidFill>
              <a:latin typeface="Calibri" panose="020F0502020204030204" pitchFamily="34" charset="0"/>
              <a:cs typeface="Calibri" panose="020F0502020204030204" pitchFamily="34" charset="0"/>
            </a:rPr>
            <a:t>Report and discussions with Chief Constable/Chief Fire Officer </a:t>
          </a:r>
          <a:endParaRPr lang="en-GB" dirty="0"/>
        </a:p>
      </dgm:t>
    </dgm:pt>
    <dgm:pt modelId="{7353D9FE-9E7B-4F6D-A2F7-E8196F1D2B10}" type="parTrans" cxnId="{E4314648-7C03-4BF3-BD65-3C30D25CF7C9}">
      <dgm:prSet/>
      <dgm:spPr/>
      <dgm:t>
        <a:bodyPr/>
        <a:lstStyle/>
        <a:p>
          <a:endParaRPr lang="en-GB"/>
        </a:p>
      </dgm:t>
    </dgm:pt>
    <dgm:pt modelId="{DEC51A6B-446B-4409-9C0C-E68A76DDC776}" type="sibTrans" cxnId="{E4314648-7C03-4BF3-BD65-3C30D25CF7C9}">
      <dgm:prSet/>
      <dgm:spPr/>
      <dgm:t>
        <a:bodyPr/>
        <a:lstStyle/>
        <a:p>
          <a:endParaRPr lang="en-GB"/>
        </a:p>
      </dgm:t>
    </dgm:pt>
    <dgm:pt modelId="{3087A382-C96F-4546-B4D1-B582819098FD}">
      <dgm:prSet phldrT="[Text]"/>
      <dgm:spPr/>
      <dgm:t>
        <a:bodyPr/>
        <a:lstStyle/>
        <a:p>
          <a:r>
            <a:rPr lang="en-GB" dirty="0"/>
            <a:t>December</a:t>
          </a:r>
        </a:p>
      </dgm:t>
    </dgm:pt>
    <dgm:pt modelId="{B6F70E16-8553-40EB-A1BE-F8959CC5EEDF}" type="parTrans" cxnId="{E4FFD3B3-D366-4070-8B70-69A0E23B181F}">
      <dgm:prSet/>
      <dgm:spPr/>
      <dgm:t>
        <a:bodyPr/>
        <a:lstStyle/>
        <a:p>
          <a:endParaRPr lang="en-GB"/>
        </a:p>
      </dgm:t>
    </dgm:pt>
    <dgm:pt modelId="{532B05A4-5ACB-43B0-B8C8-B480D0D66803}" type="sibTrans" cxnId="{E4FFD3B3-D366-4070-8B70-69A0E23B181F}">
      <dgm:prSet/>
      <dgm:spPr/>
      <dgm:t>
        <a:bodyPr/>
        <a:lstStyle/>
        <a:p>
          <a:endParaRPr lang="en-GB"/>
        </a:p>
      </dgm:t>
    </dgm:pt>
    <dgm:pt modelId="{E72B679F-D95A-4BBB-A3CD-F7DBADD30467}">
      <dgm:prSet phldrT="[Text]"/>
      <dgm:spPr/>
      <dgm:t>
        <a:bodyPr/>
        <a:lstStyle/>
        <a:p>
          <a:pPr>
            <a:buNone/>
          </a:pPr>
          <a:r>
            <a:rPr lang="en-GB" dirty="0">
              <a:solidFill>
                <a:schemeClr val="tx1"/>
              </a:solidFill>
              <a:latin typeface="Calibri" panose="020F0502020204030204" pitchFamily="34" charset="0"/>
              <a:cs typeface="Calibri" panose="020F0502020204030204" pitchFamily="34" charset="0"/>
            </a:rPr>
            <a:t>PFCC challenge at December Accountability Board – DRAFT budget proposals</a:t>
          </a:r>
          <a:endParaRPr lang="en-GB" dirty="0"/>
        </a:p>
      </dgm:t>
    </dgm:pt>
    <dgm:pt modelId="{AAB31C4F-A753-47E6-A990-E74E7A42EF3A}" type="parTrans" cxnId="{644A1839-C838-4DC3-B8C9-3EC6BD9FC2F5}">
      <dgm:prSet/>
      <dgm:spPr/>
      <dgm:t>
        <a:bodyPr/>
        <a:lstStyle/>
        <a:p>
          <a:endParaRPr lang="en-GB"/>
        </a:p>
      </dgm:t>
    </dgm:pt>
    <dgm:pt modelId="{913711B8-684C-4BF9-BFEB-B786210380A3}" type="sibTrans" cxnId="{644A1839-C838-4DC3-B8C9-3EC6BD9FC2F5}">
      <dgm:prSet/>
      <dgm:spPr/>
      <dgm:t>
        <a:bodyPr/>
        <a:lstStyle/>
        <a:p>
          <a:endParaRPr lang="en-GB"/>
        </a:p>
      </dgm:t>
    </dgm:pt>
    <dgm:pt modelId="{EB083492-A14F-45B0-85BC-C2150C530255}">
      <dgm:prSet phldrT="[Text]"/>
      <dgm:spPr/>
      <dgm:t>
        <a:bodyPr/>
        <a:lstStyle/>
        <a:p>
          <a:r>
            <a:rPr lang="en-GB" dirty="0"/>
            <a:t>January</a:t>
          </a:r>
        </a:p>
      </dgm:t>
    </dgm:pt>
    <dgm:pt modelId="{66420801-F069-47AE-B08B-041CA8FFB77E}" type="parTrans" cxnId="{6BDEE3C1-3EC0-4FAC-B6DD-49B37D4D93FF}">
      <dgm:prSet/>
      <dgm:spPr/>
      <dgm:t>
        <a:bodyPr/>
        <a:lstStyle/>
        <a:p>
          <a:endParaRPr lang="en-GB"/>
        </a:p>
      </dgm:t>
    </dgm:pt>
    <dgm:pt modelId="{88E32DC5-D602-478E-8E3D-4AA138EC2AB3}" type="sibTrans" cxnId="{6BDEE3C1-3EC0-4FAC-B6DD-49B37D4D93FF}">
      <dgm:prSet/>
      <dgm:spPr/>
      <dgm:t>
        <a:bodyPr/>
        <a:lstStyle/>
        <a:p>
          <a:endParaRPr lang="en-GB"/>
        </a:p>
      </dgm:t>
    </dgm:pt>
    <dgm:pt modelId="{3A403949-B436-4552-A1AB-8EECC0ACF743}">
      <dgm:prSet phldrT="[Text]"/>
      <dgm:spPr/>
      <dgm:t>
        <a:bodyPr/>
        <a:lstStyle/>
        <a:p>
          <a:pPr>
            <a:buNone/>
          </a:pPr>
          <a:r>
            <a:rPr lang="en-GB" dirty="0">
              <a:solidFill>
                <a:schemeClr val="tx1"/>
              </a:solidFill>
              <a:latin typeface="Calibri" panose="020F0502020204030204" pitchFamily="34" charset="0"/>
              <a:cs typeface="Calibri" panose="020F0502020204030204" pitchFamily="34" charset="0"/>
            </a:rPr>
            <a:t>PFCC final approval at January Accountability Board – FINAL budget proposals</a:t>
          </a:r>
          <a:endParaRPr lang="en-GB" dirty="0"/>
        </a:p>
      </dgm:t>
    </dgm:pt>
    <dgm:pt modelId="{BA2D68C5-5DCE-4C2C-B665-BBF9A18BFF90}" type="parTrans" cxnId="{F4EE6D1D-2329-4B6D-A7EB-793DD9D45A1B}">
      <dgm:prSet/>
      <dgm:spPr/>
      <dgm:t>
        <a:bodyPr/>
        <a:lstStyle/>
        <a:p>
          <a:endParaRPr lang="en-GB"/>
        </a:p>
      </dgm:t>
    </dgm:pt>
    <dgm:pt modelId="{DEBAF137-0642-4181-9F53-5C16819F2660}" type="sibTrans" cxnId="{F4EE6D1D-2329-4B6D-A7EB-793DD9D45A1B}">
      <dgm:prSet/>
      <dgm:spPr/>
      <dgm:t>
        <a:bodyPr/>
        <a:lstStyle/>
        <a:p>
          <a:endParaRPr lang="en-GB"/>
        </a:p>
      </dgm:t>
    </dgm:pt>
    <dgm:pt modelId="{9F8AE336-FD06-429A-81B2-1596B4741605}">
      <dgm:prSet phldrT="[Text]"/>
      <dgm:spPr/>
      <dgm:t>
        <a:bodyPr/>
        <a:lstStyle/>
        <a:p>
          <a:r>
            <a:rPr lang="en-GB" dirty="0"/>
            <a:t>February</a:t>
          </a:r>
        </a:p>
      </dgm:t>
    </dgm:pt>
    <dgm:pt modelId="{46104067-ACFD-4C91-A4AE-27807F0F8448}" type="parTrans" cxnId="{77BF0075-629A-42CA-9343-A4995805A1BD}">
      <dgm:prSet/>
      <dgm:spPr/>
      <dgm:t>
        <a:bodyPr/>
        <a:lstStyle/>
        <a:p>
          <a:endParaRPr lang="en-GB"/>
        </a:p>
      </dgm:t>
    </dgm:pt>
    <dgm:pt modelId="{FD0D9C9A-36E1-4BA7-856F-6D27803EEDFB}" type="sibTrans" cxnId="{77BF0075-629A-42CA-9343-A4995805A1BD}">
      <dgm:prSet/>
      <dgm:spPr/>
      <dgm:t>
        <a:bodyPr/>
        <a:lstStyle/>
        <a:p>
          <a:endParaRPr lang="en-GB"/>
        </a:p>
      </dgm:t>
    </dgm:pt>
    <dgm:pt modelId="{B0914334-38E6-47EB-8E5E-EE054F75E4F7}">
      <dgm:prSet phldrT="[Text]"/>
      <dgm:spPr/>
      <dgm:t>
        <a:bodyPr/>
        <a:lstStyle/>
        <a:p>
          <a:pPr>
            <a:buNone/>
          </a:pPr>
          <a:r>
            <a:rPr lang="en-GB" dirty="0"/>
            <a:t>Budget Papers and Precept Proposal considered by the Panel</a:t>
          </a:r>
        </a:p>
      </dgm:t>
    </dgm:pt>
    <dgm:pt modelId="{A7FC66FA-E2ED-48AA-80F1-0792BDCC6DAB}" type="parTrans" cxnId="{2D4E5E8F-442A-4886-B406-A5F9E264F256}">
      <dgm:prSet/>
      <dgm:spPr/>
      <dgm:t>
        <a:bodyPr/>
        <a:lstStyle/>
        <a:p>
          <a:endParaRPr lang="en-GB"/>
        </a:p>
      </dgm:t>
    </dgm:pt>
    <dgm:pt modelId="{11278B4B-58B8-45D3-9E76-9F69EA9D7012}" type="sibTrans" cxnId="{2D4E5E8F-442A-4886-B406-A5F9E264F256}">
      <dgm:prSet/>
      <dgm:spPr/>
      <dgm:t>
        <a:bodyPr/>
        <a:lstStyle/>
        <a:p>
          <a:endParaRPr lang="en-GB"/>
        </a:p>
      </dgm:t>
    </dgm:pt>
    <dgm:pt modelId="{B1CFEE0E-0710-4A52-B485-C83971F2F6E4}">
      <dgm:prSet phldrT="[Text]"/>
      <dgm:spPr/>
      <dgm:t>
        <a:bodyPr/>
        <a:lstStyle/>
        <a:p>
          <a:r>
            <a:rPr lang="en-GB" dirty="0"/>
            <a:t>November</a:t>
          </a:r>
        </a:p>
      </dgm:t>
    </dgm:pt>
    <dgm:pt modelId="{7AE011EE-2FCC-4871-9247-5818F3C21393}" type="parTrans" cxnId="{71D775D5-B96B-4BFA-AC86-3DC73C23D9D9}">
      <dgm:prSet/>
      <dgm:spPr/>
      <dgm:t>
        <a:bodyPr/>
        <a:lstStyle/>
        <a:p>
          <a:endParaRPr lang="en-GB"/>
        </a:p>
      </dgm:t>
    </dgm:pt>
    <dgm:pt modelId="{7D1AD7D9-9DFB-409A-9E82-06F32D72861F}" type="sibTrans" cxnId="{71D775D5-B96B-4BFA-AC86-3DC73C23D9D9}">
      <dgm:prSet/>
      <dgm:spPr/>
      <dgm:t>
        <a:bodyPr/>
        <a:lstStyle/>
        <a:p>
          <a:endParaRPr lang="en-GB"/>
        </a:p>
      </dgm:t>
    </dgm:pt>
    <dgm:pt modelId="{A471EF92-0089-4C2C-A961-3BFC038565B9}" type="pres">
      <dgm:prSet presAssocID="{4C3F396D-FAD9-434C-B431-993BEA1F1B60}" presName="linearFlow" presStyleCnt="0">
        <dgm:presLayoutVars>
          <dgm:dir/>
          <dgm:animLvl val="lvl"/>
          <dgm:resizeHandles val="exact"/>
        </dgm:presLayoutVars>
      </dgm:prSet>
      <dgm:spPr/>
    </dgm:pt>
    <dgm:pt modelId="{4D9EE095-1D58-49F8-860D-8535E41C0379}" type="pres">
      <dgm:prSet presAssocID="{58D56BA6-200A-400B-BFC7-EBF76D8C8B08}" presName="composite" presStyleCnt="0"/>
      <dgm:spPr/>
    </dgm:pt>
    <dgm:pt modelId="{93C5A65B-FEDE-4A95-8750-B64043D7CF19}" type="pres">
      <dgm:prSet presAssocID="{58D56BA6-200A-400B-BFC7-EBF76D8C8B08}" presName="parentText" presStyleLbl="alignNode1" presStyleIdx="0" presStyleCnt="8">
        <dgm:presLayoutVars>
          <dgm:chMax val="1"/>
          <dgm:bulletEnabled val="1"/>
        </dgm:presLayoutVars>
      </dgm:prSet>
      <dgm:spPr/>
    </dgm:pt>
    <dgm:pt modelId="{B6214A9C-FC0A-40EB-9481-C1A415E38D89}" type="pres">
      <dgm:prSet presAssocID="{58D56BA6-200A-400B-BFC7-EBF76D8C8B08}" presName="descendantText" presStyleLbl="alignAcc1" presStyleIdx="0" presStyleCnt="8">
        <dgm:presLayoutVars>
          <dgm:bulletEnabled val="1"/>
        </dgm:presLayoutVars>
      </dgm:prSet>
      <dgm:spPr/>
    </dgm:pt>
    <dgm:pt modelId="{31964F2F-3420-4ECD-B608-777773ACFACB}" type="pres">
      <dgm:prSet presAssocID="{8BF36C57-A1E2-4000-A74C-EEB26BEAB328}" presName="sp" presStyleCnt="0"/>
      <dgm:spPr/>
    </dgm:pt>
    <dgm:pt modelId="{B2F36A81-CEBE-46E0-A2A0-76693F3014C6}" type="pres">
      <dgm:prSet presAssocID="{B7DFAB61-C46A-4EA2-8493-72B794392D41}" presName="composite" presStyleCnt="0"/>
      <dgm:spPr/>
    </dgm:pt>
    <dgm:pt modelId="{FF032F62-3E43-4B40-AC74-44D91BDC6B5E}" type="pres">
      <dgm:prSet presAssocID="{B7DFAB61-C46A-4EA2-8493-72B794392D41}" presName="parentText" presStyleLbl="alignNode1" presStyleIdx="1" presStyleCnt="8">
        <dgm:presLayoutVars>
          <dgm:chMax val="1"/>
          <dgm:bulletEnabled val="1"/>
        </dgm:presLayoutVars>
      </dgm:prSet>
      <dgm:spPr/>
    </dgm:pt>
    <dgm:pt modelId="{600CA261-7C2F-4088-8E48-39DE8129A95D}" type="pres">
      <dgm:prSet presAssocID="{B7DFAB61-C46A-4EA2-8493-72B794392D41}" presName="descendantText" presStyleLbl="alignAcc1" presStyleIdx="1" presStyleCnt="8">
        <dgm:presLayoutVars>
          <dgm:bulletEnabled val="1"/>
        </dgm:presLayoutVars>
      </dgm:prSet>
      <dgm:spPr/>
    </dgm:pt>
    <dgm:pt modelId="{9F35907E-84AD-4675-B07D-D90C04911EEC}" type="pres">
      <dgm:prSet presAssocID="{6E04C1E2-5D86-40B4-8508-10E45451F34D}" presName="sp" presStyleCnt="0"/>
      <dgm:spPr/>
    </dgm:pt>
    <dgm:pt modelId="{E9B8D935-58F5-4430-B896-532A26B84FEB}" type="pres">
      <dgm:prSet presAssocID="{82FF0DAF-BB70-4602-BB3D-FECD5A68A2EC}" presName="composite" presStyleCnt="0"/>
      <dgm:spPr/>
    </dgm:pt>
    <dgm:pt modelId="{7E8E2E81-B372-487E-AE3D-B9A41FC03C2D}" type="pres">
      <dgm:prSet presAssocID="{82FF0DAF-BB70-4602-BB3D-FECD5A68A2EC}" presName="parentText" presStyleLbl="alignNode1" presStyleIdx="2" presStyleCnt="8">
        <dgm:presLayoutVars>
          <dgm:chMax val="1"/>
          <dgm:bulletEnabled val="1"/>
        </dgm:presLayoutVars>
      </dgm:prSet>
      <dgm:spPr/>
    </dgm:pt>
    <dgm:pt modelId="{BD94E167-1A74-4C28-8F1D-CF50A6F7B8CC}" type="pres">
      <dgm:prSet presAssocID="{82FF0DAF-BB70-4602-BB3D-FECD5A68A2EC}" presName="descendantText" presStyleLbl="alignAcc1" presStyleIdx="2" presStyleCnt="8">
        <dgm:presLayoutVars>
          <dgm:bulletEnabled val="1"/>
        </dgm:presLayoutVars>
      </dgm:prSet>
      <dgm:spPr/>
    </dgm:pt>
    <dgm:pt modelId="{7987A30F-3AC0-44FA-9DD6-38700242E29D}" type="pres">
      <dgm:prSet presAssocID="{5A7A3C5A-725B-4724-A154-67BD86E1BB12}" presName="sp" presStyleCnt="0"/>
      <dgm:spPr/>
    </dgm:pt>
    <dgm:pt modelId="{28A5F93C-6BC4-45A5-9915-8E342462B46C}" type="pres">
      <dgm:prSet presAssocID="{9F0ED3C2-CDE0-4FCB-A7F9-1792C9708150}" presName="composite" presStyleCnt="0"/>
      <dgm:spPr/>
    </dgm:pt>
    <dgm:pt modelId="{C334268B-13CF-4AF6-BE4D-36C6A337FAD0}" type="pres">
      <dgm:prSet presAssocID="{9F0ED3C2-CDE0-4FCB-A7F9-1792C9708150}" presName="parentText" presStyleLbl="alignNode1" presStyleIdx="3" presStyleCnt="8">
        <dgm:presLayoutVars>
          <dgm:chMax val="1"/>
          <dgm:bulletEnabled val="1"/>
        </dgm:presLayoutVars>
      </dgm:prSet>
      <dgm:spPr/>
    </dgm:pt>
    <dgm:pt modelId="{81C86889-B220-496F-9C29-F27E623DA04C}" type="pres">
      <dgm:prSet presAssocID="{9F0ED3C2-CDE0-4FCB-A7F9-1792C9708150}" presName="descendantText" presStyleLbl="alignAcc1" presStyleIdx="3" presStyleCnt="8">
        <dgm:presLayoutVars>
          <dgm:bulletEnabled val="1"/>
        </dgm:presLayoutVars>
      </dgm:prSet>
      <dgm:spPr/>
    </dgm:pt>
    <dgm:pt modelId="{096CFC96-437A-4183-A324-39516DECCE96}" type="pres">
      <dgm:prSet presAssocID="{ED769993-7F3A-4372-8DEB-5CE741AD1616}" presName="sp" presStyleCnt="0"/>
      <dgm:spPr/>
    </dgm:pt>
    <dgm:pt modelId="{AFB49B4D-ACC3-49F3-93CD-B242B56674B6}" type="pres">
      <dgm:prSet presAssocID="{B1CFEE0E-0710-4A52-B485-C83971F2F6E4}" presName="composite" presStyleCnt="0"/>
      <dgm:spPr/>
    </dgm:pt>
    <dgm:pt modelId="{520729A9-1C47-4970-B485-ED179A6D328E}" type="pres">
      <dgm:prSet presAssocID="{B1CFEE0E-0710-4A52-B485-C83971F2F6E4}" presName="parentText" presStyleLbl="alignNode1" presStyleIdx="4" presStyleCnt="8">
        <dgm:presLayoutVars>
          <dgm:chMax val="1"/>
          <dgm:bulletEnabled val="1"/>
        </dgm:presLayoutVars>
      </dgm:prSet>
      <dgm:spPr/>
    </dgm:pt>
    <dgm:pt modelId="{3EF0D81E-94B7-4263-8532-C417CD9E99FF}" type="pres">
      <dgm:prSet presAssocID="{B1CFEE0E-0710-4A52-B485-C83971F2F6E4}" presName="descendantText" presStyleLbl="alignAcc1" presStyleIdx="4" presStyleCnt="8">
        <dgm:presLayoutVars>
          <dgm:bulletEnabled val="1"/>
        </dgm:presLayoutVars>
      </dgm:prSet>
      <dgm:spPr/>
    </dgm:pt>
    <dgm:pt modelId="{ED1B3E09-B44F-49C9-83F8-87267AFA0C68}" type="pres">
      <dgm:prSet presAssocID="{7D1AD7D9-9DFB-409A-9E82-06F32D72861F}" presName="sp" presStyleCnt="0"/>
      <dgm:spPr/>
    </dgm:pt>
    <dgm:pt modelId="{352C8771-18CD-4218-9C25-6B2459A01062}" type="pres">
      <dgm:prSet presAssocID="{3087A382-C96F-4546-B4D1-B582819098FD}" presName="composite" presStyleCnt="0"/>
      <dgm:spPr/>
    </dgm:pt>
    <dgm:pt modelId="{AE9748B8-2736-47E3-A005-4C8ED8F65A2B}" type="pres">
      <dgm:prSet presAssocID="{3087A382-C96F-4546-B4D1-B582819098FD}" presName="parentText" presStyleLbl="alignNode1" presStyleIdx="5" presStyleCnt="8">
        <dgm:presLayoutVars>
          <dgm:chMax val="1"/>
          <dgm:bulletEnabled val="1"/>
        </dgm:presLayoutVars>
      </dgm:prSet>
      <dgm:spPr/>
    </dgm:pt>
    <dgm:pt modelId="{93E4C178-4971-488E-90F9-E065A2540AA3}" type="pres">
      <dgm:prSet presAssocID="{3087A382-C96F-4546-B4D1-B582819098FD}" presName="descendantText" presStyleLbl="alignAcc1" presStyleIdx="5" presStyleCnt="8">
        <dgm:presLayoutVars>
          <dgm:bulletEnabled val="1"/>
        </dgm:presLayoutVars>
      </dgm:prSet>
      <dgm:spPr/>
    </dgm:pt>
    <dgm:pt modelId="{AC326FD5-A49E-456F-9D15-54C39CAE70B4}" type="pres">
      <dgm:prSet presAssocID="{532B05A4-5ACB-43B0-B8C8-B480D0D66803}" presName="sp" presStyleCnt="0"/>
      <dgm:spPr/>
    </dgm:pt>
    <dgm:pt modelId="{C52F9743-A8B6-4F68-80F2-620FF555276F}" type="pres">
      <dgm:prSet presAssocID="{EB083492-A14F-45B0-85BC-C2150C530255}" presName="composite" presStyleCnt="0"/>
      <dgm:spPr/>
    </dgm:pt>
    <dgm:pt modelId="{D98FF503-CA8D-442A-ABF9-A8B228430D4D}" type="pres">
      <dgm:prSet presAssocID="{EB083492-A14F-45B0-85BC-C2150C530255}" presName="parentText" presStyleLbl="alignNode1" presStyleIdx="6" presStyleCnt="8">
        <dgm:presLayoutVars>
          <dgm:chMax val="1"/>
          <dgm:bulletEnabled val="1"/>
        </dgm:presLayoutVars>
      </dgm:prSet>
      <dgm:spPr/>
    </dgm:pt>
    <dgm:pt modelId="{596651A8-09C5-4682-812F-7891D37AF21D}" type="pres">
      <dgm:prSet presAssocID="{EB083492-A14F-45B0-85BC-C2150C530255}" presName="descendantText" presStyleLbl="alignAcc1" presStyleIdx="6" presStyleCnt="8">
        <dgm:presLayoutVars>
          <dgm:bulletEnabled val="1"/>
        </dgm:presLayoutVars>
      </dgm:prSet>
      <dgm:spPr/>
    </dgm:pt>
    <dgm:pt modelId="{8A0C94ED-86A5-425A-87EF-BF2783B2393E}" type="pres">
      <dgm:prSet presAssocID="{88E32DC5-D602-478E-8E3D-4AA138EC2AB3}" presName="sp" presStyleCnt="0"/>
      <dgm:spPr/>
    </dgm:pt>
    <dgm:pt modelId="{08CC169C-AC72-4DAE-82FF-D1F99EADA293}" type="pres">
      <dgm:prSet presAssocID="{9F8AE336-FD06-429A-81B2-1596B4741605}" presName="composite" presStyleCnt="0"/>
      <dgm:spPr/>
    </dgm:pt>
    <dgm:pt modelId="{51C8A537-7C5A-4262-89F6-338B290EC87F}" type="pres">
      <dgm:prSet presAssocID="{9F8AE336-FD06-429A-81B2-1596B4741605}" presName="parentText" presStyleLbl="alignNode1" presStyleIdx="7" presStyleCnt="8">
        <dgm:presLayoutVars>
          <dgm:chMax val="1"/>
          <dgm:bulletEnabled val="1"/>
        </dgm:presLayoutVars>
      </dgm:prSet>
      <dgm:spPr/>
    </dgm:pt>
    <dgm:pt modelId="{A79DC3F1-CBC2-43C8-9800-3925CAE939F5}" type="pres">
      <dgm:prSet presAssocID="{9F8AE336-FD06-429A-81B2-1596B4741605}" presName="descendantText" presStyleLbl="alignAcc1" presStyleIdx="7" presStyleCnt="8">
        <dgm:presLayoutVars>
          <dgm:bulletEnabled val="1"/>
        </dgm:presLayoutVars>
      </dgm:prSet>
      <dgm:spPr/>
    </dgm:pt>
  </dgm:ptLst>
  <dgm:cxnLst>
    <dgm:cxn modelId="{FF45EA0B-051C-4763-A551-266B826EF3F4}" type="presOf" srcId="{2C2503A6-1FF0-47AC-A13D-0A0BE77A6AFE}" destId="{600CA261-7C2F-4088-8E48-39DE8129A95D}" srcOrd="0" destOrd="0" presId="urn:microsoft.com/office/officeart/2005/8/layout/chevron2"/>
    <dgm:cxn modelId="{E6DA5E10-53DA-4711-B633-FAFD14C73212}" type="presOf" srcId="{9F0ED3C2-CDE0-4FCB-A7F9-1792C9708150}" destId="{C334268B-13CF-4AF6-BE4D-36C6A337FAD0}" srcOrd="0" destOrd="0" presId="urn:microsoft.com/office/officeart/2005/8/layout/chevron2"/>
    <dgm:cxn modelId="{577D6610-7FCC-45E0-9A0A-2D78F7A7005A}" type="presOf" srcId="{3A403949-B436-4552-A1AB-8EECC0ACF743}" destId="{596651A8-09C5-4682-812F-7891D37AF21D}" srcOrd="0" destOrd="0" presId="urn:microsoft.com/office/officeart/2005/8/layout/chevron2"/>
    <dgm:cxn modelId="{AA10D319-32E9-4513-824D-41238A66B415}" type="presOf" srcId="{B0914334-38E6-47EB-8E5E-EE054F75E4F7}" destId="{A79DC3F1-CBC2-43C8-9800-3925CAE939F5}" srcOrd="0" destOrd="0" presId="urn:microsoft.com/office/officeart/2005/8/layout/chevron2"/>
    <dgm:cxn modelId="{F4EE6D1D-2329-4B6D-A7EB-793DD9D45A1B}" srcId="{EB083492-A14F-45B0-85BC-C2150C530255}" destId="{3A403949-B436-4552-A1AB-8EECC0ACF743}" srcOrd="0" destOrd="0" parTransId="{BA2D68C5-5DCE-4C2C-B665-BBF9A18BFF90}" sibTransId="{DEBAF137-0642-4181-9F53-5C16819F2660}"/>
    <dgm:cxn modelId="{DB9E491F-2956-46D8-A90D-B9CFB6573132}" type="presOf" srcId="{B7DFAB61-C46A-4EA2-8493-72B794392D41}" destId="{FF032F62-3E43-4B40-AC74-44D91BDC6B5E}" srcOrd="0" destOrd="0" presId="urn:microsoft.com/office/officeart/2005/8/layout/chevron2"/>
    <dgm:cxn modelId="{E8153720-C513-4146-9012-810E72BDBE0D}" srcId="{4C3F396D-FAD9-434C-B431-993BEA1F1B60}" destId="{B7DFAB61-C46A-4EA2-8493-72B794392D41}" srcOrd="1" destOrd="0" parTransId="{9654F6BC-CB5F-4F46-97A9-EA108E2946E8}" sibTransId="{6E04C1E2-5D86-40B4-8508-10E45451F34D}"/>
    <dgm:cxn modelId="{97C5AB28-A21A-4DCC-AFC2-5E0B70B01B80}" srcId="{B7DFAB61-C46A-4EA2-8493-72B794392D41}" destId="{2C2503A6-1FF0-47AC-A13D-0A0BE77A6AFE}" srcOrd="0" destOrd="0" parTransId="{E4A59C71-0E3D-44E9-967B-F1E10ADC78B3}" sibTransId="{07ADC382-0698-4A50-8940-D39CE8D1E31C}"/>
    <dgm:cxn modelId="{384ECF2A-E6ED-420A-8738-0162A8E8C3BB}" type="presOf" srcId="{FBF3BEDF-45C4-46F7-BAC0-00D15BB0AE3C}" destId="{B6214A9C-FC0A-40EB-9481-C1A415E38D89}" srcOrd="0" destOrd="0" presId="urn:microsoft.com/office/officeart/2005/8/layout/chevron2"/>
    <dgm:cxn modelId="{72376C38-B937-4F35-89A8-8601B25512BC}" type="presOf" srcId="{4C3F396D-FAD9-434C-B431-993BEA1F1B60}" destId="{A471EF92-0089-4C2C-A961-3BFC038565B9}" srcOrd="0" destOrd="0" presId="urn:microsoft.com/office/officeart/2005/8/layout/chevron2"/>
    <dgm:cxn modelId="{644A1839-C838-4DC3-B8C9-3EC6BD9FC2F5}" srcId="{3087A382-C96F-4546-B4D1-B582819098FD}" destId="{E72B679F-D95A-4BBB-A3CD-F7DBADD30467}" srcOrd="0" destOrd="0" parTransId="{AAB31C4F-A753-47E6-A990-E74E7A42EF3A}" sibTransId="{913711B8-684C-4BF9-BFEB-B786210380A3}"/>
    <dgm:cxn modelId="{6333913A-BEDF-40AA-8949-B045862817EA}" type="presOf" srcId="{82FF0DAF-BB70-4602-BB3D-FECD5A68A2EC}" destId="{7E8E2E81-B372-487E-AE3D-B9A41FC03C2D}" srcOrd="0" destOrd="0" presId="urn:microsoft.com/office/officeart/2005/8/layout/chevron2"/>
    <dgm:cxn modelId="{E4314648-7C03-4BF3-BD65-3C30D25CF7C9}" srcId="{B1CFEE0E-0710-4A52-B485-C83971F2F6E4}" destId="{719001B5-FABC-4998-840E-3709978992B1}" srcOrd="0" destOrd="0" parTransId="{7353D9FE-9E7B-4F6D-A2F7-E8196F1D2B10}" sibTransId="{DEC51A6B-446B-4409-9C0C-E68A76DDC776}"/>
    <dgm:cxn modelId="{A814B54D-1702-434E-8A55-9EA985368E61}" srcId="{4C3F396D-FAD9-434C-B431-993BEA1F1B60}" destId="{58D56BA6-200A-400B-BFC7-EBF76D8C8B08}" srcOrd="0" destOrd="0" parTransId="{62E5B131-F2A4-46D7-A531-F8377ACC2443}" sibTransId="{8BF36C57-A1E2-4000-A74C-EEB26BEAB328}"/>
    <dgm:cxn modelId="{775B6B4E-691E-4175-8ED1-4A9276DB281B}" type="presOf" srcId="{719001B5-FABC-4998-840E-3709978992B1}" destId="{3EF0D81E-94B7-4263-8532-C417CD9E99FF}" srcOrd="0" destOrd="0" presId="urn:microsoft.com/office/officeart/2005/8/layout/chevron2"/>
    <dgm:cxn modelId="{D3D3D273-AB98-448C-80F3-D2389E7CE731}" srcId="{4C3F396D-FAD9-434C-B431-993BEA1F1B60}" destId="{9F0ED3C2-CDE0-4FCB-A7F9-1792C9708150}" srcOrd="3" destOrd="0" parTransId="{CB75B86D-59B8-4896-9EC7-A56190B92500}" sibTransId="{ED769993-7F3A-4372-8DEB-5CE741AD1616}"/>
    <dgm:cxn modelId="{77BF0075-629A-42CA-9343-A4995805A1BD}" srcId="{4C3F396D-FAD9-434C-B431-993BEA1F1B60}" destId="{9F8AE336-FD06-429A-81B2-1596B4741605}" srcOrd="7" destOrd="0" parTransId="{46104067-ACFD-4C91-A4AE-27807F0F8448}" sibTransId="{FD0D9C9A-36E1-4BA7-856F-6D27803EEDFB}"/>
    <dgm:cxn modelId="{8E14D47C-545F-423D-B994-633EDFFEFB3A}" srcId="{4C3F396D-FAD9-434C-B431-993BEA1F1B60}" destId="{82FF0DAF-BB70-4602-BB3D-FECD5A68A2EC}" srcOrd="2" destOrd="0" parTransId="{C1A173C6-A5E2-4507-9B67-57E30BA5C608}" sibTransId="{5A7A3C5A-725B-4724-A154-67BD86E1BB12}"/>
    <dgm:cxn modelId="{8CC8487E-B797-4D30-BF67-9FD582B608DD}" type="presOf" srcId="{58D56BA6-200A-400B-BFC7-EBF76D8C8B08}" destId="{93C5A65B-FEDE-4A95-8750-B64043D7CF19}" srcOrd="0" destOrd="0" presId="urn:microsoft.com/office/officeart/2005/8/layout/chevron2"/>
    <dgm:cxn modelId="{4C154F7F-028A-4EDE-BB54-9FF11805DDE0}" type="presOf" srcId="{9F8AE336-FD06-429A-81B2-1596B4741605}" destId="{51C8A537-7C5A-4262-89F6-338B290EC87F}" srcOrd="0" destOrd="0" presId="urn:microsoft.com/office/officeart/2005/8/layout/chevron2"/>
    <dgm:cxn modelId="{5DFAEC87-1AB7-4820-939D-A16151E1E602}" srcId="{58D56BA6-200A-400B-BFC7-EBF76D8C8B08}" destId="{FBF3BEDF-45C4-46F7-BAC0-00D15BB0AE3C}" srcOrd="0" destOrd="0" parTransId="{EA11BC2E-2E92-4675-A3EE-4DCB06D409AC}" sibTransId="{EF61D74B-2A49-4411-BD2A-07FF49CFB1B9}"/>
    <dgm:cxn modelId="{2D4E5E8F-442A-4886-B406-A5F9E264F256}" srcId="{9F8AE336-FD06-429A-81B2-1596B4741605}" destId="{B0914334-38E6-47EB-8E5E-EE054F75E4F7}" srcOrd="0" destOrd="0" parTransId="{A7FC66FA-E2ED-48AA-80F1-0792BDCC6DAB}" sibTransId="{11278B4B-58B8-45D3-9E76-9F69EA9D7012}"/>
    <dgm:cxn modelId="{6E687290-C9E4-4980-9980-B5F50C946C11}" type="presOf" srcId="{3087A382-C96F-4546-B4D1-B582819098FD}" destId="{AE9748B8-2736-47E3-A005-4C8ED8F65A2B}" srcOrd="0" destOrd="0" presId="urn:microsoft.com/office/officeart/2005/8/layout/chevron2"/>
    <dgm:cxn modelId="{BE3BD59C-F17B-414E-9AC5-6B39850744A4}" type="presOf" srcId="{EB083492-A14F-45B0-85BC-C2150C530255}" destId="{D98FF503-CA8D-442A-ABF9-A8B228430D4D}" srcOrd="0" destOrd="0" presId="urn:microsoft.com/office/officeart/2005/8/layout/chevron2"/>
    <dgm:cxn modelId="{B6BE1AB0-15DF-4493-945A-187F4CA85C63}" type="presOf" srcId="{E72B679F-D95A-4BBB-A3CD-F7DBADD30467}" destId="{93E4C178-4971-488E-90F9-E065A2540AA3}" srcOrd="0" destOrd="0" presId="urn:microsoft.com/office/officeart/2005/8/layout/chevron2"/>
    <dgm:cxn modelId="{E4FFD3B3-D366-4070-8B70-69A0E23B181F}" srcId="{4C3F396D-FAD9-434C-B431-993BEA1F1B60}" destId="{3087A382-C96F-4546-B4D1-B582819098FD}" srcOrd="5" destOrd="0" parTransId="{B6F70E16-8553-40EB-A1BE-F8959CC5EEDF}" sibTransId="{532B05A4-5ACB-43B0-B8C8-B480D0D66803}"/>
    <dgm:cxn modelId="{22258AB4-7278-4475-BED3-428363418DF3}" type="presOf" srcId="{8CFA7F46-3F36-44EF-97ED-3294C53D6A91}" destId="{BD94E167-1A74-4C28-8F1D-CF50A6F7B8CC}" srcOrd="0" destOrd="0" presId="urn:microsoft.com/office/officeart/2005/8/layout/chevron2"/>
    <dgm:cxn modelId="{70ECDBB9-25D9-48EC-B523-FC02C876BF3A}" srcId="{9F0ED3C2-CDE0-4FCB-A7F9-1792C9708150}" destId="{3B1CEB3D-4914-43F5-8318-B58F40D70609}" srcOrd="0" destOrd="0" parTransId="{5016D617-AD71-4802-A53E-4FEFEAE2C9D0}" sibTransId="{82BF9941-2772-4B57-97A8-5FB170C955FB}"/>
    <dgm:cxn modelId="{6BDEE3C1-3EC0-4FAC-B6DD-49B37D4D93FF}" srcId="{4C3F396D-FAD9-434C-B431-993BEA1F1B60}" destId="{EB083492-A14F-45B0-85BC-C2150C530255}" srcOrd="6" destOrd="0" parTransId="{66420801-F069-47AE-B08B-041CA8FFB77E}" sibTransId="{88E32DC5-D602-478E-8E3D-4AA138EC2AB3}"/>
    <dgm:cxn modelId="{4CB026C6-0939-4312-B8ED-8FB31B339EA4}" srcId="{82FF0DAF-BB70-4602-BB3D-FECD5A68A2EC}" destId="{8CFA7F46-3F36-44EF-97ED-3294C53D6A91}" srcOrd="0" destOrd="0" parTransId="{44375A24-BBC7-4947-AF37-0EE2EEC88B20}" sibTransId="{209495F1-F492-4763-ABD5-1FE9B304899A}"/>
    <dgm:cxn modelId="{71D775D5-B96B-4BFA-AC86-3DC73C23D9D9}" srcId="{4C3F396D-FAD9-434C-B431-993BEA1F1B60}" destId="{B1CFEE0E-0710-4A52-B485-C83971F2F6E4}" srcOrd="4" destOrd="0" parTransId="{7AE011EE-2FCC-4871-9247-5818F3C21393}" sibTransId="{7D1AD7D9-9DFB-409A-9E82-06F32D72861F}"/>
    <dgm:cxn modelId="{107141F3-4139-4CE3-87A9-58FAF527BF58}" type="presOf" srcId="{3B1CEB3D-4914-43F5-8318-B58F40D70609}" destId="{81C86889-B220-496F-9C29-F27E623DA04C}" srcOrd="0" destOrd="0" presId="urn:microsoft.com/office/officeart/2005/8/layout/chevron2"/>
    <dgm:cxn modelId="{494967F3-C9C0-43AD-95E1-7F25790D96A6}" type="presOf" srcId="{B1CFEE0E-0710-4A52-B485-C83971F2F6E4}" destId="{520729A9-1C47-4970-B485-ED179A6D328E}" srcOrd="0" destOrd="0" presId="urn:microsoft.com/office/officeart/2005/8/layout/chevron2"/>
    <dgm:cxn modelId="{DA4C6C7B-4F3E-4908-B5C4-579EA9F11104}" type="presParOf" srcId="{A471EF92-0089-4C2C-A961-3BFC038565B9}" destId="{4D9EE095-1D58-49F8-860D-8535E41C0379}" srcOrd="0" destOrd="0" presId="urn:microsoft.com/office/officeart/2005/8/layout/chevron2"/>
    <dgm:cxn modelId="{DDE87B35-1DC7-46AE-8369-C82041EA27DF}" type="presParOf" srcId="{4D9EE095-1D58-49F8-860D-8535E41C0379}" destId="{93C5A65B-FEDE-4A95-8750-B64043D7CF19}" srcOrd="0" destOrd="0" presId="urn:microsoft.com/office/officeart/2005/8/layout/chevron2"/>
    <dgm:cxn modelId="{10051C0E-1F13-4F19-824A-EB3611772A98}" type="presParOf" srcId="{4D9EE095-1D58-49F8-860D-8535E41C0379}" destId="{B6214A9C-FC0A-40EB-9481-C1A415E38D89}" srcOrd="1" destOrd="0" presId="urn:microsoft.com/office/officeart/2005/8/layout/chevron2"/>
    <dgm:cxn modelId="{C22E9DD1-9B7E-459D-B14F-DC6FED4F273A}" type="presParOf" srcId="{A471EF92-0089-4C2C-A961-3BFC038565B9}" destId="{31964F2F-3420-4ECD-B608-777773ACFACB}" srcOrd="1" destOrd="0" presId="urn:microsoft.com/office/officeart/2005/8/layout/chevron2"/>
    <dgm:cxn modelId="{2AE3545C-F37F-4F58-B5D1-26762651B8D4}" type="presParOf" srcId="{A471EF92-0089-4C2C-A961-3BFC038565B9}" destId="{B2F36A81-CEBE-46E0-A2A0-76693F3014C6}" srcOrd="2" destOrd="0" presId="urn:microsoft.com/office/officeart/2005/8/layout/chevron2"/>
    <dgm:cxn modelId="{B9CD9834-DEBD-4220-A733-6F2ABA2734CB}" type="presParOf" srcId="{B2F36A81-CEBE-46E0-A2A0-76693F3014C6}" destId="{FF032F62-3E43-4B40-AC74-44D91BDC6B5E}" srcOrd="0" destOrd="0" presId="urn:microsoft.com/office/officeart/2005/8/layout/chevron2"/>
    <dgm:cxn modelId="{3F7A605F-F16D-4397-9F90-FBB496BBEA9A}" type="presParOf" srcId="{B2F36A81-CEBE-46E0-A2A0-76693F3014C6}" destId="{600CA261-7C2F-4088-8E48-39DE8129A95D}" srcOrd="1" destOrd="0" presId="urn:microsoft.com/office/officeart/2005/8/layout/chevron2"/>
    <dgm:cxn modelId="{81A972A2-3FDB-4E00-8085-30E8C4C8B793}" type="presParOf" srcId="{A471EF92-0089-4C2C-A961-3BFC038565B9}" destId="{9F35907E-84AD-4675-B07D-D90C04911EEC}" srcOrd="3" destOrd="0" presId="urn:microsoft.com/office/officeart/2005/8/layout/chevron2"/>
    <dgm:cxn modelId="{A03D5ED5-9F16-4042-B7A3-E20B8527738F}" type="presParOf" srcId="{A471EF92-0089-4C2C-A961-3BFC038565B9}" destId="{E9B8D935-58F5-4430-B896-532A26B84FEB}" srcOrd="4" destOrd="0" presId="urn:microsoft.com/office/officeart/2005/8/layout/chevron2"/>
    <dgm:cxn modelId="{23F6EC58-93DD-46B4-BCEF-EE1830F6D9C1}" type="presParOf" srcId="{E9B8D935-58F5-4430-B896-532A26B84FEB}" destId="{7E8E2E81-B372-487E-AE3D-B9A41FC03C2D}" srcOrd="0" destOrd="0" presId="urn:microsoft.com/office/officeart/2005/8/layout/chevron2"/>
    <dgm:cxn modelId="{2CA08D9C-7481-4C2C-814D-3B446F8B463A}" type="presParOf" srcId="{E9B8D935-58F5-4430-B896-532A26B84FEB}" destId="{BD94E167-1A74-4C28-8F1D-CF50A6F7B8CC}" srcOrd="1" destOrd="0" presId="urn:microsoft.com/office/officeart/2005/8/layout/chevron2"/>
    <dgm:cxn modelId="{411345B5-EA30-47CE-8430-7E3EA24A5E79}" type="presParOf" srcId="{A471EF92-0089-4C2C-A961-3BFC038565B9}" destId="{7987A30F-3AC0-44FA-9DD6-38700242E29D}" srcOrd="5" destOrd="0" presId="urn:microsoft.com/office/officeart/2005/8/layout/chevron2"/>
    <dgm:cxn modelId="{3FD34F6D-10FA-4D3D-8262-B34CDEF04529}" type="presParOf" srcId="{A471EF92-0089-4C2C-A961-3BFC038565B9}" destId="{28A5F93C-6BC4-45A5-9915-8E342462B46C}" srcOrd="6" destOrd="0" presId="urn:microsoft.com/office/officeart/2005/8/layout/chevron2"/>
    <dgm:cxn modelId="{CA05A474-1FE9-44EB-B07F-4B3B673B88E6}" type="presParOf" srcId="{28A5F93C-6BC4-45A5-9915-8E342462B46C}" destId="{C334268B-13CF-4AF6-BE4D-36C6A337FAD0}" srcOrd="0" destOrd="0" presId="urn:microsoft.com/office/officeart/2005/8/layout/chevron2"/>
    <dgm:cxn modelId="{13E0D251-95AF-4D03-91AB-C0B026C5646C}" type="presParOf" srcId="{28A5F93C-6BC4-45A5-9915-8E342462B46C}" destId="{81C86889-B220-496F-9C29-F27E623DA04C}" srcOrd="1" destOrd="0" presId="urn:microsoft.com/office/officeart/2005/8/layout/chevron2"/>
    <dgm:cxn modelId="{97776EA4-6442-47F3-9519-20FE8E83A21C}" type="presParOf" srcId="{A471EF92-0089-4C2C-A961-3BFC038565B9}" destId="{096CFC96-437A-4183-A324-39516DECCE96}" srcOrd="7" destOrd="0" presId="urn:microsoft.com/office/officeart/2005/8/layout/chevron2"/>
    <dgm:cxn modelId="{9C42B850-70E6-48B1-AA91-0BC084A2290A}" type="presParOf" srcId="{A471EF92-0089-4C2C-A961-3BFC038565B9}" destId="{AFB49B4D-ACC3-49F3-93CD-B242B56674B6}" srcOrd="8" destOrd="0" presId="urn:microsoft.com/office/officeart/2005/8/layout/chevron2"/>
    <dgm:cxn modelId="{1EBAA83C-B93A-4FFD-B373-D47DC209E580}" type="presParOf" srcId="{AFB49B4D-ACC3-49F3-93CD-B242B56674B6}" destId="{520729A9-1C47-4970-B485-ED179A6D328E}" srcOrd="0" destOrd="0" presId="urn:microsoft.com/office/officeart/2005/8/layout/chevron2"/>
    <dgm:cxn modelId="{AA8FFE61-2412-4333-8A2E-50C93AD5A849}" type="presParOf" srcId="{AFB49B4D-ACC3-49F3-93CD-B242B56674B6}" destId="{3EF0D81E-94B7-4263-8532-C417CD9E99FF}" srcOrd="1" destOrd="0" presId="urn:microsoft.com/office/officeart/2005/8/layout/chevron2"/>
    <dgm:cxn modelId="{0D3396DD-F31F-4E08-8050-69A3116FF6D0}" type="presParOf" srcId="{A471EF92-0089-4C2C-A961-3BFC038565B9}" destId="{ED1B3E09-B44F-49C9-83F8-87267AFA0C68}" srcOrd="9" destOrd="0" presId="urn:microsoft.com/office/officeart/2005/8/layout/chevron2"/>
    <dgm:cxn modelId="{28C22355-191D-4C4F-8327-B5E444783D61}" type="presParOf" srcId="{A471EF92-0089-4C2C-A961-3BFC038565B9}" destId="{352C8771-18CD-4218-9C25-6B2459A01062}" srcOrd="10" destOrd="0" presId="urn:microsoft.com/office/officeart/2005/8/layout/chevron2"/>
    <dgm:cxn modelId="{AE1015F0-1E88-455F-8438-BD2C024107C6}" type="presParOf" srcId="{352C8771-18CD-4218-9C25-6B2459A01062}" destId="{AE9748B8-2736-47E3-A005-4C8ED8F65A2B}" srcOrd="0" destOrd="0" presId="urn:microsoft.com/office/officeart/2005/8/layout/chevron2"/>
    <dgm:cxn modelId="{259600DE-5764-4FDD-8790-B4D7BDDA0BE7}" type="presParOf" srcId="{352C8771-18CD-4218-9C25-6B2459A01062}" destId="{93E4C178-4971-488E-90F9-E065A2540AA3}" srcOrd="1" destOrd="0" presId="urn:microsoft.com/office/officeart/2005/8/layout/chevron2"/>
    <dgm:cxn modelId="{A6B63EF4-2DE6-4ACA-9450-FEAA7A20BD0C}" type="presParOf" srcId="{A471EF92-0089-4C2C-A961-3BFC038565B9}" destId="{AC326FD5-A49E-456F-9D15-54C39CAE70B4}" srcOrd="11" destOrd="0" presId="urn:microsoft.com/office/officeart/2005/8/layout/chevron2"/>
    <dgm:cxn modelId="{1AAF2CCD-5C48-4D02-B6C9-5020A3766EB7}" type="presParOf" srcId="{A471EF92-0089-4C2C-A961-3BFC038565B9}" destId="{C52F9743-A8B6-4F68-80F2-620FF555276F}" srcOrd="12" destOrd="0" presId="urn:microsoft.com/office/officeart/2005/8/layout/chevron2"/>
    <dgm:cxn modelId="{E6F37C00-CD15-4B4E-82EE-3228799E2232}" type="presParOf" srcId="{C52F9743-A8B6-4F68-80F2-620FF555276F}" destId="{D98FF503-CA8D-442A-ABF9-A8B228430D4D}" srcOrd="0" destOrd="0" presId="urn:microsoft.com/office/officeart/2005/8/layout/chevron2"/>
    <dgm:cxn modelId="{A835042A-65EC-4E0F-9E85-9C5524A6962C}" type="presParOf" srcId="{C52F9743-A8B6-4F68-80F2-620FF555276F}" destId="{596651A8-09C5-4682-812F-7891D37AF21D}" srcOrd="1" destOrd="0" presId="urn:microsoft.com/office/officeart/2005/8/layout/chevron2"/>
    <dgm:cxn modelId="{4650AEF2-9C79-48FF-838A-A16E65A63FAC}" type="presParOf" srcId="{A471EF92-0089-4C2C-A961-3BFC038565B9}" destId="{8A0C94ED-86A5-425A-87EF-BF2783B2393E}" srcOrd="13" destOrd="0" presId="urn:microsoft.com/office/officeart/2005/8/layout/chevron2"/>
    <dgm:cxn modelId="{B1DFEF4B-2329-40FE-BC7F-63530C73B757}" type="presParOf" srcId="{A471EF92-0089-4C2C-A961-3BFC038565B9}" destId="{08CC169C-AC72-4DAE-82FF-D1F99EADA293}" srcOrd="14" destOrd="0" presId="urn:microsoft.com/office/officeart/2005/8/layout/chevron2"/>
    <dgm:cxn modelId="{B03EAECE-1428-4B0E-94FA-C4D9FC696C56}" type="presParOf" srcId="{08CC169C-AC72-4DAE-82FF-D1F99EADA293}" destId="{51C8A537-7C5A-4262-89F6-338B290EC87F}" srcOrd="0" destOrd="0" presId="urn:microsoft.com/office/officeart/2005/8/layout/chevron2"/>
    <dgm:cxn modelId="{6F8BE368-3136-4C8A-BB02-D0147B775BE4}" type="presParOf" srcId="{08CC169C-AC72-4DAE-82FF-D1F99EADA293}" destId="{A79DC3F1-CBC2-43C8-9800-3925CAE939F5}"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C5A65B-FEDE-4A95-8750-B64043D7CF19}">
      <dsp:nvSpPr>
        <dsp:cNvPr id="0" name=""/>
        <dsp:cNvSpPr/>
      </dsp:nvSpPr>
      <dsp:spPr>
        <a:xfrm rot="5400000">
          <a:off x="-88845" y="89253"/>
          <a:ext cx="592306" cy="4146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September/ October</a:t>
          </a:r>
        </a:p>
      </dsp:txBody>
      <dsp:txXfrm rot="-5400000">
        <a:off x="1" y="207714"/>
        <a:ext cx="414614" cy="177692"/>
      </dsp:txXfrm>
    </dsp:sp>
    <dsp:sp modelId="{B6214A9C-FC0A-40EB-9481-C1A415E38D89}">
      <dsp:nvSpPr>
        <dsp:cNvPr id="0" name=""/>
        <dsp:cNvSpPr/>
      </dsp:nvSpPr>
      <dsp:spPr>
        <a:xfrm rot="5400000">
          <a:off x="3074872" y="-2659850"/>
          <a:ext cx="384999" cy="570551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solidFill>
                <a:schemeClr val="tx1"/>
              </a:solidFill>
              <a:latin typeface="Calibri" panose="020F0502020204030204" pitchFamily="34" charset="0"/>
              <a:cs typeface="Calibri" panose="020F0502020204030204" pitchFamily="34" charset="0"/>
            </a:rPr>
            <a:t>Finance personnel calculate the budget requirements in conjunction with budget holders</a:t>
          </a:r>
          <a:endParaRPr lang="en-GB" sz="1200" kern="1200" dirty="0"/>
        </a:p>
      </dsp:txBody>
      <dsp:txXfrm rot="-5400000">
        <a:off x="414614" y="19202"/>
        <a:ext cx="5686721" cy="347411"/>
      </dsp:txXfrm>
    </dsp:sp>
    <dsp:sp modelId="{FF032F62-3E43-4B40-AC74-44D91BDC6B5E}">
      <dsp:nvSpPr>
        <dsp:cNvPr id="0" name=""/>
        <dsp:cNvSpPr/>
      </dsp:nvSpPr>
      <dsp:spPr>
        <a:xfrm rot="5400000">
          <a:off x="-88845" y="606229"/>
          <a:ext cx="592306" cy="4146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October</a:t>
          </a:r>
        </a:p>
      </dsp:txBody>
      <dsp:txXfrm rot="-5400000">
        <a:off x="1" y="724690"/>
        <a:ext cx="414614" cy="177692"/>
      </dsp:txXfrm>
    </dsp:sp>
    <dsp:sp modelId="{600CA261-7C2F-4088-8E48-39DE8129A95D}">
      <dsp:nvSpPr>
        <dsp:cNvPr id="0" name=""/>
        <dsp:cNvSpPr/>
      </dsp:nvSpPr>
      <dsp:spPr>
        <a:xfrm rot="5400000">
          <a:off x="3074872" y="-2142874"/>
          <a:ext cx="384999" cy="570551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solidFill>
                <a:schemeClr val="tx1"/>
              </a:solidFill>
              <a:latin typeface="Calibri" panose="020F0502020204030204" pitchFamily="34" charset="0"/>
              <a:cs typeface="Calibri" panose="020F0502020204030204" pitchFamily="34" charset="0"/>
            </a:rPr>
            <a:t>First level of reconciliation and scrutiny by team leader </a:t>
          </a:r>
          <a:endParaRPr lang="en-GB" sz="1200" kern="1200" dirty="0"/>
        </a:p>
      </dsp:txBody>
      <dsp:txXfrm rot="-5400000">
        <a:off x="414614" y="536178"/>
        <a:ext cx="5686721" cy="347411"/>
      </dsp:txXfrm>
    </dsp:sp>
    <dsp:sp modelId="{7E8E2E81-B372-487E-AE3D-B9A41FC03C2D}">
      <dsp:nvSpPr>
        <dsp:cNvPr id="0" name=""/>
        <dsp:cNvSpPr/>
      </dsp:nvSpPr>
      <dsp:spPr>
        <a:xfrm rot="5400000">
          <a:off x="-88845" y="1123206"/>
          <a:ext cx="592306" cy="4146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October</a:t>
          </a:r>
        </a:p>
      </dsp:txBody>
      <dsp:txXfrm rot="-5400000">
        <a:off x="1" y="1241667"/>
        <a:ext cx="414614" cy="177692"/>
      </dsp:txXfrm>
    </dsp:sp>
    <dsp:sp modelId="{BD94E167-1A74-4C28-8F1D-CF50A6F7B8CC}">
      <dsp:nvSpPr>
        <dsp:cNvPr id="0" name=""/>
        <dsp:cNvSpPr/>
      </dsp:nvSpPr>
      <dsp:spPr>
        <a:xfrm rot="5400000">
          <a:off x="3074872" y="-1625898"/>
          <a:ext cx="384999" cy="570551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solidFill>
                <a:schemeClr val="tx1"/>
              </a:solidFill>
              <a:latin typeface="Calibri" panose="020F0502020204030204" pitchFamily="34" charset="0"/>
              <a:cs typeface="Calibri" panose="020F0502020204030204" pitchFamily="34" charset="0"/>
            </a:rPr>
            <a:t>Review and Challenge by Joint Head of Finance and CC CFO</a:t>
          </a:r>
          <a:endParaRPr lang="en-GB" sz="1200" kern="1200" dirty="0"/>
        </a:p>
      </dsp:txBody>
      <dsp:txXfrm rot="-5400000">
        <a:off x="414614" y="1053154"/>
        <a:ext cx="5686721" cy="347411"/>
      </dsp:txXfrm>
    </dsp:sp>
    <dsp:sp modelId="{C334268B-13CF-4AF6-BE4D-36C6A337FAD0}">
      <dsp:nvSpPr>
        <dsp:cNvPr id="0" name=""/>
        <dsp:cNvSpPr/>
      </dsp:nvSpPr>
      <dsp:spPr>
        <a:xfrm rot="5400000">
          <a:off x="-88845" y="1640182"/>
          <a:ext cx="592306" cy="4146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October/ November</a:t>
          </a:r>
        </a:p>
      </dsp:txBody>
      <dsp:txXfrm rot="-5400000">
        <a:off x="1" y="1758643"/>
        <a:ext cx="414614" cy="177692"/>
      </dsp:txXfrm>
    </dsp:sp>
    <dsp:sp modelId="{81C86889-B220-496F-9C29-F27E623DA04C}">
      <dsp:nvSpPr>
        <dsp:cNvPr id="0" name=""/>
        <dsp:cNvSpPr/>
      </dsp:nvSpPr>
      <dsp:spPr>
        <a:xfrm rot="5400000">
          <a:off x="3074872" y="-1108922"/>
          <a:ext cx="384999" cy="570551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solidFill>
                <a:schemeClr val="tx1"/>
              </a:solidFill>
              <a:latin typeface="Calibri" panose="020F0502020204030204" pitchFamily="34" charset="0"/>
              <a:cs typeface="Calibri" panose="020F0502020204030204" pitchFamily="34" charset="0"/>
            </a:rPr>
            <a:t>Review and further challenge by PFCC CFO</a:t>
          </a:r>
          <a:endParaRPr lang="en-GB" sz="1200" kern="1200" dirty="0"/>
        </a:p>
      </dsp:txBody>
      <dsp:txXfrm rot="-5400000">
        <a:off x="414614" y="1570130"/>
        <a:ext cx="5686721" cy="347411"/>
      </dsp:txXfrm>
    </dsp:sp>
    <dsp:sp modelId="{520729A9-1C47-4970-B485-ED179A6D328E}">
      <dsp:nvSpPr>
        <dsp:cNvPr id="0" name=""/>
        <dsp:cNvSpPr/>
      </dsp:nvSpPr>
      <dsp:spPr>
        <a:xfrm rot="5400000">
          <a:off x="-88845" y="2157158"/>
          <a:ext cx="592306" cy="4146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November</a:t>
          </a:r>
        </a:p>
      </dsp:txBody>
      <dsp:txXfrm rot="-5400000">
        <a:off x="1" y="2275619"/>
        <a:ext cx="414614" cy="177692"/>
      </dsp:txXfrm>
    </dsp:sp>
    <dsp:sp modelId="{3EF0D81E-94B7-4263-8532-C417CD9E99FF}">
      <dsp:nvSpPr>
        <dsp:cNvPr id="0" name=""/>
        <dsp:cNvSpPr/>
      </dsp:nvSpPr>
      <dsp:spPr>
        <a:xfrm rot="5400000">
          <a:off x="3074872" y="-591945"/>
          <a:ext cx="384999" cy="570551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solidFill>
                <a:schemeClr val="tx1"/>
              </a:solidFill>
              <a:latin typeface="Calibri" panose="020F0502020204030204" pitchFamily="34" charset="0"/>
              <a:cs typeface="Calibri" panose="020F0502020204030204" pitchFamily="34" charset="0"/>
            </a:rPr>
            <a:t>Report and discussions with Chief Constable/Chief Fire Officer </a:t>
          </a:r>
          <a:endParaRPr lang="en-GB" sz="1200" kern="1200" dirty="0"/>
        </a:p>
      </dsp:txBody>
      <dsp:txXfrm rot="-5400000">
        <a:off x="414614" y="2087107"/>
        <a:ext cx="5686721" cy="347411"/>
      </dsp:txXfrm>
    </dsp:sp>
    <dsp:sp modelId="{AE9748B8-2736-47E3-A005-4C8ED8F65A2B}">
      <dsp:nvSpPr>
        <dsp:cNvPr id="0" name=""/>
        <dsp:cNvSpPr/>
      </dsp:nvSpPr>
      <dsp:spPr>
        <a:xfrm rot="5400000">
          <a:off x="-88845" y="2674134"/>
          <a:ext cx="592306" cy="4146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December</a:t>
          </a:r>
        </a:p>
      </dsp:txBody>
      <dsp:txXfrm rot="-5400000">
        <a:off x="1" y="2792595"/>
        <a:ext cx="414614" cy="177692"/>
      </dsp:txXfrm>
    </dsp:sp>
    <dsp:sp modelId="{93E4C178-4971-488E-90F9-E065A2540AA3}">
      <dsp:nvSpPr>
        <dsp:cNvPr id="0" name=""/>
        <dsp:cNvSpPr/>
      </dsp:nvSpPr>
      <dsp:spPr>
        <a:xfrm rot="5400000">
          <a:off x="3074872" y="-74969"/>
          <a:ext cx="384999" cy="570551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solidFill>
                <a:schemeClr val="tx1"/>
              </a:solidFill>
              <a:latin typeface="Calibri" panose="020F0502020204030204" pitchFamily="34" charset="0"/>
              <a:cs typeface="Calibri" panose="020F0502020204030204" pitchFamily="34" charset="0"/>
            </a:rPr>
            <a:t>PFCC challenge at December Accountability Board – DRAFT budget proposals</a:t>
          </a:r>
          <a:endParaRPr lang="en-GB" sz="1200" kern="1200" dirty="0"/>
        </a:p>
      </dsp:txBody>
      <dsp:txXfrm rot="-5400000">
        <a:off x="414614" y="2604083"/>
        <a:ext cx="5686721" cy="347411"/>
      </dsp:txXfrm>
    </dsp:sp>
    <dsp:sp modelId="{D98FF503-CA8D-442A-ABF9-A8B228430D4D}">
      <dsp:nvSpPr>
        <dsp:cNvPr id="0" name=""/>
        <dsp:cNvSpPr/>
      </dsp:nvSpPr>
      <dsp:spPr>
        <a:xfrm rot="5400000">
          <a:off x="-88845" y="3191110"/>
          <a:ext cx="592306" cy="4146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January</a:t>
          </a:r>
        </a:p>
      </dsp:txBody>
      <dsp:txXfrm rot="-5400000">
        <a:off x="1" y="3309571"/>
        <a:ext cx="414614" cy="177692"/>
      </dsp:txXfrm>
    </dsp:sp>
    <dsp:sp modelId="{596651A8-09C5-4682-812F-7891D37AF21D}">
      <dsp:nvSpPr>
        <dsp:cNvPr id="0" name=""/>
        <dsp:cNvSpPr/>
      </dsp:nvSpPr>
      <dsp:spPr>
        <a:xfrm rot="5400000">
          <a:off x="3074872" y="442006"/>
          <a:ext cx="384999" cy="570551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solidFill>
                <a:schemeClr val="tx1"/>
              </a:solidFill>
              <a:latin typeface="Calibri" panose="020F0502020204030204" pitchFamily="34" charset="0"/>
              <a:cs typeface="Calibri" panose="020F0502020204030204" pitchFamily="34" charset="0"/>
            </a:rPr>
            <a:t>PFCC final approval at January Accountability Board – FINAL budget proposals</a:t>
          </a:r>
          <a:endParaRPr lang="en-GB" sz="1200" kern="1200" dirty="0"/>
        </a:p>
      </dsp:txBody>
      <dsp:txXfrm rot="-5400000">
        <a:off x="414614" y="3121058"/>
        <a:ext cx="5686721" cy="347411"/>
      </dsp:txXfrm>
    </dsp:sp>
    <dsp:sp modelId="{51C8A537-7C5A-4262-89F6-338B290EC87F}">
      <dsp:nvSpPr>
        <dsp:cNvPr id="0" name=""/>
        <dsp:cNvSpPr/>
      </dsp:nvSpPr>
      <dsp:spPr>
        <a:xfrm rot="5400000">
          <a:off x="-88845" y="3708086"/>
          <a:ext cx="592306" cy="41461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February</a:t>
          </a:r>
        </a:p>
      </dsp:txBody>
      <dsp:txXfrm rot="-5400000">
        <a:off x="1" y="3826547"/>
        <a:ext cx="414614" cy="177692"/>
      </dsp:txXfrm>
    </dsp:sp>
    <dsp:sp modelId="{A79DC3F1-CBC2-43C8-9800-3925CAE939F5}">
      <dsp:nvSpPr>
        <dsp:cNvPr id="0" name=""/>
        <dsp:cNvSpPr/>
      </dsp:nvSpPr>
      <dsp:spPr>
        <a:xfrm rot="5400000">
          <a:off x="3074872" y="958982"/>
          <a:ext cx="384999" cy="570551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t>Budget Papers and Precept Proposal considered by the Panel</a:t>
          </a:r>
        </a:p>
      </dsp:txBody>
      <dsp:txXfrm rot="-5400000">
        <a:off x="414614" y="3638034"/>
        <a:ext cx="5686721" cy="34741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73A71-A630-4B0A-BAE1-DB45A3150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13450</Words>
  <Characters>76665</Characters>
  <Application>Microsoft Office Word</Application>
  <DocSecurity>4</DocSecurity>
  <Lines>638</Lines>
  <Paragraphs>179</Paragraphs>
  <ScaleCrop>false</ScaleCrop>
  <HeadingPairs>
    <vt:vector size="2" baseType="variant">
      <vt:variant>
        <vt:lpstr>Title</vt:lpstr>
      </vt:variant>
      <vt:variant>
        <vt:i4>1</vt:i4>
      </vt:variant>
    </vt:vector>
  </HeadingPairs>
  <TitlesOfParts>
    <vt:vector size="1" baseType="lpstr">
      <vt:lpstr>POLICE AND CRIME COMMISSIONER FOR LEICESTERSHIRE</vt:lpstr>
    </vt:vector>
  </TitlesOfParts>
  <Company>Leicestershire Police</Company>
  <LinksUpToDate>false</LinksUpToDate>
  <CharactersWithSpaces>89936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COMMISSIONER FOR LEICESTERSHIRE</dc:title>
  <dc:creator>Vickers Robert</dc:creator>
  <cp:lastModifiedBy>Osborne Kate</cp:lastModifiedBy>
  <cp:revision>2</cp:revision>
  <cp:lastPrinted>2024-01-29T09:50:00Z</cp:lastPrinted>
  <dcterms:created xsi:type="dcterms:W3CDTF">2024-03-07T13:30:00Z</dcterms:created>
  <dcterms:modified xsi:type="dcterms:W3CDTF">2024-03-07T13:30:00Z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Helen.King@northantspfcc.gov.uk</vt:lpwstr>
  </property>
  <property fmtid="{D5CDD505-2E9C-101B-9397-08002B2CF9AE}" pid="5" name="MSIP_Label_d9cd4a6a-7014-48d6-b119-9b8b87129a7e_SetDate">
    <vt:lpwstr>2021-01-19T14:42:00.9311210Z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