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C94D0" w14:textId="2F1CACB6" w:rsidR="005B590E" w:rsidRDefault="000D1925" w:rsidP="007120DF">
      <w:pPr>
        <w:ind w:left="851" w:hanging="851"/>
        <w:jc w:val="center"/>
        <w:rPr>
          <w:noProof/>
          <w:color w:val="1F497D"/>
          <w:lang w:eastAsia="en-GB"/>
        </w:rPr>
      </w:pPr>
      <w:r>
        <w:rPr>
          <w:noProof/>
        </w:rPr>
        <w:drawing>
          <wp:inline distT="0" distB="0" distL="0" distR="0" wp14:anchorId="4E2D6CB6" wp14:editId="7FA61168">
            <wp:extent cx="1553995" cy="1492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010" cy="1498026"/>
                    </a:xfrm>
                    <a:prstGeom prst="rect">
                      <a:avLst/>
                    </a:prstGeom>
                    <a:noFill/>
                    <a:ln>
                      <a:noFill/>
                    </a:ln>
                  </pic:spPr>
                </pic:pic>
              </a:graphicData>
            </a:graphic>
          </wp:inline>
        </w:drawing>
      </w:r>
    </w:p>
    <w:p w14:paraId="5AF5E50C" w14:textId="77777777" w:rsidR="005B590E" w:rsidRPr="00476743" w:rsidRDefault="005B590E" w:rsidP="00141D16">
      <w:pPr>
        <w:jc w:val="center"/>
        <w:rPr>
          <w:rFonts w:asciiTheme="minorHAnsi" w:hAnsiTheme="minorHAnsi" w:cstheme="minorHAnsi"/>
          <w:b/>
          <w:sz w:val="24"/>
          <w:szCs w:val="24"/>
        </w:rPr>
      </w:pPr>
      <w:r w:rsidRPr="00476743">
        <w:rPr>
          <w:rFonts w:asciiTheme="minorHAnsi" w:hAnsiTheme="minorHAnsi" w:cstheme="minorHAnsi"/>
          <w:b/>
          <w:sz w:val="24"/>
          <w:szCs w:val="24"/>
        </w:rPr>
        <w:t>NORTHAMPTONSHIRE POLICE, FIRE &amp; CRIME PANEL</w:t>
      </w:r>
    </w:p>
    <w:p w14:paraId="2660F65F" w14:textId="6C460AC2" w:rsidR="005B590E" w:rsidRPr="00476743" w:rsidRDefault="000244FF" w:rsidP="00141D16">
      <w:pPr>
        <w:jc w:val="center"/>
        <w:rPr>
          <w:rFonts w:asciiTheme="minorHAnsi" w:hAnsiTheme="minorHAnsi" w:cstheme="minorHAnsi"/>
          <w:b/>
          <w:sz w:val="24"/>
          <w:szCs w:val="24"/>
        </w:rPr>
      </w:pPr>
      <w:r>
        <w:rPr>
          <w:rFonts w:asciiTheme="minorHAnsi" w:hAnsiTheme="minorHAnsi" w:cstheme="minorHAnsi"/>
          <w:b/>
          <w:sz w:val="24"/>
          <w:szCs w:val="24"/>
        </w:rPr>
        <w:t>6</w:t>
      </w:r>
      <w:r w:rsidR="008248FE" w:rsidRPr="00476743">
        <w:rPr>
          <w:rFonts w:asciiTheme="minorHAnsi" w:hAnsiTheme="minorHAnsi" w:cstheme="minorHAnsi"/>
          <w:b/>
          <w:sz w:val="24"/>
          <w:szCs w:val="24"/>
        </w:rPr>
        <w:t xml:space="preserve"> </w:t>
      </w:r>
      <w:r w:rsidR="005B590E" w:rsidRPr="00476743">
        <w:rPr>
          <w:rFonts w:asciiTheme="minorHAnsi" w:hAnsiTheme="minorHAnsi" w:cstheme="minorHAnsi"/>
          <w:b/>
          <w:sz w:val="24"/>
          <w:szCs w:val="24"/>
        </w:rPr>
        <w:t>February 20</w:t>
      </w:r>
      <w:r w:rsidR="008F7D81" w:rsidRPr="00476743">
        <w:rPr>
          <w:rFonts w:asciiTheme="minorHAnsi" w:hAnsiTheme="minorHAnsi" w:cstheme="minorHAnsi"/>
          <w:b/>
          <w:sz w:val="24"/>
          <w:szCs w:val="24"/>
        </w:rPr>
        <w:t>2</w:t>
      </w:r>
      <w:r w:rsidR="003D5E66">
        <w:rPr>
          <w:rFonts w:asciiTheme="minorHAnsi" w:hAnsiTheme="minorHAnsi" w:cstheme="minorHAnsi"/>
          <w:b/>
          <w:sz w:val="24"/>
          <w:szCs w:val="24"/>
        </w:rPr>
        <w:t>4</w:t>
      </w:r>
    </w:p>
    <w:p w14:paraId="2D58D1E1" w14:textId="25C7C87F" w:rsidR="000D1925" w:rsidRPr="00476743" w:rsidRDefault="000D1925" w:rsidP="00141D16">
      <w:pPr>
        <w:pStyle w:val="ListParagraph"/>
        <w:ind w:left="0"/>
        <w:jc w:val="center"/>
        <w:rPr>
          <w:rFonts w:asciiTheme="minorHAnsi" w:hAnsiTheme="minorHAnsi" w:cstheme="minorHAnsi"/>
          <w:b/>
          <w:sz w:val="24"/>
          <w:szCs w:val="24"/>
        </w:rPr>
      </w:pPr>
      <w:r w:rsidRPr="00476743">
        <w:rPr>
          <w:rFonts w:asciiTheme="minorHAnsi" w:hAnsiTheme="minorHAnsi" w:cstheme="minorHAnsi"/>
          <w:b/>
          <w:sz w:val="24"/>
          <w:szCs w:val="24"/>
        </w:rPr>
        <w:t>REPORT</w:t>
      </w:r>
      <w:r w:rsidRPr="00476743">
        <w:rPr>
          <w:rFonts w:asciiTheme="minorHAnsi" w:hAnsiTheme="minorHAnsi" w:cstheme="minorHAnsi"/>
          <w:sz w:val="24"/>
          <w:szCs w:val="24"/>
        </w:rPr>
        <w:t xml:space="preserve"> </w:t>
      </w:r>
      <w:r w:rsidRPr="00476743">
        <w:rPr>
          <w:rFonts w:asciiTheme="minorHAnsi" w:hAnsiTheme="minorHAnsi" w:cstheme="minorHAnsi"/>
          <w:b/>
          <w:sz w:val="24"/>
          <w:szCs w:val="24"/>
        </w:rPr>
        <w:t>BY THE POLICE, FIRE AND CRIME COMMISSIONER (PFCC)</w:t>
      </w:r>
    </w:p>
    <w:p w14:paraId="67E5C5EB" w14:textId="362B11DB" w:rsidR="000D1925" w:rsidRPr="00476743" w:rsidRDefault="000D1925" w:rsidP="00141D16">
      <w:pPr>
        <w:pStyle w:val="ListParagraph"/>
        <w:ind w:left="0"/>
        <w:jc w:val="center"/>
        <w:rPr>
          <w:rFonts w:asciiTheme="minorHAnsi" w:hAnsiTheme="minorHAnsi" w:cstheme="minorHAnsi"/>
          <w:b/>
          <w:sz w:val="24"/>
          <w:szCs w:val="24"/>
        </w:rPr>
      </w:pPr>
      <w:r w:rsidRPr="00476743">
        <w:rPr>
          <w:rFonts w:asciiTheme="minorHAnsi" w:hAnsiTheme="minorHAnsi" w:cstheme="minorHAnsi"/>
          <w:b/>
          <w:sz w:val="24"/>
          <w:szCs w:val="24"/>
        </w:rPr>
        <w:t>AND THE CHIEF FINANCE OFFICER</w:t>
      </w:r>
    </w:p>
    <w:p w14:paraId="0085C67A" w14:textId="77777777" w:rsidR="000D1925" w:rsidRPr="00476743" w:rsidRDefault="000D1925" w:rsidP="00141D16">
      <w:pPr>
        <w:pStyle w:val="ListParagraph"/>
        <w:ind w:left="0"/>
        <w:jc w:val="center"/>
        <w:rPr>
          <w:rFonts w:asciiTheme="minorHAnsi" w:hAnsiTheme="minorHAnsi" w:cstheme="minorHAnsi"/>
          <w:b/>
          <w:sz w:val="24"/>
          <w:szCs w:val="24"/>
        </w:rPr>
      </w:pPr>
    </w:p>
    <w:p w14:paraId="74E6A641" w14:textId="76DA4B36" w:rsidR="000D1925" w:rsidRPr="00476743" w:rsidRDefault="000D1925" w:rsidP="00141D16">
      <w:pPr>
        <w:pStyle w:val="ListParagraph"/>
        <w:ind w:left="0"/>
        <w:jc w:val="center"/>
        <w:rPr>
          <w:rFonts w:asciiTheme="minorHAnsi" w:hAnsiTheme="minorHAnsi" w:cstheme="minorHAnsi"/>
          <w:b/>
          <w:sz w:val="24"/>
          <w:szCs w:val="24"/>
        </w:rPr>
      </w:pPr>
      <w:r w:rsidRPr="00476743">
        <w:rPr>
          <w:rFonts w:asciiTheme="minorHAnsi" w:hAnsiTheme="minorHAnsi" w:cstheme="minorHAnsi"/>
          <w:b/>
          <w:sz w:val="24"/>
          <w:szCs w:val="24"/>
        </w:rPr>
        <w:t xml:space="preserve">PFCC PROPOSED POLICE PRECEPT </w:t>
      </w:r>
      <w:r w:rsidR="00220144">
        <w:rPr>
          <w:rFonts w:asciiTheme="minorHAnsi" w:hAnsiTheme="minorHAnsi" w:cstheme="minorHAnsi"/>
          <w:b/>
          <w:sz w:val="24"/>
          <w:szCs w:val="24"/>
        </w:rPr>
        <w:t>202</w:t>
      </w:r>
      <w:r w:rsidR="000244FF">
        <w:rPr>
          <w:rFonts w:asciiTheme="minorHAnsi" w:hAnsiTheme="minorHAnsi" w:cstheme="minorHAnsi"/>
          <w:b/>
          <w:sz w:val="24"/>
          <w:szCs w:val="24"/>
        </w:rPr>
        <w:t>4</w:t>
      </w:r>
      <w:r w:rsidR="00220144">
        <w:rPr>
          <w:rFonts w:asciiTheme="minorHAnsi" w:hAnsiTheme="minorHAnsi" w:cstheme="minorHAnsi"/>
          <w:b/>
          <w:sz w:val="24"/>
          <w:szCs w:val="24"/>
        </w:rPr>
        <w:t>/2</w:t>
      </w:r>
      <w:r w:rsidR="000244FF">
        <w:rPr>
          <w:rFonts w:asciiTheme="minorHAnsi" w:hAnsiTheme="minorHAnsi" w:cstheme="minorHAnsi"/>
          <w:b/>
          <w:sz w:val="24"/>
          <w:szCs w:val="24"/>
        </w:rPr>
        <w:t>5</w:t>
      </w:r>
    </w:p>
    <w:p w14:paraId="198BA07C" w14:textId="77777777" w:rsidR="001D111E" w:rsidRPr="00476743" w:rsidRDefault="001D111E" w:rsidP="00476743">
      <w:pPr>
        <w:pStyle w:val="ListParagraph"/>
        <w:spacing w:after="0" w:line="240" w:lineRule="auto"/>
        <w:ind w:left="851"/>
        <w:jc w:val="both"/>
        <w:rPr>
          <w:rFonts w:asciiTheme="minorHAnsi" w:hAnsiTheme="minorHAnsi" w:cstheme="minorHAnsi"/>
          <w:b/>
          <w:sz w:val="24"/>
          <w:szCs w:val="24"/>
        </w:rPr>
      </w:pPr>
    </w:p>
    <w:p w14:paraId="4F29C630" w14:textId="51F2B56F" w:rsidR="005D2DA4" w:rsidRPr="00141D16" w:rsidRDefault="005D2DA4" w:rsidP="00141D16">
      <w:pPr>
        <w:pStyle w:val="PanelHeading"/>
      </w:pPr>
      <w:r w:rsidRPr="00476743">
        <w:t>Purpose of the Report</w:t>
      </w:r>
    </w:p>
    <w:p w14:paraId="17A855E5" w14:textId="12777E7C" w:rsidR="000D1925" w:rsidRPr="007E4515" w:rsidRDefault="005D2DA4" w:rsidP="00083DE2">
      <w:pPr>
        <w:pStyle w:val="PanelPara"/>
      </w:pPr>
      <w:r w:rsidRPr="00083DE2">
        <w:t>To</w:t>
      </w:r>
      <w:r w:rsidRPr="00EE08B9">
        <w:t xml:space="preserve"> pr</w:t>
      </w:r>
      <w:r w:rsidR="00CB25E6" w:rsidRPr="00EE08B9">
        <w:t>opose</w:t>
      </w:r>
      <w:r w:rsidRPr="00EE08B9">
        <w:t xml:space="preserve"> the </w:t>
      </w:r>
      <w:r w:rsidR="00220144" w:rsidRPr="00EE08B9">
        <w:t>202</w:t>
      </w:r>
      <w:r w:rsidR="000244FF" w:rsidRPr="00EE08B9">
        <w:t>4</w:t>
      </w:r>
      <w:r w:rsidR="00220144" w:rsidRPr="00EE08B9">
        <w:t>/2</w:t>
      </w:r>
      <w:r w:rsidR="000244FF" w:rsidRPr="00EE08B9">
        <w:t>5</w:t>
      </w:r>
      <w:r w:rsidRPr="00EE08B9">
        <w:t xml:space="preserve"> </w:t>
      </w:r>
      <w:r w:rsidR="00F57399" w:rsidRPr="00EE08B9">
        <w:t xml:space="preserve">Council Tax Precept for Northamptonshire Police. </w:t>
      </w:r>
    </w:p>
    <w:p w14:paraId="29F93284" w14:textId="77777777" w:rsidR="007E4515" w:rsidRDefault="00F57399" w:rsidP="00083DE2">
      <w:pPr>
        <w:pStyle w:val="PanelPara"/>
      </w:pPr>
      <w:r>
        <w:t xml:space="preserve">To provide information in respect of the revenue budget, capital programme, reserves and medium-term financial plan (MTFP) to provide context for the precept proposal. </w:t>
      </w:r>
    </w:p>
    <w:p w14:paraId="648BFAE0" w14:textId="4010EF63" w:rsidR="007E4515" w:rsidRPr="00141D16" w:rsidRDefault="005D2DA4" w:rsidP="00141D16">
      <w:pPr>
        <w:pStyle w:val="PanelHeading"/>
      </w:pPr>
      <w:r w:rsidRPr="007E4515">
        <w:t>Recommendation</w:t>
      </w:r>
    </w:p>
    <w:p w14:paraId="065511DB" w14:textId="77420BE4" w:rsidR="000D1925" w:rsidRPr="007E4515" w:rsidRDefault="005D2DA4" w:rsidP="00083DE2">
      <w:pPr>
        <w:pStyle w:val="PanelPara"/>
      </w:pPr>
      <w:r w:rsidRPr="00476743">
        <w:t xml:space="preserve">The </w:t>
      </w:r>
      <w:r w:rsidR="005B590E" w:rsidRPr="00476743">
        <w:t>Police Fire and Crime Panel</w:t>
      </w:r>
      <w:r w:rsidR="00184BF7" w:rsidRPr="00476743">
        <w:t xml:space="preserve"> is </w:t>
      </w:r>
      <w:r w:rsidR="00184BF7" w:rsidRPr="00476743">
        <w:rPr>
          <w:b/>
        </w:rPr>
        <w:t>RECOMMENDED</w:t>
      </w:r>
      <w:r w:rsidR="00184BF7" w:rsidRPr="00476743">
        <w:t xml:space="preserve"> </w:t>
      </w:r>
      <w:r w:rsidRPr="00476743">
        <w:t>to</w:t>
      </w:r>
      <w:r w:rsidR="008C6DF5" w:rsidRPr="00476743">
        <w:t xml:space="preserve"> endorse:</w:t>
      </w:r>
    </w:p>
    <w:p w14:paraId="6D6F3856" w14:textId="7D12C222" w:rsidR="008C6DF5" w:rsidRPr="00476743" w:rsidRDefault="008C6DF5" w:rsidP="007E4515">
      <w:pPr>
        <w:pStyle w:val="ListParagraph"/>
        <w:spacing w:after="0" w:line="240" w:lineRule="auto"/>
        <w:ind w:left="284"/>
        <w:jc w:val="both"/>
        <w:rPr>
          <w:rFonts w:asciiTheme="minorHAnsi" w:hAnsiTheme="minorHAnsi" w:cstheme="minorHAnsi"/>
          <w:b/>
          <w:bCs/>
          <w:sz w:val="24"/>
          <w:szCs w:val="24"/>
        </w:rPr>
      </w:pPr>
      <w:r w:rsidRPr="00476743">
        <w:rPr>
          <w:rFonts w:asciiTheme="minorHAnsi" w:hAnsiTheme="minorHAnsi" w:cstheme="minorHAnsi"/>
          <w:b/>
          <w:bCs/>
          <w:sz w:val="24"/>
          <w:szCs w:val="24"/>
        </w:rPr>
        <w:t xml:space="preserve">The proposal to increase the </w:t>
      </w:r>
      <w:r w:rsidR="00220144">
        <w:rPr>
          <w:rFonts w:asciiTheme="minorHAnsi" w:hAnsiTheme="minorHAnsi" w:cstheme="minorHAnsi"/>
          <w:b/>
          <w:bCs/>
          <w:sz w:val="24"/>
          <w:szCs w:val="24"/>
        </w:rPr>
        <w:t>202</w:t>
      </w:r>
      <w:r w:rsidR="000244FF">
        <w:rPr>
          <w:rFonts w:asciiTheme="minorHAnsi" w:hAnsiTheme="minorHAnsi" w:cstheme="minorHAnsi"/>
          <w:b/>
          <w:bCs/>
          <w:sz w:val="24"/>
          <w:szCs w:val="24"/>
        </w:rPr>
        <w:t>4</w:t>
      </w:r>
      <w:r w:rsidR="00220144">
        <w:rPr>
          <w:rFonts w:asciiTheme="minorHAnsi" w:hAnsiTheme="minorHAnsi" w:cstheme="minorHAnsi"/>
          <w:b/>
          <w:bCs/>
          <w:sz w:val="24"/>
          <w:szCs w:val="24"/>
        </w:rPr>
        <w:t>/2</w:t>
      </w:r>
      <w:r w:rsidR="000244FF">
        <w:rPr>
          <w:rFonts w:asciiTheme="minorHAnsi" w:hAnsiTheme="minorHAnsi" w:cstheme="minorHAnsi"/>
          <w:b/>
          <w:bCs/>
          <w:sz w:val="24"/>
          <w:szCs w:val="24"/>
        </w:rPr>
        <w:t>5</w:t>
      </w:r>
      <w:r w:rsidR="005B590E" w:rsidRPr="00476743">
        <w:rPr>
          <w:rFonts w:asciiTheme="minorHAnsi" w:hAnsiTheme="minorHAnsi" w:cstheme="minorHAnsi"/>
          <w:b/>
          <w:bCs/>
          <w:sz w:val="24"/>
          <w:szCs w:val="24"/>
        </w:rPr>
        <w:t xml:space="preserve"> Police</w:t>
      </w:r>
      <w:r w:rsidRPr="00476743">
        <w:rPr>
          <w:rFonts w:asciiTheme="minorHAnsi" w:hAnsiTheme="minorHAnsi" w:cstheme="minorHAnsi"/>
          <w:b/>
          <w:bCs/>
          <w:sz w:val="24"/>
          <w:szCs w:val="24"/>
        </w:rPr>
        <w:t xml:space="preserve"> Precept by £</w:t>
      </w:r>
      <w:r w:rsidR="00536C53" w:rsidRPr="00476743">
        <w:rPr>
          <w:rFonts w:asciiTheme="minorHAnsi" w:hAnsiTheme="minorHAnsi" w:cstheme="minorHAnsi"/>
          <w:b/>
          <w:bCs/>
          <w:sz w:val="24"/>
          <w:szCs w:val="24"/>
        </w:rPr>
        <w:t>1</w:t>
      </w:r>
      <w:r w:rsidR="000244FF">
        <w:rPr>
          <w:rFonts w:asciiTheme="minorHAnsi" w:hAnsiTheme="minorHAnsi" w:cstheme="minorHAnsi"/>
          <w:b/>
          <w:bCs/>
          <w:sz w:val="24"/>
          <w:szCs w:val="24"/>
        </w:rPr>
        <w:t>3</w:t>
      </w:r>
      <w:r w:rsidRPr="00476743">
        <w:rPr>
          <w:rFonts w:asciiTheme="minorHAnsi" w:hAnsiTheme="minorHAnsi" w:cstheme="minorHAnsi"/>
          <w:b/>
          <w:bCs/>
          <w:sz w:val="24"/>
          <w:szCs w:val="24"/>
        </w:rPr>
        <w:t xml:space="preserve"> per annum for Band D Council Tax to £</w:t>
      </w:r>
      <w:r w:rsidR="000244FF">
        <w:rPr>
          <w:rFonts w:asciiTheme="minorHAnsi" w:hAnsiTheme="minorHAnsi" w:cstheme="minorHAnsi"/>
          <w:b/>
          <w:bCs/>
          <w:sz w:val="24"/>
          <w:szCs w:val="24"/>
        </w:rPr>
        <w:t>306</w:t>
      </w:r>
      <w:r w:rsidR="00220144">
        <w:rPr>
          <w:rFonts w:asciiTheme="minorHAnsi" w:hAnsiTheme="minorHAnsi" w:cstheme="minorHAnsi"/>
          <w:b/>
          <w:bCs/>
          <w:sz w:val="24"/>
          <w:szCs w:val="24"/>
        </w:rPr>
        <w:t>.04</w:t>
      </w:r>
      <w:r w:rsidRPr="00476743">
        <w:rPr>
          <w:rFonts w:asciiTheme="minorHAnsi" w:hAnsiTheme="minorHAnsi" w:cstheme="minorHAnsi"/>
          <w:b/>
          <w:bCs/>
          <w:sz w:val="24"/>
          <w:szCs w:val="24"/>
        </w:rPr>
        <w:t xml:space="preserve"> (from £2</w:t>
      </w:r>
      <w:r w:rsidR="000244FF">
        <w:rPr>
          <w:rFonts w:asciiTheme="minorHAnsi" w:hAnsiTheme="minorHAnsi" w:cstheme="minorHAnsi"/>
          <w:b/>
          <w:bCs/>
          <w:sz w:val="24"/>
          <w:szCs w:val="24"/>
        </w:rPr>
        <w:t>93.04</w:t>
      </w:r>
      <w:r w:rsidRPr="00476743">
        <w:rPr>
          <w:rFonts w:asciiTheme="minorHAnsi" w:hAnsiTheme="minorHAnsi" w:cstheme="minorHAnsi"/>
          <w:b/>
          <w:bCs/>
          <w:sz w:val="24"/>
          <w:szCs w:val="24"/>
        </w:rPr>
        <w:t xml:space="preserve"> in </w:t>
      </w:r>
      <w:r w:rsidR="00220144">
        <w:rPr>
          <w:rFonts w:asciiTheme="minorHAnsi" w:hAnsiTheme="minorHAnsi" w:cstheme="minorHAnsi"/>
          <w:b/>
          <w:bCs/>
          <w:sz w:val="24"/>
          <w:szCs w:val="24"/>
        </w:rPr>
        <w:t>202</w:t>
      </w:r>
      <w:r w:rsidR="000244FF">
        <w:rPr>
          <w:rFonts w:asciiTheme="minorHAnsi" w:hAnsiTheme="minorHAnsi" w:cstheme="minorHAnsi"/>
          <w:b/>
          <w:bCs/>
          <w:sz w:val="24"/>
          <w:szCs w:val="24"/>
        </w:rPr>
        <w:t>3</w:t>
      </w:r>
      <w:r w:rsidR="00220144">
        <w:rPr>
          <w:rFonts w:asciiTheme="minorHAnsi" w:hAnsiTheme="minorHAnsi" w:cstheme="minorHAnsi"/>
          <w:b/>
          <w:bCs/>
          <w:sz w:val="24"/>
          <w:szCs w:val="24"/>
        </w:rPr>
        <w:t>/2</w:t>
      </w:r>
      <w:r w:rsidR="000244FF">
        <w:rPr>
          <w:rFonts w:asciiTheme="minorHAnsi" w:hAnsiTheme="minorHAnsi" w:cstheme="minorHAnsi"/>
          <w:b/>
          <w:bCs/>
          <w:sz w:val="24"/>
          <w:szCs w:val="24"/>
        </w:rPr>
        <w:t>4</w:t>
      </w:r>
      <w:r w:rsidRPr="00476743">
        <w:rPr>
          <w:rFonts w:asciiTheme="minorHAnsi" w:hAnsiTheme="minorHAnsi" w:cstheme="minorHAnsi"/>
          <w:b/>
          <w:bCs/>
          <w:sz w:val="24"/>
          <w:szCs w:val="24"/>
        </w:rPr>
        <w:t>)</w:t>
      </w:r>
      <w:r w:rsidR="00C536DE">
        <w:rPr>
          <w:rFonts w:asciiTheme="minorHAnsi" w:hAnsiTheme="minorHAnsi" w:cstheme="minorHAnsi"/>
          <w:b/>
          <w:bCs/>
          <w:sz w:val="24"/>
          <w:szCs w:val="24"/>
        </w:rPr>
        <w:t xml:space="preserve">. </w:t>
      </w:r>
      <w:r w:rsidR="006E295B">
        <w:rPr>
          <w:rFonts w:asciiTheme="minorHAnsi" w:hAnsiTheme="minorHAnsi" w:cstheme="minorHAnsi"/>
          <w:b/>
          <w:bCs/>
          <w:sz w:val="24"/>
          <w:szCs w:val="24"/>
        </w:rPr>
        <w:t xml:space="preserve"> </w:t>
      </w:r>
      <w:r w:rsidR="00C536DE">
        <w:rPr>
          <w:rFonts w:asciiTheme="minorHAnsi" w:hAnsiTheme="minorHAnsi" w:cstheme="minorHAnsi"/>
          <w:b/>
          <w:bCs/>
          <w:sz w:val="24"/>
          <w:szCs w:val="24"/>
        </w:rPr>
        <w:t xml:space="preserve">This equates to an </w:t>
      </w:r>
      <w:r w:rsidR="00C536DE" w:rsidRPr="00083DE2">
        <w:rPr>
          <w:rFonts w:asciiTheme="minorHAnsi" w:hAnsiTheme="minorHAnsi" w:cstheme="minorHAnsi"/>
          <w:b/>
          <w:bCs/>
          <w:sz w:val="24"/>
          <w:szCs w:val="24"/>
        </w:rPr>
        <w:t xml:space="preserve">increase of </w:t>
      </w:r>
      <w:r w:rsidR="00220144" w:rsidRPr="00083DE2">
        <w:rPr>
          <w:rFonts w:asciiTheme="minorHAnsi" w:hAnsiTheme="minorHAnsi" w:cstheme="minorHAnsi"/>
          <w:b/>
          <w:bCs/>
          <w:sz w:val="24"/>
          <w:szCs w:val="24"/>
        </w:rPr>
        <w:t>2</w:t>
      </w:r>
      <w:r w:rsidR="00083DE2" w:rsidRPr="00083DE2">
        <w:rPr>
          <w:rFonts w:asciiTheme="minorHAnsi" w:hAnsiTheme="minorHAnsi" w:cstheme="minorHAnsi"/>
          <w:b/>
          <w:bCs/>
          <w:sz w:val="24"/>
          <w:szCs w:val="24"/>
        </w:rPr>
        <w:t>5</w:t>
      </w:r>
      <w:r w:rsidR="00476743" w:rsidRPr="00083DE2">
        <w:rPr>
          <w:rFonts w:asciiTheme="minorHAnsi" w:hAnsiTheme="minorHAnsi" w:cstheme="minorHAnsi"/>
          <w:b/>
          <w:bCs/>
          <w:sz w:val="24"/>
          <w:szCs w:val="24"/>
        </w:rPr>
        <w:t xml:space="preserve"> pence</w:t>
      </w:r>
      <w:r w:rsidR="00476743">
        <w:rPr>
          <w:rFonts w:asciiTheme="minorHAnsi" w:hAnsiTheme="minorHAnsi" w:cstheme="minorHAnsi"/>
          <w:b/>
          <w:bCs/>
          <w:sz w:val="24"/>
          <w:szCs w:val="24"/>
        </w:rPr>
        <w:t xml:space="preserve"> per week</w:t>
      </w:r>
      <w:r w:rsidR="00C536DE">
        <w:rPr>
          <w:rFonts w:asciiTheme="minorHAnsi" w:hAnsiTheme="minorHAnsi" w:cstheme="minorHAnsi"/>
          <w:b/>
          <w:bCs/>
          <w:sz w:val="24"/>
          <w:szCs w:val="24"/>
        </w:rPr>
        <w:t>.</w:t>
      </w:r>
    </w:p>
    <w:p w14:paraId="438B39F3" w14:textId="77777777" w:rsidR="000D1925" w:rsidRPr="00476743" w:rsidRDefault="000D1925" w:rsidP="00476743">
      <w:pPr>
        <w:pStyle w:val="ListParagraph"/>
        <w:spacing w:after="0" w:line="240" w:lineRule="auto"/>
        <w:ind w:left="851"/>
        <w:jc w:val="both"/>
        <w:rPr>
          <w:rFonts w:asciiTheme="minorHAnsi" w:hAnsiTheme="minorHAnsi" w:cstheme="minorHAnsi"/>
          <w:sz w:val="24"/>
          <w:szCs w:val="24"/>
        </w:rPr>
      </w:pPr>
    </w:p>
    <w:p w14:paraId="562750D0" w14:textId="77FC25C0" w:rsidR="00083DE2" w:rsidRDefault="008C6DF5" w:rsidP="00083DE2">
      <w:pPr>
        <w:pStyle w:val="PanelPara"/>
      </w:pPr>
      <w:r w:rsidRPr="00476743">
        <w:t xml:space="preserve">Note </w:t>
      </w:r>
      <w:r w:rsidR="005D2DA4" w:rsidRPr="007E4515">
        <w:t>the</w:t>
      </w:r>
      <w:r w:rsidR="005D2DA4" w:rsidRPr="00476743">
        <w:t xml:space="preserve"> information presented in this report, including</w:t>
      </w:r>
      <w:r w:rsidR="00062F65" w:rsidRPr="00476743">
        <w:t>:</w:t>
      </w:r>
    </w:p>
    <w:p w14:paraId="5C3A538E" w14:textId="7DFAACB8" w:rsidR="00184BF7" w:rsidRDefault="00184BF7" w:rsidP="001722C3">
      <w:pPr>
        <w:pStyle w:val="PanelPara"/>
        <w:numPr>
          <w:ilvl w:val="1"/>
          <w:numId w:val="31"/>
        </w:numPr>
      </w:pPr>
      <w:r w:rsidRPr="007E4515">
        <w:t xml:space="preserve">The </w:t>
      </w:r>
      <w:r w:rsidR="00A51E08" w:rsidRPr="007E4515">
        <w:t xml:space="preserve">statement </w:t>
      </w:r>
      <w:r w:rsidRPr="007E4515">
        <w:t xml:space="preserve">of the </w:t>
      </w:r>
      <w:r w:rsidR="008A0CC5" w:rsidRPr="007E4515">
        <w:t xml:space="preserve">Section 151, </w:t>
      </w:r>
      <w:r w:rsidRPr="007E4515">
        <w:t xml:space="preserve">Chief Finance Officer as required by </w:t>
      </w:r>
      <w:r w:rsidR="008A0CC5" w:rsidRPr="007E4515">
        <w:t>S</w:t>
      </w:r>
      <w:r w:rsidRPr="007E4515">
        <w:t xml:space="preserve">ection 25 of the Local Government Act 2003 regarding the robustness of the </w:t>
      </w:r>
      <w:r w:rsidR="00D52E21">
        <w:t>b</w:t>
      </w:r>
      <w:r w:rsidRPr="007E4515">
        <w:t xml:space="preserve">udget, the </w:t>
      </w:r>
      <w:r w:rsidR="00D52E21">
        <w:t>m</w:t>
      </w:r>
      <w:r w:rsidR="009B0583" w:rsidRPr="007E4515">
        <w:t>edium-</w:t>
      </w:r>
      <w:r w:rsidR="00D52E21">
        <w:t>t</w:t>
      </w:r>
      <w:r w:rsidR="009B0583" w:rsidRPr="007E4515">
        <w:t xml:space="preserve">erm </w:t>
      </w:r>
      <w:r w:rsidR="00D52E21">
        <w:t>f</w:t>
      </w:r>
      <w:r w:rsidR="009B0583" w:rsidRPr="007E4515">
        <w:t xml:space="preserve">inancial </w:t>
      </w:r>
      <w:r w:rsidR="00D52E21">
        <w:t>p</w:t>
      </w:r>
      <w:r w:rsidR="009B0583" w:rsidRPr="007E4515">
        <w:t xml:space="preserve">lan </w:t>
      </w:r>
      <w:r w:rsidRPr="007E4515">
        <w:t>and the adequacy of financial reserves</w:t>
      </w:r>
      <w:r w:rsidR="000D1925" w:rsidRPr="007E4515">
        <w:t xml:space="preserve"> (</w:t>
      </w:r>
      <w:r w:rsidR="000D1925" w:rsidRPr="00640ACC">
        <w:t>Appendix C).</w:t>
      </w:r>
    </w:p>
    <w:p w14:paraId="78EE07D1" w14:textId="75BE9505" w:rsidR="007E4515" w:rsidRDefault="00F57399" w:rsidP="001722C3">
      <w:pPr>
        <w:pStyle w:val="PanelPara"/>
        <w:numPr>
          <w:ilvl w:val="1"/>
          <w:numId w:val="31"/>
        </w:numPr>
      </w:pPr>
      <w:r w:rsidRPr="007E4515">
        <w:t>A £1</w:t>
      </w:r>
      <w:r w:rsidR="000244FF" w:rsidRPr="007E4515">
        <w:t>3</w:t>
      </w:r>
      <w:r w:rsidRPr="007E4515">
        <w:t xml:space="preserve"> precept increase gives a total 202</w:t>
      </w:r>
      <w:r w:rsidR="000244FF" w:rsidRPr="007E4515">
        <w:t>4</w:t>
      </w:r>
      <w:r w:rsidRPr="007E4515">
        <w:t>/2</w:t>
      </w:r>
      <w:r w:rsidR="000244FF" w:rsidRPr="007E4515">
        <w:t>5</w:t>
      </w:r>
      <w:r w:rsidRPr="007E4515">
        <w:t xml:space="preserve"> net budget </w:t>
      </w:r>
      <w:r w:rsidR="00696821">
        <w:t>envelope</w:t>
      </w:r>
      <w:r w:rsidRPr="00DD0250">
        <w:t xml:space="preserve"> of </w:t>
      </w:r>
      <w:r w:rsidR="005D2DA4" w:rsidRPr="00DD0250">
        <w:rPr>
          <w:b/>
        </w:rPr>
        <w:t>£</w:t>
      </w:r>
      <w:r w:rsidR="000D1925" w:rsidRPr="00DD0250">
        <w:rPr>
          <w:b/>
        </w:rPr>
        <w:t>1</w:t>
      </w:r>
      <w:r w:rsidR="00DD0250" w:rsidRPr="00DD0250">
        <w:rPr>
          <w:b/>
        </w:rPr>
        <w:t>82.9</w:t>
      </w:r>
      <w:r w:rsidR="002827D8">
        <w:rPr>
          <w:b/>
        </w:rPr>
        <w:t>68</w:t>
      </w:r>
      <w:r w:rsidR="008A64C8" w:rsidRPr="00DD0250">
        <w:rPr>
          <w:b/>
        </w:rPr>
        <w:t>m</w:t>
      </w:r>
      <w:r w:rsidR="0083163E" w:rsidRPr="007E4515">
        <w:t xml:space="preserve">, </w:t>
      </w:r>
      <w:r w:rsidR="00657BE8">
        <w:t>taking into account</w:t>
      </w:r>
      <w:r w:rsidR="00E07C2B" w:rsidRPr="007E4515">
        <w:t>:</w:t>
      </w:r>
    </w:p>
    <w:p w14:paraId="72D1315E" w14:textId="50B30025" w:rsidR="00083DE2" w:rsidRPr="00DD0250" w:rsidRDefault="00C36B7A" w:rsidP="001722C3">
      <w:pPr>
        <w:pStyle w:val="PanelPara"/>
        <w:numPr>
          <w:ilvl w:val="2"/>
          <w:numId w:val="31"/>
        </w:numPr>
      </w:pPr>
      <w:r w:rsidRPr="007E4515">
        <w:t>T</w:t>
      </w:r>
      <w:r w:rsidR="00492E61" w:rsidRPr="007E4515">
        <w:t xml:space="preserve">he intention of the </w:t>
      </w:r>
      <w:r w:rsidR="005B590E" w:rsidRPr="007E4515">
        <w:t>PFCC</w:t>
      </w:r>
      <w:r w:rsidR="00492E61" w:rsidRPr="007E4515">
        <w:t xml:space="preserve"> to set </w:t>
      </w:r>
      <w:r w:rsidR="00F57399" w:rsidRPr="007E4515">
        <w:t xml:space="preserve">the Band D </w:t>
      </w:r>
      <w:r w:rsidR="00492E61" w:rsidRPr="007E4515">
        <w:t xml:space="preserve">Council Tax Precept </w:t>
      </w:r>
      <w:r w:rsidR="00696821">
        <w:t>which provides</w:t>
      </w:r>
      <w:r w:rsidR="00492E61" w:rsidRPr="007E4515">
        <w:t xml:space="preserve"> </w:t>
      </w:r>
      <w:r w:rsidR="00696821" w:rsidRPr="00DD0250">
        <w:rPr>
          <w:b/>
        </w:rPr>
        <w:t>£79.115m</w:t>
      </w:r>
      <w:r w:rsidR="00696821" w:rsidRPr="007E4515">
        <w:t xml:space="preserve"> </w:t>
      </w:r>
      <w:r w:rsidR="005D2DA4" w:rsidRPr="007E4515">
        <w:t xml:space="preserve">for </w:t>
      </w:r>
      <w:r w:rsidR="00F57399" w:rsidRPr="007E4515">
        <w:t xml:space="preserve">Northamptonshire Police </w:t>
      </w:r>
      <w:r w:rsidR="00696821">
        <w:t>in</w:t>
      </w:r>
      <w:r w:rsidR="00F57399" w:rsidRPr="007E4515">
        <w:t xml:space="preserve"> 202</w:t>
      </w:r>
      <w:r w:rsidR="000244FF" w:rsidRPr="007E4515">
        <w:t>4</w:t>
      </w:r>
      <w:r w:rsidR="00F57399" w:rsidRPr="007E4515">
        <w:t>/</w:t>
      </w:r>
      <w:r w:rsidR="00F57399" w:rsidRPr="00DD0250">
        <w:t>2</w:t>
      </w:r>
      <w:r w:rsidR="000244FF" w:rsidRPr="00DD0250">
        <w:t>5</w:t>
      </w:r>
      <w:r w:rsidR="00696821">
        <w:t>.</w:t>
      </w:r>
    </w:p>
    <w:p w14:paraId="540BDB4A" w14:textId="77777777" w:rsidR="00083DE2" w:rsidRDefault="008C6DF5" w:rsidP="001722C3">
      <w:pPr>
        <w:pStyle w:val="PanelPara"/>
        <w:numPr>
          <w:ilvl w:val="2"/>
          <w:numId w:val="31"/>
        </w:numPr>
      </w:pPr>
      <w:r w:rsidRPr="00083DE2">
        <w:lastRenderedPageBreak/>
        <w:t>T</w:t>
      </w:r>
      <w:r w:rsidR="005D2DA4" w:rsidRPr="00083DE2">
        <w:t xml:space="preserve">he </w:t>
      </w:r>
      <w:r w:rsidR="00F57399" w:rsidRPr="00083DE2">
        <w:t xml:space="preserve">current and </w:t>
      </w:r>
      <w:r w:rsidR="00080E5A" w:rsidRPr="00083DE2">
        <w:t>future risks, challenges</w:t>
      </w:r>
      <w:r w:rsidR="008A64C8" w:rsidRPr="00083DE2">
        <w:t>,</w:t>
      </w:r>
      <w:r w:rsidR="00080E5A" w:rsidRPr="00083DE2">
        <w:t xml:space="preserve"> uncertainties and opportunities </w:t>
      </w:r>
      <w:r w:rsidR="005D2DA4" w:rsidRPr="00083DE2">
        <w:t>i</w:t>
      </w:r>
      <w:r w:rsidR="00080E5A" w:rsidRPr="00083DE2">
        <w:t>ncluded in the precept proposal, together with the financial and operational mitigations and addit</w:t>
      </w:r>
      <w:r w:rsidR="00725432" w:rsidRPr="00083DE2">
        <w:t>ional considerations identified</w:t>
      </w:r>
      <w:r w:rsidR="00083DE2">
        <w:t>.</w:t>
      </w:r>
    </w:p>
    <w:p w14:paraId="53A52E19" w14:textId="77777777" w:rsidR="00083DE2" w:rsidRDefault="008C6DF5" w:rsidP="001722C3">
      <w:pPr>
        <w:pStyle w:val="PanelPara"/>
        <w:numPr>
          <w:ilvl w:val="2"/>
          <w:numId w:val="31"/>
        </w:numPr>
      </w:pPr>
      <w:r w:rsidRPr="00083DE2">
        <w:t>T</w:t>
      </w:r>
      <w:r w:rsidR="005D2DA4" w:rsidRPr="00083DE2">
        <w:t>hat any changes required</w:t>
      </w:r>
      <w:r w:rsidR="0083163E" w:rsidRPr="00083DE2">
        <w:t>,</w:t>
      </w:r>
      <w:r w:rsidR="00BB23D8" w:rsidRPr="00083DE2">
        <w:t xml:space="preserve"> </w:t>
      </w:r>
      <w:r w:rsidR="005D2DA4" w:rsidRPr="00083DE2">
        <w:t xml:space="preserve">either by Government grant alterations </w:t>
      </w:r>
      <w:r w:rsidR="00F57399" w:rsidRPr="00083DE2">
        <w:t xml:space="preserve">notified through the final settlement, </w:t>
      </w:r>
      <w:r w:rsidR="00F80F47" w:rsidRPr="00083DE2">
        <w:t xml:space="preserve">amended </w:t>
      </w:r>
      <w:r w:rsidR="005D2DA4" w:rsidRPr="00083DE2">
        <w:t xml:space="preserve">council tax base and surplus/deficit notifications received from the collecting authorities, </w:t>
      </w:r>
      <w:r w:rsidR="00F57399" w:rsidRPr="00083DE2">
        <w:t xml:space="preserve">after the precept has been set, </w:t>
      </w:r>
      <w:r w:rsidR="00F80F47" w:rsidRPr="00083DE2">
        <w:t xml:space="preserve">may </w:t>
      </w:r>
      <w:r w:rsidR="005D2DA4" w:rsidRPr="00083DE2">
        <w:t xml:space="preserve">be balanced </w:t>
      </w:r>
      <w:r w:rsidR="004837A4" w:rsidRPr="00083DE2">
        <w:t xml:space="preserve">either through </w:t>
      </w:r>
      <w:r w:rsidR="009F08C6" w:rsidRPr="00083DE2">
        <w:t xml:space="preserve">efficiency savings </w:t>
      </w:r>
      <w:r w:rsidR="004837A4" w:rsidRPr="00083DE2">
        <w:t xml:space="preserve">or </w:t>
      </w:r>
      <w:r w:rsidR="005D2DA4" w:rsidRPr="00083DE2">
        <w:t>through a transfer to</w:t>
      </w:r>
      <w:r w:rsidR="00184BF7" w:rsidRPr="00083DE2">
        <w:t xml:space="preserve"> or from </w:t>
      </w:r>
      <w:r w:rsidR="00F57399" w:rsidRPr="00083DE2">
        <w:t>r</w:t>
      </w:r>
      <w:r w:rsidR="005D2DA4" w:rsidRPr="00083DE2">
        <w:t>eserve</w:t>
      </w:r>
      <w:r w:rsidR="00725432" w:rsidRPr="00083DE2">
        <w:t>s.</w:t>
      </w:r>
    </w:p>
    <w:p w14:paraId="062CD0B8" w14:textId="77777777" w:rsidR="00083DE2" w:rsidRDefault="008C6DF5" w:rsidP="001722C3">
      <w:pPr>
        <w:pStyle w:val="PanelPara"/>
        <w:numPr>
          <w:ilvl w:val="2"/>
          <w:numId w:val="31"/>
        </w:numPr>
      </w:pPr>
      <w:r w:rsidRPr="00083DE2">
        <w:t>T</w:t>
      </w:r>
      <w:r w:rsidR="005D2DA4" w:rsidRPr="00083DE2">
        <w:t xml:space="preserve">he </w:t>
      </w:r>
      <w:r w:rsidR="00080E5A" w:rsidRPr="00083DE2">
        <w:t>current MTF</w:t>
      </w:r>
      <w:r w:rsidR="00876802" w:rsidRPr="00083DE2">
        <w:t>P</w:t>
      </w:r>
      <w:r w:rsidR="00C36B7A" w:rsidRPr="00083DE2">
        <w:t xml:space="preserve"> and </w:t>
      </w:r>
      <w:r w:rsidR="005D2DA4" w:rsidRPr="00083DE2">
        <w:t>the</w:t>
      </w:r>
      <w:r w:rsidR="00F80F47" w:rsidRPr="00083DE2">
        <w:t xml:space="preserve"> anticipated </w:t>
      </w:r>
      <w:r w:rsidR="005D2DA4" w:rsidRPr="00083DE2">
        <w:t xml:space="preserve">savings </w:t>
      </w:r>
      <w:r w:rsidR="00C36B7A" w:rsidRPr="00083DE2">
        <w:t>required</w:t>
      </w:r>
      <w:r w:rsidR="00725432" w:rsidRPr="00083DE2">
        <w:t>.</w:t>
      </w:r>
    </w:p>
    <w:p w14:paraId="062BDA0E" w14:textId="3F11C1F0" w:rsidR="00083DE2" w:rsidRPr="009B0902" w:rsidRDefault="008C6DF5" w:rsidP="009B0902">
      <w:pPr>
        <w:pStyle w:val="PanelPara"/>
        <w:numPr>
          <w:ilvl w:val="2"/>
          <w:numId w:val="31"/>
        </w:numPr>
      </w:pPr>
      <w:r w:rsidRPr="00083DE2">
        <w:t>T</w:t>
      </w:r>
      <w:r w:rsidR="00876802" w:rsidRPr="00083DE2">
        <w:t xml:space="preserve">he </w:t>
      </w:r>
      <w:r w:rsidR="009023A4" w:rsidRPr="00083DE2">
        <w:t>c</w:t>
      </w:r>
      <w:r w:rsidR="00876802" w:rsidRPr="00083DE2">
        <w:t xml:space="preserve">apital </w:t>
      </w:r>
      <w:r w:rsidR="009023A4" w:rsidRPr="00083DE2">
        <w:t>p</w:t>
      </w:r>
      <w:r w:rsidR="00876802" w:rsidRPr="00083DE2">
        <w:t>rogramme</w:t>
      </w:r>
      <w:r w:rsidR="009023A4" w:rsidRPr="00083DE2">
        <w:t xml:space="preserve"> and reserves strategy.</w:t>
      </w:r>
    </w:p>
    <w:p w14:paraId="54C05C64" w14:textId="68BB90B0" w:rsidR="003B2C75" w:rsidRPr="009B0902" w:rsidRDefault="003B2C75" w:rsidP="009B0902">
      <w:pPr>
        <w:pStyle w:val="PanelHeading"/>
      </w:pPr>
      <w:r w:rsidRPr="00476743">
        <w:t>Executive Summary</w:t>
      </w:r>
    </w:p>
    <w:p w14:paraId="4CB6B173" w14:textId="18DE92F4" w:rsidR="003B2C75" w:rsidRPr="00083DE2" w:rsidRDefault="003B2C75" w:rsidP="00083DE2">
      <w:pPr>
        <w:pStyle w:val="PanelPara"/>
      </w:pPr>
      <w:r w:rsidRPr="00476743">
        <w:t>This report</w:t>
      </w:r>
      <w:r w:rsidR="0031016E" w:rsidRPr="00476743">
        <w:t xml:space="preserve"> and proposal</w:t>
      </w:r>
      <w:r w:rsidRPr="00476743">
        <w:t xml:space="preserve"> </w:t>
      </w:r>
      <w:r w:rsidR="00770645" w:rsidRPr="00476743">
        <w:t>are</w:t>
      </w:r>
      <w:r w:rsidRPr="00476743">
        <w:t xml:space="preserve"> the culmination of several months’ work </w:t>
      </w:r>
      <w:r w:rsidR="008A64C8" w:rsidRPr="00476743">
        <w:t>by</w:t>
      </w:r>
      <w:r w:rsidR="007A67E5" w:rsidRPr="00476743">
        <w:t xml:space="preserve"> the Office of the Police</w:t>
      </w:r>
      <w:r w:rsidR="0073566D">
        <w:t>,</w:t>
      </w:r>
      <w:r w:rsidR="007A67E5" w:rsidRPr="00476743">
        <w:t xml:space="preserve"> </w:t>
      </w:r>
      <w:r w:rsidR="0073566D">
        <w:t xml:space="preserve">Fire </w:t>
      </w:r>
      <w:r w:rsidR="007A67E5" w:rsidRPr="00476743">
        <w:t>and Crime Commissioner (O</w:t>
      </w:r>
      <w:r w:rsidR="005B590E" w:rsidRPr="00476743">
        <w:t>PFCC</w:t>
      </w:r>
      <w:r w:rsidR="007A67E5" w:rsidRPr="00476743">
        <w:t>)</w:t>
      </w:r>
      <w:r w:rsidRPr="00476743">
        <w:t xml:space="preserve">, </w:t>
      </w:r>
      <w:r w:rsidR="0073566D">
        <w:t xml:space="preserve">the Joint Finance Team and the Chief Constable. </w:t>
      </w:r>
      <w:r w:rsidR="000244FF">
        <w:t xml:space="preserve"> </w:t>
      </w:r>
      <w:r w:rsidR="0073566D">
        <w:t xml:space="preserve">It also includes information provided by the two unitary authorities and takes account of public </w:t>
      </w:r>
      <w:r w:rsidR="00F80F47" w:rsidRPr="00476743">
        <w:t xml:space="preserve">and stakeholder consultation and </w:t>
      </w:r>
      <w:r w:rsidRPr="00476743">
        <w:t xml:space="preserve">key government </w:t>
      </w:r>
      <w:r w:rsidR="0073566D">
        <w:t>expectations</w:t>
      </w:r>
      <w:r w:rsidRPr="00476743">
        <w:t xml:space="preserve">. </w:t>
      </w:r>
    </w:p>
    <w:p w14:paraId="1A9B330D" w14:textId="0C2D0378" w:rsidR="003B2C75" w:rsidRPr="006B0AD8" w:rsidRDefault="00770645" w:rsidP="001722C3">
      <w:pPr>
        <w:pStyle w:val="PanelPara"/>
      </w:pPr>
      <w:r>
        <w:t>T</w:t>
      </w:r>
      <w:r w:rsidR="009E6BBB" w:rsidRPr="00476743">
        <w:t xml:space="preserve">he </w:t>
      </w:r>
      <w:r w:rsidR="005B590E" w:rsidRPr="00476743">
        <w:t>PFCC</w:t>
      </w:r>
      <w:r w:rsidR="003B2C75" w:rsidRPr="00476743">
        <w:t xml:space="preserve"> has considered </w:t>
      </w:r>
      <w:r w:rsidR="0073566D">
        <w:t xml:space="preserve">the </w:t>
      </w:r>
      <w:r w:rsidR="002827D8">
        <w:t>provisional p</w:t>
      </w:r>
      <w:r w:rsidRPr="00476743">
        <w:t xml:space="preserve">olice </w:t>
      </w:r>
      <w:r w:rsidR="002827D8">
        <w:t>g</w:t>
      </w:r>
      <w:r w:rsidRPr="00476743">
        <w:t xml:space="preserve">rant </w:t>
      </w:r>
      <w:r w:rsidR="002827D8">
        <w:t>s</w:t>
      </w:r>
      <w:r w:rsidR="0073566D">
        <w:t xml:space="preserve">ettlement which sets out government expectations, </w:t>
      </w:r>
      <w:r w:rsidR="003B2C75" w:rsidRPr="00476743">
        <w:t xml:space="preserve">current and future funding levels, </w:t>
      </w:r>
      <w:r w:rsidR="0073566D">
        <w:t xml:space="preserve">the pre-budget engagement and the outcome of the public </w:t>
      </w:r>
      <w:r w:rsidR="002827D8">
        <w:t>survey</w:t>
      </w:r>
      <w:r w:rsidR="0073566D">
        <w:t xml:space="preserve"> together with the </w:t>
      </w:r>
      <w:r w:rsidR="00220144" w:rsidRPr="006B0AD8">
        <w:t>Autumn Statement 202</w:t>
      </w:r>
      <w:r w:rsidR="000244FF">
        <w:t>3</w:t>
      </w:r>
      <w:r w:rsidR="003B2C75" w:rsidRPr="006B0AD8">
        <w:t>.</w:t>
      </w:r>
    </w:p>
    <w:p w14:paraId="23E2B44D" w14:textId="3FC9BE62" w:rsidR="003B2C75" w:rsidRPr="00DD0250" w:rsidRDefault="008A64C8" w:rsidP="001722C3">
      <w:pPr>
        <w:pStyle w:val="PanelPara"/>
      </w:pPr>
      <w:r w:rsidRPr="006B0AD8">
        <w:t xml:space="preserve">The </w:t>
      </w:r>
      <w:r w:rsidR="005B590E" w:rsidRPr="006B0AD8">
        <w:t>PFCC</w:t>
      </w:r>
      <w:r w:rsidRPr="006B0AD8">
        <w:t xml:space="preserve"> has </w:t>
      </w:r>
      <w:r w:rsidR="003A432E" w:rsidRPr="006B0AD8">
        <w:t xml:space="preserve">received briefings </w:t>
      </w:r>
      <w:r w:rsidR="0033266D" w:rsidRPr="006B0AD8">
        <w:t xml:space="preserve">from the Minister </w:t>
      </w:r>
      <w:r w:rsidRPr="006B0AD8">
        <w:t xml:space="preserve">and acknowledges the </w:t>
      </w:r>
      <w:r w:rsidR="00F306A9" w:rsidRPr="006B0AD8">
        <w:t xml:space="preserve">expectation </w:t>
      </w:r>
      <w:r w:rsidR="00A64B7D" w:rsidRPr="006B0AD8">
        <w:t xml:space="preserve">that </w:t>
      </w:r>
      <w:r w:rsidR="005B590E" w:rsidRPr="006B0AD8">
        <w:t>PFCC</w:t>
      </w:r>
      <w:r w:rsidRPr="006B0AD8">
        <w:t xml:space="preserve">s will increase their </w:t>
      </w:r>
      <w:r w:rsidR="009B0902">
        <w:t>Band D P</w:t>
      </w:r>
      <w:r w:rsidRPr="006B0AD8">
        <w:t>recept locally</w:t>
      </w:r>
      <w:r w:rsidR="0033266D" w:rsidRPr="006B0AD8">
        <w:t xml:space="preserve"> by </w:t>
      </w:r>
      <w:r w:rsidR="00184BF7" w:rsidRPr="006B0AD8">
        <w:t>£</w:t>
      </w:r>
      <w:r w:rsidR="008F7D81" w:rsidRPr="006B0AD8">
        <w:t>1</w:t>
      </w:r>
      <w:r w:rsidR="000244FF">
        <w:t>3</w:t>
      </w:r>
      <w:r w:rsidR="00A64B7D" w:rsidRPr="006B0AD8">
        <w:t xml:space="preserve"> </w:t>
      </w:r>
      <w:r w:rsidR="008248FE" w:rsidRPr="00DD0250">
        <w:t>(</w:t>
      </w:r>
      <w:r w:rsidR="00DD0250" w:rsidRPr="00DD0250">
        <w:t>4</w:t>
      </w:r>
      <w:r w:rsidR="00220144" w:rsidRPr="00DD0250">
        <w:t>.</w:t>
      </w:r>
      <w:r w:rsidR="00DD0250" w:rsidRPr="00DD0250">
        <w:t>44</w:t>
      </w:r>
      <w:r w:rsidR="008248FE" w:rsidRPr="00DD0250">
        <w:t>%</w:t>
      </w:r>
      <w:r w:rsidR="00DD0250">
        <w:t xml:space="preserve"> for Northa</w:t>
      </w:r>
      <w:r w:rsidR="009B0902">
        <w:t>mptonshire</w:t>
      </w:r>
      <w:r w:rsidR="008248FE" w:rsidRPr="00DD0250">
        <w:t xml:space="preserve">) </w:t>
      </w:r>
      <w:r w:rsidR="00A64B7D" w:rsidRPr="00DD0250">
        <w:t>in</w:t>
      </w:r>
      <w:r w:rsidR="00184BF7" w:rsidRPr="00DD0250">
        <w:t xml:space="preserve"> </w:t>
      </w:r>
      <w:r w:rsidR="00220144" w:rsidRPr="00DD0250">
        <w:t>202</w:t>
      </w:r>
      <w:r w:rsidR="000244FF" w:rsidRPr="00DD0250">
        <w:t>4</w:t>
      </w:r>
      <w:r w:rsidR="00220144" w:rsidRPr="00DD0250">
        <w:t>/2</w:t>
      </w:r>
      <w:r w:rsidR="000244FF" w:rsidRPr="00DD0250">
        <w:t>5</w:t>
      </w:r>
      <w:r w:rsidR="006B0AD8" w:rsidRPr="00DD0250">
        <w:t xml:space="preserve">. </w:t>
      </w:r>
      <w:r w:rsidRPr="00DD0250">
        <w:t xml:space="preserve"> </w:t>
      </w:r>
    </w:p>
    <w:p w14:paraId="265735C0" w14:textId="1DBDE23C" w:rsidR="0073566D" w:rsidRPr="00083DE2" w:rsidRDefault="0073566D" w:rsidP="001722C3">
      <w:pPr>
        <w:pStyle w:val="PanelPara"/>
        <w:rPr>
          <w:bCs/>
        </w:rPr>
      </w:pPr>
      <w:r w:rsidRPr="00A825E7">
        <w:rPr>
          <w:bCs/>
        </w:rPr>
        <w:t xml:space="preserve">The PFCC and the S151 Officer are very appreciative of the updates provided by colleagues in the </w:t>
      </w:r>
      <w:r>
        <w:rPr>
          <w:bCs/>
        </w:rPr>
        <w:t>unitary authorities</w:t>
      </w:r>
      <w:r w:rsidRPr="00A825E7">
        <w:rPr>
          <w:bCs/>
        </w:rPr>
        <w:t xml:space="preserve"> in respect of the impact on the taxbase and the council tax </w:t>
      </w:r>
      <w:r>
        <w:rPr>
          <w:bCs/>
        </w:rPr>
        <w:t>collection fund</w:t>
      </w:r>
      <w:r w:rsidRPr="00A825E7">
        <w:rPr>
          <w:bCs/>
        </w:rPr>
        <w:t xml:space="preserve"> receipts for 202</w:t>
      </w:r>
      <w:r w:rsidR="000244FF">
        <w:rPr>
          <w:bCs/>
        </w:rPr>
        <w:t>4</w:t>
      </w:r>
      <w:r w:rsidRPr="00A825E7">
        <w:rPr>
          <w:bCs/>
        </w:rPr>
        <w:t>/2</w:t>
      </w:r>
      <w:r w:rsidR="000244FF">
        <w:rPr>
          <w:bCs/>
        </w:rPr>
        <w:t>5</w:t>
      </w:r>
      <w:r w:rsidRPr="00A825E7">
        <w:rPr>
          <w:bCs/>
        </w:rPr>
        <w:t xml:space="preserve"> and future years.  </w:t>
      </w:r>
      <w:r>
        <w:rPr>
          <w:bCs/>
        </w:rPr>
        <w:t xml:space="preserve">Furthermore, the PFCC is appreciative of the hard work by unitary staff in achieving a positive level of collection rates. </w:t>
      </w:r>
    </w:p>
    <w:p w14:paraId="6B9478E0" w14:textId="7057F843" w:rsidR="0073566D" w:rsidRDefault="0073566D" w:rsidP="001722C3">
      <w:pPr>
        <w:pStyle w:val="PanelPara"/>
      </w:pPr>
      <w:r w:rsidRPr="00A04688">
        <w:t>The proposals are set in a context of high inflation levels and the Autumn 202</w:t>
      </w:r>
      <w:r w:rsidR="000244FF">
        <w:t>3</w:t>
      </w:r>
      <w:r w:rsidRPr="00A04688">
        <w:t xml:space="preserve"> statement</w:t>
      </w:r>
      <w:r>
        <w:t xml:space="preserve">. </w:t>
      </w:r>
    </w:p>
    <w:p w14:paraId="4937271C" w14:textId="5301E06A" w:rsidR="0073566D" w:rsidRDefault="0073566D" w:rsidP="001722C3">
      <w:pPr>
        <w:pStyle w:val="PanelPara"/>
      </w:pPr>
      <w:r>
        <w:t>Despite these challenges, the budget is balanced for 202</w:t>
      </w:r>
      <w:r w:rsidR="000244FF">
        <w:t>4</w:t>
      </w:r>
      <w:r>
        <w:t>/2</w:t>
      </w:r>
      <w:r w:rsidR="000244FF">
        <w:t>5</w:t>
      </w:r>
      <w:r>
        <w:t xml:space="preserve"> with a funded capital programme and an adequate level of reserves in place.</w:t>
      </w:r>
    </w:p>
    <w:p w14:paraId="0772BA95" w14:textId="385607B3" w:rsidR="0073566D" w:rsidRDefault="0073566D" w:rsidP="00083DE2">
      <w:pPr>
        <w:pStyle w:val="PanelPara"/>
      </w:pPr>
      <w:r>
        <w:t>Whilst the 202</w:t>
      </w:r>
      <w:r w:rsidR="000244FF">
        <w:t>4</w:t>
      </w:r>
      <w:r>
        <w:t>/2</w:t>
      </w:r>
      <w:r w:rsidR="000244FF">
        <w:t>5</w:t>
      </w:r>
      <w:r>
        <w:t xml:space="preserve"> budget is balanced, </w:t>
      </w:r>
      <w:r w:rsidRPr="00A04688">
        <w:t xml:space="preserve">given the </w:t>
      </w:r>
      <w:r w:rsidR="000244FF">
        <w:t xml:space="preserve">continued economic uncertainty and </w:t>
      </w:r>
      <w:r w:rsidRPr="00A04688">
        <w:t xml:space="preserve">inflation at levels higher than previously assumed, balancing the budget across the medium term will be more challenging. </w:t>
      </w:r>
      <w:r w:rsidR="000244FF">
        <w:t xml:space="preserve"> </w:t>
      </w:r>
      <w:r w:rsidRPr="00A04688">
        <w:t xml:space="preserve">Prudent assumptions of future income streams have been used </w:t>
      </w:r>
      <w:r>
        <w:t xml:space="preserve">which identify the </w:t>
      </w:r>
      <w:r w:rsidRPr="00A04688">
        <w:t xml:space="preserve">need for future efficiencies.    </w:t>
      </w:r>
    </w:p>
    <w:p w14:paraId="66F4441F" w14:textId="369CAE1C" w:rsidR="00CF2932" w:rsidRDefault="0073566D" w:rsidP="001722C3">
      <w:pPr>
        <w:pStyle w:val="PanelPara"/>
      </w:pPr>
      <w:r>
        <w:lastRenderedPageBreak/>
        <w:t>T</w:t>
      </w:r>
      <w:r w:rsidRPr="005416FC">
        <w:t xml:space="preserve">he PFCC has conducted, and been informed by, </w:t>
      </w:r>
      <w:r w:rsidRPr="00640ACC">
        <w:t xml:space="preserve">a </w:t>
      </w:r>
      <w:r w:rsidR="002827D8">
        <w:t>survey</w:t>
      </w:r>
      <w:r w:rsidRPr="00640ACC">
        <w:t xml:space="preserve"> of 1,</w:t>
      </w:r>
      <w:r w:rsidR="00F476EA" w:rsidRPr="00640ACC">
        <w:t>997</w:t>
      </w:r>
      <w:r w:rsidRPr="00640ACC">
        <w:t xml:space="preserve"> residents</w:t>
      </w:r>
      <w:r w:rsidRPr="006B0AD8">
        <w:t xml:space="preserve"> of Northamptonshire.</w:t>
      </w:r>
      <w:r>
        <w:t xml:space="preserve"> </w:t>
      </w:r>
      <w:r w:rsidR="000244FF">
        <w:t xml:space="preserve"> </w:t>
      </w:r>
      <w:r w:rsidRPr="005416FC">
        <w:t>The results of the surveys are summarised in this report and will be available on the PFCC website in due course.</w:t>
      </w:r>
    </w:p>
    <w:p w14:paraId="433F74DF" w14:textId="7606C2ED" w:rsidR="0073566D" w:rsidRDefault="0073566D" w:rsidP="001722C3">
      <w:pPr>
        <w:pStyle w:val="PanelPara"/>
      </w:pPr>
      <w:r w:rsidRPr="006B0AD8">
        <w:t>Following local and national investment to increase Police Officers in Northamptonshire, the budget for 202</w:t>
      </w:r>
      <w:r w:rsidR="000244FF">
        <w:t>4</w:t>
      </w:r>
      <w:r w:rsidRPr="006B0AD8">
        <w:t>/2</w:t>
      </w:r>
      <w:r w:rsidR="000244FF">
        <w:t>5</w:t>
      </w:r>
      <w:r w:rsidRPr="006B0AD8">
        <w:t xml:space="preserve"> </w:t>
      </w:r>
      <w:r>
        <w:t xml:space="preserve">and the MTFP </w:t>
      </w:r>
      <w:r w:rsidRPr="006B0AD8">
        <w:t>include a baselined establishment of 1</w:t>
      </w:r>
      <w:r w:rsidR="002827D8">
        <w:t>,</w:t>
      </w:r>
      <w:r w:rsidRPr="006B0AD8">
        <w:t>50</w:t>
      </w:r>
      <w:r w:rsidR="002827D8">
        <w:t>0</w:t>
      </w:r>
      <w:r w:rsidRPr="006B0AD8">
        <w:t xml:space="preserve"> Police Officers, an increase of 330 over the past six years</w:t>
      </w:r>
      <w:r>
        <w:t>, the most Northamptonshire have ever had.</w:t>
      </w:r>
      <w:r w:rsidRPr="006B0AD8">
        <w:t xml:space="preserve">  </w:t>
      </w:r>
    </w:p>
    <w:p w14:paraId="1A519DC3" w14:textId="4DC6D499" w:rsidR="00B866FE" w:rsidRPr="00276BF4" w:rsidRDefault="00CF2932" w:rsidP="001722C3">
      <w:pPr>
        <w:pStyle w:val="PanelPara"/>
      </w:pPr>
      <w:r w:rsidRPr="00276BF4">
        <w:t>The PFCC h</w:t>
      </w:r>
      <w:r w:rsidR="00B866FE" w:rsidRPr="00276BF4">
        <w:t xml:space="preserve">as listened to the views of Northamptonshire residents and has worked with the Chief Constable to </w:t>
      </w:r>
      <w:r w:rsidRPr="00276BF4">
        <w:t>ensure a significant number of these officers have been allocated to neighbourhoods</w:t>
      </w:r>
      <w:r w:rsidR="00276BF4" w:rsidRPr="00276BF4">
        <w:t>.</w:t>
      </w:r>
    </w:p>
    <w:p w14:paraId="24887983" w14:textId="52C86FA7" w:rsidR="00CA4112" w:rsidRPr="00083DE2" w:rsidRDefault="0031016E" w:rsidP="001722C3">
      <w:pPr>
        <w:pStyle w:val="PanelPara"/>
      </w:pPr>
      <w:r w:rsidRPr="006B0AD8">
        <w:t xml:space="preserve">Furthermore, </w:t>
      </w:r>
      <w:r w:rsidR="00900286" w:rsidRPr="006B0AD8">
        <w:t>following the responses from the public to the Police, Fire and Crime Plan and the priorities contained within it</w:t>
      </w:r>
      <w:r w:rsidR="00CA4112" w:rsidRPr="006B0AD8">
        <w:t xml:space="preserve">, in addition to his commitment to increase </w:t>
      </w:r>
      <w:r w:rsidR="006B0AD8" w:rsidRPr="006B0AD8">
        <w:t xml:space="preserve">and retain </w:t>
      </w:r>
      <w:r w:rsidR="002827D8">
        <w:t xml:space="preserve">at least 1,500 </w:t>
      </w:r>
      <w:r w:rsidR="00CA4112" w:rsidRPr="006B0AD8">
        <w:t xml:space="preserve">Police Officers, </w:t>
      </w:r>
      <w:r w:rsidRPr="006B0AD8">
        <w:t>the PFCC has ring</w:t>
      </w:r>
      <w:r w:rsidR="000244FF">
        <w:t>-</w:t>
      </w:r>
      <w:r w:rsidRPr="006B0AD8">
        <w:t xml:space="preserve">fenced </w:t>
      </w:r>
      <w:r w:rsidR="00900286" w:rsidRPr="006B0AD8">
        <w:t xml:space="preserve">funding </w:t>
      </w:r>
      <w:r w:rsidR="00CA4112" w:rsidRPr="006B0AD8">
        <w:t>to target the following areas:</w:t>
      </w:r>
    </w:p>
    <w:p w14:paraId="7DED518C" w14:textId="78CD9935" w:rsidR="00CA4112" w:rsidRPr="00FF3003" w:rsidRDefault="00CA4112" w:rsidP="00640ACC">
      <w:pPr>
        <w:pStyle w:val="PanelBullet"/>
      </w:pPr>
      <w:r w:rsidRPr="00FF3003">
        <w:t xml:space="preserve">Prevention that keeps the </w:t>
      </w:r>
      <w:r w:rsidR="003B7F41">
        <w:t>c</w:t>
      </w:r>
      <w:r w:rsidR="003B7F41" w:rsidRPr="00FF3003">
        <w:t xml:space="preserve">ounty </w:t>
      </w:r>
      <w:r w:rsidR="003B7F41">
        <w:t>s</w:t>
      </w:r>
      <w:r w:rsidR="003B7F41" w:rsidRPr="00FF3003">
        <w:t>afe</w:t>
      </w:r>
    </w:p>
    <w:p w14:paraId="60D41095" w14:textId="647F3743" w:rsidR="00CA4112" w:rsidRPr="00FF3003" w:rsidRDefault="00CA4112" w:rsidP="00640ACC">
      <w:pPr>
        <w:pStyle w:val="PanelBullet"/>
      </w:pPr>
      <w:r w:rsidRPr="00FF3003">
        <w:t>Effective and efficient response</w:t>
      </w:r>
    </w:p>
    <w:p w14:paraId="7F77F19C" w14:textId="65274648" w:rsidR="00CA4112" w:rsidRPr="00FF3003" w:rsidRDefault="00CA4112" w:rsidP="00640ACC">
      <w:pPr>
        <w:pStyle w:val="PanelBullet"/>
      </w:pPr>
      <w:r w:rsidRPr="00FF3003">
        <w:t xml:space="preserve">Protect and support those who are </w:t>
      </w:r>
      <w:proofErr w:type="gramStart"/>
      <w:r w:rsidRPr="00FF3003">
        <w:t>vulnerable</w:t>
      </w:r>
      <w:proofErr w:type="gramEnd"/>
    </w:p>
    <w:p w14:paraId="2EC01A77" w14:textId="140AF74F" w:rsidR="00CA4112" w:rsidRPr="00FF3003" w:rsidRDefault="00CA4112" w:rsidP="00640ACC">
      <w:pPr>
        <w:pStyle w:val="PanelBullet"/>
      </w:pPr>
      <w:r w:rsidRPr="00FF3003">
        <w:t>Effective justice</w:t>
      </w:r>
    </w:p>
    <w:p w14:paraId="45316655" w14:textId="2095EEB4" w:rsidR="00CA4112" w:rsidRPr="00083DE2" w:rsidRDefault="00CA4112" w:rsidP="00640ACC">
      <w:pPr>
        <w:pStyle w:val="PanelBullet"/>
      </w:pPr>
      <w:r w:rsidRPr="00FF3003">
        <w:t xml:space="preserve">Modern services that are fit for the </w:t>
      </w:r>
      <w:proofErr w:type="gramStart"/>
      <w:r w:rsidRPr="00FF3003">
        <w:t>future</w:t>
      </w:r>
      <w:proofErr w:type="gramEnd"/>
    </w:p>
    <w:p w14:paraId="298C1882" w14:textId="7C710005" w:rsidR="00083DE2" w:rsidRDefault="009455E6" w:rsidP="00083DE2">
      <w:pPr>
        <w:pStyle w:val="PanelPara"/>
      </w:pPr>
      <w:r>
        <w:t xml:space="preserve">Whilst </w:t>
      </w:r>
      <w:r w:rsidR="0073566D">
        <w:t>t</w:t>
      </w:r>
      <w:r w:rsidR="00CA4112" w:rsidRPr="00FF3003">
        <w:t xml:space="preserve">he PFCC </w:t>
      </w:r>
      <w:r w:rsidR="0073566D">
        <w:t>and Chief Constable have prioritised maintaining 1</w:t>
      </w:r>
      <w:r w:rsidR="002827D8">
        <w:t>,</w:t>
      </w:r>
      <w:r w:rsidR="0073566D">
        <w:t xml:space="preserve">500 police officers within the </w:t>
      </w:r>
      <w:r w:rsidR="001D144A">
        <w:t>202</w:t>
      </w:r>
      <w:r w:rsidR="000244FF">
        <w:t>4</w:t>
      </w:r>
      <w:r w:rsidR="001D144A">
        <w:t>/2</w:t>
      </w:r>
      <w:r w:rsidR="000244FF">
        <w:t>5</w:t>
      </w:r>
      <w:r w:rsidR="0073566D">
        <w:t xml:space="preserve"> b</w:t>
      </w:r>
      <w:r w:rsidR="00CA4112" w:rsidRPr="00FF3003">
        <w:t>udget</w:t>
      </w:r>
      <w:r w:rsidR="0073566D">
        <w:t xml:space="preserve"> and the MTFP, </w:t>
      </w:r>
      <w:r>
        <w:t xml:space="preserve">some </w:t>
      </w:r>
      <w:r w:rsidR="0073566D">
        <w:t xml:space="preserve">further investment in the budget </w:t>
      </w:r>
      <w:r>
        <w:t xml:space="preserve">has been possible and </w:t>
      </w:r>
      <w:r w:rsidR="0073566D">
        <w:t xml:space="preserve">includes: </w:t>
      </w:r>
    </w:p>
    <w:p w14:paraId="0CDA0636" w14:textId="53C7D651" w:rsidR="00CB3FFC" w:rsidRPr="006E295B" w:rsidRDefault="00402714" w:rsidP="001722C3">
      <w:pPr>
        <w:pStyle w:val="PanelPara"/>
        <w:numPr>
          <w:ilvl w:val="1"/>
          <w:numId w:val="31"/>
        </w:numPr>
      </w:pPr>
      <w:r w:rsidRPr="006E295B">
        <w:t xml:space="preserve">The </w:t>
      </w:r>
      <w:r w:rsidR="0031016E" w:rsidRPr="006E295B">
        <w:t>sum of £</w:t>
      </w:r>
      <w:r w:rsidR="005E33B0" w:rsidRPr="006E295B">
        <w:t>1.823</w:t>
      </w:r>
      <w:r w:rsidR="00FF3003" w:rsidRPr="006E295B">
        <w:t>m</w:t>
      </w:r>
      <w:r w:rsidR="0031016E" w:rsidRPr="006E295B">
        <w:t xml:space="preserve"> </w:t>
      </w:r>
      <w:r w:rsidRPr="006E295B">
        <w:t xml:space="preserve">for </w:t>
      </w:r>
      <w:r w:rsidR="0031016E" w:rsidRPr="006E295B">
        <w:t>investment</w:t>
      </w:r>
      <w:r w:rsidR="00FF3003" w:rsidRPr="006E295B">
        <w:t>s requested by the Chief Constable</w:t>
      </w:r>
      <w:r w:rsidR="00CB3FFC" w:rsidRPr="006E295B">
        <w:t xml:space="preserve"> </w:t>
      </w:r>
      <w:r w:rsidR="003B7F41" w:rsidRPr="006E295B">
        <w:t>for the following</w:t>
      </w:r>
      <w:r w:rsidR="00CB3FFC" w:rsidRPr="006E295B">
        <w:t>:</w:t>
      </w:r>
    </w:p>
    <w:p w14:paraId="5819A266" w14:textId="01452303" w:rsidR="00DC7955" w:rsidRPr="006E295B" w:rsidRDefault="00CB3FFC" w:rsidP="00276BF4">
      <w:pPr>
        <w:pStyle w:val="PanelBullet"/>
      </w:pPr>
      <w:r w:rsidRPr="006E295B">
        <w:t xml:space="preserve">To increase resources within the </w:t>
      </w:r>
      <w:r w:rsidR="005E33B0" w:rsidRPr="006E295B">
        <w:t>Force Control Room</w:t>
      </w:r>
      <w:r w:rsidR="00C97DE7">
        <w:t>, investing in more staff and ensuring communication channels are optimised.</w:t>
      </w:r>
    </w:p>
    <w:p w14:paraId="1FD6A8BD" w14:textId="5CE8820F" w:rsidR="00CB3FFC" w:rsidRPr="006E295B" w:rsidRDefault="00CB3FFC" w:rsidP="00276BF4">
      <w:pPr>
        <w:pStyle w:val="PanelBullet"/>
      </w:pPr>
      <w:r w:rsidRPr="006E295B">
        <w:t xml:space="preserve">To increase </w:t>
      </w:r>
      <w:r w:rsidR="000255B4">
        <w:t>training</w:t>
      </w:r>
      <w:r w:rsidR="005E33B0" w:rsidRPr="006E295B">
        <w:t xml:space="preserve"> </w:t>
      </w:r>
      <w:r w:rsidRPr="006E295B">
        <w:t xml:space="preserve">resources </w:t>
      </w:r>
      <w:r w:rsidR="005E33B0" w:rsidRPr="006E295B">
        <w:t>and budgets</w:t>
      </w:r>
      <w:r w:rsidR="00C97DE7">
        <w:t xml:space="preserve"> to ensure all officers are equipped with the skills and accreditation they need.</w:t>
      </w:r>
    </w:p>
    <w:p w14:paraId="4368F34D" w14:textId="257AF8BA" w:rsidR="00CB3FFC" w:rsidRPr="006E295B" w:rsidRDefault="00CB3FFC" w:rsidP="00276BF4">
      <w:pPr>
        <w:pStyle w:val="PanelBullet"/>
      </w:pPr>
      <w:r w:rsidRPr="006E295B">
        <w:t xml:space="preserve">To </w:t>
      </w:r>
      <w:r w:rsidR="005E33B0" w:rsidRPr="006E295B">
        <w:t>introduce software that manages social media accounts in order to better deal with interactions from the public.</w:t>
      </w:r>
    </w:p>
    <w:p w14:paraId="3B4C3FEA" w14:textId="302A3B0B" w:rsidR="00CB3FFC" w:rsidRPr="006E295B" w:rsidRDefault="00CB3FFC" w:rsidP="00276BF4">
      <w:pPr>
        <w:pStyle w:val="PanelBullet"/>
      </w:pPr>
      <w:r w:rsidRPr="006E295B">
        <w:t xml:space="preserve">To </w:t>
      </w:r>
      <w:r w:rsidR="005E33B0" w:rsidRPr="006E295B">
        <w:t>introduce a software solution to support complex IT architecture more efficiently.</w:t>
      </w:r>
    </w:p>
    <w:p w14:paraId="616CD90A" w14:textId="14C29FF8" w:rsidR="00DC7955" w:rsidRPr="00276BF4" w:rsidRDefault="005E33B0" w:rsidP="00276BF4">
      <w:pPr>
        <w:pStyle w:val="PanelBullet"/>
      </w:pPr>
      <w:r w:rsidRPr="006E295B">
        <w:t>To implement a retrospective facial recognition solution</w:t>
      </w:r>
    </w:p>
    <w:p w14:paraId="7714B68A" w14:textId="77FF9D80" w:rsidR="00CD079C" w:rsidRDefault="00EC1B2F" w:rsidP="000D3D9A">
      <w:pPr>
        <w:pStyle w:val="PanelPara"/>
      </w:pPr>
      <w:bookmarkStart w:id="0" w:name="_Hlk157077626"/>
      <w:r w:rsidRPr="000D3D9A">
        <w:t xml:space="preserve">The PFCC has included the following </w:t>
      </w:r>
      <w:r w:rsidR="000D3D9A">
        <w:t>items</w:t>
      </w:r>
      <w:r w:rsidRPr="000D3D9A">
        <w:t xml:space="preserve"> of note i</w:t>
      </w:r>
      <w:r w:rsidR="001C762E" w:rsidRPr="000D3D9A">
        <w:t>n</w:t>
      </w:r>
      <w:r w:rsidR="00CD079C" w:rsidRPr="000D3D9A">
        <w:t xml:space="preserve"> his commissioning and delivery </w:t>
      </w:r>
      <w:r w:rsidR="001E1ECE">
        <w:t>plan</w:t>
      </w:r>
      <w:r w:rsidR="00CD079C" w:rsidRPr="000D3D9A">
        <w:t>s:</w:t>
      </w:r>
    </w:p>
    <w:p w14:paraId="0BF0EFDC" w14:textId="2ABD7225" w:rsidR="000D3D9A" w:rsidRDefault="000D3D9A" w:rsidP="000D3D9A">
      <w:pPr>
        <w:pStyle w:val="PanelPara"/>
        <w:numPr>
          <w:ilvl w:val="1"/>
          <w:numId w:val="31"/>
        </w:numPr>
        <w:rPr>
          <w:sz w:val="22"/>
          <w:szCs w:val="22"/>
        </w:rPr>
      </w:pPr>
      <w:r>
        <w:t xml:space="preserve">Continued support for the delivery of the Serious Violence Duty with partners in the county.  This includes the continuation of </w:t>
      </w:r>
      <w:proofErr w:type="gramStart"/>
      <w:r>
        <w:t>Home</w:t>
      </w:r>
      <w:proofErr w:type="gramEnd"/>
      <w:r>
        <w:t xml:space="preserve"> Office grant funds for Serious Violence </w:t>
      </w:r>
      <w:r>
        <w:lastRenderedPageBreak/>
        <w:t>in line with the counties first Strategic Needs Assessment.  The PFCC will also prioritise funds to support healthy relationships and behaviour change activity for children and young people under Violence Against Women and Girls as part of the work to prevent serious violence in the county.</w:t>
      </w:r>
    </w:p>
    <w:p w14:paraId="4532F945" w14:textId="352E7D20" w:rsidR="000D3D9A" w:rsidRPr="000D3D9A" w:rsidRDefault="000D3D9A" w:rsidP="000D3D9A">
      <w:pPr>
        <w:pStyle w:val="PanelPara"/>
        <w:numPr>
          <w:ilvl w:val="1"/>
          <w:numId w:val="31"/>
        </w:numPr>
      </w:pPr>
      <w:r>
        <w:t>We will begin to prepare the ground for the Victims Bill likely to receive royal assent in 24/25 which will bring significant oversight responsibilities to the OPFCC.</w:t>
      </w:r>
    </w:p>
    <w:p w14:paraId="7D69CF7B" w14:textId="542D31E4" w:rsidR="000D3D9A" w:rsidRPr="000D3D9A" w:rsidRDefault="000D3D9A" w:rsidP="000D3D9A">
      <w:pPr>
        <w:pStyle w:val="PanelPara"/>
        <w:numPr>
          <w:ilvl w:val="1"/>
          <w:numId w:val="31"/>
        </w:numPr>
      </w:pPr>
      <w:r w:rsidRPr="000D3D9A">
        <w:t>We are now in Safer Streets Round 5, which relates to acquisitive crime and violence against women and girls initiatives.  We have been awarded funds for three successful bids, this year.  These are:</w:t>
      </w:r>
    </w:p>
    <w:bookmarkEnd w:id="0"/>
    <w:p w14:paraId="0C604A5B" w14:textId="4FE362AC" w:rsidR="00EC1B2F" w:rsidRPr="00EC1B2F" w:rsidRDefault="00EC1B2F" w:rsidP="00EC1B2F">
      <w:pPr>
        <w:pStyle w:val="PanelBullet"/>
      </w:pPr>
      <w:r w:rsidRPr="00EC1B2F">
        <w:rPr>
          <w:b/>
          <w:bCs/>
        </w:rPr>
        <w:t xml:space="preserve">Stand </w:t>
      </w:r>
      <w:r>
        <w:rPr>
          <w:b/>
          <w:bCs/>
        </w:rPr>
        <w:t>U</w:t>
      </w:r>
      <w:r w:rsidRPr="00EC1B2F">
        <w:rPr>
          <w:b/>
          <w:bCs/>
        </w:rPr>
        <w:t xml:space="preserve">p </w:t>
      </w:r>
      <w:proofErr w:type="gramStart"/>
      <w:r>
        <w:rPr>
          <w:b/>
          <w:bCs/>
        </w:rPr>
        <w:t>T</w:t>
      </w:r>
      <w:r w:rsidRPr="00EC1B2F">
        <w:rPr>
          <w:b/>
          <w:bCs/>
        </w:rPr>
        <w:t>o</w:t>
      </w:r>
      <w:proofErr w:type="gramEnd"/>
      <w:r w:rsidRPr="00EC1B2F">
        <w:rPr>
          <w:b/>
          <w:bCs/>
        </w:rPr>
        <w:t xml:space="preserve"> Crime</w:t>
      </w:r>
      <w:r w:rsidRPr="00EC1B2F">
        <w:t xml:space="preserve"> – This will see a new and innovative approach to a crime prevention campaign, focused around burglary of people’s homes.</w:t>
      </w:r>
      <w:r>
        <w:t xml:space="preserve"> </w:t>
      </w:r>
      <w:r w:rsidRPr="00EC1B2F">
        <w:t xml:space="preserve"> Two pilot sites have been identified in Northampton and Corby. </w:t>
      </w:r>
      <w:r>
        <w:t xml:space="preserve"> </w:t>
      </w:r>
      <w:r w:rsidRPr="00EC1B2F">
        <w:t xml:space="preserve">The initiative is based around the College of Policing </w:t>
      </w:r>
      <w:r>
        <w:t>‘</w:t>
      </w:r>
      <w:r w:rsidRPr="00EC1B2F">
        <w:t>what works</w:t>
      </w:r>
      <w:r>
        <w:t>’</w:t>
      </w:r>
      <w:r w:rsidRPr="00EC1B2F">
        <w:t xml:space="preserve"> guide and will see bespoke crime/home crime prevention advice given to almost 3</w:t>
      </w:r>
      <w:r>
        <w:t>,</w:t>
      </w:r>
      <w:r w:rsidRPr="00EC1B2F">
        <w:t xml:space="preserve">000 homes across these pilot sites. </w:t>
      </w:r>
      <w:r>
        <w:t xml:space="preserve"> </w:t>
      </w:r>
      <w:r w:rsidRPr="00EC1B2F">
        <w:t>This will be delivered by local neighbourhood policing teams, Local Authority community Safety Teams, Neighbourhood Watch volunteers and other</w:t>
      </w:r>
      <w:r>
        <w:t>s</w:t>
      </w:r>
      <w:r w:rsidRPr="00EC1B2F">
        <w:t xml:space="preserve"> potentially including Fire and Rescue staff. </w:t>
      </w:r>
      <w:r>
        <w:t xml:space="preserve"> </w:t>
      </w:r>
      <w:r w:rsidRPr="00EC1B2F">
        <w:t>Each premises will be visited and</w:t>
      </w:r>
      <w:r>
        <w:t>,</w:t>
      </w:r>
      <w:r w:rsidRPr="00EC1B2F">
        <w:t xml:space="preserve"> as well as receiving relevant crime and home safety advice</w:t>
      </w:r>
      <w:r>
        <w:t>,</w:t>
      </w:r>
      <w:r w:rsidRPr="00EC1B2F">
        <w:t xml:space="preserve"> will be provided with a range of prevention devices, including a forensic property marking kit. </w:t>
      </w:r>
      <w:r>
        <w:t xml:space="preserve"> </w:t>
      </w:r>
      <w:r w:rsidRPr="00EC1B2F">
        <w:t xml:space="preserve">The person undertaking the visit will support the householder by demonstrating how to use this kit to better protect their home and valuables. </w:t>
      </w:r>
      <w:r>
        <w:t xml:space="preserve"> </w:t>
      </w:r>
      <w:r w:rsidRPr="00EC1B2F">
        <w:t>The visits will demonstrate the effectiveness of a proper security routine, based around three actions of</w:t>
      </w:r>
      <w:r>
        <w:t>:</w:t>
      </w:r>
    </w:p>
    <w:p w14:paraId="651133E3" w14:textId="1341A9DD" w:rsidR="00EC1B2F" w:rsidRPr="00EC1B2F" w:rsidRDefault="00EC1B2F" w:rsidP="00EC1B2F">
      <w:pPr>
        <w:pStyle w:val="PanelBullet"/>
        <w:numPr>
          <w:ilvl w:val="3"/>
          <w:numId w:val="31"/>
        </w:numPr>
      </w:pPr>
      <w:r w:rsidRPr="00EC1B2F">
        <w:t>Secure It</w:t>
      </w:r>
    </w:p>
    <w:p w14:paraId="60007975" w14:textId="7804FE8D" w:rsidR="00EC1B2F" w:rsidRPr="00EC1B2F" w:rsidRDefault="00EC1B2F" w:rsidP="00EC1B2F">
      <w:pPr>
        <w:pStyle w:val="PanelBullet"/>
        <w:numPr>
          <w:ilvl w:val="3"/>
          <w:numId w:val="31"/>
        </w:numPr>
      </w:pPr>
      <w:r w:rsidRPr="00EC1B2F">
        <w:t>Mark It</w:t>
      </w:r>
    </w:p>
    <w:p w14:paraId="0D407039" w14:textId="7339C52B" w:rsidR="00EC1B2F" w:rsidRPr="00EC1B2F" w:rsidRDefault="00EC1B2F" w:rsidP="00EC1B2F">
      <w:pPr>
        <w:pStyle w:val="PanelBullet"/>
        <w:numPr>
          <w:ilvl w:val="3"/>
          <w:numId w:val="31"/>
        </w:numPr>
      </w:pPr>
      <w:r w:rsidRPr="00EC1B2F">
        <w:t xml:space="preserve">Record </w:t>
      </w:r>
      <w:proofErr w:type="gramStart"/>
      <w:r w:rsidRPr="00EC1B2F">
        <w:t>it</w:t>
      </w:r>
      <w:proofErr w:type="gramEnd"/>
    </w:p>
    <w:p w14:paraId="23CE6CAB" w14:textId="64DDC8DC" w:rsidR="00EC1B2F" w:rsidRPr="00EC1B2F" w:rsidRDefault="00EC1B2F" w:rsidP="00EC1B2F">
      <w:pPr>
        <w:pStyle w:val="PanelBullet"/>
        <w:numPr>
          <w:ilvl w:val="0"/>
          <w:numId w:val="0"/>
        </w:numPr>
        <w:ind w:left="1701"/>
      </w:pPr>
      <w:r w:rsidRPr="00EC1B2F">
        <w:t xml:space="preserve">It is hoped that after the pilot phase we will be able to roll this out more widely across the </w:t>
      </w:r>
      <w:proofErr w:type="gramStart"/>
      <w:r w:rsidRPr="00EC1B2F">
        <w:t>County, and</w:t>
      </w:r>
      <w:proofErr w:type="gramEnd"/>
      <w:r w:rsidRPr="00EC1B2F">
        <w:t xml:space="preserve"> support it with other initiatives such as the provision of small community based crime prevention kits for rural parishes, whereby councils can support their local residents in making their communities safer.</w:t>
      </w:r>
    </w:p>
    <w:p w14:paraId="449A33EB" w14:textId="7D7FABEE" w:rsidR="00EC1B2F" w:rsidRPr="00EC1B2F" w:rsidRDefault="00EC1B2F" w:rsidP="00EC1B2F">
      <w:pPr>
        <w:pStyle w:val="PanelBullet"/>
      </w:pPr>
      <w:r w:rsidRPr="00EC1B2F">
        <w:rPr>
          <w:b/>
          <w:bCs/>
        </w:rPr>
        <w:t xml:space="preserve">M1 </w:t>
      </w:r>
      <w:r>
        <w:rPr>
          <w:b/>
          <w:bCs/>
        </w:rPr>
        <w:t>S</w:t>
      </w:r>
      <w:r w:rsidRPr="00EC1B2F">
        <w:rPr>
          <w:b/>
          <w:bCs/>
        </w:rPr>
        <w:t xml:space="preserve">ervice </w:t>
      </w:r>
      <w:r>
        <w:rPr>
          <w:b/>
          <w:bCs/>
        </w:rPr>
        <w:t>S</w:t>
      </w:r>
      <w:r w:rsidRPr="00EC1B2F">
        <w:rPr>
          <w:b/>
          <w:bCs/>
        </w:rPr>
        <w:t>tations</w:t>
      </w:r>
      <w:r w:rsidRPr="00EC1B2F">
        <w:t xml:space="preserve"> – This initiative recognises the significant percentage of vehicle crime that is committed at service stations on the M1 at Watford Gap and Swan Valley. </w:t>
      </w:r>
      <w:r>
        <w:t xml:space="preserve"> </w:t>
      </w:r>
      <w:r w:rsidRPr="00EC1B2F">
        <w:t>This is a partnership with RoadChef and will see improved fencing, additional CCTV, installation of ANPR technology, a Crimestoppers campaign and improved lighting at these locations, as well as some redesigning of the car park layout at the lorry park to support these interventions.</w:t>
      </w:r>
    </w:p>
    <w:p w14:paraId="7A5C6352" w14:textId="0FCB7E70" w:rsidR="00CB3FFC" w:rsidRPr="00EC1B2F" w:rsidRDefault="00EC1B2F" w:rsidP="00EC1B2F">
      <w:pPr>
        <w:pStyle w:val="PanelBullet"/>
      </w:pPr>
      <w:r w:rsidRPr="00EC1B2F">
        <w:rPr>
          <w:b/>
          <w:bCs/>
        </w:rPr>
        <w:t xml:space="preserve">Violence </w:t>
      </w:r>
      <w:r>
        <w:rPr>
          <w:b/>
          <w:bCs/>
        </w:rPr>
        <w:t>A</w:t>
      </w:r>
      <w:r w:rsidRPr="00EC1B2F">
        <w:rPr>
          <w:b/>
          <w:bCs/>
        </w:rPr>
        <w:t xml:space="preserve">gainst </w:t>
      </w:r>
      <w:r>
        <w:rPr>
          <w:b/>
          <w:bCs/>
        </w:rPr>
        <w:t>W</w:t>
      </w:r>
      <w:r w:rsidRPr="00EC1B2F">
        <w:rPr>
          <w:b/>
          <w:bCs/>
        </w:rPr>
        <w:t xml:space="preserve">omen and </w:t>
      </w:r>
      <w:r>
        <w:rPr>
          <w:b/>
          <w:bCs/>
        </w:rPr>
        <w:t>G</w:t>
      </w:r>
      <w:r w:rsidRPr="00EC1B2F">
        <w:rPr>
          <w:b/>
          <w:bCs/>
        </w:rPr>
        <w:t>irls</w:t>
      </w:r>
      <w:r w:rsidRPr="00EC1B2F">
        <w:t xml:space="preserve"> – This will see a focus on transport hubs and public transport networks.</w:t>
      </w:r>
      <w:r>
        <w:t xml:space="preserve"> </w:t>
      </w:r>
      <w:r w:rsidRPr="00EC1B2F">
        <w:t xml:space="preserve"> It will utilise the already successful partnership communications </w:t>
      </w:r>
      <w:r w:rsidR="000D3D9A">
        <w:t>‘</w:t>
      </w:r>
      <w:r w:rsidRPr="00EC1B2F">
        <w:t>It only take one</w:t>
      </w:r>
      <w:r w:rsidR="000D3D9A">
        <w:t>’</w:t>
      </w:r>
      <w:r w:rsidRPr="00EC1B2F">
        <w:t xml:space="preserve"> developed locally previously. </w:t>
      </w:r>
      <w:r w:rsidR="000D3D9A">
        <w:t xml:space="preserve"> </w:t>
      </w:r>
      <w:r w:rsidRPr="00EC1B2F">
        <w:t xml:space="preserve">The initial focus </w:t>
      </w:r>
      <w:r w:rsidRPr="00EC1B2F">
        <w:lastRenderedPageBreak/>
        <w:t xml:space="preserve">will be on the train network that runs across the County, with video inputs to support the </w:t>
      </w:r>
      <w:r w:rsidR="000D3D9A">
        <w:t>‘</w:t>
      </w:r>
      <w:r w:rsidRPr="00EC1B2F">
        <w:t>It only takes one</w:t>
      </w:r>
      <w:r w:rsidR="000D3D9A">
        <w:t>’</w:t>
      </w:r>
      <w:r w:rsidRPr="00EC1B2F">
        <w:t xml:space="preserve"> materials for train and railway staff explaining vulnerability, assisting staff in its identification and providing information about how to intervene and signpost victims to support services.</w:t>
      </w:r>
    </w:p>
    <w:p w14:paraId="6E51D956" w14:textId="6C8D2A26" w:rsidR="004A733A" w:rsidRDefault="004A733A" w:rsidP="004A733A">
      <w:pPr>
        <w:pStyle w:val="PanelPara"/>
        <w:numPr>
          <w:ilvl w:val="1"/>
          <w:numId w:val="31"/>
        </w:numPr>
      </w:pPr>
      <w:r>
        <w:t>The ASB Action Plan published on 27</w:t>
      </w:r>
      <w:r w:rsidRPr="004A733A">
        <w:rPr>
          <w:vertAlign w:val="superscript"/>
        </w:rPr>
        <w:t>th</w:t>
      </w:r>
      <w:r>
        <w:t xml:space="preserve"> March 2023 is a key part of HMG’s Levelling Up agenda, specifically to improve pride of place and to reduce crime.  Immediate Justice is a key policy as part of the wider plan, ensuring ASB is treated with urgency so ASB perpetrators can swiftly clean up their own mess, with communities receiving more of a say over, and more visibility of, reparation.  Funded via specific grant, Immediate Justice seeks to increase the speed and visibility of reparative action in response to ASB, primarily through funding additional services to supervise and facilitate reparative activity.  Reparative activity may include:</w:t>
      </w:r>
    </w:p>
    <w:p w14:paraId="550BB60C" w14:textId="01F67680" w:rsidR="004A733A" w:rsidRDefault="004A733A" w:rsidP="004A733A">
      <w:pPr>
        <w:pStyle w:val="PanelBullet"/>
      </w:pPr>
      <w:r>
        <w:t xml:space="preserve">Litter-picking in public parks and high streets </w:t>
      </w:r>
    </w:p>
    <w:p w14:paraId="3D53C34D" w14:textId="721A70ED" w:rsidR="004A733A" w:rsidRDefault="004A733A" w:rsidP="004A733A">
      <w:pPr>
        <w:pStyle w:val="PanelBullet"/>
      </w:pPr>
      <w:r>
        <w:t xml:space="preserve">Site clean-up after council funded events </w:t>
      </w:r>
    </w:p>
    <w:p w14:paraId="51782BC0" w14:textId="6825D3D8" w:rsidR="004A733A" w:rsidRDefault="004A733A" w:rsidP="004A733A">
      <w:pPr>
        <w:pStyle w:val="PanelBullet"/>
      </w:pPr>
      <w:r>
        <w:t xml:space="preserve">Proactive or reactive cleaning of civic memorials </w:t>
      </w:r>
    </w:p>
    <w:p w14:paraId="0A33493C" w14:textId="25F2716E" w:rsidR="004A733A" w:rsidRDefault="004A733A" w:rsidP="004A733A">
      <w:pPr>
        <w:pStyle w:val="PanelBullet"/>
      </w:pPr>
      <w:r>
        <w:t xml:space="preserve">Installation of hanging baskets or temporary civic notices </w:t>
      </w:r>
    </w:p>
    <w:p w14:paraId="6C8D2629" w14:textId="0FA8FE05" w:rsidR="004A733A" w:rsidRDefault="004A733A" w:rsidP="004A733A">
      <w:pPr>
        <w:pStyle w:val="PanelBullet"/>
      </w:pPr>
      <w:r>
        <w:t xml:space="preserve">Gardening of communal flower beds in town centres </w:t>
      </w:r>
    </w:p>
    <w:p w14:paraId="7DFDE8E7" w14:textId="522FE149" w:rsidR="004A733A" w:rsidRDefault="004A733A" w:rsidP="004A733A">
      <w:pPr>
        <w:pStyle w:val="PanelBullet"/>
      </w:pPr>
      <w:r>
        <w:t xml:space="preserve">Cleaning of graffiti on bus shelters, tram stops or train stations or public </w:t>
      </w:r>
      <w:proofErr w:type="gramStart"/>
      <w:r>
        <w:t>signage</w:t>
      </w:r>
      <w:proofErr w:type="gramEnd"/>
      <w:r>
        <w:t xml:space="preserve"> </w:t>
      </w:r>
    </w:p>
    <w:p w14:paraId="10DCE96C" w14:textId="20C9CA34" w:rsidR="004A733A" w:rsidRDefault="004A733A" w:rsidP="004A733A">
      <w:pPr>
        <w:pStyle w:val="PanelBullet"/>
      </w:pPr>
      <w:r>
        <w:t xml:space="preserve">Cleaning of police cars </w:t>
      </w:r>
    </w:p>
    <w:p w14:paraId="56106392" w14:textId="6C87CB02" w:rsidR="004A733A" w:rsidRDefault="004A733A" w:rsidP="004A733A">
      <w:pPr>
        <w:pStyle w:val="PanelBullet"/>
      </w:pPr>
      <w:r>
        <w:t>Basic repairs of damaged public property, or private property with victim/owner consent</w:t>
      </w:r>
    </w:p>
    <w:p w14:paraId="69D82C5D" w14:textId="027B7A53" w:rsidR="0031016E" w:rsidRPr="00FF3003" w:rsidRDefault="00CB3FFC" w:rsidP="001722C3">
      <w:pPr>
        <w:pStyle w:val="PanelPara"/>
      </w:pPr>
      <w:r w:rsidRPr="00CB3FFC">
        <w:t xml:space="preserve">The PFCC has always endeavoured to ensure that the cost of staffing the OPFCC is </w:t>
      </w:r>
      <w:r w:rsidR="0081696D">
        <w:t>no more than</w:t>
      </w:r>
      <w:r w:rsidRPr="00CB3FFC">
        <w:t xml:space="preserve"> 1% of the </w:t>
      </w:r>
      <w:r w:rsidR="002F0B6B">
        <w:t>operational police</w:t>
      </w:r>
      <w:r w:rsidR="002F0B6B" w:rsidRPr="00CB3FFC">
        <w:t xml:space="preserve"> </w:t>
      </w:r>
      <w:r w:rsidRPr="00CB3FFC">
        <w:t xml:space="preserve">budget. </w:t>
      </w:r>
      <w:r w:rsidR="000244FF">
        <w:t xml:space="preserve"> </w:t>
      </w:r>
      <w:r w:rsidRPr="00CB3FFC">
        <w:t>In 202</w:t>
      </w:r>
      <w:r w:rsidR="0081696D">
        <w:t>4</w:t>
      </w:r>
      <w:r w:rsidRPr="00CB3FFC">
        <w:t>/2</w:t>
      </w:r>
      <w:r w:rsidR="0081696D">
        <w:t>5</w:t>
      </w:r>
      <w:r w:rsidRPr="00CB3FFC">
        <w:t xml:space="preserve"> OPFCC staffing </w:t>
      </w:r>
      <w:r w:rsidR="004E111D">
        <w:t>makes up</w:t>
      </w:r>
      <w:r w:rsidRPr="00CB3FFC">
        <w:t xml:space="preserve"> approximately </w:t>
      </w:r>
      <w:r w:rsidRPr="004E111D">
        <w:t>0.</w:t>
      </w:r>
      <w:r w:rsidR="004E111D" w:rsidRPr="004E111D">
        <w:t>7</w:t>
      </w:r>
      <w:r w:rsidRPr="004E111D">
        <w:t>%</w:t>
      </w:r>
      <w:r w:rsidRPr="00CB3FFC">
        <w:t xml:space="preserve"> of the total </w:t>
      </w:r>
      <w:r w:rsidR="009E47D7">
        <w:t xml:space="preserve">operational police </w:t>
      </w:r>
      <w:r w:rsidRPr="00CB3FFC">
        <w:t>budget for the year.</w:t>
      </w:r>
    </w:p>
    <w:p w14:paraId="134D8ADD" w14:textId="041EDC41" w:rsidR="002E5EBA" w:rsidRPr="00083DE2" w:rsidRDefault="0033266D" w:rsidP="001722C3">
      <w:pPr>
        <w:pStyle w:val="PanelPara"/>
      </w:pPr>
      <w:r w:rsidRPr="00FF3003">
        <w:t xml:space="preserve">The </w:t>
      </w:r>
      <w:r w:rsidR="001C762E">
        <w:t xml:space="preserve">S151 Officer </w:t>
      </w:r>
      <w:r w:rsidRPr="00FF3003">
        <w:t>has reviewed the adequacy and level of reserves to ensure that funds are still available to support investment in innovative solutions and ensure the level is adequate to meet one</w:t>
      </w:r>
      <w:r w:rsidR="003F410A">
        <w:t>-</w:t>
      </w:r>
      <w:r w:rsidRPr="00FF3003">
        <w:t>off short term funding shortfalls if savings and efficiencies are not identified.</w:t>
      </w:r>
    </w:p>
    <w:p w14:paraId="600DE99F" w14:textId="77777777" w:rsidR="00D117C6" w:rsidRPr="00D117C6" w:rsidRDefault="00D117C6" w:rsidP="00D117C6">
      <w:pPr>
        <w:pStyle w:val="PanelPara"/>
      </w:pPr>
      <w:r w:rsidRPr="00D117C6">
        <w:t>The budget and precept recognise the importance of collaborative working with Police and the OPFCC, with enabling services support areas embedded across Fire and Policing under the leadership and direction of the Joint Assistant Chief Officer for Enabling Services.</w:t>
      </w:r>
    </w:p>
    <w:p w14:paraId="7074C81A" w14:textId="4959F49C" w:rsidR="0081696D" w:rsidRPr="005416FC" w:rsidRDefault="001C762E" w:rsidP="001722C3">
      <w:pPr>
        <w:pStyle w:val="PanelPara"/>
      </w:pPr>
      <w:bookmarkStart w:id="1" w:name="_Hlk156379198"/>
      <w:r w:rsidRPr="005416FC">
        <w:t>The PFCC requires both services to actively seek opportunities to work together to</w:t>
      </w:r>
      <w:r>
        <w:t xml:space="preserve"> </w:t>
      </w:r>
      <w:r w:rsidRPr="005416FC">
        <w:t>deliver more efficient and effective public services and in 202</w:t>
      </w:r>
      <w:r w:rsidR="0081696D">
        <w:t>4</w:t>
      </w:r>
      <w:r w:rsidRPr="005416FC">
        <w:t>/2</w:t>
      </w:r>
      <w:r w:rsidR="0081696D">
        <w:t>5</w:t>
      </w:r>
      <w:r w:rsidRPr="005416FC">
        <w:t xml:space="preserve"> it is intended that opportunities bring together further support services teams will be explored and progressed</w:t>
      </w:r>
      <w:r w:rsidR="0081696D">
        <w:t xml:space="preserve">, and that existing shared arrangements are regularly reviewed and optimised. </w:t>
      </w:r>
    </w:p>
    <w:bookmarkEnd w:id="1"/>
    <w:p w14:paraId="25A9653A" w14:textId="6C01BDEC" w:rsidR="007B0947" w:rsidRPr="00850F04" w:rsidRDefault="002E5EBA" w:rsidP="001722C3">
      <w:pPr>
        <w:pStyle w:val="PanelPara"/>
      </w:pPr>
      <w:r w:rsidRPr="00850F04">
        <w:lastRenderedPageBreak/>
        <w:t xml:space="preserve">The policing budget and precept also takes forward the statutory duty </w:t>
      </w:r>
      <w:r w:rsidR="003F410A" w:rsidRPr="00850F04">
        <w:t xml:space="preserve">for emergency services </w:t>
      </w:r>
      <w:r w:rsidRPr="00850F04">
        <w:t xml:space="preserve">to collaborate </w:t>
      </w:r>
      <w:r w:rsidR="003F410A" w:rsidRPr="00850F04">
        <w:t xml:space="preserve">which </w:t>
      </w:r>
      <w:r w:rsidRPr="00850F04">
        <w:t>means the services should be actively seeking opportunities to work together to deliver more efficient and effective public services.</w:t>
      </w:r>
      <w:r w:rsidR="0081696D">
        <w:t xml:space="preserve"> </w:t>
      </w:r>
      <w:r w:rsidRPr="00850F04">
        <w:t xml:space="preserve"> As such, both </w:t>
      </w:r>
      <w:r w:rsidR="003F410A" w:rsidRPr="00850F04">
        <w:t xml:space="preserve">Police and </w:t>
      </w:r>
      <w:r w:rsidR="00CE50ED" w:rsidRPr="00850F04">
        <w:t xml:space="preserve">Fire Budget agreements for </w:t>
      </w:r>
      <w:r w:rsidR="00220144" w:rsidRPr="00850F04">
        <w:t>202</w:t>
      </w:r>
      <w:r w:rsidR="0081696D">
        <w:t>4</w:t>
      </w:r>
      <w:r w:rsidR="00220144" w:rsidRPr="00850F04">
        <w:t>/2</w:t>
      </w:r>
      <w:r w:rsidR="0081696D">
        <w:t>5</w:t>
      </w:r>
      <w:r w:rsidR="00CE50ED" w:rsidRPr="00850F04">
        <w:t xml:space="preserve"> will </w:t>
      </w:r>
      <w:r w:rsidR="00400E85" w:rsidRPr="00850F04">
        <w:t xml:space="preserve">again </w:t>
      </w:r>
      <w:r w:rsidR="00CE50ED" w:rsidRPr="00850F04">
        <w:t xml:space="preserve">demonstrate the PFCC commitment to collaboration, </w:t>
      </w:r>
      <w:r w:rsidR="003C7194" w:rsidRPr="00850F04">
        <w:t>including g</w:t>
      </w:r>
      <w:r w:rsidR="00CE50ED" w:rsidRPr="00850F04">
        <w:t xml:space="preserve">reater integration between police and fire and rescue to reinvest in frontline services. </w:t>
      </w:r>
      <w:r w:rsidR="0081696D">
        <w:t xml:space="preserve"> </w:t>
      </w:r>
      <w:r w:rsidR="00CE50ED" w:rsidRPr="00850F04">
        <w:t>It is the PFCC’s expectation that, over time, the following areas will be delivered:</w:t>
      </w:r>
    </w:p>
    <w:p w14:paraId="6E9D3397" w14:textId="77777777" w:rsidR="00CE50ED" w:rsidRPr="00850F04" w:rsidRDefault="00CE50ED" w:rsidP="00640ACC">
      <w:pPr>
        <w:pStyle w:val="PanelBullet"/>
      </w:pPr>
      <w:r w:rsidRPr="00850F04">
        <w:t>Shared Services</w:t>
      </w:r>
    </w:p>
    <w:p w14:paraId="1FD119AD" w14:textId="54F8F2A0" w:rsidR="00CE50ED" w:rsidRPr="00850F04" w:rsidRDefault="00CE50ED" w:rsidP="00640ACC">
      <w:pPr>
        <w:pStyle w:val="PanelBullet"/>
      </w:pPr>
      <w:r w:rsidRPr="00850F04">
        <w:t xml:space="preserve">Shared </w:t>
      </w:r>
      <w:r w:rsidR="003F410A" w:rsidRPr="00850F04">
        <w:t>estates strategy</w:t>
      </w:r>
    </w:p>
    <w:p w14:paraId="33D2B207" w14:textId="017A0216" w:rsidR="00CE50ED" w:rsidRPr="00850F04" w:rsidRDefault="00CE50ED" w:rsidP="00640ACC">
      <w:pPr>
        <w:pStyle w:val="PanelBullet"/>
      </w:pPr>
      <w:r w:rsidRPr="00850F04">
        <w:t xml:space="preserve">Shared </w:t>
      </w:r>
      <w:r w:rsidR="003F410A" w:rsidRPr="00850F04">
        <w:t>prevention approaches</w:t>
      </w:r>
    </w:p>
    <w:p w14:paraId="35048884" w14:textId="40AEA4F0" w:rsidR="00CE50ED" w:rsidRPr="00850F04" w:rsidRDefault="00D6728D" w:rsidP="00640ACC">
      <w:pPr>
        <w:pStyle w:val="PanelBullet"/>
      </w:pPr>
      <w:r w:rsidRPr="00850F04">
        <w:t xml:space="preserve">Operational </w:t>
      </w:r>
      <w:r w:rsidR="003F410A" w:rsidRPr="00850F04">
        <w:t>interoperability</w:t>
      </w:r>
    </w:p>
    <w:p w14:paraId="09F5FEDB" w14:textId="271CC4B7" w:rsidR="00177FA7" w:rsidRPr="00083DE2" w:rsidRDefault="00644CE4" w:rsidP="00640ACC">
      <w:pPr>
        <w:pStyle w:val="PanelBullet"/>
      </w:pPr>
      <w:r w:rsidRPr="00850F04">
        <w:t xml:space="preserve">Control </w:t>
      </w:r>
      <w:r w:rsidR="003F410A" w:rsidRPr="00850F04">
        <w:t>rooms</w:t>
      </w:r>
    </w:p>
    <w:p w14:paraId="2E89B83A" w14:textId="19343AE0" w:rsidR="002E5EBA" w:rsidRPr="00047BC3" w:rsidRDefault="002E5EBA" w:rsidP="001722C3">
      <w:pPr>
        <w:pStyle w:val="PanelPara"/>
      </w:pPr>
      <w:r w:rsidRPr="00047BC3">
        <w:t xml:space="preserve">The PFCC has been briefed on the current and emerging operational and demand challenges and these have informed discussion on the budget allocation to the </w:t>
      </w:r>
      <w:r w:rsidR="009E47D7">
        <w:t>Chief Constable</w:t>
      </w:r>
      <w:r w:rsidRPr="00047BC3">
        <w:t xml:space="preserve"> for </w:t>
      </w:r>
      <w:r w:rsidR="00220144" w:rsidRPr="00047BC3">
        <w:t>202</w:t>
      </w:r>
      <w:r w:rsidR="0081696D">
        <w:t>4</w:t>
      </w:r>
      <w:r w:rsidR="00220144" w:rsidRPr="00047BC3">
        <w:t>/2</w:t>
      </w:r>
      <w:r w:rsidR="0081696D">
        <w:t>5</w:t>
      </w:r>
      <w:r w:rsidRPr="00047BC3">
        <w:t xml:space="preserve"> and future years.  </w:t>
      </w:r>
    </w:p>
    <w:p w14:paraId="1F48268F" w14:textId="741F1F81" w:rsidR="007F0E17" w:rsidRPr="00083DE2" w:rsidRDefault="00001C7E" w:rsidP="001722C3">
      <w:pPr>
        <w:pStyle w:val="PanelPara"/>
      </w:pPr>
      <w:r w:rsidRPr="00047BC3">
        <w:t xml:space="preserve">The PFCC </w:t>
      </w:r>
      <w:r w:rsidR="001C762E">
        <w:t>believes</w:t>
      </w:r>
      <w:r w:rsidR="00395E90" w:rsidRPr="00047BC3">
        <w:t xml:space="preserve"> </w:t>
      </w:r>
      <w:r w:rsidRPr="00047BC3">
        <w:t xml:space="preserve">that </w:t>
      </w:r>
      <w:r w:rsidR="00395E90" w:rsidRPr="00047BC3">
        <w:t xml:space="preserve">Northamptonshire is not served well by the </w:t>
      </w:r>
      <w:r w:rsidRPr="00047BC3">
        <w:t>current grant funding formula</w:t>
      </w:r>
      <w:r w:rsidR="00395E90" w:rsidRPr="00047BC3">
        <w:t xml:space="preserve">; that the county is </w:t>
      </w:r>
      <w:r w:rsidR="007F0E17" w:rsidRPr="00047BC3">
        <w:t>not fairly funded</w:t>
      </w:r>
      <w:r w:rsidRPr="00047BC3">
        <w:t xml:space="preserve"> in comparison to both regional and national peers</w:t>
      </w:r>
      <w:r w:rsidR="00395E90" w:rsidRPr="00047BC3">
        <w:t xml:space="preserve"> and that local residents should not pay more for their services than other counties. </w:t>
      </w:r>
      <w:r w:rsidR="0081696D">
        <w:t xml:space="preserve"> </w:t>
      </w:r>
      <w:r w:rsidR="00CF2932" w:rsidRPr="00047BC3">
        <w:t>Every year the formula is not update</w:t>
      </w:r>
      <w:r w:rsidR="003F410A">
        <w:t>d</w:t>
      </w:r>
      <w:r w:rsidR="0081696D">
        <w:t xml:space="preserve">, </w:t>
      </w:r>
      <w:r w:rsidR="00CF2932" w:rsidRPr="00047BC3">
        <w:t xml:space="preserve">Northamptonshire is detrimentally affected. </w:t>
      </w:r>
      <w:r w:rsidR="0081696D">
        <w:t xml:space="preserve"> </w:t>
      </w:r>
      <w:r w:rsidR="00CF2932" w:rsidRPr="00047BC3">
        <w:t>He has and will continue to make national representation in this regard.</w:t>
      </w:r>
    </w:p>
    <w:p w14:paraId="04DAD9D6" w14:textId="4704D938" w:rsidR="009455E6" w:rsidRDefault="009455E6" w:rsidP="00FF3003">
      <w:pPr>
        <w:spacing w:after="0" w:line="240" w:lineRule="auto"/>
        <w:ind w:left="567"/>
        <w:jc w:val="both"/>
        <w:rPr>
          <w:rFonts w:asciiTheme="minorHAnsi" w:hAnsiTheme="minorHAnsi" w:cstheme="minorHAnsi"/>
          <w:b/>
          <w:sz w:val="24"/>
          <w:szCs w:val="24"/>
        </w:rPr>
      </w:pPr>
      <w:r>
        <w:rPr>
          <w:rFonts w:asciiTheme="minorHAnsi" w:hAnsiTheme="minorHAnsi" w:cstheme="minorHAnsi"/>
          <w:b/>
          <w:sz w:val="24"/>
          <w:szCs w:val="24"/>
        </w:rPr>
        <w:t xml:space="preserve">As such, given the current and future financial challenges and uncertainties, this requires </w:t>
      </w:r>
      <w:r w:rsidR="006730C2">
        <w:rPr>
          <w:rFonts w:asciiTheme="minorHAnsi" w:hAnsiTheme="minorHAnsi" w:cstheme="minorHAnsi"/>
          <w:b/>
          <w:sz w:val="24"/>
          <w:szCs w:val="24"/>
        </w:rPr>
        <w:t xml:space="preserve">the PFCC </w:t>
      </w:r>
      <w:r>
        <w:rPr>
          <w:rFonts w:asciiTheme="minorHAnsi" w:hAnsiTheme="minorHAnsi" w:cstheme="minorHAnsi"/>
          <w:b/>
          <w:sz w:val="24"/>
          <w:szCs w:val="24"/>
        </w:rPr>
        <w:t xml:space="preserve">to propose a </w:t>
      </w:r>
      <w:r w:rsidR="003B2C75" w:rsidRPr="00F54149">
        <w:rPr>
          <w:rFonts w:asciiTheme="minorHAnsi" w:hAnsiTheme="minorHAnsi" w:cstheme="minorHAnsi"/>
          <w:b/>
          <w:sz w:val="24"/>
          <w:szCs w:val="24"/>
        </w:rPr>
        <w:t xml:space="preserve">precept increase of </w:t>
      </w:r>
      <w:r w:rsidR="00F2411F" w:rsidRPr="00F54149">
        <w:rPr>
          <w:rFonts w:asciiTheme="minorHAnsi" w:hAnsiTheme="minorHAnsi" w:cstheme="minorHAnsi"/>
          <w:b/>
          <w:bCs/>
          <w:sz w:val="24"/>
          <w:szCs w:val="24"/>
        </w:rPr>
        <w:t>£</w:t>
      </w:r>
      <w:r w:rsidR="005A3E68" w:rsidRPr="00F54149">
        <w:rPr>
          <w:rFonts w:asciiTheme="minorHAnsi" w:hAnsiTheme="minorHAnsi" w:cstheme="minorHAnsi"/>
          <w:b/>
          <w:bCs/>
          <w:sz w:val="24"/>
          <w:szCs w:val="24"/>
        </w:rPr>
        <w:t>1</w:t>
      </w:r>
      <w:r w:rsidR="0081696D">
        <w:rPr>
          <w:rFonts w:asciiTheme="minorHAnsi" w:hAnsiTheme="minorHAnsi" w:cstheme="minorHAnsi"/>
          <w:b/>
          <w:bCs/>
          <w:sz w:val="24"/>
          <w:szCs w:val="24"/>
        </w:rPr>
        <w:t>3</w:t>
      </w:r>
      <w:r w:rsidR="00393FE3" w:rsidRPr="00F54149">
        <w:rPr>
          <w:rFonts w:asciiTheme="minorHAnsi" w:hAnsiTheme="minorHAnsi" w:cstheme="minorHAnsi"/>
          <w:b/>
          <w:bCs/>
          <w:sz w:val="24"/>
          <w:szCs w:val="24"/>
        </w:rPr>
        <w:t xml:space="preserve"> </w:t>
      </w:r>
      <w:r w:rsidR="00BB53B6" w:rsidRPr="00F54149">
        <w:rPr>
          <w:rFonts w:asciiTheme="minorHAnsi" w:hAnsiTheme="minorHAnsi" w:cstheme="minorHAnsi"/>
          <w:b/>
          <w:bCs/>
          <w:sz w:val="24"/>
          <w:szCs w:val="24"/>
        </w:rPr>
        <w:t xml:space="preserve">a </w:t>
      </w:r>
      <w:r w:rsidR="00BB53B6" w:rsidRPr="0081696D">
        <w:rPr>
          <w:rFonts w:asciiTheme="minorHAnsi" w:hAnsiTheme="minorHAnsi" w:cstheme="minorHAnsi"/>
          <w:b/>
          <w:bCs/>
          <w:sz w:val="24"/>
          <w:szCs w:val="24"/>
        </w:rPr>
        <w:t>year</w:t>
      </w:r>
      <w:r w:rsidR="00F306A9" w:rsidRPr="0081696D">
        <w:rPr>
          <w:rFonts w:asciiTheme="minorHAnsi" w:hAnsiTheme="minorHAnsi" w:cstheme="minorHAnsi"/>
          <w:b/>
          <w:bCs/>
          <w:sz w:val="24"/>
          <w:szCs w:val="24"/>
        </w:rPr>
        <w:t xml:space="preserve"> </w:t>
      </w:r>
      <w:r w:rsidR="00403A5D" w:rsidRPr="0081696D">
        <w:rPr>
          <w:rFonts w:asciiTheme="minorHAnsi" w:hAnsiTheme="minorHAnsi" w:cstheme="minorHAnsi"/>
          <w:b/>
          <w:bCs/>
          <w:sz w:val="24"/>
          <w:szCs w:val="24"/>
        </w:rPr>
        <w:t>(</w:t>
      </w:r>
      <w:r w:rsidR="00F54149" w:rsidRPr="0081696D">
        <w:rPr>
          <w:rFonts w:asciiTheme="minorHAnsi" w:hAnsiTheme="minorHAnsi" w:cstheme="minorHAnsi"/>
          <w:b/>
          <w:bCs/>
          <w:sz w:val="24"/>
          <w:szCs w:val="24"/>
        </w:rPr>
        <w:t>2</w:t>
      </w:r>
      <w:r w:rsidR="0081696D" w:rsidRPr="0081696D">
        <w:rPr>
          <w:rFonts w:asciiTheme="minorHAnsi" w:hAnsiTheme="minorHAnsi" w:cstheme="minorHAnsi"/>
          <w:b/>
          <w:bCs/>
          <w:sz w:val="24"/>
          <w:szCs w:val="24"/>
        </w:rPr>
        <w:t>5</w:t>
      </w:r>
      <w:r w:rsidR="00403A5D" w:rsidRPr="0081696D">
        <w:rPr>
          <w:rFonts w:asciiTheme="minorHAnsi" w:hAnsiTheme="minorHAnsi" w:cstheme="minorHAnsi"/>
          <w:b/>
          <w:bCs/>
          <w:sz w:val="24"/>
          <w:szCs w:val="24"/>
        </w:rPr>
        <w:t xml:space="preserve"> pence</w:t>
      </w:r>
      <w:r w:rsidR="00403A5D" w:rsidRPr="00F54149">
        <w:rPr>
          <w:rFonts w:asciiTheme="minorHAnsi" w:hAnsiTheme="minorHAnsi" w:cstheme="minorHAnsi"/>
          <w:b/>
          <w:bCs/>
          <w:sz w:val="24"/>
          <w:szCs w:val="24"/>
        </w:rPr>
        <w:t xml:space="preserve"> per week) </w:t>
      </w:r>
      <w:r w:rsidR="00C536DE">
        <w:rPr>
          <w:rFonts w:asciiTheme="minorHAnsi" w:hAnsiTheme="minorHAnsi" w:cstheme="minorHAnsi"/>
          <w:b/>
          <w:bCs/>
          <w:sz w:val="24"/>
          <w:szCs w:val="24"/>
        </w:rPr>
        <w:t>to £</w:t>
      </w:r>
      <w:r w:rsidR="0081696D">
        <w:rPr>
          <w:rFonts w:asciiTheme="minorHAnsi" w:hAnsiTheme="minorHAnsi" w:cstheme="minorHAnsi"/>
          <w:b/>
          <w:bCs/>
          <w:sz w:val="24"/>
          <w:szCs w:val="24"/>
        </w:rPr>
        <w:t>306</w:t>
      </w:r>
      <w:r w:rsidR="00C536DE">
        <w:rPr>
          <w:rFonts w:asciiTheme="minorHAnsi" w:hAnsiTheme="minorHAnsi" w:cstheme="minorHAnsi"/>
          <w:b/>
          <w:bCs/>
          <w:sz w:val="24"/>
          <w:szCs w:val="24"/>
        </w:rPr>
        <w:t xml:space="preserve">.04 </w:t>
      </w:r>
      <w:r w:rsidR="003B2C75" w:rsidRPr="00F54149">
        <w:rPr>
          <w:rFonts w:asciiTheme="minorHAnsi" w:hAnsiTheme="minorHAnsi" w:cstheme="minorHAnsi"/>
          <w:b/>
          <w:sz w:val="24"/>
          <w:szCs w:val="24"/>
        </w:rPr>
        <w:t xml:space="preserve">for </w:t>
      </w:r>
      <w:r>
        <w:rPr>
          <w:rFonts w:asciiTheme="minorHAnsi" w:hAnsiTheme="minorHAnsi" w:cstheme="minorHAnsi"/>
          <w:b/>
          <w:sz w:val="24"/>
          <w:szCs w:val="24"/>
        </w:rPr>
        <w:t>a Band D property.</w:t>
      </w:r>
    </w:p>
    <w:p w14:paraId="685B2B1E" w14:textId="77777777" w:rsidR="009455E6" w:rsidRDefault="009455E6" w:rsidP="00FF3003">
      <w:pPr>
        <w:spacing w:after="0" w:line="240" w:lineRule="auto"/>
        <w:ind w:left="567"/>
        <w:jc w:val="both"/>
        <w:rPr>
          <w:rFonts w:asciiTheme="minorHAnsi" w:hAnsiTheme="minorHAnsi" w:cstheme="minorHAnsi"/>
          <w:b/>
          <w:sz w:val="24"/>
          <w:szCs w:val="24"/>
        </w:rPr>
      </w:pPr>
    </w:p>
    <w:p w14:paraId="2DFBF1AD" w14:textId="4EFE2A96" w:rsidR="00403A5D" w:rsidRPr="00F54149" w:rsidRDefault="009455E6" w:rsidP="00FF3003">
      <w:pPr>
        <w:spacing w:after="0" w:line="240" w:lineRule="auto"/>
        <w:ind w:left="567"/>
        <w:jc w:val="both"/>
        <w:rPr>
          <w:rFonts w:asciiTheme="minorHAnsi" w:hAnsiTheme="minorHAnsi" w:cstheme="minorHAnsi"/>
          <w:b/>
          <w:sz w:val="24"/>
          <w:szCs w:val="24"/>
        </w:rPr>
      </w:pPr>
      <w:r>
        <w:rPr>
          <w:rFonts w:asciiTheme="minorHAnsi" w:hAnsiTheme="minorHAnsi" w:cstheme="minorHAnsi"/>
          <w:b/>
          <w:sz w:val="24"/>
          <w:szCs w:val="24"/>
        </w:rPr>
        <w:t>This will enable Police to maintain the investment in 1</w:t>
      </w:r>
      <w:r w:rsidR="001D0E11">
        <w:rPr>
          <w:rFonts w:asciiTheme="minorHAnsi" w:hAnsiTheme="minorHAnsi" w:cstheme="minorHAnsi"/>
          <w:b/>
          <w:sz w:val="24"/>
          <w:szCs w:val="24"/>
        </w:rPr>
        <w:t>,</w:t>
      </w:r>
      <w:r>
        <w:rPr>
          <w:rFonts w:asciiTheme="minorHAnsi" w:hAnsiTheme="minorHAnsi" w:cstheme="minorHAnsi"/>
          <w:b/>
          <w:sz w:val="24"/>
          <w:szCs w:val="24"/>
        </w:rPr>
        <w:t xml:space="preserve">500 </w:t>
      </w:r>
      <w:r w:rsidR="005A3E68" w:rsidRPr="00F54149">
        <w:rPr>
          <w:rFonts w:asciiTheme="minorHAnsi" w:hAnsiTheme="minorHAnsi" w:cstheme="minorHAnsi"/>
          <w:b/>
          <w:sz w:val="24"/>
          <w:szCs w:val="24"/>
        </w:rPr>
        <w:t>police officers</w:t>
      </w:r>
      <w:r w:rsidR="00F2411F" w:rsidRPr="00F54149">
        <w:rPr>
          <w:rFonts w:asciiTheme="minorHAnsi" w:hAnsiTheme="minorHAnsi" w:cstheme="minorHAnsi"/>
          <w:b/>
          <w:sz w:val="24"/>
          <w:szCs w:val="24"/>
        </w:rPr>
        <w:t xml:space="preserve">, </w:t>
      </w:r>
      <w:r>
        <w:rPr>
          <w:rFonts w:asciiTheme="minorHAnsi" w:hAnsiTheme="minorHAnsi" w:cstheme="minorHAnsi"/>
          <w:b/>
          <w:sz w:val="24"/>
          <w:szCs w:val="24"/>
        </w:rPr>
        <w:t xml:space="preserve">maintain an adequate level of reserves and </w:t>
      </w:r>
      <w:r w:rsidR="003B2C75" w:rsidRPr="00F54149">
        <w:rPr>
          <w:rFonts w:asciiTheme="minorHAnsi" w:hAnsiTheme="minorHAnsi" w:cstheme="minorHAnsi"/>
          <w:b/>
          <w:sz w:val="24"/>
          <w:szCs w:val="24"/>
        </w:rPr>
        <w:t>safeguard policing services</w:t>
      </w:r>
      <w:r w:rsidR="00B96947" w:rsidRPr="00F54149">
        <w:rPr>
          <w:rFonts w:asciiTheme="minorHAnsi" w:hAnsiTheme="minorHAnsi" w:cstheme="minorHAnsi"/>
          <w:b/>
          <w:sz w:val="24"/>
          <w:szCs w:val="24"/>
        </w:rPr>
        <w:t xml:space="preserve"> </w:t>
      </w:r>
      <w:r w:rsidR="00886CB0" w:rsidRPr="00F54149">
        <w:rPr>
          <w:rFonts w:asciiTheme="minorHAnsi" w:hAnsiTheme="minorHAnsi" w:cstheme="minorHAnsi"/>
          <w:b/>
          <w:sz w:val="24"/>
          <w:szCs w:val="24"/>
        </w:rPr>
        <w:t>in Northamptonshire</w:t>
      </w:r>
      <w:r w:rsidR="003C625E" w:rsidRPr="00F54149">
        <w:rPr>
          <w:rFonts w:asciiTheme="minorHAnsi" w:hAnsiTheme="minorHAnsi" w:cstheme="minorHAnsi"/>
          <w:b/>
          <w:sz w:val="24"/>
          <w:szCs w:val="24"/>
        </w:rPr>
        <w:t xml:space="preserve">. </w:t>
      </w:r>
    </w:p>
    <w:p w14:paraId="21347F15" w14:textId="0FB5728C" w:rsidR="009455E6" w:rsidRDefault="009455E6" w:rsidP="00476743">
      <w:pPr>
        <w:pStyle w:val="ListParagraph"/>
        <w:spacing w:after="0" w:line="240" w:lineRule="auto"/>
        <w:ind w:left="567"/>
        <w:jc w:val="both"/>
        <w:rPr>
          <w:rFonts w:asciiTheme="minorHAnsi" w:hAnsiTheme="minorHAnsi" w:cstheme="minorHAnsi"/>
          <w:b/>
          <w:sz w:val="24"/>
          <w:szCs w:val="24"/>
        </w:rPr>
      </w:pPr>
    </w:p>
    <w:p w14:paraId="3EF819AF" w14:textId="77777777" w:rsidR="001D0E11" w:rsidRDefault="001D0E11" w:rsidP="00476743">
      <w:pPr>
        <w:pStyle w:val="ListParagraph"/>
        <w:spacing w:after="0" w:line="240" w:lineRule="auto"/>
        <w:ind w:left="567"/>
        <w:jc w:val="both"/>
        <w:rPr>
          <w:rFonts w:asciiTheme="minorHAnsi" w:hAnsiTheme="minorHAnsi" w:cstheme="minorHAnsi"/>
          <w:b/>
          <w:sz w:val="24"/>
          <w:szCs w:val="24"/>
        </w:rPr>
      </w:pPr>
    </w:p>
    <w:p w14:paraId="7567F7AA" w14:textId="77777777" w:rsidR="006400EB" w:rsidRDefault="006400EB">
      <w:pPr>
        <w:spacing w:after="0" w:line="240" w:lineRule="auto"/>
        <w:rPr>
          <w:rFonts w:asciiTheme="minorHAnsi" w:hAnsiTheme="minorHAnsi" w:cstheme="minorHAnsi"/>
          <w:b/>
          <w:sz w:val="24"/>
          <w:szCs w:val="24"/>
        </w:rPr>
      </w:pPr>
      <w:r>
        <w:br w:type="page"/>
      </w:r>
    </w:p>
    <w:p w14:paraId="36483DE9" w14:textId="5E68CC06" w:rsidR="00E45790" w:rsidRPr="00DC7955" w:rsidRDefault="003A2B26" w:rsidP="009B0902">
      <w:pPr>
        <w:pStyle w:val="PanelHeading"/>
      </w:pPr>
      <w:r w:rsidRPr="00DC7955">
        <w:lastRenderedPageBreak/>
        <w:t>Funding Formula and Population</w:t>
      </w:r>
    </w:p>
    <w:p w14:paraId="0E85DBCA" w14:textId="3ABEE877" w:rsidR="003A2B26" w:rsidRDefault="003A2B26" w:rsidP="00083DE2">
      <w:pPr>
        <w:pStyle w:val="PanelPara"/>
      </w:pPr>
      <w:r w:rsidRPr="00DC7955">
        <w:t>The National Police Funding Formula</w:t>
      </w:r>
      <w:r w:rsidR="006730C2">
        <w:t>,</w:t>
      </w:r>
      <w:r w:rsidRPr="00DC7955">
        <w:t xml:space="preserve"> which accounts for around </w:t>
      </w:r>
      <w:r w:rsidRPr="004E111D">
        <w:t>5</w:t>
      </w:r>
      <w:r w:rsidR="004E111D" w:rsidRPr="004E111D">
        <w:t>6</w:t>
      </w:r>
      <w:r w:rsidRPr="004E111D">
        <w:t>%</w:t>
      </w:r>
      <w:r w:rsidRPr="00DC7955">
        <w:t xml:space="preserve"> of Northamptonshire’s funding</w:t>
      </w:r>
      <w:r w:rsidR="006730C2">
        <w:t>,</w:t>
      </w:r>
      <w:r w:rsidRPr="00DC7955">
        <w:t xml:space="preserve"> includes population as a key factor in the allocations. </w:t>
      </w:r>
      <w:r w:rsidR="0081696D">
        <w:t xml:space="preserve"> </w:t>
      </w:r>
      <w:r w:rsidRPr="00DC7955">
        <w:t>However, the formula was “frozen” in 2011/12 and annual increases have been on the basis of inflation and additional officers since that time.</w:t>
      </w:r>
    </w:p>
    <w:p w14:paraId="5E437F22" w14:textId="47AAF967" w:rsidR="002424FB" w:rsidRPr="00083DE2" w:rsidRDefault="002424FB" w:rsidP="00083DE2">
      <w:pPr>
        <w:pStyle w:val="PanelPara"/>
      </w:pPr>
      <w:r w:rsidRPr="00083DE2">
        <w:t xml:space="preserve">Work had been underway on a review of the formula with an initial view of implementation in 2018/19 and in his letter to PFCCs on the 19 December 2017 on the Provisional Police Grant Settlement for 2018/19, the then </w:t>
      </w:r>
      <w:r w:rsidR="00C536DE" w:rsidRPr="00083DE2">
        <w:t xml:space="preserve">Policing </w:t>
      </w:r>
      <w:r w:rsidRPr="00083DE2">
        <w:t xml:space="preserve">Minister advised: </w:t>
      </w:r>
    </w:p>
    <w:p w14:paraId="2466CAC1" w14:textId="503D2B9E" w:rsidR="002424FB" w:rsidRPr="00DC7955" w:rsidRDefault="002424FB" w:rsidP="00476743">
      <w:pPr>
        <w:spacing w:after="0" w:line="240" w:lineRule="auto"/>
        <w:ind w:left="567" w:hanging="567"/>
        <w:jc w:val="both"/>
        <w:rPr>
          <w:rFonts w:asciiTheme="minorHAnsi" w:hAnsiTheme="minorHAnsi" w:cstheme="minorHAnsi"/>
          <w:b/>
          <w:bCs/>
          <w:i/>
          <w:iCs/>
          <w:sz w:val="24"/>
          <w:szCs w:val="24"/>
        </w:rPr>
      </w:pPr>
      <w:r w:rsidRPr="00DC7955">
        <w:rPr>
          <w:rFonts w:asciiTheme="minorHAnsi" w:hAnsiTheme="minorHAnsi" w:cstheme="minorHAnsi"/>
          <w:sz w:val="24"/>
          <w:szCs w:val="24"/>
        </w:rPr>
        <w:tab/>
      </w:r>
      <w:r w:rsidRPr="00DC7955">
        <w:rPr>
          <w:rFonts w:asciiTheme="minorHAnsi" w:hAnsiTheme="minorHAnsi" w:cstheme="minorHAnsi"/>
          <w:b/>
          <w:bCs/>
          <w:i/>
          <w:iCs/>
          <w:sz w:val="24"/>
          <w:szCs w:val="24"/>
        </w:rPr>
        <w:t xml:space="preserve">“In the context of changing demand and following my engagement with Police leaders, providing funding certainty for </w:t>
      </w:r>
      <w:r w:rsidR="00220144" w:rsidRPr="00DC7955">
        <w:rPr>
          <w:rFonts w:asciiTheme="minorHAnsi" w:hAnsiTheme="minorHAnsi" w:cstheme="minorHAnsi"/>
          <w:b/>
          <w:bCs/>
          <w:i/>
          <w:iCs/>
          <w:sz w:val="24"/>
          <w:szCs w:val="24"/>
        </w:rPr>
        <w:t>2022/23</w:t>
      </w:r>
      <w:r w:rsidRPr="00DC7955">
        <w:rPr>
          <w:rFonts w:asciiTheme="minorHAnsi" w:hAnsiTheme="minorHAnsi" w:cstheme="minorHAnsi"/>
          <w:b/>
          <w:bCs/>
          <w:i/>
          <w:iCs/>
          <w:sz w:val="24"/>
          <w:szCs w:val="24"/>
        </w:rPr>
        <w:t xml:space="preserve"> is my immediate priority. We will revisit the funding formula at the next spending review.” </w:t>
      </w:r>
    </w:p>
    <w:p w14:paraId="167D1539" w14:textId="77777777" w:rsidR="002424FB" w:rsidRPr="00DC7955" w:rsidRDefault="002424FB" w:rsidP="00476743">
      <w:pPr>
        <w:spacing w:after="0" w:line="240" w:lineRule="auto"/>
        <w:ind w:left="851" w:hanging="851"/>
        <w:jc w:val="both"/>
        <w:rPr>
          <w:rFonts w:asciiTheme="minorHAnsi" w:hAnsiTheme="minorHAnsi" w:cstheme="minorHAnsi"/>
          <w:sz w:val="24"/>
          <w:szCs w:val="24"/>
        </w:rPr>
      </w:pPr>
    </w:p>
    <w:p w14:paraId="06A133C8" w14:textId="4F7E4B2A" w:rsidR="002424FB" w:rsidRPr="00083DE2" w:rsidRDefault="002424FB" w:rsidP="001722C3">
      <w:pPr>
        <w:pStyle w:val="PanelPara"/>
      </w:pPr>
      <w:r w:rsidRPr="00DC7955">
        <w:t>Whilst the formula has not been reviewed in the current spending review</w:t>
      </w:r>
      <w:r w:rsidR="008A0CC5" w:rsidRPr="00DC7955">
        <w:t xml:space="preserve"> (SR2021)</w:t>
      </w:r>
      <w:r w:rsidR="00047BC3" w:rsidRPr="00DC7955">
        <w:t xml:space="preserve"> or the Autumn Statement 202</w:t>
      </w:r>
      <w:r w:rsidR="0081696D">
        <w:t>3</w:t>
      </w:r>
      <w:r w:rsidRPr="00DC7955">
        <w:t>, work on the long</w:t>
      </w:r>
      <w:r w:rsidR="003F410A">
        <w:t>-</w:t>
      </w:r>
      <w:r w:rsidRPr="00DC7955">
        <w:t>awaited funding formula review is underway</w:t>
      </w:r>
      <w:r w:rsidR="00A3220A" w:rsidRPr="00DC7955">
        <w:t>.</w:t>
      </w:r>
    </w:p>
    <w:p w14:paraId="1E4D2C3E" w14:textId="16669BC7" w:rsidR="003A2B26" w:rsidRPr="00714D2B" w:rsidRDefault="002424FB" w:rsidP="00714D2B">
      <w:pPr>
        <w:pStyle w:val="PanelPara"/>
      </w:pPr>
      <w:r w:rsidRPr="00714D2B">
        <w:t xml:space="preserve">A significant part of the current formula is based on population. </w:t>
      </w:r>
      <w:r w:rsidR="0081696D" w:rsidRPr="00714D2B">
        <w:t xml:space="preserve"> </w:t>
      </w:r>
      <w:r w:rsidR="00297F08" w:rsidRPr="00714D2B">
        <w:t xml:space="preserve">In 2002, Northamptonshire’s </w:t>
      </w:r>
      <w:r w:rsidR="00644CE4" w:rsidRPr="00714D2B">
        <w:t xml:space="preserve">population growth was </w:t>
      </w:r>
      <w:r w:rsidR="00060568" w:rsidRPr="00714D2B">
        <w:t xml:space="preserve">around </w:t>
      </w:r>
      <w:r w:rsidR="00644CE4" w:rsidRPr="00714D2B">
        <w:t xml:space="preserve">0.5% more than the national average. </w:t>
      </w:r>
      <w:r w:rsidR="0081696D" w:rsidRPr="00714D2B">
        <w:t xml:space="preserve"> </w:t>
      </w:r>
      <w:r w:rsidR="00644CE4" w:rsidRPr="00714D2B">
        <w:t>By m</w:t>
      </w:r>
      <w:r w:rsidR="003A2B26" w:rsidRPr="00714D2B">
        <w:t>id-202</w:t>
      </w:r>
      <w:r w:rsidR="006E295B" w:rsidRPr="00714D2B">
        <w:t>2</w:t>
      </w:r>
      <w:r w:rsidR="003A2B26" w:rsidRPr="00714D2B">
        <w:t xml:space="preserve">, the gap between the county and the national average </w:t>
      </w:r>
      <w:r w:rsidR="008A0CC5" w:rsidRPr="00714D2B">
        <w:t xml:space="preserve">had increased to </w:t>
      </w:r>
      <w:r w:rsidR="00714D2B" w:rsidRPr="00714D2B">
        <w:t>3.62</w:t>
      </w:r>
      <w:r w:rsidR="003A2B26" w:rsidRPr="00714D2B">
        <w:t>%</w:t>
      </w:r>
      <w:r w:rsidR="00714D2B" w:rsidRPr="00714D2B">
        <w:t xml:space="preserve">, with large housing development projects in progress.  However, </w:t>
      </w:r>
      <w:r w:rsidR="003A2B26" w:rsidRPr="00714D2B">
        <w:t xml:space="preserve">the funding </w:t>
      </w:r>
      <w:r w:rsidR="00B62E0F" w:rsidRPr="00714D2B">
        <w:t xml:space="preserve">formula population factor </w:t>
      </w:r>
      <w:r w:rsidR="00A3220A" w:rsidRPr="00714D2B">
        <w:t xml:space="preserve">in the government settlement </w:t>
      </w:r>
      <w:r w:rsidR="00B62E0F" w:rsidRPr="00714D2B">
        <w:t xml:space="preserve">has remained </w:t>
      </w:r>
      <w:r w:rsidR="00F93560" w:rsidRPr="00714D2B">
        <w:t>static</w:t>
      </w:r>
      <w:r w:rsidR="00714D2B" w:rsidRPr="00714D2B">
        <w:t xml:space="preserve"> in that time</w:t>
      </w:r>
      <w:r w:rsidR="00F93560" w:rsidRPr="00714D2B">
        <w:t>.</w:t>
      </w:r>
    </w:p>
    <w:p w14:paraId="08F963BB" w14:textId="71E25C16" w:rsidR="005432DD" w:rsidRPr="00EB0125" w:rsidRDefault="005A3E68" w:rsidP="00EB0125">
      <w:pPr>
        <w:pStyle w:val="PanelPara"/>
      </w:pPr>
      <w:r w:rsidRPr="00EB0125">
        <w:t xml:space="preserve">The graph below demonstrates this </w:t>
      </w:r>
      <w:r w:rsidR="00802599" w:rsidRPr="00EB0125">
        <w:t xml:space="preserve">population </w:t>
      </w:r>
      <w:r w:rsidRPr="00EB0125">
        <w:t xml:space="preserve">increase for the period </w:t>
      </w:r>
      <w:r w:rsidR="001A1D6E" w:rsidRPr="00EB0125">
        <w:t>2</w:t>
      </w:r>
      <w:r w:rsidR="008A6A85" w:rsidRPr="00EB0125">
        <w:t>00</w:t>
      </w:r>
      <w:r w:rsidR="00EB0125">
        <w:t>2</w:t>
      </w:r>
      <w:r w:rsidR="008A6A85" w:rsidRPr="00EB0125">
        <w:t xml:space="preserve"> to 20</w:t>
      </w:r>
      <w:r w:rsidR="007E2146" w:rsidRPr="00EB0125">
        <w:t>2</w:t>
      </w:r>
      <w:r w:rsidR="00EB0125" w:rsidRPr="00EB0125">
        <w:t>2</w:t>
      </w:r>
      <w:r w:rsidR="006400EB">
        <w:t>:</w:t>
      </w:r>
    </w:p>
    <w:p w14:paraId="6273BC9F" w14:textId="33233884" w:rsidR="001A1D6E" w:rsidRPr="009455E6" w:rsidRDefault="00EB0125" w:rsidP="001D111E">
      <w:pPr>
        <w:spacing w:after="0" w:line="240" w:lineRule="auto"/>
        <w:ind w:firstLine="567"/>
        <w:jc w:val="both"/>
        <w:rPr>
          <w:rFonts w:ascii="Arial" w:hAnsi="Arial" w:cs="Arial"/>
          <w:noProof/>
          <w:lang w:eastAsia="en-GB"/>
        </w:rPr>
      </w:pPr>
      <w:r>
        <w:rPr>
          <w:noProof/>
        </w:rPr>
        <w:drawing>
          <wp:inline distT="0" distB="0" distL="0" distR="0" wp14:anchorId="693BE88E" wp14:editId="2AFB7419">
            <wp:extent cx="5960745" cy="3381375"/>
            <wp:effectExtent l="0" t="0" r="1905" b="9525"/>
            <wp:docPr id="10" name="Chart 10">
              <a:extLst xmlns:a="http://schemas.openxmlformats.org/drawingml/2006/main">
                <a:ext uri="{FF2B5EF4-FFF2-40B4-BE49-F238E27FC236}">
                  <a16:creationId xmlns:a16="http://schemas.microsoft.com/office/drawing/2014/main" id="{A74556B5-A299-4E2B-8130-E7CA4FC3A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E14007E" w14:textId="58B23E41" w:rsidR="00DE6368" w:rsidRPr="00EB0125" w:rsidRDefault="00690574" w:rsidP="001D111E">
      <w:pPr>
        <w:spacing w:after="0" w:line="240" w:lineRule="auto"/>
        <w:ind w:firstLine="567"/>
        <w:jc w:val="both"/>
        <w:rPr>
          <w:rFonts w:ascii="Arial" w:hAnsi="Arial" w:cs="Arial"/>
          <w:i/>
          <w:sz w:val="18"/>
          <w:szCs w:val="18"/>
        </w:rPr>
      </w:pPr>
      <w:r w:rsidRPr="00EB0125">
        <w:rPr>
          <w:rFonts w:ascii="Arial" w:hAnsi="Arial" w:cs="Arial"/>
          <w:i/>
          <w:sz w:val="18"/>
          <w:szCs w:val="18"/>
        </w:rPr>
        <w:t xml:space="preserve">Source: </w:t>
      </w:r>
      <w:r w:rsidR="00C166B7" w:rsidRPr="00EB0125">
        <w:rPr>
          <w:rFonts w:ascii="Arial" w:hAnsi="Arial" w:cs="Arial"/>
          <w:i/>
          <w:sz w:val="18"/>
          <w:szCs w:val="18"/>
        </w:rPr>
        <w:t>Mid-Year</w:t>
      </w:r>
      <w:r w:rsidRPr="00EB0125">
        <w:rPr>
          <w:rFonts w:ascii="Arial" w:hAnsi="Arial" w:cs="Arial"/>
          <w:i/>
          <w:sz w:val="18"/>
          <w:szCs w:val="18"/>
        </w:rPr>
        <w:t xml:space="preserve"> Population </w:t>
      </w:r>
      <w:r w:rsidR="00EB0125" w:rsidRPr="00EB0125">
        <w:rPr>
          <w:rFonts w:ascii="Arial" w:hAnsi="Arial" w:cs="Arial"/>
          <w:i/>
          <w:sz w:val="18"/>
          <w:szCs w:val="18"/>
        </w:rPr>
        <w:t xml:space="preserve">- </w:t>
      </w:r>
      <w:r w:rsidRPr="00EB0125">
        <w:rPr>
          <w:rFonts w:ascii="Arial" w:hAnsi="Arial" w:cs="Arial"/>
          <w:i/>
          <w:sz w:val="18"/>
          <w:szCs w:val="18"/>
        </w:rPr>
        <w:t xml:space="preserve">Office of National </w:t>
      </w:r>
      <w:r w:rsidR="00EB0125" w:rsidRPr="00EB0125">
        <w:rPr>
          <w:rFonts w:ascii="Arial" w:hAnsi="Arial" w:cs="Arial"/>
          <w:i/>
          <w:sz w:val="18"/>
          <w:szCs w:val="18"/>
        </w:rPr>
        <w:t>S</w:t>
      </w:r>
      <w:r w:rsidRPr="00EB0125">
        <w:rPr>
          <w:rFonts w:ascii="Arial" w:hAnsi="Arial" w:cs="Arial"/>
          <w:i/>
          <w:sz w:val="18"/>
          <w:szCs w:val="18"/>
        </w:rPr>
        <w:t>tatistics</w:t>
      </w:r>
    </w:p>
    <w:p w14:paraId="7D9B9ABB" w14:textId="77777777" w:rsidR="00690574" w:rsidRPr="009455E6" w:rsidRDefault="00690574" w:rsidP="001D111E">
      <w:pPr>
        <w:spacing w:after="0" w:line="240" w:lineRule="auto"/>
        <w:ind w:firstLine="567"/>
        <w:jc w:val="both"/>
        <w:rPr>
          <w:rFonts w:ascii="Arial" w:hAnsi="Arial" w:cs="Arial"/>
          <w:i/>
          <w:sz w:val="16"/>
          <w:szCs w:val="16"/>
        </w:rPr>
      </w:pPr>
    </w:p>
    <w:p w14:paraId="4689A296" w14:textId="283B975D" w:rsidR="00C6702D" w:rsidRPr="00276BF4" w:rsidRDefault="009455E6" w:rsidP="001722C3">
      <w:pPr>
        <w:pStyle w:val="PanelPara"/>
      </w:pPr>
      <w:r w:rsidRPr="00276BF4">
        <w:t>Northamptonshire has outstripped national population changes for some decades, as outlined in the Joint Strategic Needs Assessment (JSNA) Demography Insight Pack 2019, Northamptonshire’s population ha</w:t>
      </w:r>
      <w:r w:rsidR="00276BF4" w:rsidRPr="00276BF4">
        <w:t>d</w:t>
      </w:r>
      <w:r w:rsidRPr="00276BF4">
        <w:t xml:space="preserve"> increased by 29.9% over the 30 years, compared with 17.7% across England. </w:t>
      </w:r>
      <w:r w:rsidR="00276BF4" w:rsidRPr="00276BF4">
        <w:t xml:space="preserve"> </w:t>
      </w:r>
      <w:r w:rsidRPr="00276BF4">
        <w:t>It also estimate</w:t>
      </w:r>
      <w:r w:rsidR="00276BF4" w:rsidRPr="00276BF4">
        <w:t>d</w:t>
      </w:r>
      <w:r w:rsidRPr="00276BF4">
        <w:t xml:space="preserve"> this will increase by a further 14% by 2041.</w:t>
      </w:r>
    </w:p>
    <w:p w14:paraId="2180DBD6" w14:textId="123F747B" w:rsidR="00A31AAB" w:rsidRPr="00083DE2" w:rsidRDefault="00802599" w:rsidP="001722C3">
      <w:pPr>
        <w:pStyle w:val="PanelPara"/>
      </w:pPr>
      <w:r w:rsidRPr="009455E6">
        <w:t>P</w:t>
      </w:r>
      <w:r w:rsidR="00DE6368" w:rsidRPr="009455E6">
        <w:t xml:space="preserve">olice central funding has not kept pace with this population increase and whilst </w:t>
      </w:r>
      <w:r w:rsidR="00D243E8" w:rsidRPr="009455E6">
        <w:t xml:space="preserve">historical </w:t>
      </w:r>
      <w:r w:rsidR="00DE6368" w:rsidRPr="009455E6">
        <w:t>local council taxbase increases have contributed to total funding, central government grants, have not.</w:t>
      </w:r>
      <w:r w:rsidR="00A31AAB" w:rsidRPr="009455E6">
        <w:t xml:space="preserve"> </w:t>
      </w:r>
    </w:p>
    <w:p w14:paraId="35055DFC" w14:textId="632EE971" w:rsidR="00D243E8" w:rsidRPr="00060568" w:rsidRDefault="007E2146" w:rsidP="00060568">
      <w:pPr>
        <w:pStyle w:val="PanelPara"/>
      </w:pPr>
      <w:r w:rsidRPr="00A3220A">
        <w:t xml:space="preserve">This means </w:t>
      </w:r>
      <w:r w:rsidRPr="004E111D">
        <w:t>that 5</w:t>
      </w:r>
      <w:r w:rsidR="004E111D" w:rsidRPr="004E111D">
        <w:t>6</w:t>
      </w:r>
      <w:r w:rsidRPr="004E111D">
        <w:t>% o</w:t>
      </w:r>
      <w:r w:rsidRPr="00A3220A">
        <w:t xml:space="preserve">f Northamptonshire Police’s funding is allocated on the basis of a funding formula which has not been updated for </w:t>
      </w:r>
      <w:r w:rsidR="00A520B3" w:rsidRPr="00A3220A">
        <w:t xml:space="preserve">over </w:t>
      </w:r>
      <w:r w:rsidRPr="00A3220A">
        <w:t>10 years; therefore, does not reflect current demands; does not reflect modern policing and does not reflect the significant growth in the county.</w:t>
      </w:r>
    </w:p>
    <w:p w14:paraId="3D9756BB" w14:textId="457F4456" w:rsidR="00D243E8" w:rsidRDefault="00A3220A" w:rsidP="00060568">
      <w:pPr>
        <w:pStyle w:val="PanelPara"/>
        <w:rPr>
          <w:noProof/>
          <w:lang w:eastAsia="en-GB"/>
        </w:rPr>
      </w:pPr>
      <w:r w:rsidRPr="009455E6">
        <w:rPr>
          <w:noProof/>
          <w:lang w:eastAsia="en-GB"/>
        </w:rPr>
        <w:t>A</w:t>
      </w:r>
      <w:r w:rsidR="00A31AAB" w:rsidRPr="009455E6">
        <w:rPr>
          <w:noProof/>
          <w:lang w:eastAsia="en-GB"/>
        </w:rPr>
        <w:t xml:space="preserve">nalysis undertaken by </w:t>
      </w:r>
      <w:r w:rsidR="00A31AAB" w:rsidRPr="00BA59CB">
        <w:rPr>
          <w:noProof/>
          <w:lang w:eastAsia="en-GB"/>
        </w:rPr>
        <w:t>the PFCC</w:t>
      </w:r>
      <w:r w:rsidR="00D243E8" w:rsidRPr="00BA59CB">
        <w:rPr>
          <w:noProof/>
          <w:lang w:eastAsia="en-GB"/>
        </w:rPr>
        <w:t xml:space="preserve"> highlights the inequity of the current funding formula in the East Midlands Region and how taxpayers in </w:t>
      </w:r>
      <w:r w:rsidR="009F3824" w:rsidRPr="00BA59CB">
        <w:rPr>
          <w:noProof/>
          <w:lang w:eastAsia="en-GB"/>
        </w:rPr>
        <w:t xml:space="preserve">the smaller </w:t>
      </w:r>
      <w:r w:rsidR="00F93560" w:rsidRPr="00BA59CB">
        <w:rPr>
          <w:noProof/>
          <w:lang w:eastAsia="en-GB"/>
        </w:rPr>
        <w:t>f</w:t>
      </w:r>
      <w:r w:rsidR="009F3824" w:rsidRPr="00BA59CB">
        <w:rPr>
          <w:noProof/>
          <w:lang w:eastAsia="en-GB"/>
        </w:rPr>
        <w:t xml:space="preserve">orces of </w:t>
      </w:r>
      <w:r w:rsidR="00D243E8" w:rsidRPr="00BA59CB">
        <w:rPr>
          <w:noProof/>
          <w:lang w:eastAsia="en-GB"/>
        </w:rPr>
        <w:t xml:space="preserve">Northamptonshire </w:t>
      </w:r>
      <w:r w:rsidR="009F3824" w:rsidRPr="00BA59CB">
        <w:rPr>
          <w:noProof/>
          <w:lang w:eastAsia="en-GB"/>
        </w:rPr>
        <w:t xml:space="preserve">and Lincolnshire </w:t>
      </w:r>
      <w:r w:rsidR="00D243E8" w:rsidRPr="00BA59CB">
        <w:rPr>
          <w:noProof/>
          <w:lang w:eastAsia="en-GB"/>
        </w:rPr>
        <w:t xml:space="preserve">are </w:t>
      </w:r>
      <w:r w:rsidR="009F3824" w:rsidRPr="00BA59CB">
        <w:rPr>
          <w:noProof/>
          <w:lang w:eastAsia="en-GB"/>
        </w:rPr>
        <w:t>penalised by the lower g</w:t>
      </w:r>
      <w:r w:rsidR="00F93560" w:rsidRPr="00BA59CB">
        <w:rPr>
          <w:noProof/>
          <w:lang w:eastAsia="en-GB"/>
        </w:rPr>
        <w:t>o</w:t>
      </w:r>
      <w:r w:rsidR="009F3824" w:rsidRPr="00BA59CB">
        <w:rPr>
          <w:noProof/>
          <w:lang w:eastAsia="en-GB"/>
        </w:rPr>
        <w:t xml:space="preserve">vernment grants per household than their </w:t>
      </w:r>
      <w:r w:rsidR="00875D71" w:rsidRPr="00BA59CB">
        <w:rPr>
          <w:noProof/>
          <w:lang w:eastAsia="en-GB"/>
        </w:rPr>
        <w:t xml:space="preserve">regional </w:t>
      </w:r>
      <w:r w:rsidR="009F3824" w:rsidRPr="00BA59CB">
        <w:rPr>
          <w:noProof/>
          <w:lang w:eastAsia="en-GB"/>
        </w:rPr>
        <w:t>peers</w:t>
      </w:r>
      <w:r w:rsidR="00875D71" w:rsidRPr="00BA59CB">
        <w:rPr>
          <w:noProof/>
          <w:lang w:eastAsia="en-GB"/>
        </w:rPr>
        <w:t xml:space="preserve">, </w:t>
      </w:r>
      <w:r w:rsidR="009F3824" w:rsidRPr="00BA59CB">
        <w:rPr>
          <w:noProof/>
          <w:lang w:eastAsia="en-GB"/>
        </w:rPr>
        <w:t>as follows:</w:t>
      </w:r>
    </w:p>
    <w:p w14:paraId="49265558" w14:textId="1E951727" w:rsidR="00A31AAB" w:rsidRPr="003D7208" w:rsidRDefault="00412D0F" w:rsidP="003D7208">
      <w:pPr>
        <w:pStyle w:val="PanelPara"/>
        <w:numPr>
          <w:ilvl w:val="0"/>
          <w:numId w:val="0"/>
        </w:numPr>
        <w:ind w:left="567"/>
        <w:rPr>
          <w:noProof/>
          <w:lang w:eastAsia="en-GB"/>
        </w:rPr>
      </w:pPr>
      <w:r>
        <w:rPr>
          <w:noProof/>
        </w:rPr>
        <w:drawing>
          <wp:inline distT="0" distB="0" distL="0" distR="0" wp14:anchorId="58A5E48B" wp14:editId="6F3D9D3B">
            <wp:extent cx="5095875" cy="2986089"/>
            <wp:effectExtent l="0" t="0" r="9525" b="5080"/>
            <wp:docPr id="4" name="Chart 4">
              <a:extLst xmlns:a="http://schemas.openxmlformats.org/drawingml/2006/main">
                <a:ext uri="{FF2B5EF4-FFF2-40B4-BE49-F238E27FC236}">
                  <a16:creationId xmlns:a16="http://schemas.microsoft.com/office/drawing/2014/main" id="{42BCACF7-F49D-1C2A-D874-3731F7279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929C959" w14:textId="3068BDE1" w:rsidR="00D243E8" w:rsidRPr="003D7208" w:rsidRDefault="009F3824" w:rsidP="001722C3">
      <w:pPr>
        <w:pStyle w:val="PanelPara"/>
      </w:pPr>
      <w:r w:rsidRPr="003D7208">
        <w:t xml:space="preserve">For illustrative purposes, the PFCC has calculated that if Northamptonshire </w:t>
      </w:r>
      <w:r w:rsidR="00644CE4" w:rsidRPr="003D7208">
        <w:t xml:space="preserve">received </w:t>
      </w:r>
      <w:r w:rsidR="00BA59CB" w:rsidRPr="003D7208">
        <w:t>g</w:t>
      </w:r>
      <w:r w:rsidRPr="003D7208">
        <w:t xml:space="preserve">overnment grant </w:t>
      </w:r>
      <w:r w:rsidR="00644CE4" w:rsidRPr="003D7208">
        <w:t>a</w:t>
      </w:r>
      <w:r w:rsidRPr="003D7208">
        <w:t xml:space="preserve">t a similar </w:t>
      </w:r>
      <w:r w:rsidR="003D7208" w:rsidRPr="003D7208">
        <w:t xml:space="preserve">per household </w:t>
      </w:r>
      <w:r w:rsidRPr="003D7208">
        <w:t xml:space="preserve">level to Nottinghamshire, </w:t>
      </w:r>
      <w:r w:rsidR="00644CE4" w:rsidRPr="003D7208">
        <w:t>the county</w:t>
      </w:r>
      <w:r w:rsidRPr="003D7208">
        <w:t xml:space="preserve"> would receive an additional £</w:t>
      </w:r>
      <w:r w:rsidR="009B1C90" w:rsidRPr="003D7208">
        <w:t>39</w:t>
      </w:r>
      <w:r w:rsidRPr="003D7208">
        <w:t>m per annum.</w:t>
      </w:r>
      <w:r w:rsidR="00867F0A" w:rsidRPr="003D7208">
        <w:t xml:space="preserve"> </w:t>
      </w:r>
      <w:r w:rsidR="00C6702D" w:rsidRPr="003D7208">
        <w:t xml:space="preserve"> </w:t>
      </w:r>
      <w:r w:rsidR="00395E90" w:rsidRPr="003D7208">
        <w:t xml:space="preserve">Furthermore, </w:t>
      </w:r>
      <w:r w:rsidR="00867F0A" w:rsidRPr="003D7208">
        <w:t xml:space="preserve">Nottinghamshire </w:t>
      </w:r>
      <w:r w:rsidR="00BA59CB" w:rsidRPr="003D7208">
        <w:t>ha</w:t>
      </w:r>
      <w:r w:rsidR="003D7208" w:rsidRPr="003D7208">
        <w:t>d</w:t>
      </w:r>
      <w:r w:rsidR="00BA59CB" w:rsidRPr="003D7208">
        <w:t xml:space="preserve"> </w:t>
      </w:r>
      <w:r w:rsidR="003D7208" w:rsidRPr="003D7208">
        <w:t xml:space="preserve">around </w:t>
      </w:r>
      <w:r w:rsidR="00BA59CB" w:rsidRPr="003D7208">
        <w:t>30% more households</w:t>
      </w:r>
      <w:r w:rsidR="003D7208" w:rsidRPr="003D7208">
        <w:t xml:space="preserve"> than Northamptonshire</w:t>
      </w:r>
      <w:r w:rsidR="00BA59CB" w:rsidRPr="003D7208">
        <w:t xml:space="preserve"> </w:t>
      </w:r>
      <w:r w:rsidR="003D7208" w:rsidRPr="003D7208">
        <w:t xml:space="preserve">in 2023/24 </w:t>
      </w:r>
      <w:r w:rsidR="00BA59CB" w:rsidRPr="003D7208">
        <w:t>but receive</w:t>
      </w:r>
      <w:r w:rsidR="003D7208" w:rsidRPr="003D7208">
        <w:t>d</w:t>
      </w:r>
      <w:r w:rsidR="00BA59CB" w:rsidRPr="003D7208">
        <w:t xml:space="preserve"> </w:t>
      </w:r>
      <w:r w:rsidR="003D7208">
        <w:t>85</w:t>
      </w:r>
      <w:r w:rsidR="00BA59CB" w:rsidRPr="003D7208">
        <w:t>% more in grant.</w:t>
      </w:r>
    </w:p>
    <w:p w14:paraId="68DD49FB" w14:textId="135E181C" w:rsidR="00A410D4" w:rsidRPr="00A3220A" w:rsidRDefault="00BB53B6" w:rsidP="001722C3">
      <w:pPr>
        <w:pStyle w:val="PanelPara"/>
      </w:pPr>
      <w:r w:rsidRPr="00A3220A">
        <w:t xml:space="preserve">Band D Council Tax levels vary significantly for Police and Crime Commissioners across the country and the PFCC strongly believes that the current funding formula does not best serve </w:t>
      </w:r>
      <w:r w:rsidRPr="00A3220A">
        <w:lastRenderedPageBreak/>
        <w:t>the residents of Northamptonshire, meaning that local residents are required to fund a higher level of the policing bill than they would in other areas.</w:t>
      </w:r>
    </w:p>
    <w:p w14:paraId="37EBFF97" w14:textId="714BACE7" w:rsidR="004F63CC" w:rsidRPr="00083DE2" w:rsidRDefault="00BB53B6" w:rsidP="001722C3">
      <w:pPr>
        <w:pStyle w:val="PanelPara"/>
      </w:pPr>
      <w:r w:rsidRPr="00A3220A">
        <w:t xml:space="preserve">He will continue to </w:t>
      </w:r>
      <w:r w:rsidR="000A0F45" w:rsidRPr="00A3220A">
        <w:t xml:space="preserve">engage </w:t>
      </w:r>
      <w:r w:rsidR="003F410A">
        <w:t>with</w:t>
      </w:r>
      <w:r w:rsidR="003F410A" w:rsidRPr="00A3220A">
        <w:t xml:space="preserve"> </w:t>
      </w:r>
      <w:r w:rsidR="000A0F45" w:rsidRPr="00A3220A">
        <w:t xml:space="preserve">the review and lobby to </w:t>
      </w:r>
      <w:r w:rsidRPr="00A3220A">
        <w:t>seek a fairer funding settlement on behalf of the residents of Northamptonshire.</w:t>
      </w:r>
    </w:p>
    <w:p w14:paraId="55B5123C" w14:textId="5B393B99" w:rsidR="00A16B65" w:rsidRPr="00141D16" w:rsidRDefault="00A16B65" w:rsidP="00141D16">
      <w:pPr>
        <w:pStyle w:val="PanelHeading"/>
      </w:pPr>
      <w:r w:rsidRPr="00047250">
        <w:t>Police Grant Settlement</w:t>
      </w:r>
      <w:r w:rsidR="00D51A4F" w:rsidRPr="00047250">
        <w:t xml:space="preserve"> – </w:t>
      </w:r>
      <w:r w:rsidR="00DD75A9" w:rsidRPr="00047250">
        <w:t xml:space="preserve">Assessment from the </w:t>
      </w:r>
      <w:r w:rsidR="00047BC3">
        <w:t xml:space="preserve">National </w:t>
      </w:r>
      <w:r w:rsidR="00DD75A9" w:rsidRPr="00047250">
        <w:t>Technical Support Team</w:t>
      </w:r>
    </w:p>
    <w:p w14:paraId="31E2B3F5" w14:textId="2A41FAA1" w:rsidR="00ED2E3F" w:rsidRPr="00047250" w:rsidRDefault="0064685E" w:rsidP="001722C3">
      <w:pPr>
        <w:pStyle w:val="PanelPara"/>
      </w:pPr>
      <w:r w:rsidRPr="00047250">
        <w:t xml:space="preserve">On the day of the settlement, the national </w:t>
      </w:r>
      <w:r w:rsidR="00F93560" w:rsidRPr="00047250">
        <w:t xml:space="preserve">Technical Support Team </w:t>
      </w:r>
      <w:r w:rsidRPr="00047250">
        <w:t xml:space="preserve">(TST) provided a detailed briefing </w:t>
      </w:r>
      <w:r w:rsidR="00DD75A9" w:rsidRPr="00047250">
        <w:t>as follows</w:t>
      </w:r>
      <w:r w:rsidRPr="00047250">
        <w:t>:</w:t>
      </w:r>
    </w:p>
    <w:p w14:paraId="088F06E1" w14:textId="10C0B084" w:rsidR="00C6702D" w:rsidRPr="00083DE2" w:rsidRDefault="00C6702D" w:rsidP="001722C3">
      <w:pPr>
        <w:pStyle w:val="PanelPara"/>
        <w:rPr>
          <w:i/>
          <w:iCs/>
        </w:rPr>
      </w:pPr>
      <w:r w:rsidRPr="00C6702D">
        <w:rPr>
          <w:i/>
          <w:iCs/>
        </w:rPr>
        <w:t>The 2024-25 Provisional Settlement was announced on 14 December in a written ministerial statement by the Minister of State for Crime, Policing and Fire, Chris Philp MP.</w:t>
      </w:r>
    </w:p>
    <w:p w14:paraId="28096A9A" w14:textId="3151CC9D" w:rsidR="00C6702D" w:rsidRPr="00C6702D" w:rsidRDefault="00C6702D" w:rsidP="008A3937">
      <w:pPr>
        <w:pStyle w:val="PanelPara"/>
        <w:numPr>
          <w:ilvl w:val="0"/>
          <w:numId w:val="0"/>
        </w:numPr>
        <w:ind w:left="567"/>
        <w:rPr>
          <w:i/>
          <w:iCs/>
        </w:rPr>
      </w:pPr>
      <w:r w:rsidRPr="00C6702D">
        <w:rPr>
          <w:i/>
          <w:iCs/>
        </w:rPr>
        <w:t>The Minister said “Today, the Government has set out the provisional police funding settlement...for the forthcoming financial year. For 2024-25 overall funding … will rise by up to £842.9m compared to the restated 2023-24…This funding settlement demonstrates that the Government remains committed to giving policing the resources they need to keep the public safe…The Home Office was only able to deliver this substantial funding increase by reprioritising funding from other programmes.”</w:t>
      </w:r>
    </w:p>
    <w:p w14:paraId="7A86B0F4" w14:textId="2A237156" w:rsidR="00C6702D" w:rsidRPr="008A3937" w:rsidRDefault="00C6702D" w:rsidP="008A3937">
      <w:pPr>
        <w:pStyle w:val="PanelPara"/>
        <w:numPr>
          <w:ilvl w:val="0"/>
          <w:numId w:val="0"/>
        </w:numPr>
        <w:ind w:left="567"/>
        <w:rPr>
          <w:i/>
          <w:iCs/>
        </w:rPr>
      </w:pPr>
      <w:r w:rsidRPr="00C6702D">
        <w:rPr>
          <w:i/>
          <w:iCs/>
        </w:rPr>
        <w:t>Full details of the Settlement can be found on the Home Office gov.uk pages</w:t>
      </w:r>
      <w:r>
        <w:rPr>
          <w:i/>
          <w:iCs/>
        </w:rPr>
        <w:t>.</w:t>
      </w:r>
    </w:p>
    <w:p w14:paraId="69F9DF96" w14:textId="61664B6A" w:rsidR="00C6702D" w:rsidRPr="008A3937" w:rsidRDefault="00C6702D" w:rsidP="001722C3">
      <w:pPr>
        <w:pStyle w:val="PanelPara"/>
        <w:rPr>
          <w:i/>
          <w:iCs/>
        </w:rPr>
      </w:pPr>
      <w:r w:rsidRPr="00C6702D">
        <w:rPr>
          <w:i/>
          <w:iCs/>
        </w:rPr>
        <w:t>Inflationary pressures have put a significant strain on policing budgets since 2021. However, as of October 2023, the headline Consumer Price Index (CPI) rate has fallen to 4.6%, its lowest level since November 2021. This decrease in the rate of inflation gave the Chancellor some headroom in order to cut taxes in the Autumn Statement, primarily by reducing NI contributions.</w:t>
      </w:r>
    </w:p>
    <w:p w14:paraId="5C8BD975" w14:textId="2C681F2A" w:rsidR="00DD75A9" w:rsidRPr="00DD75A9" w:rsidRDefault="00C6702D" w:rsidP="008A3937">
      <w:pPr>
        <w:pStyle w:val="PanelPara"/>
        <w:numPr>
          <w:ilvl w:val="0"/>
          <w:numId w:val="0"/>
        </w:numPr>
        <w:ind w:left="567"/>
        <w:rPr>
          <w:i/>
          <w:iCs/>
        </w:rPr>
      </w:pPr>
      <w:r w:rsidRPr="00C6702D">
        <w:rPr>
          <w:i/>
          <w:iCs/>
        </w:rPr>
        <w:t>Past inflation has had an impact on policing spending power. In 2023-24, the PACCTS Budget Survey showed that inflationary pressures amounted to a £639m increase in budgets. This was larger than the £454m increase in total funding given to Forces last year. If other growth pressures were included, then forces faced an almost £1bn increase in costs compared with the year before. That said, pay inflation was recognised by the Government in the provision of an additional £330m in 2023/24 to fund it</w:t>
      </w:r>
      <w:r>
        <w:rPr>
          <w:i/>
          <w:iCs/>
        </w:rPr>
        <w:t>.</w:t>
      </w:r>
    </w:p>
    <w:p w14:paraId="46EDBAB5" w14:textId="074B73BE" w:rsidR="00C6702D" w:rsidRPr="00C6702D" w:rsidRDefault="00C6702D" w:rsidP="00083DE2">
      <w:pPr>
        <w:pStyle w:val="PanelPara"/>
        <w:rPr>
          <w:i/>
          <w:iCs/>
        </w:rPr>
      </w:pPr>
      <w:r w:rsidRPr="00C6702D">
        <w:rPr>
          <w:i/>
          <w:iCs/>
        </w:rPr>
        <w:t>Police Uplift Grant (PUP)</w:t>
      </w:r>
    </w:p>
    <w:p w14:paraId="6218FB94" w14:textId="74A3EFC0" w:rsidR="00744F4E" w:rsidRDefault="00C6702D" w:rsidP="008A3937">
      <w:pPr>
        <w:pStyle w:val="PanelPara"/>
        <w:numPr>
          <w:ilvl w:val="0"/>
          <w:numId w:val="0"/>
        </w:numPr>
        <w:ind w:left="567"/>
        <w:rPr>
          <w:i/>
          <w:iCs/>
        </w:rPr>
      </w:pPr>
      <w:r w:rsidRPr="00C6702D">
        <w:rPr>
          <w:i/>
          <w:iCs/>
        </w:rPr>
        <w:t xml:space="preserve">Prior to the publication of today’s provisional settlement, the sector was expecting a continuation of additional PUP funding for the recruitment of the final officers (towards the 20,000 total). The Ministerial Statement confirms ongoing funding of £425m to maintain officer numbers at (148,433 nationwide). Within this funding £67.2m is “additional recruitment top-up grant” for forces that have agreed to recruit additional officers. The remaining £357.8m is ringfenced, allocated via formula funding shares and PCCs will be able to access this funding, as in previous years, by demonstrating that they have maintained their </w:t>
      </w:r>
      <w:r w:rsidRPr="00C6702D">
        <w:rPr>
          <w:i/>
          <w:iCs/>
        </w:rPr>
        <w:lastRenderedPageBreak/>
        <w:t>officer numbers. The total PUP ringfence grant of £425m has increased by £150m, which was promised in the spending review, and therefore provides an even stronger incentive for officer numbers to be maintained. The actual terms of the grant will be released early next year.</w:t>
      </w:r>
    </w:p>
    <w:p w14:paraId="609A91BB" w14:textId="35BC89C0" w:rsidR="00C6702D" w:rsidRPr="00C6702D" w:rsidRDefault="00C6702D" w:rsidP="00083DE2">
      <w:pPr>
        <w:pStyle w:val="PanelPara"/>
        <w:rPr>
          <w:i/>
          <w:iCs/>
        </w:rPr>
      </w:pPr>
      <w:r w:rsidRPr="00C6702D">
        <w:rPr>
          <w:i/>
          <w:iCs/>
        </w:rPr>
        <w:t>Pay Award</w:t>
      </w:r>
    </w:p>
    <w:p w14:paraId="47613137" w14:textId="3FFD4808" w:rsidR="00C6702D" w:rsidRPr="008A3937" w:rsidRDefault="00C6702D" w:rsidP="008A3937">
      <w:pPr>
        <w:pStyle w:val="PanelPara"/>
        <w:numPr>
          <w:ilvl w:val="0"/>
          <w:numId w:val="0"/>
        </w:numPr>
        <w:ind w:left="567"/>
        <w:rPr>
          <w:i/>
          <w:iCs/>
        </w:rPr>
      </w:pPr>
      <w:r w:rsidRPr="00C6702D">
        <w:rPr>
          <w:i/>
          <w:iCs/>
        </w:rPr>
        <w:t>£515m pay funding has been added to core funding for pay. The ministerial statement highlights that</w:t>
      </w:r>
      <w:r>
        <w:rPr>
          <w:i/>
          <w:iCs/>
        </w:rPr>
        <w:t xml:space="preserve"> </w:t>
      </w:r>
      <w:r w:rsidRPr="00C6702D">
        <w:rPr>
          <w:i/>
          <w:iCs/>
        </w:rPr>
        <w:t>£330m of this was given in-year in 2023-24 with a further £185m awarded for 2024/25. Any</w:t>
      </w:r>
      <w:r>
        <w:rPr>
          <w:i/>
          <w:iCs/>
        </w:rPr>
        <w:t xml:space="preserve"> </w:t>
      </w:r>
      <w:r w:rsidRPr="00C6702D">
        <w:rPr>
          <w:i/>
          <w:iCs/>
        </w:rPr>
        <w:t>comparisons to last year’s data now include the additional £330m that was distributed in year. This</w:t>
      </w:r>
      <w:r>
        <w:rPr>
          <w:i/>
          <w:iCs/>
        </w:rPr>
        <w:t xml:space="preserve"> </w:t>
      </w:r>
      <w:r w:rsidRPr="00C6702D">
        <w:rPr>
          <w:i/>
          <w:iCs/>
        </w:rPr>
        <w:t>indicates that this funding is in the baseline for future spending reviews.</w:t>
      </w:r>
    </w:p>
    <w:p w14:paraId="33757512" w14:textId="77777777" w:rsidR="008A3937" w:rsidRPr="008A3937" w:rsidRDefault="008A3937" w:rsidP="008A3937">
      <w:pPr>
        <w:pStyle w:val="PanelPara"/>
        <w:rPr>
          <w:i/>
          <w:iCs/>
          <w:lang w:eastAsia="en-GB"/>
        </w:rPr>
      </w:pPr>
      <w:r w:rsidRPr="008A3937">
        <w:rPr>
          <w:i/>
          <w:iCs/>
          <w:lang w:eastAsia="en-GB"/>
        </w:rPr>
        <w:t xml:space="preserve">Pensions Grant </w:t>
      </w:r>
    </w:p>
    <w:p w14:paraId="2C3E19C1" w14:textId="2E7DA488" w:rsidR="00F720E1" w:rsidRPr="008A3937" w:rsidRDefault="008A3937" w:rsidP="008A3937">
      <w:pPr>
        <w:pStyle w:val="PanelPara"/>
        <w:numPr>
          <w:ilvl w:val="0"/>
          <w:numId w:val="0"/>
        </w:numPr>
        <w:ind w:left="567"/>
        <w:rPr>
          <w:i/>
          <w:iCs/>
          <w:lang w:eastAsia="en-GB"/>
        </w:rPr>
      </w:pPr>
      <w:r w:rsidRPr="008A3937">
        <w:rPr>
          <w:i/>
          <w:iCs/>
          <w:lang w:eastAsia="en-GB"/>
        </w:rPr>
        <w:t>There is also additional funding for Police Pensions to mitigate the impact of increased employer pension contributions.</w:t>
      </w:r>
    </w:p>
    <w:p w14:paraId="6F2F18C9" w14:textId="73D7B239" w:rsidR="00C6702D" w:rsidRPr="008A3937" w:rsidRDefault="00F720E1" w:rsidP="008A3937">
      <w:pPr>
        <w:pStyle w:val="PanelPara"/>
        <w:numPr>
          <w:ilvl w:val="0"/>
          <w:numId w:val="0"/>
        </w:numPr>
        <w:ind w:left="567"/>
        <w:rPr>
          <w:i/>
          <w:iCs/>
          <w:color w:val="000000"/>
          <w:lang w:eastAsia="en-GB"/>
        </w:rPr>
      </w:pPr>
      <w:r w:rsidRPr="008A3937">
        <w:rPr>
          <w:i/>
          <w:iCs/>
          <w:color w:val="000000"/>
          <w:lang w:eastAsia="en-GB"/>
        </w:rPr>
        <w:t>Until the latest settlement, pension grants had remained unchanged, standing at a total of £142.6m.  However, today the Minister confirmed that an additional £259m would be added to this grant, as well as a one-off £26.8m admin grant (for implementation pressures), taking the total funding to £428.3m.</w:t>
      </w:r>
    </w:p>
    <w:p w14:paraId="29A2710E" w14:textId="77777777" w:rsidR="008A3937" w:rsidRPr="008A3937" w:rsidRDefault="008A3937" w:rsidP="008A3937">
      <w:pPr>
        <w:pStyle w:val="PanelPara"/>
        <w:rPr>
          <w:i/>
          <w:iCs/>
          <w:color w:val="000000"/>
          <w:lang w:eastAsia="en-GB"/>
        </w:rPr>
      </w:pPr>
      <w:r w:rsidRPr="008A3937">
        <w:rPr>
          <w:i/>
          <w:iCs/>
          <w:color w:val="000000"/>
          <w:lang w:eastAsia="en-GB"/>
        </w:rPr>
        <w:t>Council Tax</w:t>
      </w:r>
    </w:p>
    <w:p w14:paraId="34DD2E51" w14:textId="57D7EDA4" w:rsidR="00F720E1" w:rsidRPr="008A3937" w:rsidRDefault="008A3937" w:rsidP="008A3937">
      <w:pPr>
        <w:pStyle w:val="PanelPara"/>
        <w:numPr>
          <w:ilvl w:val="0"/>
          <w:numId w:val="0"/>
        </w:numPr>
        <w:ind w:left="567"/>
        <w:rPr>
          <w:i/>
          <w:iCs/>
          <w:color w:val="000000"/>
          <w:lang w:eastAsia="en-GB"/>
        </w:rPr>
      </w:pPr>
      <w:r w:rsidRPr="008A3937">
        <w:rPr>
          <w:i/>
          <w:iCs/>
          <w:color w:val="000000"/>
          <w:lang w:eastAsia="en-GB"/>
        </w:rPr>
        <w:t>In England the Government sets the level of precept increase above which a referendum is required. In November, it was confirmed in the local government finance policy statement 2024 to 2025 that PCCs would be able to increase the 2024/25 band D precept by up to £13 without triggering a referendum. This actual amount of increase in any area will be a decision for individual PCCs.</w:t>
      </w:r>
    </w:p>
    <w:p w14:paraId="47F31D73" w14:textId="7646453E" w:rsidR="008A3937" w:rsidRPr="008A3937" w:rsidRDefault="00EE08B9" w:rsidP="008A3937">
      <w:pPr>
        <w:pStyle w:val="PanelPara"/>
        <w:numPr>
          <w:ilvl w:val="0"/>
          <w:numId w:val="0"/>
        </w:numPr>
        <w:ind w:left="567"/>
        <w:rPr>
          <w:i/>
          <w:iCs/>
          <w:color w:val="000000"/>
          <w:lang w:eastAsia="en-GB"/>
        </w:rPr>
      </w:pPr>
      <w:r w:rsidRPr="008A3937">
        <w:rPr>
          <w:i/>
          <w:iCs/>
          <w:color w:val="000000"/>
          <w:lang w:eastAsia="en-GB"/>
        </w:rPr>
        <w:t>Due to historic differences in council tax, the proportion that £13 represents can vary significantly between force areas.  The £13 increase means that Northumbria’s percentage increase is 8.5% followed by the West Midlands at 7.2% and Essex at 6.3%.  Conversely, £13 represents a 4.4% increase for North Wales and a 4.5% increase for South Wales and Gwent.</w:t>
      </w:r>
    </w:p>
    <w:p w14:paraId="1157E867" w14:textId="2F1B00F3" w:rsidR="0064685E" w:rsidRPr="00DD0250" w:rsidRDefault="0064685E" w:rsidP="008A3937">
      <w:pPr>
        <w:pStyle w:val="PanelPara"/>
        <w:numPr>
          <w:ilvl w:val="0"/>
          <w:numId w:val="0"/>
        </w:numPr>
        <w:ind w:left="567"/>
      </w:pPr>
      <w:r w:rsidRPr="00DD0250">
        <w:rPr>
          <w:b/>
          <w:bCs/>
        </w:rPr>
        <w:t>In Northamptonshire the</w:t>
      </w:r>
      <w:r w:rsidR="00047BC3" w:rsidRPr="00DD0250">
        <w:rPr>
          <w:b/>
          <w:bCs/>
        </w:rPr>
        <w:t xml:space="preserve"> £1</w:t>
      </w:r>
      <w:r w:rsidR="00EE08B9" w:rsidRPr="00DD0250">
        <w:rPr>
          <w:b/>
          <w:bCs/>
        </w:rPr>
        <w:t>3</w:t>
      </w:r>
      <w:r w:rsidRPr="00DD0250">
        <w:rPr>
          <w:b/>
          <w:bCs/>
        </w:rPr>
        <w:t xml:space="preserve"> increase is </w:t>
      </w:r>
      <w:r w:rsidR="008A3937" w:rsidRPr="00DD0250">
        <w:rPr>
          <w:b/>
          <w:bCs/>
        </w:rPr>
        <w:t>4.44</w:t>
      </w:r>
      <w:r w:rsidRPr="00DD0250">
        <w:rPr>
          <w:b/>
          <w:bCs/>
        </w:rPr>
        <w:t>%.</w:t>
      </w:r>
    </w:p>
    <w:p w14:paraId="369F6878" w14:textId="77777777" w:rsidR="008A3937" w:rsidRDefault="00EE08B9" w:rsidP="008A3937">
      <w:pPr>
        <w:pStyle w:val="PanelPara"/>
        <w:rPr>
          <w:i/>
          <w:iCs/>
          <w:lang w:eastAsia="en-GB"/>
        </w:rPr>
      </w:pPr>
      <w:r w:rsidRPr="008A3937">
        <w:rPr>
          <w:i/>
          <w:iCs/>
          <w:lang w:eastAsia="en-GB"/>
        </w:rPr>
        <w:t>The proportion of funding raised through council tax differs significantly between forces. Northumbria’s Council Tax makes up 19% of their total funding, followed</w:t>
      </w:r>
      <w:r w:rsidR="008A3937" w:rsidRPr="008A3937">
        <w:rPr>
          <w:i/>
          <w:iCs/>
          <w:lang w:eastAsia="en-GB"/>
        </w:rPr>
        <w:t xml:space="preserve"> </w:t>
      </w:r>
      <w:r w:rsidRPr="008A3937">
        <w:rPr>
          <w:i/>
          <w:iCs/>
          <w:lang w:eastAsia="en-GB"/>
        </w:rPr>
        <w:t>by West Midlands at 20.3% and Merseyside at 22.9%. Conversely, Surrey has 54.6% of their funding coming from Council tax, followed by Dyfed Powys at 51.3% and North Wales at 50.2%. On average 34.3% of budgets are made up from Council tax, down slightly from 34.4% last year.</w:t>
      </w:r>
    </w:p>
    <w:p w14:paraId="384F6B90" w14:textId="5540A7E4" w:rsidR="0064685E" w:rsidRPr="008A3937" w:rsidRDefault="0064685E" w:rsidP="008A3937">
      <w:pPr>
        <w:pStyle w:val="PanelPara"/>
        <w:numPr>
          <w:ilvl w:val="0"/>
          <w:numId w:val="0"/>
        </w:numPr>
        <w:ind w:left="567"/>
        <w:rPr>
          <w:lang w:eastAsia="en-GB"/>
        </w:rPr>
      </w:pPr>
      <w:r w:rsidRPr="008A3937">
        <w:rPr>
          <w:b/>
          <w:bCs/>
        </w:rPr>
        <w:t xml:space="preserve">In Northamptonshire </w:t>
      </w:r>
      <w:r w:rsidRPr="004E111D">
        <w:rPr>
          <w:b/>
          <w:bCs/>
        </w:rPr>
        <w:t>approximately 4</w:t>
      </w:r>
      <w:r w:rsidR="004E111D" w:rsidRPr="004E111D">
        <w:rPr>
          <w:b/>
          <w:bCs/>
        </w:rPr>
        <w:t>4</w:t>
      </w:r>
      <w:r w:rsidRPr="004E111D">
        <w:rPr>
          <w:b/>
          <w:bCs/>
        </w:rPr>
        <w:t>% of</w:t>
      </w:r>
      <w:r w:rsidRPr="008A3937">
        <w:rPr>
          <w:b/>
          <w:bCs/>
        </w:rPr>
        <w:t xml:space="preserve"> the funding comes from Council tax.</w:t>
      </w:r>
    </w:p>
    <w:p w14:paraId="67A7085F" w14:textId="7C8456AF" w:rsidR="0014672E" w:rsidRPr="006400EB" w:rsidRDefault="00BC181F" w:rsidP="006400EB">
      <w:pPr>
        <w:pStyle w:val="PanelPara"/>
      </w:pPr>
      <w:r w:rsidRPr="000A18A7">
        <w:lastRenderedPageBreak/>
        <w:t xml:space="preserve">Reallocations (top slices) are taken from the grant before it is allocated to PCCs in line with the funding formula. </w:t>
      </w:r>
      <w:r w:rsidR="00DD75A9" w:rsidRPr="000A18A7">
        <w:t>The table shows the difference between reallocations between years</w:t>
      </w:r>
      <w:r w:rsidR="0012341A">
        <w:t>:</w:t>
      </w:r>
    </w:p>
    <w:tbl>
      <w:tblPr>
        <w:tblW w:w="7160" w:type="dxa"/>
        <w:tblInd w:w="562" w:type="dxa"/>
        <w:tblLook w:val="04A0" w:firstRow="1" w:lastRow="0" w:firstColumn="1" w:lastColumn="0" w:noHBand="0" w:noVBand="1"/>
      </w:tblPr>
      <w:tblGrid>
        <w:gridCol w:w="3920"/>
        <w:gridCol w:w="1080"/>
        <w:gridCol w:w="1080"/>
        <w:gridCol w:w="1080"/>
      </w:tblGrid>
      <w:tr w:rsidR="0012341A" w:rsidRPr="0012341A" w14:paraId="5C87A8CE" w14:textId="77777777" w:rsidTr="0012341A">
        <w:trPr>
          <w:trHeight w:val="630"/>
        </w:trPr>
        <w:tc>
          <w:tcPr>
            <w:tcW w:w="3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CD8C24" w14:textId="77777777" w:rsidR="0012341A" w:rsidRPr="0012341A" w:rsidRDefault="0012341A" w:rsidP="0012341A">
            <w:pPr>
              <w:spacing w:after="0" w:line="240" w:lineRule="auto"/>
              <w:rPr>
                <w:rFonts w:eastAsia="Times New Roman" w:cs="Calibri"/>
                <w:b/>
                <w:bCs/>
                <w:color w:val="000000"/>
                <w:sz w:val="24"/>
                <w:szCs w:val="24"/>
                <w:lang w:eastAsia="en-GB"/>
              </w:rPr>
            </w:pPr>
            <w:r w:rsidRPr="0012341A">
              <w:rPr>
                <w:rFonts w:eastAsia="Times New Roman" w:cs="Calibri"/>
                <w:b/>
                <w:bCs/>
                <w:color w:val="000000"/>
                <w:sz w:val="24"/>
                <w:szCs w:val="24"/>
                <w:lang w:eastAsia="en-GB"/>
              </w:rPr>
              <w:t>Top Slice</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0586263C" w14:textId="77777777" w:rsidR="0012341A" w:rsidRPr="0012341A" w:rsidRDefault="0012341A" w:rsidP="0012341A">
            <w:pPr>
              <w:spacing w:after="0" w:line="240" w:lineRule="auto"/>
              <w:jc w:val="center"/>
              <w:rPr>
                <w:rFonts w:eastAsia="Times New Roman" w:cs="Calibri"/>
                <w:b/>
                <w:bCs/>
                <w:color w:val="000000"/>
                <w:sz w:val="24"/>
                <w:szCs w:val="24"/>
                <w:lang w:eastAsia="en-GB"/>
              </w:rPr>
            </w:pPr>
            <w:r w:rsidRPr="0012341A">
              <w:rPr>
                <w:rFonts w:eastAsia="Times New Roman" w:cs="Calibri"/>
                <w:b/>
                <w:bCs/>
                <w:color w:val="000000"/>
                <w:sz w:val="24"/>
                <w:szCs w:val="24"/>
                <w:lang w:eastAsia="en-GB"/>
              </w:rPr>
              <w:t>2023/24</w:t>
            </w:r>
            <w:r w:rsidRPr="0012341A">
              <w:rPr>
                <w:rFonts w:eastAsia="Times New Roman" w:cs="Calibri"/>
                <w:b/>
                <w:bCs/>
                <w:color w:val="000000"/>
                <w:sz w:val="24"/>
                <w:szCs w:val="24"/>
                <w:lang w:eastAsia="en-GB"/>
              </w:rPr>
              <w:br/>
              <w:t>£m</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06758785" w14:textId="77777777" w:rsidR="0012341A" w:rsidRPr="0012341A" w:rsidRDefault="0012341A" w:rsidP="0012341A">
            <w:pPr>
              <w:spacing w:after="0" w:line="240" w:lineRule="auto"/>
              <w:jc w:val="center"/>
              <w:rPr>
                <w:rFonts w:eastAsia="Times New Roman" w:cs="Calibri"/>
                <w:b/>
                <w:bCs/>
                <w:color w:val="000000"/>
                <w:sz w:val="24"/>
                <w:szCs w:val="24"/>
                <w:lang w:eastAsia="en-GB"/>
              </w:rPr>
            </w:pPr>
            <w:r w:rsidRPr="0012341A">
              <w:rPr>
                <w:rFonts w:eastAsia="Times New Roman" w:cs="Calibri"/>
                <w:b/>
                <w:bCs/>
                <w:color w:val="000000"/>
                <w:sz w:val="24"/>
                <w:szCs w:val="24"/>
                <w:lang w:eastAsia="en-GB"/>
              </w:rPr>
              <w:t>2024/25</w:t>
            </w:r>
            <w:r w:rsidRPr="0012341A">
              <w:rPr>
                <w:rFonts w:eastAsia="Times New Roman" w:cs="Calibri"/>
                <w:b/>
                <w:bCs/>
                <w:color w:val="000000"/>
                <w:sz w:val="24"/>
                <w:szCs w:val="24"/>
                <w:lang w:eastAsia="en-GB"/>
              </w:rPr>
              <w:br/>
              <w:t>£m</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5DCA3E0" w14:textId="77777777" w:rsidR="0012341A" w:rsidRPr="0012341A" w:rsidRDefault="0012341A" w:rsidP="0012341A">
            <w:pPr>
              <w:spacing w:after="0" w:line="240" w:lineRule="auto"/>
              <w:jc w:val="center"/>
              <w:rPr>
                <w:rFonts w:eastAsia="Times New Roman" w:cs="Calibri"/>
                <w:b/>
                <w:bCs/>
                <w:color w:val="000000"/>
                <w:sz w:val="24"/>
                <w:szCs w:val="24"/>
                <w:lang w:eastAsia="en-GB"/>
              </w:rPr>
            </w:pPr>
            <w:r w:rsidRPr="0012341A">
              <w:rPr>
                <w:rFonts w:eastAsia="Times New Roman" w:cs="Calibri"/>
                <w:b/>
                <w:bCs/>
                <w:color w:val="000000"/>
                <w:sz w:val="24"/>
                <w:szCs w:val="24"/>
                <w:lang w:eastAsia="en-GB"/>
              </w:rPr>
              <w:t>Change</w:t>
            </w:r>
            <w:r w:rsidRPr="0012341A">
              <w:rPr>
                <w:rFonts w:eastAsia="Times New Roman" w:cs="Calibri"/>
                <w:b/>
                <w:bCs/>
                <w:color w:val="000000"/>
                <w:sz w:val="24"/>
                <w:szCs w:val="24"/>
                <w:lang w:eastAsia="en-GB"/>
              </w:rPr>
              <w:br/>
              <w:t>£m</w:t>
            </w:r>
          </w:p>
        </w:tc>
      </w:tr>
      <w:tr w:rsidR="0012341A" w:rsidRPr="0012341A" w14:paraId="3D9685B1" w14:textId="77777777" w:rsidTr="0012341A">
        <w:trPr>
          <w:trHeight w:val="315"/>
        </w:trPr>
        <w:tc>
          <w:tcPr>
            <w:tcW w:w="3920" w:type="dxa"/>
            <w:tcBorders>
              <w:top w:val="nil"/>
              <w:left w:val="single" w:sz="4" w:space="0" w:color="auto"/>
              <w:bottom w:val="nil"/>
              <w:right w:val="single" w:sz="4" w:space="0" w:color="auto"/>
            </w:tcBorders>
            <w:shd w:val="clear" w:color="000000" w:fill="FFFFFF"/>
            <w:noWrap/>
            <w:vAlign w:val="bottom"/>
            <w:hideMark/>
          </w:tcPr>
          <w:p w14:paraId="5B63DE45" w14:textId="77777777" w:rsidR="0012341A" w:rsidRPr="0012341A" w:rsidRDefault="0012341A" w:rsidP="0012341A">
            <w:pPr>
              <w:spacing w:after="0" w:line="240" w:lineRule="auto"/>
              <w:rPr>
                <w:rFonts w:eastAsia="Times New Roman" w:cs="Calibri"/>
                <w:color w:val="000000"/>
                <w:sz w:val="24"/>
                <w:szCs w:val="24"/>
                <w:lang w:eastAsia="en-GB"/>
              </w:rPr>
            </w:pPr>
            <w:r w:rsidRPr="0012341A">
              <w:rPr>
                <w:rFonts w:eastAsia="Times New Roman" w:cs="Calibri"/>
                <w:color w:val="000000"/>
                <w:sz w:val="24"/>
                <w:szCs w:val="24"/>
                <w:lang w:eastAsia="en-GB"/>
              </w:rPr>
              <w:t>Special Grant</w:t>
            </w:r>
          </w:p>
        </w:tc>
        <w:tc>
          <w:tcPr>
            <w:tcW w:w="1080" w:type="dxa"/>
            <w:tcBorders>
              <w:top w:val="nil"/>
              <w:left w:val="nil"/>
              <w:bottom w:val="nil"/>
              <w:right w:val="single" w:sz="4" w:space="0" w:color="auto"/>
            </w:tcBorders>
            <w:shd w:val="clear" w:color="000000" w:fill="FFFFFF"/>
            <w:noWrap/>
            <w:vAlign w:val="bottom"/>
            <w:hideMark/>
          </w:tcPr>
          <w:p w14:paraId="2152EB70"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50.0 </w:t>
            </w:r>
          </w:p>
        </w:tc>
        <w:tc>
          <w:tcPr>
            <w:tcW w:w="1080" w:type="dxa"/>
            <w:tcBorders>
              <w:top w:val="nil"/>
              <w:left w:val="nil"/>
              <w:bottom w:val="nil"/>
              <w:right w:val="single" w:sz="4" w:space="0" w:color="auto"/>
            </w:tcBorders>
            <w:shd w:val="clear" w:color="000000" w:fill="FFFFFF"/>
            <w:noWrap/>
            <w:vAlign w:val="bottom"/>
            <w:hideMark/>
          </w:tcPr>
          <w:p w14:paraId="051EF086"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34.0 </w:t>
            </w:r>
          </w:p>
        </w:tc>
        <w:tc>
          <w:tcPr>
            <w:tcW w:w="1080" w:type="dxa"/>
            <w:tcBorders>
              <w:top w:val="nil"/>
              <w:left w:val="nil"/>
              <w:bottom w:val="nil"/>
              <w:right w:val="single" w:sz="4" w:space="0" w:color="auto"/>
            </w:tcBorders>
            <w:shd w:val="clear" w:color="000000" w:fill="FFFFFF"/>
            <w:noWrap/>
            <w:vAlign w:val="bottom"/>
            <w:hideMark/>
          </w:tcPr>
          <w:p w14:paraId="0EFDE713"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-16.0 </w:t>
            </w:r>
          </w:p>
        </w:tc>
      </w:tr>
      <w:tr w:rsidR="0012341A" w:rsidRPr="0012341A" w14:paraId="2A8DA116" w14:textId="77777777" w:rsidTr="0012341A">
        <w:trPr>
          <w:trHeight w:val="315"/>
        </w:trPr>
        <w:tc>
          <w:tcPr>
            <w:tcW w:w="3920" w:type="dxa"/>
            <w:tcBorders>
              <w:top w:val="nil"/>
              <w:left w:val="single" w:sz="4" w:space="0" w:color="auto"/>
              <w:bottom w:val="nil"/>
              <w:right w:val="single" w:sz="4" w:space="0" w:color="auto"/>
            </w:tcBorders>
            <w:shd w:val="clear" w:color="000000" w:fill="FFFFFF"/>
            <w:noWrap/>
            <w:vAlign w:val="bottom"/>
            <w:hideMark/>
          </w:tcPr>
          <w:p w14:paraId="52939D35" w14:textId="77777777" w:rsidR="0012341A" w:rsidRPr="0012341A" w:rsidRDefault="0012341A" w:rsidP="0012341A">
            <w:pPr>
              <w:spacing w:after="0" w:line="240" w:lineRule="auto"/>
              <w:rPr>
                <w:rFonts w:eastAsia="Times New Roman" w:cs="Calibri"/>
                <w:color w:val="000000"/>
                <w:sz w:val="24"/>
                <w:szCs w:val="24"/>
                <w:lang w:eastAsia="en-GB"/>
              </w:rPr>
            </w:pPr>
            <w:r w:rsidRPr="0012341A">
              <w:rPr>
                <w:rFonts w:eastAsia="Times New Roman" w:cs="Calibri"/>
                <w:color w:val="000000"/>
                <w:sz w:val="24"/>
                <w:szCs w:val="24"/>
                <w:lang w:eastAsia="en-GB"/>
              </w:rPr>
              <w:t>PFI</w:t>
            </w:r>
          </w:p>
        </w:tc>
        <w:tc>
          <w:tcPr>
            <w:tcW w:w="1080" w:type="dxa"/>
            <w:tcBorders>
              <w:top w:val="nil"/>
              <w:left w:val="nil"/>
              <w:bottom w:val="nil"/>
              <w:right w:val="single" w:sz="4" w:space="0" w:color="auto"/>
            </w:tcBorders>
            <w:shd w:val="clear" w:color="000000" w:fill="FFFFFF"/>
            <w:noWrap/>
            <w:vAlign w:val="bottom"/>
            <w:hideMark/>
          </w:tcPr>
          <w:p w14:paraId="0402E628"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71.6 </w:t>
            </w:r>
          </w:p>
        </w:tc>
        <w:tc>
          <w:tcPr>
            <w:tcW w:w="1080" w:type="dxa"/>
            <w:tcBorders>
              <w:top w:val="nil"/>
              <w:left w:val="nil"/>
              <w:bottom w:val="nil"/>
              <w:right w:val="single" w:sz="4" w:space="0" w:color="auto"/>
            </w:tcBorders>
            <w:shd w:val="clear" w:color="000000" w:fill="FFFFFF"/>
            <w:noWrap/>
            <w:vAlign w:val="bottom"/>
            <w:hideMark/>
          </w:tcPr>
          <w:p w14:paraId="7E442F38"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71.2 </w:t>
            </w:r>
          </w:p>
        </w:tc>
        <w:tc>
          <w:tcPr>
            <w:tcW w:w="1080" w:type="dxa"/>
            <w:tcBorders>
              <w:top w:val="nil"/>
              <w:left w:val="nil"/>
              <w:bottom w:val="nil"/>
              <w:right w:val="single" w:sz="4" w:space="0" w:color="auto"/>
            </w:tcBorders>
            <w:shd w:val="clear" w:color="000000" w:fill="FFFFFF"/>
            <w:noWrap/>
            <w:vAlign w:val="bottom"/>
            <w:hideMark/>
          </w:tcPr>
          <w:p w14:paraId="18D47B5F"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-0.4 </w:t>
            </w:r>
          </w:p>
        </w:tc>
      </w:tr>
      <w:tr w:rsidR="0012341A" w:rsidRPr="0012341A" w14:paraId="7B5F429B" w14:textId="77777777" w:rsidTr="0012341A">
        <w:trPr>
          <w:trHeight w:val="315"/>
        </w:trPr>
        <w:tc>
          <w:tcPr>
            <w:tcW w:w="3920" w:type="dxa"/>
            <w:tcBorders>
              <w:top w:val="nil"/>
              <w:left w:val="single" w:sz="4" w:space="0" w:color="auto"/>
              <w:bottom w:val="nil"/>
              <w:right w:val="single" w:sz="4" w:space="0" w:color="auto"/>
            </w:tcBorders>
            <w:shd w:val="clear" w:color="000000" w:fill="FFFFFF"/>
            <w:noWrap/>
            <w:vAlign w:val="bottom"/>
            <w:hideMark/>
          </w:tcPr>
          <w:p w14:paraId="16699DF7" w14:textId="77777777" w:rsidR="0012341A" w:rsidRPr="0012341A" w:rsidRDefault="0012341A" w:rsidP="0012341A">
            <w:pPr>
              <w:spacing w:after="0" w:line="240" w:lineRule="auto"/>
              <w:rPr>
                <w:rFonts w:eastAsia="Times New Roman" w:cs="Calibri"/>
                <w:color w:val="000000"/>
                <w:sz w:val="24"/>
                <w:szCs w:val="24"/>
                <w:lang w:eastAsia="en-GB"/>
              </w:rPr>
            </w:pPr>
            <w:r w:rsidRPr="0012341A">
              <w:rPr>
                <w:rFonts w:eastAsia="Times New Roman" w:cs="Calibri"/>
                <w:color w:val="000000"/>
                <w:sz w:val="24"/>
                <w:szCs w:val="24"/>
                <w:lang w:eastAsia="en-GB"/>
              </w:rPr>
              <w:t>Arm's Length Bodies</w:t>
            </w:r>
          </w:p>
        </w:tc>
        <w:tc>
          <w:tcPr>
            <w:tcW w:w="1080" w:type="dxa"/>
            <w:tcBorders>
              <w:top w:val="nil"/>
              <w:left w:val="nil"/>
              <w:bottom w:val="nil"/>
              <w:right w:val="single" w:sz="4" w:space="0" w:color="auto"/>
            </w:tcBorders>
            <w:shd w:val="clear" w:color="000000" w:fill="FFFFFF"/>
            <w:noWrap/>
            <w:vAlign w:val="bottom"/>
            <w:hideMark/>
          </w:tcPr>
          <w:p w14:paraId="6CDDBF74"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74.7 </w:t>
            </w:r>
          </w:p>
        </w:tc>
        <w:tc>
          <w:tcPr>
            <w:tcW w:w="1080" w:type="dxa"/>
            <w:tcBorders>
              <w:top w:val="nil"/>
              <w:left w:val="nil"/>
              <w:bottom w:val="nil"/>
              <w:right w:val="single" w:sz="4" w:space="0" w:color="auto"/>
            </w:tcBorders>
            <w:shd w:val="clear" w:color="000000" w:fill="FFFFFF"/>
            <w:noWrap/>
            <w:vAlign w:val="bottom"/>
            <w:hideMark/>
          </w:tcPr>
          <w:p w14:paraId="1206C439"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65.7 </w:t>
            </w:r>
          </w:p>
        </w:tc>
        <w:tc>
          <w:tcPr>
            <w:tcW w:w="1080" w:type="dxa"/>
            <w:tcBorders>
              <w:top w:val="nil"/>
              <w:left w:val="nil"/>
              <w:bottom w:val="nil"/>
              <w:right w:val="single" w:sz="4" w:space="0" w:color="auto"/>
            </w:tcBorders>
            <w:shd w:val="clear" w:color="000000" w:fill="FFFFFF"/>
            <w:noWrap/>
            <w:vAlign w:val="bottom"/>
            <w:hideMark/>
          </w:tcPr>
          <w:p w14:paraId="28A27495"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-9.0 </w:t>
            </w:r>
          </w:p>
        </w:tc>
      </w:tr>
      <w:tr w:rsidR="0012341A" w:rsidRPr="0012341A" w14:paraId="4CC5B3FB" w14:textId="77777777" w:rsidTr="0012341A">
        <w:trPr>
          <w:trHeight w:val="315"/>
        </w:trPr>
        <w:tc>
          <w:tcPr>
            <w:tcW w:w="3920" w:type="dxa"/>
            <w:tcBorders>
              <w:top w:val="nil"/>
              <w:left w:val="single" w:sz="4" w:space="0" w:color="auto"/>
              <w:bottom w:val="nil"/>
              <w:right w:val="single" w:sz="4" w:space="0" w:color="auto"/>
            </w:tcBorders>
            <w:shd w:val="clear" w:color="000000" w:fill="FFFFFF"/>
            <w:noWrap/>
            <w:vAlign w:val="bottom"/>
            <w:hideMark/>
          </w:tcPr>
          <w:p w14:paraId="108B2348" w14:textId="77777777" w:rsidR="0012341A" w:rsidRPr="0012341A" w:rsidRDefault="0012341A" w:rsidP="0012341A">
            <w:pPr>
              <w:spacing w:after="0" w:line="240" w:lineRule="auto"/>
              <w:rPr>
                <w:rFonts w:eastAsia="Times New Roman" w:cs="Calibri"/>
                <w:color w:val="000000"/>
                <w:sz w:val="24"/>
                <w:szCs w:val="24"/>
                <w:lang w:eastAsia="en-GB"/>
              </w:rPr>
            </w:pPr>
            <w:r w:rsidRPr="0012341A">
              <w:rPr>
                <w:rFonts w:eastAsia="Times New Roman" w:cs="Calibri"/>
                <w:color w:val="000000"/>
                <w:sz w:val="24"/>
                <w:szCs w:val="24"/>
                <w:lang w:eastAsia="en-GB"/>
              </w:rPr>
              <w:t>Police Technology Programmes</w:t>
            </w:r>
          </w:p>
        </w:tc>
        <w:tc>
          <w:tcPr>
            <w:tcW w:w="1080" w:type="dxa"/>
            <w:tcBorders>
              <w:top w:val="nil"/>
              <w:left w:val="nil"/>
              <w:bottom w:val="nil"/>
              <w:right w:val="single" w:sz="4" w:space="0" w:color="auto"/>
            </w:tcBorders>
            <w:shd w:val="clear" w:color="000000" w:fill="FFFFFF"/>
            <w:noWrap/>
            <w:vAlign w:val="bottom"/>
            <w:hideMark/>
          </w:tcPr>
          <w:p w14:paraId="44D53515"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526.4 </w:t>
            </w:r>
          </w:p>
        </w:tc>
        <w:tc>
          <w:tcPr>
            <w:tcW w:w="1080" w:type="dxa"/>
            <w:tcBorders>
              <w:top w:val="nil"/>
              <w:left w:val="nil"/>
              <w:bottom w:val="nil"/>
              <w:right w:val="single" w:sz="4" w:space="0" w:color="auto"/>
            </w:tcBorders>
            <w:shd w:val="clear" w:color="000000" w:fill="FFFFFF"/>
            <w:noWrap/>
            <w:vAlign w:val="bottom"/>
            <w:hideMark/>
          </w:tcPr>
          <w:p w14:paraId="42623BBF"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500.9 </w:t>
            </w:r>
          </w:p>
        </w:tc>
        <w:tc>
          <w:tcPr>
            <w:tcW w:w="1080" w:type="dxa"/>
            <w:tcBorders>
              <w:top w:val="nil"/>
              <w:left w:val="nil"/>
              <w:bottom w:val="nil"/>
              <w:right w:val="single" w:sz="4" w:space="0" w:color="auto"/>
            </w:tcBorders>
            <w:shd w:val="clear" w:color="000000" w:fill="FFFFFF"/>
            <w:noWrap/>
            <w:vAlign w:val="bottom"/>
            <w:hideMark/>
          </w:tcPr>
          <w:p w14:paraId="4D9AF56A"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-25.5 </w:t>
            </w:r>
          </w:p>
        </w:tc>
      </w:tr>
      <w:tr w:rsidR="0012341A" w:rsidRPr="0012341A" w14:paraId="1908F13F" w14:textId="77777777" w:rsidTr="0012341A">
        <w:trPr>
          <w:trHeight w:val="315"/>
        </w:trPr>
        <w:tc>
          <w:tcPr>
            <w:tcW w:w="3920" w:type="dxa"/>
            <w:tcBorders>
              <w:top w:val="nil"/>
              <w:left w:val="single" w:sz="4" w:space="0" w:color="auto"/>
              <w:bottom w:val="nil"/>
              <w:right w:val="single" w:sz="4" w:space="0" w:color="auto"/>
            </w:tcBorders>
            <w:shd w:val="clear" w:color="000000" w:fill="FFFFFF"/>
            <w:noWrap/>
            <w:vAlign w:val="bottom"/>
            <w:hideMark/>
          </w:tcPr>
          <w:p w14:paraId="5796812B" w14:textId="77777777" w:rsidR="0012341A" w:rsidRPr="0012341A" w:rsidRDefault="0012341A" w:rsidP="0012341A">
            <w:pPr>
              <w:spacing w:after="0" w:line="240" w:lineRule="auto"/>
              <w:rPr>
                <w:rFonts w:eastAsia="Times New Roman" w:cs="Calibri"/>
                <w:color w:val="000000"/>
                <w:sz w:val="24"/>
                <w:szCs w:val="24"/>
                <w:lang w:eastAsia="en-GB"/>
              </w:rPr>
            </w:pPr>
            <w:r w:rsidRPr="0012341A">
              <w:rPr>
                <w:rFonts w:eastAsia="Times New Roman" w:cs="Calibri"/>
                <w:color w:val="000000"/>
                <w:sz w:val="24"/>
                <w:szCs w:val="24"/>
                <w:lang w:eastAsia="en-GB"/>
              </w:rPr>
              <w:t>National Policing Capabilities</w:t>
            </w:r>
          </w:p>
        </w:tc>
        <w:tc>
          <w:tcPr>
            <w:tcW w:w="1080" w:type="dxa"/>
            <w:tcBorders>
              <w:top w:val="nil"/>
              <w:left w:val="nil"/>
              <w:bottom w:val="nil"/>
              <w:right w:val="single" w:sz="4" w:space="0" w:color="auto"/>
            </w:tcBorders>
            <w:shd w:val="clear" w:color="000000" w:fill="FFFFFF"/>
            <w:noWrap/>
            <w:vAlign w:val="bottom"/>
            <w:hideMark/>
          </w:tcPr>
          <w:p w14:paraId="43E6386C"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69.3 </w:t>
            </w:r>
          </w:p>
        </w:tc>
        <w:tc>
          <w:tcPr>
            <w:tcW w:w="1080" w:type="dxa"/>
            <w:tcBorders>
              <w:top w:val="nil"/>
              <w:left w:val="nil"/>
              <w:bottom w:val="nil"/>
              <w:right w:val="single" w:sz="4" w:space="0" w:color="auto"/>
            </w:tcBorders>
            <w:shd w:val="clear" w:color="000000" w:fill="FFFFFF"/>
            <w:noWrap/>
            <w:vAlign w:val="bottom"/>
            <w:hideMark/>
          </w:tcPr>
          <w:p w14:paraId="720F4CFD"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49.8 </w:t>
            </w:r>
          </w:p>
        </w:tc>
        <w:tc>
          <w:tcPr>
            <w:tcW w:w="1080" w:type="dxa"/>
            <w:tcBorders>
              <w:top w:val="nil"/>
              <w:left w:val="nil"/>
              <w:bottom w:val="nil"/>
              <w:right w:val="single" w:sz="4" w:space="0" w:color="auto"/>
            </w:tcBorders>
            <w:shd w:val="clear" w:color="000000" w:fill="FFFFFF"/>
            <w:noWrap/>
            <w:vAlign w:val="bottom"/>
            <w:hideMark/>
          </w:tcPr>
          <w:p w14:paraId="50098A3C"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-19.5 </w:t>
            </w:r>
          </w:p>
        </w:tc>
      </w:tr>
      <w:tr w:rsidR="0012341A" w:rsidRPr="0012341A" w14:paraId="050B7F64" w14:textId="77777777" w:rsidTr="0012341A">
        <w:trPr>
          <w:trHeight w:val="315"/>
        </w:trPr>
        <w:tc>
          <w:tcPr>
            <w:tcW w:w="3920" w:type="dxa"/>
            <w:tcBorders>
              <w:top w:val="nil"/>
              <w:left w:val="single" w:sz="4" w:space="0" w:color="auto"/>
              <w:bottom w:val="nil"/>
              <w:right w:val="single" w:sz="4" w:space="0" w:color="auto"/>
            </w:tcBorders>
            <w:shd w:val="clear" w:color="000000" w:fill="FFFFFF"/>
            <w:noWrap/>
            <w:vAlign w:val="bottom"/>
            <w:hideMark/>
          </w:tcPr>
          <w:p w14:paraId="071BC260" w14:textId="77777777" w:rsidR="0012341A" w:rsidRPr="0012341A" w:rsidRDefault="0012341A" w:rsidP="0012341A">
            <w:pPr>
              <w:spacing w:after="0" w:line="240" w:lineRule="auto"/>
              <w:rPr>
                <w:rFonts w:eastAsia="Times New Roman" w:cs="Calibri"/>
                <w:color w:val="000000"/>
                <w:sz w:val="24"/>
                <w:szCs w:val="24"/>
                <w:lang w:eastAsia="en-GB"/>
              </w:rPr>
            </w:pPr>
            <w:r w:rsidRPr="0012341A">
              <w:rPr>
                <w:rFonts w:eastAsia="Times New Roman" w:cs="Calibri"/>
                <w:color w:val="000000"/>
                <w:sz w:val="24"/>
                <w:szCs w:val="24"/>
                <w:lang w:eastAsia="en-GB"/>
              </w:rPr>
              <w:t>Forensics</w:t>
            </w:r>
          </w:p>
        </w:tc>
        <w:tc>
          <w:tcPr>
            <w:tcW w:w="1080" w:type="dxa"/>
            <w:tcBorders>
              <w:top w:val="nil"/>
              <w:left w:val="nil"/>
              <w:bottom w:val="nil"/>
              <w:right w:val="single" w:sz="4" w:space="0" w:color="auto"/>
            </w:tcBorders>
            <w:shd w:val="clear" w:color="000000" w:fill="FFFFFF"/>
            <w:noWrap/>
            <w:vAlign w:val="bottom"/>
            <w:hideMark/>
          </w:tcPr>
          <w:p w14:paraId="4EFC9119"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20.6 </w:t>
            </w:r>
          </w:p>
        </w:tc>
        <w:tc>
          <w:tcPr>
            <w:tcW w:w="1080" w:type="dxa"/>
            <w:tcBorders>
              <w:top w:val="nil"/>
              <w:left w:val="nil"/>
              <w:bottom w:val="nil"/>
              <w:right w:val="single" w:sz="4" w:space="0" w:color="auto"/>
            </w:tcBorders>
            <w:shd w:val="clear" w:color="000000" w:fill="FFFFFF"/>
            <w:noWrap/>
            <w:vAlign w:val="bottom"/>
            <w:hideMark/>
          </w:tcPr>
          <w:p w14:paraId="4A575D13"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13.0 </w:t>
            </w:r>
          </w:p>
        </w:tc>
        <w:tc>
          <w:tcPr>
            <w:tcW w:w="1080" w:type="dxa"/>
            <w:tcBorders>
              <w:top w:val="nil"/>
              <w:left w:val="nil"/>
              <w:bottom w:val="nil"/>
              <w:right w:val="single" w:sz="4" w:space="0" w:color="auto"/>
            </w:tcBorders>
            <w:shd w:val="clear" w:color="000000" w:fill="FFFFFF"/>
            <w:noWrap/>
            <w:vAlign w:val="bottom"/>
            <w:hideMark/>
          </w:tcPr>
          <w:p w14:paraId="149A7873"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-7.6 </w:t>
            </w:r>
          </w:p>
        </w:tc>
      </w:tr>
      <w:tr w:rsidR="0012341A" w:rsidRPr="0012341A" w14:paraId="3D987701" w14:textId="77777777" w:rsidTr="0012341A">
        <w:trPr>
          <w:trHeight w:val="315"/>
        </w:trPr>
        <w:tc>
          <w:tcPr>
            <w:tcW w:w="3920" w:type="dxa"/>
            <w:tcBorders>
              <w:top w:val="nil"/>
              <w:left w:val="single" w:sz="4" w:space="0" w:color="auto"/>
              <w:bottom w:val="nil"/>
              <w:right w:val="single" w:sz="4" w:space="0" w:color="auto"/>
            </w:tcBorders>
            <w:shd w:val="clear" w:color="000000" w:fill="FFFFFF"/>
            <w:noWrap/>
            <w:vAlign w:val="bottom"/>
            <w:hideMark/>
          </w:tcPr>
          <w:p w14:paraId="2522C7DE" w14:textId="77777777" w:rsidR="0012341A" w:rsidRPr="0012341A" w:rsidRDefault="0012341A" w:rsidP="0012341A">
            <w:pPr>
              <w:spacing w:after="0" w:line="240" w:lineRule="auto"/>
              <w:rPr>
                <w:rFonts w:eastAsia="Times New Roman" w:cs="Calibri"/>
                <w:color w:val="000000"/>
                <w:sz w:val="24"/>
                <w:szCs w:val="24"/>
                <w:lang w:eastAsia="en-GB"/>
              </w:rPr>
            </w:pPr>
            <w:r w:rsidRPr="0012341A">
              <w:rPr>
                <w:rFonts w:eastAsia="Times New Roman" w:cs="Calibri"/>
                <w:color w:val="000000"/>
                <w:sz w:val="24"/>
                <w:szCs w:val="24"/>
                <w:lang w:eastAsia="en-GB"/>
              </w:rPr>
              <w:t>Crime Reduction Capabilities</w:t>
            </w:r>
          </w:p>
        </w:tc>
        <w:tc>
          <w:tcPr>
            <w:tcW w:w="1080" w:type="dxa"/>
            <w:tcBorders>
              <w:top w:val="nil"/>
              <w:left w:val="nil"/>
              <w:bottom w:val="nil"/>
              <w:right w:val="single" w:sz="4" w:space="0" w:color="auto"/>
            </w:tcBorders>
            <w:shd w:val="clear" w:color="000000" w:fill="FFFFFF"/>
            <w:noWrap/>
            <w:vAlign w:val="bottom"/>
            <w:hideMark/>
          </w:tcPr>
          <w:p w14:paraId="425A4D64"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18.4 </w:t>
            </w:r>
          </w:p>
        </w:tc>
        <w:tc>
          <w:tcPr>
            <w:tcW w:w="1080" w:type="dxa"/>
            <w:tcBorders>
              <w:top w:val="nil"/>
              <w:left w:val="nil"/>
              <w:bottom w:val="nil"/>
              <w:right w:val="single" w:sz="4" w:space="0" w:color="auto"/>
            </w:tcBorders>
            <w:shd w:val="clear" w:color="000000" w:fill="FFFFFF"/>
            <w:noWrap/>
            <w:vAlign w:val="bottom"/>
            <w:hideMark/>
          </w:tcPr>
          <w:p w14:paraId="1D57C295"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0.0 </w:t>
            </w:r>
          </w:p>
        </w:tc>
        <w:tc>
          <w:tcPr>
            <w:tcW w:w="1080" w:type="dxa"/>
            <w:tcBorders>
              <w:top w:val="nil"/>
              <w:left w:val="nil"/>
              <w:bottom w:val="nil"/>
              <w:right w:val="single" w:sz="4" w:space="0" w:color="auto"/>
            </w:tcBorders>
            <w:shd w:val="clear" w:color="000000" w:fill="FFFFFF"/>
            <w:noWrap/>
            <w:vAlign w:val="bottom"/>
            <w:hideMark/>
          </w:tcPr>
          <w:p w14:paraId="4AD08C05"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-18.4 </w:t>
            </w:r>
          </w:p>
        </w:tc>
      </w:tr>
      <w:tr w:rsidR="0012341A" w:rsidRPr="0012341A" w14:paraId="1148F5DB" w14:textId="77777777" w:rsidTr="0012341A">
        <w:trPr>
          <w:trHeight w:val="315"/>
        </w:trPr>
        <w:tc>
          <w:tcPr>
            <w:tcW w:w="3920" w:type="dxa"/>
            <w:tcBorders>
              <w:top w:val="nil"/>
              <w:left w:val="single" w:sz="4" w:space="0" w:color="auto"/>
              <w:bottom w:val="nil"/>
              <w:right w:val="single" w:sz="4" w:space="0" w:color="auto"/>
            </w:tcBorders>
            <w:shd w:val="clear" w:color="000000" w:fill="FFFFFF"/>
            <w:noWrap/>
            <w:vAlign w:val="bottom"/>
            <w:hideMark/>
          </w:tcPr>
          <w:p w14:paraId="1D1A3D61" w14:textId="77777777" w:rsidR="0012341A" w:rsidRPr="0012341A" w:rsidRDefault="0012341A" w:rsidP="0012341A">
            <w:pPr>
              <w:spacing w:after="0" w:line="240" w:lineRule="auto"/>
              <w:rPr>
                <w:rFonts w:eastAsia="Times New Roman" w:cs="Calibri"/>
                <w:color w:val="000000"/>
                <w:sz w:val="24"/>
                <w:szCs w:val="24"/>
                <w:lang w:eastAsia="en-GB"/>
              </w:rPr>
            </w:pPr>
            <w:r w:rsidRPr="0012341A">
              <w:rPr>
                <w:rFonts w:eastAsia="Times New Roman" w:cs="Calibri"/>
                <w:color w:val="000000"/>
                <w:sz w:val="24"/>
                <w:szCs w:val="24"/>
                <w:lang w:eastAsia="en-GB"/>
              </w:rPr>
              <w:t>Fraud</w:t>
            </w:r>
          </w:p>
        </w:tc>
        <w:tc>
          <w:tcPr>
            <w:tcW w:w="1080" w:type="dxa"/>
            <w:tcBorders>
              <w:top w:val="nil"/>
              <w:left w:val="nil"/>
              <w:bottom w:val="nil"/>
              <w:right w:val="single" w:sz="4" w:space="0" w:color="auto"/>
            </w:tcBorders>
            <w:shd w:val="clear" w:color="000000" w:fill="FFFFFF"/>
            <w:noWrap/>
            <w:vAlign w:val="bottom"/>
            <w:hideMark/>
          </w:tcPr>
          <w:p w14:paraId="12B167D1"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18.1 </w:t>
            </w:r>
          </w:p>
        </w:tc>
        <w:tc>
          <w:tcPr>
            <w:tcW w:w="1080" w:type="dxa"/>
            <w:tcBorders>
              <w:top w:val="nil"/>
              <w:left w:val="nil"/>
              <w:bottom w:val="nil"/>
              <w:right w:val="single" w:sz="4" w:space="0" w:color="auto"/>
            </w:tcBorders>
            <w:shd w:val="clear" w:color="000000" w:fill="FFFFFF"/>
            <w:noWrap/>
            <w:vAlign w:val="bottom"/>
            <w:hideMark/>
          </w:tcPr>
          <w:p w14:paraId="3AE86B88"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18.1 </w:t>
            </w:r>
          </w:p>
        </w:tc>
        <w:tc>
          <w:tcPr>
            <w:tcW w:w="1080" w:type="dxa"/>
            <w:tcBorders>
              <w:top w:val="nil"/>
              <w:left w:val="nil"/>
              <w:bottom w:val="nil"/>
              <w:right w:val="single" w:sz="4" w:space="0" w:color="auto"/>
            </w:tcBorders>
            <w:shd w:val="clear" w:color="000000" w:fill="FFFFFF"/>
            <w:noWrap/>
            <w:vAlign w:val="bottom"/>
            <w:hideMark/>
          </w:tcPr>
          <w:p w14:paraId="01721980"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0.0 </w:t>
            </w:r>
          </w:p>
        </w:tc>
      </w:tr>
      <w:tr w:rsidR="0012341A" w:rsidRPr="0012341A" w14:paraId="10552909" w14:textId="77777777" w:rsidTr="0012341A">
        <w:trPr>
          <w:trHeight w:val="315"/>
        </w:trPr>
        <w:tc>
          <w:tcPr>
            <w:tcW w:w="3920" w:type="dxa"/>
            <w:tcBorders>
              <w:top w:val="nil"/>
              <w:left w:val="single" w:sz="4" w:space="0" w:color="auto"/>
              <w:bottom w:val="nil"/>
              <w:right w:val="single" w:sz="4" w:space="0" w:color="auto"/>
            </w:tcBorders>
            <w:shd w:val="clear" w:color="000000" w:fill="FFFFFF"/>
            <w:noWrap/>
            <w:vAlign w:val="bottom"/>
            <w:hideMark/>
          </w:tcPr>
          <w:p w14:paraId="370C886F" w14:textId="77777777" w:rsidR="0012341A" w:rsidRPr="0012341A" w:rsidRDefault="0012341A" w:rsidP="0012341A">
            <w:pPr>
              <w:spacing w:after="0" w:line="240" w:lineRule="auto"/>
              <w:rPr>
                <w:rFonts w:eastAsia="Times New Roman" w:cs="Calibri"/>
                <w:color w:val="000000"/>
                <w:sz w:val="24"/>
                <w:szCs w:val="24"/>
                <w:lang w:eastAsia="en-GB"/>
              </w:rPr>
            </w:pPr>
            <w:r w:rsidRPr="0012341A">
              <w:rPr>
                <w:rFonts w:eastAsia="Times New Roman" w:cs="Calibri"/>
                <w:color w:val="000000"/>
                <w:sz w:val="24"/>
                <w:szCs w:val="24"/>
                <w:lang w:eastAsia="en-GB"/>
              </w:rPr>
              <w:t>Regional and Organised Crime Units</w:t>
            </w:r>
          </w:p>
        </w:tc>
        <w:tc>
          <w:tcPr>
            <w:tcW w:w="1080" w:type="dxa"/>
            <w:tcBorders>
              <w:top w:val="nil"/>
              <w:left w:val="nil"/>
              <w:bottom w:val="nil"/>
              <w:right w:val="single" w:sz="4" w:space="0" w:color="auto"/>
            </w:tcBorders>
            <w:shd w:val="clear" w:color="000000" w:fill="FFFFFF"/>
            <w:noWrap/>
            <w:vAlign w:val="bottom"/>
            <w:hideMark/>
          </w:tcPr>
          <w:p w14:paraId="76DAE04D"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39.5 </w:t>
            </w:r>
          </w:p>
        </w:tc>
        <w:tc>
          <w:tcPr>
            <w:tcW w:w="1080" w:type="dxa"/>
            <w:tcBorders>
              <w:top w:val="nil"/>
              <w:left w:val="nil"/>
              <w:bottom w:val="nil"/>
              <w:right w:val="single" w:sz="4" w:space="0" w:color="auto"/>
            </w:tcBorders>
            <w:shd w:val="clear" w:color="000000" w:fill="FFFFFF"/>
            <w:noWrap/>
            <w:vAlign w:val="bottom"/>
            <w:hideMark/>
          </w:tcPr>
          <w:p w14:paraId="45DBE78D"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31.6 </w:t>
            </w:r>
          </w:p>
        </w:tc>
        <w:tc>
          <w:tcPr>
            <w:tcW w:w="1080" w:type="dxa"/>
            <w:tcBorders>
              <w:top w:val="nil"/>
              <w:left w:val="nil"/>
              <w:bottom w:val="nil"/>
              <w:right w:val="single" w:sz="4" w:space="0" w:color="auto"/>
            </w:tcBorders>
            <w:shd w:val="clear" w:color="000000" w:fill="FFFFFF"/>
            <w:noWrap/>
            <w:vAlign w:val="bottom"/>
            <w:hideMark/>
          </w:tcPr>
          <w:p w14:paraId="204EF68C"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-7.9 </w:t>
            </w:r>
          </w:p>
        </w:tc>
      </w:tr>
      <w:tr w:rsidR="0012341A" w:rsidRPr="0012341A" w14:paraId="7A99A1C9" w14:textId="77777777" w:rsidTr="0012341A">
        <w:trPr>
          <w:trHeight w:val="315"/>
        </w:trPr>
        <w:tc>
          <w:tcPr>
            <w:tcW w:w="3920" w:type="dxa"/>
            <w:tcBorders>
              <w:top w:val="nil"/>
              <w:left w:val="single" w:sz="4" w:space="0" w:color="auto"/>
              <w:bottom w:val="nil"/>
              <w:right w:val="single" w:sz="4" w:space="0" w:color="auto"/>
            </w:tcBorders>
            <w:shd w:val="clear" w:color="000000" w:fill="FFFFFF"/>
            <w:noWrap/>
            <w:vAlign w:val="bottom"/>
            <w:hideMark/>
          </w:tcPr>
          <w:p w14:paraId="2E13FF62" w14:textId="77777777" w:rsidR="0012341A" w:rsidRPr="0012341A" w:rsidRDefault="0012341A" w:rsidP="0012341A">
            <w:pPr>
              <w:spacing w:after="0" w:line="240" w:lineRule="auto"/>
              <w:rPr>
                <w:rFonts w:eastAsia="Times New Roman" w:cs="Calibri"/>
                <w:color w:val="000000"/>
                <w:sz w:val="24"/>
                <w:szCs w:val="24"/>
                <w:lang w:eastAsia="en-GB"/>
              </w:rPr>
            </w:pPr>
            <w:r w:rsidRPr="0012341A">
              <w:rPr>
                <w:rFonts w:eastAsia="Times New Roman" w:cs="Calibri"/>
                <w:color w:val="000000"/>
                <w:sz w:val="24"/>
                <w:szCs w:val="24"/>
                <w:lang w:eastAsia="en-GB"/>
              </w:rPr>
              <w:t>Serious Violence</w:t>
            </w:r>
          </w:p>
        </w:tc>
        <w:tc>
          <w:tcPr>
            <w:tcW w:w="1080" w:type="dxa"/>
            <w:tcBorders>
              <w:top w:val="nil"/>
              <w:left w:val="nil"/>
              <w:bottom w:val="nil"/>
              <w:right w:val="single" w:sz="4" w:space="0" w:color="auto"/>
            </w:tcBorders>
            <w:shd w:val="clear" w:color="000000" w:fill="FFFFFF"/>
            <w:noWrap/>
            <w:vAlign w:val="bottom"/>
            <w:hideMark/>
          </w:tcPr>
          <w:p w14:paraId="50392685"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45.6 </w:t>
            </w:r>
          </w:p>
        </w:tc>
        <w:tc>
          <w:tcPr>
            <w:tcW w:w="1080" w:type="dxa"/>
            <w:tcBorders>
              <w:top w:val="nil"/>
              <w:left w:val="nil"/>
              <w:bottom w:val="nil"/>
              <w:right w:val="single" w:sz="4" w:space="0" w:color="auto"/>
            </w:tcBorders>
            <w:shd w:val="clear" w:color="000000" w:fill="FFFFFF"/>
            <w:noWrap/>
            <w:vAlign w:val="bottom"/>
            <w:hideMark/>
          </w:tcPr>
          <w:p w14:paraId="3B87A6F1"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45.6 </w:t>
            </w:r>
          </w:p>
        </w:tc>
        <w:tc>
          <w:tcPr>
            <w:tcW w:w="1080" w:type="dxa"/>
            <w:tcBorders>
              <w:top w:val="nil"/>
              <w:left w:val="nil"/>
              <w:bottom w:val="nil"/>
              <w:right w:val="single" w:sz="4" w:space="0" w:color="auto"/>
            </w:tcBorders>
            <w:shd w:val="clear" w:color="000000" w:fill="FFFFFF"/>
            <w:noWrap/>
            <w:vAlign w:val="bottom"/>
            <w:hideMark/>
          </w:tcPr>
          <w:p w14:paraId="5E1C313C"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0.0 </w:t>
            </w:r>
          </w:p>
        </w:tc>
      </w:tr>
      <w:tr w:rsidR="0012341A" w:rsidRPr="0012341A" w14:paraId="2B638F5B" w14:textId="77777777" w:rsidTr="0012341A">
        <w:trPr>
          <w:trHeight w:val="315"/>
        </w:trPr>
        <w:tc>
          <w:tcPr>
            <w:tcW w:w="3920" w:type="dxa"/>
            <w:tcBorders>
              <w:top w:val="nil"/>
              <w:left w:val="single" w:sz="4" w:space="0" w:color="auto"/>
              <w:bottom w:val="nil"/>
              <w:right w:val="single" w:sz="4" w:space="0" w:color="auto"/>
            </w:tcBorders>
            <w:shd w:val="clear" w:color="000000" w:fill="FFFFFF"/>
            <w:noWrap/>
            <w:vAlign w:val="bottom"/>
            <w:hideMark/>
          </w:tcPr>
          <w:p w14:paraId="72E097CC" w14:textId="77777777" w:rsidR="0012341A" w:rsidRPr="0012341A" w:rsidRDefault="0012341A" w:rsidP="0012341A">
            <w:pPr>
              <w:spacing w:after="0" w:line="240" w:lineRule="auto"/>
              <w:rPr>
                <w:rFonts w:eastAsia="Times New Roman" w:cs="Calibri"/>
                <w:color w:val="000000"/>
                <w:sz w:val="24"/>
                <w:szCs w:val="24"/>
                <w:lang w:eastAsia="en-GB"/>
              </w:rPr>
            </w:pPr>
            <w:r w:rsidRPr="0012341A">
              <w:rPr>
                <w:rFonts w:eastAsia="Times New Roman" w:cs="Calibri"/>
                <w:color w:val="000000"/>
                <w:sz w:val="24"/>
                <w:szCs w:val="24"/>
                <w:lang w:eastAsia="en-GB"/>
              </w:rPr>
              <w:t>Drugs/County Lines</w:t>
            </w:r>
          </w:p>
        </w:tc>
        <w:tc>
          <w:tcPr>
            <w:tcW w:w="1080" w:type="dxa"/>
            <w:tcBorders>
              <w:top w:val="nil"/>
              <w:left w:val="nil"/>
              <w:bottom w:val="nil"/>
              <w:right w:val="single" w:sz="4" w:space="0" w:color="auto"/>
            </w:tcBorders>
            <w:shd w:val="clear" w:color="000000" w:fill="FFFFFF"/>
            <w:noWrap/>
            <w:vAlign w:val="bottom"/>
            <w:hideMark/>
          </w:tcPr>
          <w:p w14:paraId="2D2C7003"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30.0 </w:t>
            </w:r>
          </w:p>
        </w:tc>
        <w:tc>
          <w:tcPr>
            <w:tcW w:w="1080" w:type="dxa"/>
            <w:tcBorders>
              <w:top w:val="nil"/>
              <w:left w:val="nil"/>
              <w:bottom w:val="nil"/>
              <w:right w:val="single" w:sz="4" w:space="0" w:color="auto"/>
            </w:tcBorders>
            <w:shd w:val="clear" w:color="000000" w:fill="FFFFFF"/>
            <w:noWrap/>
            <w:vAlign w:val="bottom"/>
            <w:hideMark/>
          </w:tcPr>
          <w:p w14:paraId="1CD1E328"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30.0 </w:t>
            </w:r>
          </w:p>
        </w:tc>
        <w:tc>
          <w:tcPr>
            <w:tcW w:w="1080" w:type="dxa"/>
            <w:tcBorders>
              <w:top w:val="nil"/>
              <w:left w:val="nil"/>
              <w:bottom w:val="nil"/>
              <w:right w:val="single" w:sz="4" w:space="0" w:color="auto"/>
            </w:tcBorders>
            <w:shd w:val="clear" w:color="000000" w:fill="FFFFFF"/>
            <w:noWrap/>
            <w:vAlign w:val="bottom"/>
            <w:hideMark/>
          </w:tcPr>
          <w:p w14:paraId="3B04349F"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0.0 </w:t>
            </w:r>
          </w:p>
        </w:tc>
      </w:tr>
      <w:tr w:rsidR="0012341A" w:rsidRPr="0012341A" w14:paraId="3C270162" w14:textId="77777777" w:rsidTr="0012341A">
        <w:trPr>
          <w:trHeight w:val="315"/>
        </w:trPr>
        <w:tc>
          <w:tcPr>
            <w:tcW w:w="3920" w:type="dxa"/>
            <w:tcBorders>
              <w:top w:val="nil"/>
              <w:left w:val="single" w:sz="4" w:space="0" w:color="auto"/>
              <w:bottom w:val="nil"/>
              <w:right w:val="single" w:sz="4" w:space="0" w:color="auto"/>
            </w:tcBorders>
            <w:shd w:val="clear" w:color="000000" w:fill="FFFFFF"/>
            <w:noWrap/>
            <w:vAlign w:val="bottom"/>
            <w:hideMark/>
          </w:tcPr>
          <w:p w14:paraId="257F5680" w14:textId="77777777" w:rsidR="0012341A" w:rsidRPr="0012341A" w:rsidRDefault="0012341A" w:rsidP="0012341A">
            <w:pPr>
              <w:spacing w:after="0" w:line="240" w:lineRule="auto"/>
              <w:rPr>
                <w:rFonts w:eastAsia="Times New Roman" w:cs="Calibri"/>
                <w:color w:val="000000"/>
                <w:sz w:val="24"/>
                <w:szCs w:val="24"/>
                <w:lang w:eastAsia="en-GB"/>
              </w:rPr>
            </w:pPr>
            <w:r w:rsidRPr="0012341A">
              <w:rPr>
                <w:rFonts w:eastAsia="Times New Roman" w:cs="Calibri"/>
                <w:color w:val="000000"/>
                <w:sz w:val="24"/>
                <w:szCs w:val="24"/>
                <w:lang w:eastAsia="en-GB"/>
              </w:rPr>
              <w:t>NPCC Programmes</w:t>
            </w:r>
          </w:p>
        </w:tc>
        <w:tc>
          <w:tcPr>
            <w:tcW w:w="1080" w:type="dxa"/>
            <w:tcBorders>
              <w:top w:val="nil"/>
              <w:left w:val="nil"/>
              <w:bottom w:val="nil"/>
              <w:right w:val="single" w:sz="4" w:space="0" w:color="auto"/>
            </w:tcBorders>
            <w:shd w:val="clear" w:color="000000" w:fill="FFFFFF"/>
            <w:noWrap/>
            <w:vAlign w:val="bottom"/>
            <w:hideMark/>
          </w:tcPr>
          <w:p w14:paraId="21262812"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9.5 </w:t>
            </w:r>
          </w:p>
        </w:tc>
        <w:tc>
          <w:tcPr>
            <w:tcW w:w="1080" w:type="dxa"/>
            <w:tcBorders>
              <w:top w:val="nil"/>
              <w:left w:val="nil"/>
              <w:bottom w:val="nil"/>
              <w:right w:val="single" w:sz="4" w:space="0" w:color="auto"/>
            </w:tcBorders>
            <w:shd w:val="clear" w:color="000000" w:fill="FFFFFF"/>
            <w:noWrap/>
            <w:vAlign w:val="bottom"/>
            <w:hideMark/>
          </w:tcPr>
          <w:p w14:paraId="4FDBFD86"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7.7 </w:t>
            </w:r>
          </w:p>
        </w:tc>
        <w:tc>
          <w:tcPr>
            <w:tcW w:w="1080" w:type="dxa"/>
            <w:tcBorders>
              <w:top w:val="nil"/>
              <w:left w:val="nil"/>
              <w:bottom w:val="nil"/>
              <w:right w:val="single" w:sz="4" w:space="0" w:color="auto"/>
            </w:tcBorders>
            <w:shd w:val="clear" w:color="000000" w:fill="FFFFFF"/>
            <w:noWrap/>
            <w:vAlign w:val="bottom"/>
            <w:hideMark/>
          </w:tcPr>
          <w:p w14:paraId="4599E65B"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-1.8 </w:t>
            </w:r>
          </w:p>
        </w:tc>
      </w:tr>
      <w:tr w:rsidR="0012341A" w:rsidRPr="0012341A" w14:paraId="1D1AC2D2" w14:textId="77777777" w:rsidTr="0012341A">
        <w:trPr>
          <w:trHeight w:val="315"/>
        </w:trPr>
        <w:tc>
          <w:tcPr>
            <w:tcW w:w="3920" w:type="dxa"/>
            <w:tcBorders>
              <w:top w:val="nil"/>
              <w:left w:val="single" w:sz="4" w:space="0" w:color="auto"/>
              <w:bottom w:val="nil"/>
              <w:right w:val="single" w:sz="4" w:space="0" w:color="auto"/>
            </w:tcBorders>
            <w:shd w:val="clear" w:color="000000" w:fill="FFFFFF"/>
            <w:noWrap/>
            <w:vAlign w:val="bottom"/>
            <w:hideMark/>
          </w:tcPr>
          <w:p w14:paraId="3F6CDBA7" w14:textId="77777777" w:rsidR="0012341A" w:rsidRPr="0012341A" w:rsidRDefault="0012341A" w:rsidP="0012341A">
            <w:pPr>
              <w:spacing w:after="0" w:line="240" w:lineRule="auto"/>
              <w:rPr>
                <w:rFonts w:eastAsia="Times New Roman" w:cs="Calibri"/>
                <w:color w:val="000000"/>
                <w:sz w:val="24"/>
                <w:szCs w:val="24"/>
                <w:lang w:eastAsia="en-GB"/>
              </w:rPr>
            </w:pPr>
            <w:r w:rsidRPr="0012341A">
              <w:rPr>
                <w:rFonts w:eastAsia="Times New Roman" w:cs="Calibri"/>
                <w:color w:val="000000"/>
                <w:sz w:val="24"/>
                <w:szCs w:val="24"/>
                <w:lang w:eastAsia="en-GB"/>
              </w:rPr>
              <w:t>Capital Reallocations</w:t>
            </w:r>
          </w:p>
        </w:tc>
        <w:tc>
          <w:tcPr>
            <w:tcW w:w="1080" w:type="dxa"/>
            <w:tcBorders>
              <w:top w:val="nil"/>
              <w:left w:val="nil"/>
              <w:bottom w:val="nil"/>
              <w:right w:val="single" w:sz="4" w:space="0" w:color="auto"/>
            </w:tcBorders>
            <w:shd w:val="clear" w:color="000000" w:fill="FFFFFF"/>
            <w:noWrap/>
            <w:vAlign w:val="bottom"/>
            <w:hideMark/>
          </w:tcPr>
          <w:p w14:paraId="4E336158"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104.9 </w:t>
            </w:r>
          </w:p>
        </w:tc>
        <w:tc>
          <w:tcPr>
            <w:tcW w:w="1080" w:type="dxa"/>
            <w:tcBorders>
              <w:top w:val="nil"/>
              <w:left w:val="nil"/>
              <w:bottom w:val="nil"/>
              <w:right w:val="single" w:sz="4" w:space="0" w:color="auto"/>
            </w:tcBorders>
            <w:shd w:val="clear" w:color="000000" w:fill="FFFFFF"/>
            <w:noWrap/>
            <w:vAlign w:val="bottom"/>
            <w:hideMark/>
          </w:tcPr>
          <w:p w14:paraId="242A5858"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128.7 </w:t>
            </w:r>
          </w:p>
        </w:tc>
        <w:tc>
          <w:tcPr>
            <w:tcW w:w="1080" w:type="dxa"/>
            <w:tcBorders>
              <w:top w:val="nil"/>
              <w:left w:val="nil"/>
              <w:bottom w:val="nil"/>
              <w:right w:val="single" w:sz="4" w:space="0" w:color="auto"/>
            </w:tcBorders>
            <w:shd w:val="clear" w:color="000000" w:fill="FFFFFF"/>
            <w:noWrap/>
            <w:vAlign w:val="bottom"/>
            <w:hideMark/>
          </w:tcPr>
          <w:p w14:paraId="078BE69D"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23.8 </w:t>
            </w:r>
          </w:p>
        </w:tc>
      </w:tr>
      <w:tr w:rsidR="0012341A" w:rsidRPr="0012341A" w14:paraId="0815ED65" w14:textId="77777777" w:rsidTr="0012341A">
        <w:trPr>
          <w:trHeight w:val="315"/>
        </w:trPr>
        <w:tc>
          <w:tcPr>
            <w:tcW w:w="3920" w:type="dxa"/>
            <w:tcBorders>
              <w:top w:val="nil"/>
              <w:left w:val="single" w:sz="4" w:space="0" w:color="auto"/>
              <w:bottom w:val="nil"/>
              <w:right w:val="single" w:sz="4" w:space="0" w:color="auto"/>
            </w:tcBorders>
            <w:shd w:val="clear" w:color="000000" w:fill="FFFFFF"/>
            <w:noWrap/>
            <w:vAlign w:val="bottom"/>
            <w:hideMark/>
          </w:tcPr>
          <w:p w14:paraId="26B0A518" w14:textId="77777777" w:rsidR="0012341A" w:rsidRPr="0012341A" w:rsidRDefault="0012341A" w:rsidP="0012341A">
            <w:pPr>
              <w:spacing w:after="0" w:line="240" w:lineRule="auto"/>
              <w:rPr>
                <w:rFonts w:eastAsia="Times New Roman" w:cs="Calibri"/>
                <w:color w:val="000000"/>
                <w:sz w:val="24"/>
                <w:szCs w:val="24"/>
                <w:lang w:eastAsia="en-GB"/>
              </w:rPr>
            </w:pPr>
            <w:r w:rsidRPr="0012341A">
              <w:rPr>
                <w:rFonts w:eastAsia="Times New Roman" w:cs="Calibri"/>
                <w:color w:val="000000"/>
                <w:sz w:val="24"/>
                <w:szCs w:val="24"/>
                <w:lang w:eastAsia="en-GB"/>
              </w:rPr>
              <w:t>Cyber Crime</w:t>
            </w:r>
          </w:p>
        </w:tc>
        <w:tc>
          <w:tcPr>
            <w:tcW w:w="1080" w:type="dxa"/>
            <w:tcBorders>
              <w:top w:val="nil"/>
              <w:left w:val="nil"/>
              <w:bottom w:val="nil"/>
              <w:right w:val="single" w:sz="4" w:space="0" w:color="auto"/>
            </w:tcBorders>
            <w:shd w:val="clear" w:color="000000" w:fill="FFFFFF"/>
            <w:noWrap/>
            <w:vAlign w:val="bottom"/>
            <w:hideMark/>
          </w:tcPr>
          <w:p w14:paraId="61BA430A"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14.1 </w:t>
            </w:r>
          </w:p>
        </w:tc>
        <w:tc>
          <w:tcPr>
            <w:tcW w:w="1080" w:type="dxa"/>
            <w:tcBorders>
              <w:top w:val="nil"/>
              <w:left w:val="nil"/>
              <w:bottom w:val="nil"/>
              <w:right w:val="single" w:sz="4" w:space="0" w:color="auto"/>
            </w:tcBorders>
            <w:shd w:val="clear" w:color="000000" w:fill="FFFFFF"/>
            <w:noWrap/>
            <w:vAlign w:val="bottom"/>
            <w:hideMark/>
          </w:tcPr>
          <w:p w14:paraId="41AAAEC0"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13.1 </w:t>
            </w:r>
          </w:p>
        </w:tc>
        <w:tc>
          <w:tcPr>
            <w:tcW w:w="1080" w:type="dxa"/>
            <w:tcBorders>
              <w:top w:val="nil"/>
              <w:left w:val="nil"/>
              <w:bottom w:val="nil"/>
              <w:right w:val="single" w:sz="4" w:space="0" w:color="auto"/>
            </w:tcBorders>
            <w:shd w:val="clear" w:color="000000" w:fill="FFFFFF"/>
            <w:noWrap/>
            <w:vAlign w:val="bottom"/>
            <w:hideMark/>
          </w:tcPr>
          <w:p w14:paraId="4BFEC69A"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-1.0 </w:t>
            </w:r>
          </w:p>
        </w:tc>
      </w:tr>
      <w:tr w:rsidR="0012341A" w:rsidRPr="0012341A" w14:paraId="488054F9" w14:textId="77777777" w:rsidTr="0012341A">
        <w:trPr>
          <w:trHeight w:val="315"/>
        </w:trPr>
        <w:tc>
          <w:tcPr>
            <w:tcW w:w="3920" w:type="dxa"/>
            <w:tcBorders>
              <w:top w:val="nil"/>
              <w:left w:val="single" w:sz="4" w:space="0" w:color="auto"/>
              <w:bottom w:val="nil"/>
              <w:right w:val="single" w:sz="4" w:space="0" w:color="auto"/>
            </w:tcBorders>
            <w:shd w:val="clear" w:color="000000" w:fill="FFFFFF"/>
            <w:noWrap/>
            <w:vAlign w:val="bottom"/>
            <w:hideMark/>
          </w:tcPr>
          <w:p w14:paraId="4C41014D" w14:textId="77777777" w:rsidR="0012341A" w:rsidRPr="0012341A" w:rsidRDefault="0012341A" w:rsidP="0012341A">
            <w:pPr>
              <w:spacing w:after="0" w:line="240" w:lineRule="auto"/>
              <w:rPr>
                <w:rFonts w:eastAsia="Times New Roman" w:cs="Calibri"/>
                <w:color w:val="000000"/>
                <w:sz w:val="24"/>
                <w:szCs w:val="24"/>
                <w:lang w:eastAsia="en-GB"/>
              </w:rPr>
            </w:pPr>
            <w:r w:rsidRPr="0012341A">
              <w:rPr>
                <w:rFonts w:eastAsia="Times New Roman" w:cs="Calibri"/>
                <w:color w:val="000000"/>
                <w:sz w:val="24"/>
                <w:szCs w:val="24"/>
                <w:lang w:eastAsia="en-GB"/>
              </w:rPr>
              <w:t>Tackling Exploitation and Abuse</w:t>
            </w:r>
          </w:p>
        </w:tc>
        <w:tc>
          <w:tcPr>
            <w:tcW w:w="1080" w:type="dxa"/>
            <w:tcBorders>
              <w:top w:val="nil"/>
              <w:left w:val="nil"/>
              <w:bottom w:val="nil"/>
              <w:right w:val="single" w:sz="4" w:space="0" w:color="auto"/>
            </w:tcBorders>
            <w:shd w:val="clear" w:color="000000" w:fill="FFFFFF"/>
            <w:noWrap/>
            <w:vAlign w:val="bottom"/>
            <w:hideMark/>
          </w:tcPr>
          <w:p w14:paraId="74DBB6FE"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21.3 </w:t>
            </w:r>
          </w:p>
        </w:tc>
        <w:tc>
          <w:tcPr>
            <w:tcW w:w="1080" w:type="dxa"/>
            <w:tcBorders>
              <w:top w:val="nil"/>
              <w:left w:val="nil"/>
              <w:bottom w:val="nil"/>
              <w:right w:val="single" w:sz="4" w:space="0" w:color="auto"/>
            </w:tcBorders>
            <w:shd w:val="clear" w:color="000000" w:fill="FFFFFF"/>
            <w:noWrap/>
            <w:vAlign w:val="bottom"/>
            <w:hideMark/>
          </w:tcPr>
          <w:p w14:paraId="2C082E2D"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17.6 </w:t>
            </w:r>
          </w:p>
        </w:tc>
        <w:tc>
          <w:tcPr>
            <w:tcW w:w="1080" w:type="dxa"/>
            <w:tcBorders>
              <w:top w:val="nil"/>
              <w:left w:val="nil"/>
              <w:bottom w:val="nil"/>
              <w:right w:val="single" w:sz="4" w:space="0" w:color="auto"/>
            </w:tcBorders>
            <w:shd w:val="clear" w:color="000000" w:fill="FFFFFF"/>
            <w:noWrap/>
            <w:vAlign w:val="bottom"/>
            <w:hideMark/>
          </w:tcPr>
          <w:p w14:paraId="50E05095"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-3.7 </w:t>
            </w:r>
          </w:p>
        </w:tc>
      </w:tr>
      <w:tr w:rsidR="0012341A" w:rsidRPr="0012341A" w14:paraId="12C9AFE1" w14:textId="77777777" w:rsidTr="0012341A">
        <w:trPr>
          <w:trHeight w:val="315"/>
        </w:trPr>
        <w:tc>
          <w:tcPr>
            <w:tcW w:w="3920" w:type="dxa"/>
            <w:tcBorders>
              <w:top w:val="nil"/>
              <w:left w:val="single" w:sz="4" w:space="0" w:color="auto"/>
              <w:bottom w:val="nil"/>
              <w:right w:val="single" w:sz="4" w:space="0" w:color="auto"/>
            </w:tcBorders>
            <w:shd w:val="clear" w:color="000000" w:fill="FFFFFF"/>
            <w:noWrap/>
            <w:vAlign w:val="bottom"/>
            <w:hideMark/>
          </w:tcPr>
          <w:p w14:paraId="7E489D0F" w14:textId="655F4577" w:rsidR="0012341A" w:rsidRPr="0012341A" w:rsidRDefault="0012341A" w:rsidP="0012341A">
            <w:pPr>
              <w:spacing w:after="0" w:line="240" w:lineRule="auto"/>
              <w:rPr>
                <w:rFonts w:eastAsia="Times New Roman" w:cs="Calibri"/>
                <w:color w:val="000000"/>
                <w:sz w:val="24"/>
                <w:szCs w:val="24"/>
                <w:lang w:eastAsia="en-GB"/>
              </w:rPr>
            </w:pPr>
            <w:r w:rsidRPr="0012341A">
              <w:rPr>
                <w:rFonts w:eastAsia="Times New Roman" w:cs="Calibri"/>
                <w:color w:val="000000"/>
                <w:sz w:val="24"/>
                <w:szCs w:val="24"/>
                <w:lang w:eastAsia="en-GB"/>
              </w:rPr>
              <w:t>Police Productivity and Innovation</w:t>
            </w:r>
          </w:p>
        </w:tc>
        <w:tc>
          <w:tcPr>
            <w:tcW w:w="1080" w:type="dxa"/>
            <w:tcBorders>
              <w:top w:val="nil"/>
              <w:left w:val="nil"/>
              <w:bottom w:val="nil"/>
              <w:right w:val="single" w:sz="4" w:space="0" w:color="auto"/>
            </w:tcBorders>
            <w:shd w:val="clear" w:color="000000" w:fill="FFFFFF"/>
            <w:noWrap/>
            <w:vAlign w:val="bottom"/>
            <w:hideMark/>
          </w:tcPr>
          <w:p w14:paraId="42BE4907"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0.0 </w:t>
            </w:r>
          </w:p>
        </w:tc>
        <w:tc>
          <w:tcPr>
            <w:tcW w:w="1080" w:type="dxa"/>
            <w:tcBorders>
              <w:top w:val="nil"/>
              <w:left w:val="nil"/>
              <w:bottom w:val="nil"/>
              <w:right w:val="single" w:sz="4" w:space="0" w:color="auto"/>
            </w:tcBorders>
            <w:shd w:val="clear" w:color="000000" w:fill="FFFFFF"/>
            <w:noWrap/>
            <w:vAlign w:val="bottom"/>
            <w:hideMark/>
          </w:tcPr>
          <w:p w14:paraId="19045FB2"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11.0 </w:t>
            </w:r>
          </w:p>
        </w:tc>
        <w:tc>
          <w:tcPr>
            <w:tcW w:w="1080" w:type="dxa"/>
            <w:tcBorders>
              <w:top w:val="nil"/>
              <w:left w:val="nil"/>
              <w:bottom w:val="nil"/>
              <w:right w:val="single" w:sz="4" w:space="0" w:color="auto"/>
            </w:tcBorders>
            <w:shd w:val="clear" w:color="000000" w:fill="FFFFFF"/>
            <w:noWrap/>
            <w:vAlign w:val="bottom"/>
            <w:hideMark/>
          </w:tcPr>
          <w:p w14:paraId="57D7F472" w14:textId="77777777" w:rsidR="0012341A" w:rsidRPr="0012341A" w:rsidRDefault="0012341A" w:rsidP="0012341A">
            <w:pPr>
              <w:spacing w:after="0" w:line="240" w:lineRule="auto"/>
              <w:jc w:val="right"/>
              <w:rPr>
                <w:rFonts w:eastAsia="Times New Roman" w:cs="Calibri"/>
                <w:color w:val="000000"/>
                <w:sz w:val="24"/>
                <w:szCs w:val="24"/>
                <w:lang w:eastAsia="en-GB"/>
              </w:rPr>
            </w:pPr>
            <w:r w:rsidRPr="0012341A">
              <w:rPr>
                <w:rFonts w:eastAsia="Times New Roman" w:cs="Calibri"/>
                <w:color w:val="000000"/>
                <w:sz w:val="24"/>
                <w:szCs w:val="24"/>
                <w:lang w:eastAsia="en-GB"/>
              </w:rPr>
              <w:t xml:space="preserve">11.0 </w:t>
            </w:r>
          </w:p>
        </w:tc>
      </w:tr>
      <w:tr w:rsidR="0012341A" w:rsidRPr="0012341A" w14:paraId="69E2DA70" w14:textId="77777777" w:rsidTr="0012341A">
        <w:trPr>
          <w:trHeight w:val="315"/>
        </w:trPr>
        <w:tc>
          <w:tcPr>
            <w:tcW w:w="3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6D04E2" w14:textId="77777777" w:rsidR="0012341A" w:rsidRPr="0012341A" w:rsidRDefault="0012341A" w:rsidP="0012341A">
            <w:pPr>
              <w:spacing w:after="0" w:line="240" w:lineRule="auto"/>
              <w:rPr>
                <w:rFonts w:eastAsia="Times New Roman" w:cs="Calibri"/>
                <w:b/>
                <w:bCs/>
                <w:color w:val="000000"/>
                <w:sz w:val="24"/>
                <w:szCs w:val="24"/>
                <w:lang w:eastAsia="en-GB"/>
              </w:rPr>
            </w:pPr>
            <w:r w:rsidRPr="0012341A">
              <w:rPr>
                <w:rFonts w:eastAsia="Times New Roman" w:cs="Calibri"/>
                <w:b/>
                <w:bCs/>
                <w:color w:val="000000"/>
                <w:sz w:val="24"/>
                <w:szCs w:val="24"/>
                <w:lang w:eastAsia="en-GB"/>
              </w:rPr>
              <w:t>Total Reallocations and adjustments</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7612A25" w14:textId="77777777" w:rsidR="0012341A" w:rsidRPr="0012341A" w:rsidRDefault="0012341A" w:rsidP="0012341A">
            <w:pPr>
              <w:spacing w:after="0" w:line="240" w:lineRule="auto"/>
              <w:jc w:val="right"/>
              <w:rPr>
                <w:rFonts w:eastAsia="Times New Roman" w:cs="Calibri"/>
                <w:b/>
                <w:bCs/>
                <w:color w:val="000000"/>
                <w:sz w:val="24"/>
                <w:szCs w:val="24"/>
                <w:lang w:eastAsia="en-GB"/>
              </w:rPr>
            </w:pPr>
            <w:r w:rsidRPr="0012341A">
              <w:rPr>
                <w:rFonts w:eastAsia="Times New Roman" w:cs="Calibri"/>
                <w:b/>
                <w:bCs/>
                <w:color w:val="000000"/>
                <w:sz w:val="24"/>
                <w:szCs w:val="24"/>
                <w:lang w:eastAsia="en-GB"/>
              </w:rPr>
              <w:t xml:space="preserve">1,114.0 </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59A9155" w14:textId="77777777" w:rsidR="0012341A" w:rsidRPr="0012341A" w:rsidRDefault="0012341A" w:rsidP="0012341A">
            <w:pPr>
              <w:spacing w:after="0" w:line="240" w:lineRule="auto"/>
              <w:jc w:val="right"/>
              <w:rPr>
                <w:rFonts w:eastAsia="Times New Roman" w:cs="Calibri"/>
                <w:b/>
                <w:bCs/>
                <w:color w:val="000000"/>
                <w:sz w:val="24"/>
                <w:szCs w:val="24"/>
                <w:lang w:eastAsia="en-GB"/>
              </w:rPr>
            </w:pPr>
            <w:r w:rsidRPr="0012341A">
              <w:rPr>
                <w:rFonts w:eastAsia="Times New Roman" w:cs="Calibri"/>
                <w:b/>
                <w:bCs/>
                <w:color w:val="000000"/>
                <w:sz w:val="24"/>
                <w:szCs w:val="24"/>
                <w:lang w:eastAsia="en-GB"/>
              </w:rPr>
              <w:t xml:space="preserve">1,038.0 </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15C60CB9" w14:textId="77777777" w:rsidR="0012341A" w:rsidRPr="0012341A" w:rsidRDefault="0012341A" w:rsidP="0012341A">
            <w:pPr>
              <w:spacing w:after="0" w:line="240" w:lineRule="auto"/>
              <w:jc w:val="right"/>
              <w:rPr>
                <w:rFonts w:eastAsia="Times New Roman" w:cs="Calibri"/>
                <w:b/>
                <w:bCs/>
                <w:color w:val="000000"/>
                <w:sz w:val="24"/>
                <w:szCs w:val="24"/>
                <w:lang w:eastAsia="en-GB"/>
              </w:rPr>
            </w:pPr>
            <w:r w:rsidRPr="0012341A">
              <w:rPr>
                <w:rFonts w:eastAsia="Times New Roman" w:cs="Calibri"/>
                <w:b/>
                <w:bCs/>
                <w:color w:val="000000"/>
                <w:sz w:val="24"/>
                <w:szCs w:val="24"/>
                <w:lang w:eastAsia="en-GB"/>
              </w:rPr>
              <w:t xml:space="preserve">-76.0 </w:t>
            </w:r>
          </w:p>
        </w:tc>
      </w:tr>
    </w:tbl>
    <w:p w14:paraId="4D1D59EF" w14:textId="7913562C" w:rsidR="00004F36" w:rsidRPr="00220144" w:rsidRDefault="00004F36" w:rsidP="0012341A">
      <w:pPr>
        <w:spacing w:after="0" w:line="240" w:lineRule="auto"/>
        <w:rPr>
          <w:rFonts w:asciiTheme="minorHAnsi" w:hAnsiTheme="minorHAnsi" w:cstheme="minorHAnsi"/>
          <w:sz w:val="24"/>
          <w:szCs w:val="24"/>
          <w:highlight w:val="yellow"/>
        </w:rPr>
      </w:pPr>
    </w:p>
    <w:p w14:paraId="1939B1DA" w14:textId="6AA41C00" w:rsidR="0012341A" w:rsidRDefault="007B684F" w:rsidP="0012341A">
      <w:pPr>
        <w:pStyle w:val="PanelPara"/>
      </w:pPr>
      <w:r w:rsidRPr="00791A32">
        <w:t>Currently</w:t>
      </w:r>
      <w:r w:rsidR="0012341A">
        <w:t>,</w:t>
      </w:r>
      <w:r w:rsidRPr="00791A32">
        <w:t xml:space="preserve"> PCCs have no </w:t>
      </w:r>
      <w:r w:rsidR="00791A32" w:rsidRPr="00791A32">
        <w:t xml:space="preserve">visibility of these top </w:t>
      </w:r>
      <w:r w:rsidR="004E111D" w:rsidRPr="00791A32">
        <w:t>slices,</w:t>
      </w:r>
      <w:r w:rsidR="00791A32" w:rsidRPr="00791A32">
        <w:t xml:space="preserve"> nor can they </w:t>
      </w:r>
      <w:r w:rsidRPr="00791A32">
        <w:t xml:space="preserve">influence the scale or scope of national reallocations prior in informing the provisional settlement. </w:t>
      </w:r>
      <w:r w:rsidR="0012341A">
        <w:t xml:space="preserve"> </w:t>
      </w:r>
      <w:r w:rsidR="002B58F7" w:rsidRPr="00791A32">
        <w:t xml:space="preserve">It is important to highlight that these </w:t>
      </w:r>
      <w:r w:rsidRPr="00791A32">
        <w:t>reallocations do impact at a local level</w:t>
      </w:r>
      <w:r w:rsidR="002B58F7" w:rsidRPr="00791A32">
        <w:t xml:space="preserve"> as resources are being allocated to meet nationally determined priorities rather than based on local needs and requirements.</w:t>
      </w:r>
    </w:p>
    <w:p w14:paraId="6594DDC6" w14:textId="1E4A08A0" w:rsidR="00DC7955" w:rsidRPr="0012341A" w:rsidRDefault="00DD75A9" w:rsidP="001722C3">
      <w:pPr>
        <w:pStyle w:val="PanelPara"/>
      </w:pPr>
      <w:r w:rsidRPr="0012341A">
        <w:t>A</w:t>
      </w:r>
      <w:r w:rsidR="00791A32" w:rsidRPr="0012341A">
        <w:t>s</w:t>
      </w:r>
      <w:r w:rsidRPr="0012341A">
        <w:t xml:space="preserve"> part of the response to the consultation, PCC</w:t>
      </w:r>
      <w:r w:rsidR="00BA59CB" w:rsidRPr="0012341A">
        <w:t>s</w:t>
      </w:r>
      <w:r w:rsidRPr="0012341A">
        <w:t xml:space="preserve"> have asked </w:t>
      </w:r>
      <w:r w:rsidR="00791A32" w:rsidRPr="0012341A">
        <w:t>again for details of what is</w:t>
      </w:r>
      <w:r w:rsidR="00791A32" w:rsidRPr="00791A32">
        <w:t xml:space="preserve"> covered in the top slices and for visibility and engagement with the Ho</w:t>
      </w:r>
      <w:r w:rsidR="00DC7955">
        <w:t>m</w:t>
      </w:r>
      <w:r w:rsidR="00791A32" w:rsidRPr="00791A32">
        <w:t xml:space="preserve">e </w:t>
      </w:r>
      <w:r w:rsidR="00DC7955">
        <w:t>O</w:t>
      </w:r>
      <w:r w:rsidR="00791A32" w:rsidRPr="00791A32">
        <w:t>ffice on them.</w:t>
      </w:r>
    </w:p>
    <w:p w14:paraId="14BC9FF3" w14:textId="248CCBCF" w:rsidR="00276BF4" w:rsidRPr="001D0E11" w:rsidRDefault="00641182" w:rsidP="00B9528D">
      <w:pPr>
        <w:pStyle w:val="PanelPara"/>
        <w:spacing w:after="0"/>
      </w:pPr>
      <w:r w:rsidRPr="00047250">
        <w:t>A summary</w:t>
      </w:r>
      <w:r w:rsidR="009F1236" w:rsidRPr="00047250">
        <w:t xml:space="preserve"> of the </w:t>
      </w:r>
      <w:r w:rsidR="00A64B7D" w:rsidRPr="00047250">
        <w:t>final</w:t>
      </w:r>
      <w:r w:rsidR="004E2A5F" w:rsidRPr="00047250">
        <w:t xml:space="preserve"> </w:t>
      </w:r>
      <w:r w:rsidR="00A64B7D" w:rsidRPr="00047250">
        <w:t>s</w:t>
      </w:r>
      <w:r w:rsidR="009F1236" w:rsidRPr="00047250">
        <w:t>ettlement</w:t>
      </w:r>
      <w:r w:rsidRPr="00047250">
        <w:t xml:space="preserve"> </w:t>
      </w:r>
      <w:r w:rsidR="001E4A29">
        <w:t xml:space="preserve">for Northamptonshire </w:t>
      </w:r>
      <w:r w:rsidR="009F1236" w:rsidRPr="00047250">
        <w:t xml:space="preserve">assuming that the maximum precept increase </w:t>
      </w:r>
      <w:r w:rsidR="00A40E50" w:rsidRPr="00047250">
        <w:t>is to</w:t>
      </w:r>
      <w:r w:rsidR="009F1236" w:rsidRPr="00047250">
        <w:t xml:space="preserve"> be levied</w:t>
      </w:r>
      <w:r w:rsidR="00BB6888" w:rsidRPr="00047250">
        <w:t>,</w:t>
      </w:r>
      <w:r w:rsidR="009F1236" w:rsidRPr="00047250">
        <w:t xml:space="preserve"> </w:t>
      </w:r>
      <w:r w:rsidR="00BB6888" w:rsidRPr="00047250">
        <w:t xml:space="preserve">compared to the </w:t>
      </w:r>
      <w:r w:rsidR="00220144" w:rsidRPr="00047250">
        <w:t>202</w:t>
      </w:r>
      <w:r w:rsidR="0012341A">
        <w:t>4</w:t>
      </w:r>
      <w:r w:rsidR="00220144" w:rsidRPr="00047250">
        <w:t>/2</w:t>
      </w:r>
      <w:r w:rsidR="0012341A">
        <w:t>5</w:t>
      </w:r>
      <w:r w:rsidR="00BB6888" w:rsidRPr="00047250">
        <w:t xml:space="preserve"> actual position is as follows:</w:t>
      </w:r>
      <w:r w:rsidR="009F1236" w:rsidRPr="00047250">
        <w:t xml:space="preserve"> </w:t>
      </w:r>
      <w:r w:rsidR="00276BF4">
        <w:br w:type="page"/>
      </w:r>
    </w:p>
    <w:tbl>
      <w:tblPr>
        <w:tblW w:w="6240" w:type="dxa"/>
        <w:tblInd w:w="562" w:type="dxa"/>
        <w:tblLook w:val="04A0" w:firstRow="1" w:lastRow="0" w:firstColumn="1" w:lastColumn="0" w:noHBand="0" w:noVBand="1"/>
      </w:tblPr>
      <w:tblGrid>
        <w:gridCol w:w="1260"/>
        <w:gridCol w:w="3720"/>
        <w:gridCol w:w="1260"/>
      </w:tblGrid>
      <w:tr w:rsidR="008D795C" w:rsidRPr="008D795C" w14:paraId="712EBDBF" w14:textId="77777777" w:rsidTr="008D795C">
        <w:trPr>
          <w:trHeight w:val="630"/>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33818E" w14:textId="77777777" w:rsidR="008D795C" w:rsidRPr="008D795C" w:rsidRDefault="008D795C" w:rsidP="008D795C">
            <w:pPr>
              <w:spacing w:after="0" w:line="240" w:lineRule="auto"/>
              <w:jc w:val="center"/>
              <w:rPr>
                <w:rFonts w:eastAsia="Times New Roman" w:cs="Calibri"/>
                <w:b/>
                <w:bCs/>
                <w:color w:val="000000"/>
                <w:sz w:val="24"/>
                <w:szCs w:val="24"/>
                <w:lang w:eastAsia="en-GB"/>
              </w:rPr>
            </w:pPr>
            <w:r w:rsidRPr="008D795C">
              <w:rPr>
                <w:rFonts w:eastAsia="Times New Roman" w:cs="Calibri"/>
                <w:b/>
                <w:bCs/>
                <w:color w:val="000000"/>
                <w:sz w:val="24"/>
                <w:szCs w:val="24"/>
                <w:lang w:eastAsia="en-GB"/>
              </w:rPr>
              <w:lastRenderedPageBreak/>
              <w:t>2023/24</w:t>
            </w:r>
            <w:r w:rsidRPr="008D795C">
              <w:rPr>
                <w:rFonts w:eastAsia="Times New Roman" w:cs="Calibri"/>
                <w:b/>
                <w:bCs/>
                <w:color w:val="000000"/>
                <w:sz w:val="24"/>
                <w:szCs w:val="24"/>
                <w:lang w:eastAsia="en-GB"/>
              </w:rPr>
              <w:br/>
              <w:t>£m</w:t>
            </w:r>
          </w:p>
        </w:tc>
        <w:tc>
          <w:tcPr>
            <w:tcW w:w="3720" w:type="dxa"/>
            <w:tcBorders>
              <w:top w:val="single" w:sz="4" w:space="0" w:color="auto"/>
              <w:left w:val="nil"/>
              <w:bottom w:val="single" w:sz="4" w:space="0" w:color="auto"/>
              <w:right w:val="single" w:sz="4" w:space="0" w:color="auto"/>
            </w:tcBorders>
            <w:shd w:val="clear" w:color="000000" w:fill="FFFFFF"/>
            <w:noWrap/>
            <w:vAlign w:val="center"/>
            <w:hideMark/>
          </w:tcPr>
          <w:p w14:paraId="77FE1427" w14:textId="77777777" w:rsidR="008D795C" w:rsidRPr="008D795C" w:rsidRDefault="008D795C" w:rsidP="008D795C">
            <w:pPr>
              <w:spacing w:after="0" w:line="240" w:lineRule="auto"/>
              <w:rPr>
                <w:rFonts w:eastAsia="Times New Roman" w:cs="Calibri"/>
                <w:b/>
                <w:bCs/>
                <w:color w:val="000000"/>
                <w:sz w:val="24"/>
                <w:szCs w:val="24"/>
                <w:lang w:eastAsia="en-GB"/>
              </w:rPr>
            </w:pPr>
            <w:r w:rsidRPr="008D795C">
              <w:rPr>
                <w:rFonts w:eastAsia="Times New Roman" w:cs="Calibri"/>
                <w:b/>
                <w:bCs/>
                <w:color w:val="000000"/>
                <w:sz w:val="24"/>
                <w:szCs w:val="24"/>
                <w:lang w:eastAsia="en-GB"/>
              </w:rPr>
              <w:t>Funding</w:t>
            </w:r>
          </w:p>
        </w:tc>
        <w:tc>
          <w:tcPr>
            <w:tcW w:w="1260" w:type="dxa"/>
            <w:tcBorders>
              <w:top w:val="single" w:sz="4" w:space="0" w:color="auto"/>
              <w:left w:val="nil"/>
              <w:bottom w:val="single" w:sz="4" w:space="0" w:color="auto"/>
              <w:right w:val="single" w:sz="4" w:space="0" w:color="auto"/>
            </w:tcBorders>
            <w:shd w:val="clear" w:color="000000" w:fill="DDEBF7"/>
            <w:vAlign w:val="center"/>
            <w:hideMark/>
          </w:tcPr>
          <w:p w14:paraId="695807C3" w14:textId="77777777" w:rsidR="008D795C" w:rsidRPr="008D795C" w:rsidRDefault="008D795C" w:rsidP="008D795C">
            <w:pPr>
              <w:spacing w:after="0" w:line="240" w:lineRule="auto"/>
              <w:jc w:val="center"/>
              <w:rPr>
                <w:rFonts w:eastAsia="Times New Roman" w:cs="Calibri"/>
                <w:b/>
                <w:bCs/>
                <w:color w:val="000000"/>
                <w:sz w:val="24"/>
                <w:szCs w:val="24"/>
                <w:lang w:eastAsia="en-GB"/>
              </w:rPr>
            </w:pPr>
            <w:r w:rsidRPr="008D795C">
              <w:rPr>
                <w:rFonts w:eastAsia="Times New Roman" w:cs="Calibri"/>
                <w:b/>
                <w:bCs/>
                <w:color w:val="000000"/>
                <w:sz w:val="24"/>
                <w:szCs w:val="24"/>
                <w:lang w:eastAsia="en-GB"/>
              </w:rPr>
              <w:t>2024/25</w:t>
            </w:r>
            <w:r w:rsidRPr="008D795C">
              <w:rPr>
                <w:rFonts w:eastAsia="Times New Roman" w:cs="Calibri"/>
                <w:b/>
                <w:bCs/>
                <w:color w:val="000000"/>
                <w:sz w:val="24"/>
                <w:szCs w:val="24"/>
                <w:lang w:eastAsia="en-GB"/>
              </w:rPr>
              <w:br/>
              <w:t>£m</w:t>
            </w:r>
          </w:p>
        </w:tc>
      </w:tr>
      <w:tr w:rsidR="008D795C" w:rsidRPr="008D795C" w14:paraId="1708F178" w14:textId="77777777" w:rsidTr="008D795C">
        <w:trPr>
          <w:trHeight w:val="315"/>
        </w:trPr>
        <w:tc>
          <w:tcPr>
            <w:tcW w:w="1260" w:type="dxa"/>
            <w:tcBorders>
              <w:top w:val="nil"/>
              <w:left w:val="single" w:sz="4" w:space="0" w:color="auto"/>
              <w:bottom w:val="nil"/>
              <w:right w:val="single" w:sz="4" w:space="0" w:color="auto"/>
            </w:tcBorders>
            <w:shd w:val="clear" w:color="000000" w:fill="FFFFFF"/>
            <w:noWrap/>
            <w:vAlign w:val="bottom"/>
            <w:hideMark/>
          </w:tcPr>
          <w:p w14:paraId="29323688" w14:textId="77777777" w:rsidR="008D795C" w:rsidRPr="008D795C" w:rsidRDefault="008D795C" w:rsidP="008D795C">
            <w:pPr>
              <w:spacing w:after="0" w:line="240" w:lineRule="auto"/>
              <w:jc w:val="right"/>
              <w:rPr>
                <w:rFonts w:eastAsia="Times New Roman" w:cs="Calibri"/>
                <w:color w:val="000000"/>
                <w:sz w:val="24"/>
                <w:szCs w:val="24"/>
                <w:lang w:eastAsia="en-GB"/>
              </w:rPr>
            </w:pPr>
            <w:r w:rsidRPr="008D795C">
              <w:rPr>
                <w:rFonts w:eastAsia="Times New Roman" w:cs="Calibri"/>
                <w:color w:val="000000"/>
                <w:sz w:val="24"/>
                <w:szCs w:val="24"/>
                <w:lang w:eastAsia="en-GB"/>
              </w:rPr>
              <w:t>81.905</w:t>
            </w:r>
          </w:p>
        </w:tc>
        <w:tc>
          <w:tcPr>
            <w:tcW w:w="3720" w:type="dxa"/>
            <w:tcBorders>
              <w:top w:val="nil"/>
              <w:left w:val="nil"/>
              <w:bottom w:val="nil"/>
              <w:right w:val="single" w:sz="4" w:space="0" w:color="auto"/>
            </w:tcBorders>
            <w:shd w:val="clear" w:color="000000" w:fill="FFFFFF"/>
            <w:noWrap/>
            <w:vAlign w:val="bottom"/>
            <w:hideMark/>
          </w:tcPr>
          <w:p w14:paraId="0662D9D9" w14:textId="77777777" w:rsidR="008D795C" w:rsidRPr="008D795C" w:rsidRDefault="008D795C" w:rsidP="008D795C">
            <w:pPr>
              <w:spacing w:after="0" w:line="240" w:lineRule="auto"/>
              <w:rPr>
                <w:rFonts w:eastAsia="Times New Roman" w:cs="Calibri"/>
                <w:color w:val="000000"/>
                <w:sz w:val="24"/>
                <w:szCs w:val="24"/>
                <w:lang w:eastAsia="en-GB"/>
              </w:rPr>
            </w:pPr>
            <w:r w:rsidRPr="008D795C">
              <w:rPr>
                <w:rFonts w:eastAsia="Times New Roman" w:cs="Calibri"/>
                <w:color w:val="000000"/>
                <w:sz w:val="24"/>
                <w:szCs w:val="24"/>
                <w:lang w:eastAsia="en-GB"/>
              </w:rPr>
              <w:t>Main Police Grant</w:t>
            </w:r>
          </w:p>
        </w:tc>
        <w:tc>
          <w:tcPr>
            <w:tcW w:w="1260" w:type="dxa"/>
            <w:tcBorders>
              <w:top w:val="nil"/>
              <w:left w:val="nil"/>
              <w:bottom w:val="nil"/>
              <w:right w:val="single" w:sz="4" w:space="0" w:color="auto"/>
            </w:tcBorders>
            <w:shd w:val="clear" w:color="000000" w:fill="DDEBF7"/>
            <w:noWrap/>
            <w:vAlign w:val="bottom"/>
            <w:hideMark/>
          </w:tcPr>
          <w:p w14:paraId="194C1687" w14:textId="77777777" w:rsidR="008D795C" w:rsidRPr="008D795C" w:rsidRDefault="008D795C" w:rsidP="008D795C">
            <w:pPr>
              <w:spacing w:after="0" w:line="240" w:lineRule="auto"/>
              <w:jc w:val="right"/>
              <w:rPr>
                <w:rFonts w:eastAsia="Times New Roman" w:cs="Calibri"/>
                <w:color w:val="000000"/>
                <w:sz w:val="24"/>
                <w:szCs w:val="24"/>
                <w:lang w:eastAsia="en-GB"/>
              </w:rPr>
            </w:pPr>
            <w:r w:rsidRPr="008D795C">
              <w:rPr>
                <w:rFonts w:eastAsia="Times New Roman" w:cs="Calibri"/>
                <w:color w:val="000000"/>
                <w:sz w:val="24"/>
                <w:szCs w:val="24"/>
                <w:lang w:eastAsia="en-GB"/>
              </w:rPr>
              <w:t>86.809</w:t>
            </w:r>
          </w:p>
        </w:tc>
      </w:tr>
      <w:tr w:rsidR="008D795C" w:rsidRPr="008D795C" w14:paraId="065E70A3" w14:textId="77777777" w:rsidTr="008D795C">
        <w:trPr>
          <w:trHeight w:val="315"/>
        </w:trPr>
        <w:tc>
          <w:tcPr>
            <w:tcW w:w="1260" w:type="dxa"/>
            <w:tcBorders>
              <w:top w:val="nil"/>
              <w:left w:val="single" w:sz="4" w:space="0" w:color="auto"/>
              <w:bottom w:val="nil"/>
              <w:right w:val="single" w:sz="4" w:space="0" w:color="auto"/>
            </w:tcBorders>
            <w:shd w:val="clear" w:color="000000" w:fill="FFFFFF"/>
            <w:noWrap/>
            <w:vAlign w:val="bottom"/>
            <w:hideMark/>
          </w:tcPr>
          <w:p w14:paraId="4D243374" w14:textId="77777777" w:rsidR="008D795C" w:rsidRPr="008D795C" w:rsidRDefault="008D795C" w:rsidP="008D795C">
            <w:pPr>
              <w:spacing w:after="0" w:line="240" w:lineRule="auto"/>
              <w:jc w:val="right"/>
              <w:rPr>
                <w:rFonts w:eastAsia="Times New Roman" w:cs="Calibri"/>
                <w:color w:val="000000"/>
                <w:sz w:val="24"/>
                <w:szCs w:val="24"/>
                <w:lang w:eastAsia="en-GB"/>
              </w:rPr>
            </w:pPr>
            <w:r w:rsidRPr="008D795C">
              <w:rPr>
                <w:rFonts w:eastAsia="Times New Roman" w:cs="Calibri"/>
                <w:color w:val="000000"/>
                <w:sz w:val="24"/>
                <w:szCs w:val="24"/>
                <w:lang w:eastAsia="en-GB"/>
              </w:rPr>
              <w:t>2.600</w:t>
            </w:r>
          </w:p>
        </w:tc>
        <w:tc>
          <w:tcPr>
            <w:tcW w:w="3720" w:type="dxa"/>
            <w:tcBorders>
              <w:top w:val="nil"/>
              <w:left w:val="nil"/>
              <w:bottom w:val="nil"/>
              <w:right w:val="single" w:sz="4" w:space="0" w:color="auto"/>
            </w:tcBorders>
            <w:shd w:val="clear" w:color="000000" w:fill="FFFFFF"/>
            <w:noWrap/>
            <w:vAlign w:val="bottom"/>
            <w:hideMark/>
          </w:tcPr>
          <w:p w14:paraId="00D6BF16" w14:textId="77777777" w:rsidR="008D795C" w:rsidRPr="008D795C" w:rsidRDefault="008D795C" w:rsidP="008D795C">
            <w:pPr>
              <w:spacing w:after="0" w:line="240" w:lineRule="auto"/>
              <w:rPr>
                <w:rFonts w:eastAsia="Times New Roman" w:cs="Calibri"/>
                <w:color w:val="000000"/>
                <w:sz w:val="24"/>
                <w:szCs w:val="24"/>
                <w:lang w:eastAsia="en-GB"/>
              </w:rPr>
            </w:pPr>
            <w:r w:rsidRPr="008D795C">
              <w:rPr>
                <w:rFonts w:eastAsia="Times New Roman" w:cs="Calibri"/>
                <w:color w:val="000000"/>
                <w:sz w:val="24"/>
                <w:szCs w:val="24"/>
                <w:lang w:eastAsia="en-GB"/>
              </w:rPr>
              <w:t>Main Officer Uplift Grant</w:t>
            </w:r>
          </w:p>
        </w:tc>
        <w:tc>
          <w:tcPr>
            <w:tcW w:w="1260" w:type="dxa"/>
            <w:tcBorders>
              <w:top w:val="nil"/>
              <w:left w:val="nil"/>
              <w:bottom w:val="nil"/>
              <w:right w:val="single" w:sz="4" w:space="0" w:color="auto"/>
            </w:tcBorders>
            <w:shd w:val="clear" w:color="000000" w:fill="DDEBF7"/>
            <w:noWrap/>
            <w:vAlign w:val="bottom"/>
            <w:hideMark/>
          </w:tcPr>
          <w:p w14:paraId="496D6F95" w14:textId="77777777" w:rsidR="008D795C" w:rsidRPr="008D795C" w:rsidRDefault="008D795C" w:rsidP="008D795C">
            <w:pPr>
              <w:spacing w:after="0" w:line="240" w:lineRule="auto"/>
              <w:jc w:val="right"/>
              <w:rPr>
                <w:rFonts w:eastAsia="Times New Roman" w:cs="Calibri"/>
                <w:color w:val="000000"/>
                <w:sz w:val="24"/>
                <w:szCs w:val="24"/>
                <w:lang w:eastAsia="en-GB"/>
              </w:rPr>
            </w:pPr>
            <w:r w:rsidRPr="008D795C">
              <w:rPr>
                <w:rFonts w:eastAsia="Times New Roman" w:cs="Calibri"/>
                <w:color w:val="000000"/>
                <w:sz w:val="24"/>
                <w:szCs w:val="24"/>
                <w:lang w:eastAsia="en-GB"/>
              </w:rPr>
              <w:t>4.054</w:t>
            </w:r>
          </w:p>
        </w:tc>
      </w:tr>
      <w:tr w:rsidR="008D795C" w:rsidRPr="008D795C" w14:paraId="0803E9C1" w14:textId="77777777" w:rsidTr="008D795C">
        <w:trPr>
          <w:trHeight w:val="315"/>
        </w:trPr>
        <w:tc>
          <w:tcPr>
            <w:tcW w:w="1260" w:type="dxa"/>
            <w:tcBorders>
              <w:top w:val="nil"/>
              <w:left w:val="single" w:sz="4" w:space="0" w:color="auto"/>
              <w:bottom w:val="nil"/>
              <w:right w:val="single" w:sz="4" w:space="0" w:color="auto"/>
            </w:tcBorders>
            <w:shd w:val="clear" w:color="000000" w:fill="FFFFFF"/>
            <w:noWrap/>
            <w:vAlign w:val="bottom"/>
            <w:hideMark/>
          </w:tcPr>
          <w:p w14:paraId="7013E36C" w14:textId="77777777" w:rsidR="008D795C" w:rsidRPr="008D795C" w:rsidRDefault="008D795C" w:rsidP="008D795C">
            <w:pPr>
              <w:spacing w:after="0" w:line="240" w:lineRule="auto"/>
              <w:jc w:val="right"/>
              <w:rPr>
                <w:rFonts w:eastAsia="Times New Roman" w:cs="Calibri"/>
                <w:color w:val="000000"/>
                <w:sz w:val="24"/>
                <w:szCs w:val="24"/>
                <w:lang w:eastAsia="en-GB"/>
              </w:rPr>
            </w:pPr>
            <w:r w:rsidRPr="008D795C">
              <w:rPr>
                <w:rFonts w:eastAsia="Times New Roman" w:cs="Calibri"/>
                <w:color w:val="000000"/>
                <w:sz w:val="24"/>
                <w:szCs w:val="24"/>
                <w:lang w:eastAsia="en-GB"/>
              </w:rPr>
              <w:t>-</w:t>
            </w:r>
          </w:p>
        </w:tc>
        <w:tc>
          <w:tcPr>
            <w:tcW w:w="3720" w:type="dxa"/>
            <w:tcBorders>
              <w:top w:val="nil"/>
              <w:left w:val="nil"/>
              <w:bottom w:val="nil"/>
              <w:right w:val="single" w:sz="4" w:space="0" w:color="auto"/>
            </w:tcBorders>
            <w:shd w:val="clear" w:color="000000" w:fill="FFFFFF"/>
            <w:noWrap/>
            <w:vAlign w:val="bottom"/>
            <w:hideMark/>
          </w:tcPr>
          <w:p w14:paraId="460887A4" w14:textId="77777777" w:rsidR="008D795C" w:rsidRPr="008D795C" w:rsidRDefault="008D795C" w:rsidP="008D795C">
            <w:pPr>
              <w:spacing w:after="0" w:line="240" w:lineRule="auto"/>
              <w:rPr>
                <w:rFonts w:eastAsia="Times New Roman" w:cs="Calibri"/>
                <w:color w:val="000000"/>
                <w:sz w:val="24"/>
                <w:szCs w:val="24"/>
                <w:lang w:eastAsia="en-GB"/>
              </w:rPr>
            </w:pPr>
            <w:r w:rsidRPr="008D795C">
              <w:rPr>
                <w:rFonts w:eastAsia="Times New Roman" w:cs="Calibri"/>
                <w:color w:val="000000"/>
                <w:sz w:val="24"/>
                <w:szCs w:val="24"/>
                <w:lang w:eastAsia="en-GB"/>
              </w:rPr>
              <w:t>Additional Officer Uplift Grant</w:t>
            </w:r>
          </w:p>
        </w:tc>
        <w:tc>
          <w:tcPr>
            <w:tcW w:w="1260" w:type="dxa"/>
            <w:tcBorders>
              <w:top w:val="nil"/>
              <w:left w:val="nil"/>
              <w:bottom w:val="nil"/>
              <w:right w:val="single" w:sz="4" w:space="0" w:color="auto"/>
            </w:tcBorders>
            <w:shd w:val="clear" w:color="000000" w:fill="DDEBF7"/>
            <w:noWrap/>
            <w:vAlign w:val="bottom"/>
            <w:hideMark/>
          </w:tcPr>
          <w:p w14:paraId="50487D83" w14:textId="77777777" w:rsidR="008D795C" w:rsidRPr="008D795C" w:rsidRDefault="008D795C" w:rsidP="008D795C">
            <w:pPr>
              <w:spacing w:after="0" w:line="240" w:lineRule="auto"/>
              <w:jc w:val="right"/>
              <w:rPr>
                <w:rFonts w:eastAsia="Times New Roman" w:cs="Calibri"/>
                <w:color w:val="000000"/>
                <w:sz w:val="24"/>
                <w:szCs w:val="24"/>
                <w:lang w:eastAsia="en-GB"/>
              </w:rPr>
            </w:pPr>
            <w:r w:rsidRPr="008D795C">
              <w:rPr>
                <w:rFonts w:eastAsia="Times New Roman" w:cs="Calibri"/>
                <w:color w:val="000000"/>
                <w:sz w:val="24"/>
                <w:szCs w:val="24"/>
                <w:lang w:eastAsia="en-GB"/>
              </w:rPr>
              <w:t>1.008</w:t>
            </w:r>
          </w:p>
        </w:tc>
      </w:tr>
      <w:tr w:rsidR="008D795C" w:rsidRPr="008D795C" w14:paraId="27C5C9B4" w14:textId="77777777" w:rsidTr="008D795C">
        <w:trPr>
          <w:trHeight w:val="315"/>
        </w:trPr>
        <w:tc>
          <w:tcPr>
            <w:tcW w:w="1260" w:type="dxa"/>
            <w:tcBorders>
              <w:top w:val="nil"/>
              <w:left w:val="single" w:sz="4" w:space="0" w:color="auto"/>
              <w:bottom w:val="nil"/>
              <w:right w:val="single" w:sz="4" w:space="0" w:color="auto"/>
            </w:tcBorders>
            <w:shd w:val="clear" w:color="000000" w:fill="FFFFFF"/>
            <w:noWrap/>
            <w:vAlign w:val="bottom"/>
            <w:hideMark/>
          </w:tcPr>
          <w:p w14:paraId="192B3874" w14:textId="77777777" w:rsidR="008D795C" w:rsidRPr="008D795C" w:rsidRDefault="008D795C" w:rsidP="008D795C">
            <w:pPr>
              <w:spacing w:after="0" w:line="240" w:lineRule="auto"/>
              <w:jc w:val="right"/>
              <w:rPr>
                <w:rFonts w:eastAsia="Times New Roman" w:cs="Calibri"/>
                <w:color w:val="000000"/>
                <w:sz w:val="24"/>
                <w:szCs w:val="24"/>
                <w:lang w:eastAsia="en-GB"/>
              </w:rPr>
            </w:pPr>
            <w:r w:rsidRPr="008D795C">
              <w:rPr>
                <w:rFonts w:eastAsia="Times New Roman" w:cs="Calibri"/>
                <w:color w:val="000000"/>
                <w:sz w:val="24"/>
                <w:szCs w:val="24"/>
                <w:lang w:eastAsia="en-GB"/>
              </w:rPr>
              <w:t>6.644</w:t>
            </w:r>
          </w:p>
        </w:tc>
        <w:tc>
          <w:tcPr>
            <w:tcW w:w="3720" w:type="dxa"/>
            <w:tcBorders>
              <w:top w:val="nil"/>
              <w:left w:val="nil"/>
              <w:bottom w:val="nil"/>
              <w:right w:val="single" w:sz="4" w:space="0" w:color="auto"/>
            </w:tcBorders>
            <w:shd w:val="clear" w:color="000000" w:fill="FFFFFF"/>
            <w:noWrap/>
            <w:vAlign w:val="bottom"/>
            <w:hideMark/>
          </w:tcPr>
          <w:p w14:paraId="2A217B7B" w14:textId="77777777" w:rsidR="008D795C" w:rsidRPr="008D795C" w:rsidRDefault="008D795C" w:rsidP="008D795C">
            <w:pPr>
              <w:spacing w:after="0" w:line="240" w:lineRule="auto"/>
              <w:rPr>
                <w:rFonts w:eastAsia="Times New Roman" w:cs="Calibri"/>
                <w:color w:val="000000"/>
                <w:sz w:val="24"/>
                <w:szCs w:val="24"/>
                <w:lang w:eastAsia="en-GB"/>
              </w:rPr>
            </w:pPr>
            <w:r w:rsidRPr="008D795C">
              <w:rPr>
                <w:rFonts w:eastAsia="Times New Roman" w:cs="Calibri"/>
                <w:color w:val="000000"/>
                <w:sz w:val="24"/>
                <w:szCs w:val="24"/>
                <w:lang w:eastAsia="en-GB"/>
              </w:rPr>
              <w:t>Legacy Grants</w:t>
            </w:r>
          </w:p>
        </w:tc>
        <w:tc>
          <w:tcPr>
            <w:tcW w:w="1260" w:type="dxa"/>
            <w:tcBorders>
              <w:top w:val="nil"/>
              <w:left w:val="nil"/>
              <w:bottom w:val="nil"/>
              <w:right w:val="single" w:sz="4" w:space="0" w:color="auto"/>
            </w:tcBorders>
            <w:shd w:val="clear" w:color="000000" w:fill="DDEBF7"/>
            <w:noWrap/>
            <w:vAlign w:val="bottom"/>
            <w:hideMark/>
          </w:tcPr>
          <w:p w14:paraId="618AE025" w14:textId="77777777" w:rsidR="008D795C" w:rsidRPr="008D795C" w:rsidRDefault="008D795C" w:rsidP="008D795C">
            <w:pPr>
              <w:spacing w:after="0" w:line="240" w:lineRule="auto"/>
              <w:jc w:val="right"/>
              <w:rPr>
                <w:rFonts w:eastAsia="Times New Roman" w:cs="Calibri"/>
                <w:color w:val="000000"/>
                <w:sz w:val="24"/>
                <w:szCs w:val="24"/>
                <w:lang w:eastAsia="en-GB"/>
              </w:rPr>
            </w:pPr>
            <w:r w:rsidRPr="008D795C">
              <w:rPr>
                <w:rFonts w:eastAsia="Times New Roman" w:cs="Calibri"/>
                <w:color w:val="000000"/>
                <w:sz w:val="24"/>
                <w:szCs w:val="24"/>
                <w:lang w:eastAsia="en-GB"/>
              </w:rPr>
              <w:t>6.644</w:t>
            </w:r>
          </w:p>
        </w:tc>
      </w:tr>
      <w:tr w:rsidR="008D795C" w:rsidRPr="008D795C" w14:paraId="3F3BF940" w14:textId="77777777" w:rsidTr="008D795C">
        <w:trPr>
          <w:trHeight w:val="315"/>
        </w:trPr>
        <w:tc>
          <w:tcPr>
            <w:tcW w:w="1260" w:type="dxa"/>
            <w:tcBorders>
              <w:top w:val="nil"/>
              <w:left w:val="single" w:sz="4" w:space="0" w:color="auto"/>
              <w:bottom w:val="nil"/>
              <w:right w:val="single" w:sz="4" w:space="0" w:color="auto"/>
            </w:tcBorders>
            <w:shd w:val="clear" w:color="000000" w:fill="FFFFFF"/>
            <w:noWrap/>
            <w:vAlign w:val="bottom"/>
            <w:hideMark/>
          </w:tcPr>
          <w:p w14:paraId="69D7C532" w14:textId="77777777" w:rsidR="008D795C" w:rsidRPr="008D795C" w:rsidRDefault="008D795C" w:rsidP="008D795C">
            <w:pPr>
              <w:spacing w:after="0" w:line="240" w:lineRule="auto"/>
              <w:jc w:val="right"/>
              <w:rPr>
                <w:rFonts w:eastAsia="Times New Roman" w:cs="Calibri"/>
                <w:color w:val="000000"/>
                <w:sz w:val="24"/>
                <w:szCs w:val="24"/>
                <w:lang w:eastAsia="en-GB"/>
              </w:rPr>
            </w:pPr>
            <w:r w:rsidRPr="008D795C">
              <w:rPr>
                <w:rFonts w:eastAsia="Times New Roman" w:cs="Calibri"/>
                <w:color w:val="000000"/>
                <w:sz w:val="24"/>
                <w:szCs w:val="24"/>
                <w:lang w:eastAsia="en-GB"/>
              </w:rPr>
              <w:t>1.272</w:t>
            </w:r>
          </w:p>
        </w:tc>
        <w:tc>
          <w:tcPr>
            <w:tcW w:w="3720" w:type="dxa"/>
            <w:tcBorders>
              <w:top w:val="nil"/>
              <w:left w:val="nil"/>
              <w:bottom w:val="nil"/>
              <w:right w:val="single" w:sz="4" w:space="0" w:color="auto"/>
            </w:tcBorders>
            <w:shd w:val="clear" w:color="000000" w:fill="FFFFFF"/>
            <w:noWrap/>
            <w:vAlign w:val="bottom"/>
            <w:hideMark/>
          </w:tcPr>
          <w:p w14:paraId="15B501F5" w14:textId="77777777" w:rsidR="008D795C" w:rsidRPr="008D795C" w:rsidRDefault="008D795C" w:rsidP="008D795C">
            <w:pPr>
              <w:spacing w:after="0" w:line="240" w:lineRule="auto"/>
              <w:rPr>
                <w:rFonts w:eastAsia="Times New Roman" w:cs="Calibri"/>
                <w:color w:val="000000"/>
                <w:sz w:val="24"/>
                <w:szCs w:val="24"/>
                <w:lang w:eastAsia="en-GB"/>
              </w:rPr>
            </w:pPr>
            <w:r w:rsidRPr="008D795C">
              <w:rPr>
                <w:rFonts w:eastAsia="Times New Roman" w:cs="Calibri"/>
                <w:color w:val="000000"/>
                <w:sz w:val="24"/>
                <w:szCs w:val="24"/>
                <w:lang w:eastAsia="en-GB"/>
              </w:rPr>
              <w:t>Pension Grant</w:t>
            </w:r>
          </w:p>
        </w:tc>
        <w:tc>
          <w:tcPr>
            <w:tcW w:w="1260" w:type="dxa"/>
            <w:tcBorders>
              <w:top w:val="nil"/>
              <w:left w:val="nil"/>
              <w:bottom w:val="nil"/>
              <w:right w:val="single" w:sz="4" w:space="0" w:color="auto"/>
            </w:tcBorders>
            <w:shd w:val="clear" w:color="000000" w:fill="DDEBF7"/>
            <w:noWrap/>
            <w:vAlign w:val="bottom"/>
            <w:hideMark/>
          </w:tcPr>
          <w:p w14:paraId="5C18D1F8" w14:textId="77777777" w:rsidR="008D795C" w:rsidRPr="008D795C" w:rsidRDefault="008D795C" w:rsidP="008D795C">
            <w:pPr>
              <w:spacing w:after="0" w:line="240" w:lineRule="auto"/>
              <w:jc w:val="right"/>
              <w:rPr>
                <w:rFonts w:eastAsia="Times New Roman" w:cs="Calibri"/>
                <w:color w:val="000000"/>
                <w:sz w:val="24"/>
                <w:szCs w:val="24"/>
                <w:lang w:eastAsia="en-GB"/>
              </w:rPr>
            </w:pPr>
            <w:r w:rsidRPr="008D795C">
              <w:rPr>
                <w:rFonts w:eastAsia="Times New Roman" w:cs="Calibri"/>
                <w:color w:val="000000"/>
                <w:sz w:val="24"/>
                <w:szCs w:val="24"/>
                <w:lang w:eastAsia="en-GB"/>
              </w:rPr>
              <w:t>4.079</w:t>
            </w:r>
          </w:p>
        </w:tc>
      </w:tr>
      <w:tr w:rsidR="008D795C" w:rsidRPr="008D795C" w14:paraId="3B518CDA" w14:textId="77777777" w:rsidTr="008D795C">
        <w:trPr>
          <w:trHeight w:val="315"/>
        </w:trPr>
        <w:tc>
          <w:tcPr>
            <w:tcW w:w="1260" w:type="dxa"/>
            <w:tcBorders>
              <w:top w:val="single" w:sz="4" w:space="0" w:color="auto"/>
              <w:left w:val="single" w:sz="4" w:space="0" w:color="auto"/>
              <w:bottom w:val="nil"/>
              <w:right w:val="single" w:sz="4" w:space="0" w:color="auto"/>
            </w:tcBorders>
            <w:shd w:val="clear" w:color="000000" w:fill="FFFFFF"/>
            <w:noWrap/>
            <w:vAlign w:val="bottom"/>
            <w:hideMark/>
          </w:tcPr>
          <w:p w14:paraId="7AD5E423" w14:textId="77777777" w:rsidR="008D795C" w:rsidRPr="008D795C" w:rsidRDefault="008D795C" w:rsidP="008D795C">
            <w:pPr>
              <w:spacing w:after="0" w:line="240" w:lineRule="auto"/>
              <w:jc w:val="right"/>
              <w:rPr>
                <w:rFonts w:eastAsia="Times New Roman" w:cs="Calibri"/>
                <w:b/>
                <w:bCs/>
                <w:color w:val="000000"/>
                <w:sz w:val="24"/>
                <w:szCs w:val="24"/>
                <w:lang w:eastAsia="en-GB"/>
              </w:rPr>
            </w:pPr>
            <w:r w:rsidRPr="008D795C">
              <w:rPr>
                <w:rFonts w:eastAsia="Times New Roman" w:cs="Calibri"/>
                <w:b/>
                <w:bCs/>
                <w:color w:val="000000"/>
                <w:sz w:val="24"/>
                <w:szCs w:val="24"/>
                <w:lang w:eastAsia="en-GB"/>
              </w:rPr>
              <w:t>92.421</w:t>
            </w:r>
          </w:p>
        </w:tc>
        <w:tc>
          <w:tcPr>
            <w:tcW w:w="3720" w:type="dxa"/>
            <w:tcBorders>
              <w:top w:val="single" w:sz="4" w:space="0" w:color="auto"/>
              <w:left w:val="nil"/>
              <w:bottom w:val="nil"/>
              <w:right w:val="single" w:sz="4" w:space="0" w:color="auto"/>
            </w:tcBorders>
            <w:shd w:val="clear" w:color="000000" w:fill="FFFFFF"/>
            <w:noWrap/>
            <w:vAlign w:val="bottom"/>
            <w:hideMark/>
          </w:tcPr>
          <w:p w14:paraId="7A9E1563" w14:textId="77777777" w:rsidR="008D795C" w:rsidRPr="008D795C" w:rsidRDefault="008D795C" w:rsidP="008D795C">
            <w:pPr>
              <w:spacing w:after="0" w:line="240" w:lineRule="auto"/>
              <w:rPr>
                <w:rFonts w:eastAsia="Times New Roman" w:cs="Calibri"/>
                <w:b/>
                <w:bCs/>
                <w:color w:val="000000"/>
                <w:sz w:val="24"/>
                <w:szCs w:val="24"/>
                <w:lang w:eastAsia="en-GB"/>
              </w:rPr>
            </w:pPr>
            <w:r w:rsidRPr="008D795C">
              <w:rPr>
                <w:rFonts w:eastAsia="Times New Roman" w:cs="Calibri"/>
                <w:b/>
                <w:bCs/>
                <w:color w:val="000000"/>
                <w:sz w:val="24"/>
                <w:szCs w:val="24"/>
                <w:lang w:eastAsia="en-GB"/>
              </w:rPr>
              <w:t>Total Grant Funding</w:t>
            </w:r>
          </w:p>
        </w:tc>
        <w:tc>
          <w:tcPr>
            <w:tcW w:w="1260" w:type="dxa"/>
            <w:tcBorders>
              <w:top w:val="single" w:sz="4" w:space="0" w:color="auto"/>
              <w:left w:val="nil"/>
              <w:bottom w:val="nil"/>
              <w:right w:val="single" w:sz="4" w:space="0" w:color="auto"/>
            </w:tcBorders>
            <w:shd w:val="clear" w:color="000000" w:fill="DDEBF7"/>
            <w:noWrap/>
            <w:vAlign w:val="bottom"/>
            <w:hideMark/>
          </w:tcPr>
          <w:p w14:paraId="1DA76EC7" w14:textId="77777777" w:rsidR="008D795C" w:rsidRPr="008D795C" w:rsidRDefault="008D795C" w:rsidP="008D795C">
            <w:pPr>
              <w:spacing w:after="0" w:line="240" w:lineRule="auto"/>
              <w:jc w:val="right"/>
              <w:rPr>
                <w:rFonts w:eastAsia="Times New Roman" w:cs="Calibri"/>
                <w:b/>
                <w:bCs/>
                <w:color w:val="000000"/>
                <w:sz w:val="24"/>
                <w:szCs w:val="24"/>
                <w:lang w:eastAsia="en-GB"/>
              </w:rPr>
            </w:pPr>
            <w:r w:rsidRPr="008D795C">
              <w:rPr>
                <w:rFonts w:eastAsia="Times New Roman" w:cs="Calibri"/>
                <w:b/>
                <w:bCs/>
                <w:color w:val="000000"/>
                <w:sz w:val="24"/>
                <w:szCs w:val="24"/>
                <w:lang w:eastAsia="en-GB"/>
              </w:rPr>
              <w:t>102.594</w:t>
            </w:r>
          </w:p>
        </w:tc>
      </w:tr>
      <w:tr w:rsidR="008D795C" w:rsidRPr="008D795C" w14:paraId="11066DAA" w14:textId="77777777" w:rsidTr="008D795C">
        <w:trPr>
          <w:trHeight w:val="315"/>
        </w:trPr>
        <w:tc>
          <w:tcPr>
            <w:tcW w:w="1260" w:type="dxa"/>
            <w:tcBorders>
              <w:top w:val="nil"/>
              <w:left w:val="single" w:sz="4" w:space="0" w:color="auto"/>
              <w:bottom w:val="nil"/>
              <w:right w:val="single" w:sz="4" w:space="0" w:color="auto"/>
            </w:tcBorders>
            <w:shd w:val="clear" w:color="auto" w:fill="auto"/>
            <w:noWrap/>
            <w:vAlign w:val="bottom"/>
            <w:hideMark/>
          </w:tcPr>
          <w:p w14:paraId="429568C1" w14:textId="77777777" w:rsidR="008D795C" w:rsidRPr="008D795C" w:rsidRDefault="008D795C" w:rsidP="008D795C">
            <w:pPr>
              <w:spacing w:after="0" w:line="240" w:lineRule="auto"/>
              <w:rPr>
                <w:rFonts w:eastAsia="Times New Roman" w:cs="Calibri"/>
                <w:color w:val="000000"/>
                <w:sz w:val="24"/>
                <w:szCs w:val="24"/>
                <w:lang w:eastAsia="en-GB"/>
              </w:rPr>
            </w:pPr>
            <w:r w:rsidRPr="008D795C">
              <w:rPr>
                <w:rFonts w:eastAsia="Times New Roman" w:cs="Calibri"/>
                <w:color w:val="000000"/>
                <w:sz w:val="24"/>
                <w:szCs w:val="24"/>
                <w:lang w:eastAsia="en-GB"/>
              </w:rPr>
              <w:t> </w:t>
            </w:r>
          </w:p>
        </w:tc>
        <w:tc>
          <w:tcPr>
            <w:tcW w:w="3720" w:type="dxa"/>
            <w:tcBorders>
              <w:top w:val="nil"/>
              <w:left w:val="nil"/>
              <w:bottom w:val="nil"/>
              <w:right w:val="single" w:sz="4" w:space="0" w:color="auto"/>
            </w:tcBorders>
            <w:shd w:val="clear" w:color="auto" w:fill="auto"/>
            <w:noWrap/>
            <w:vAlign w:val="bottom"/>
            <w:hideMark/>
          </w:tcPr>
          <w:p w14:paraId="78E07A9E" w14:textId="77777777" w:rsidR="008D795C" w:rsidRPr="008D795C" w:rsidRDefault="008D795C" w:rsidP="008D795C">
            <w:pPr>
              <w:spacing w:after="0" w:line="240" w:lineRule="auto"/>
              <w:rPr>
                <w:rFonts w:eastAsia="Times New Roman" w:cs="Calibri"/>
                <w:color w:val="000000"/>
                <w:sz w:val="24"/>
                <w:szCs w:val="24"/>
                <w:lang w:eastAsia="en-GB"/>
              </w:rPr>
            </w:pPr>
            <w:r w:rsidRPr="008D795C">
              <w:rPr>
                <w:rFonts w:eastAsia="Times New Roman" w:cs="Calibri"/>
                <w:color w:val="000000"/>
                <w:sz w:val="24"/>
                <w:szCs w:val="24"/>
                <w:lang w:eastAsia="en-GB"/>
              </w:rPr>
              <w:t> </w:t>
            </w:r>
          </w:p>
        </w:tc>
        <w:tc>
          <w:tcPr>
            <w:tcW w:w="1260" w:type="dxa"/>
            <w:tcBorders>
              <w:top w:val="nil"/>
              <w:left w:val="nil"/>
              <w:bottom w:val="nil"/>
              <w:right w:val="single" w:sz="4" w:space="0" w:color="auto"/>
            </w:tcBorders>
            <w:shd w:val="clear" w:color="000000" w:fill="DDEBF7"/>
            <w:noWrap/>
            <w:vAlign w:val="bottom"/>
            <w:hideMark/>
          </w:tcPr>
          <w:p w14:paraId="56CCFCAD" w14:textId="77777777" w:rsidR="008D795C" w:rsidRPr="008D795C" w:rsidRDefault="008D795C" w:rsidP="008D795C">
            <w:pPr>
              <w:spacing w:after="0" w:line="240" w:lineRule="auto"/>
              <w:rPr>
                <w:rFonts w:eastAsia="Times New Roman" w:cs="Calibri"/>
                <w:color w:val="000000"/>
                <w:sz w:val="24"/>
                <w:szCs w:val="24"/>
                <w:lang w:eastAsia="en-GB"/>
              </w:rPr>
            </w:pPr>
            <w:r w:rsidRPr="008D795C">
              <w:rPr>
                <w:rFonts w:eastAsia="Times New Roman" w:cs="Calibri"/>
                <w:color w:val="000000"/>
                <w:sz w:val="24"/>
                <w:szCs w:val="24"/>
                <w:lang w:eastAsia="en-GB"/>
              </w:rPr>
              <w:t> </w:t>
            </w:r>
          </w:p>
        </w:tc>
      </w:tr>
      <w:tr w:rsidR="008D795C" w:rsidRPr="008D795C" w14:paraId="11F17D3A" w14:textId="77777777" w:rsidTr="008D795C">
        <w:trPr>
          <w:trHeight w:val="315"/>
        </w:trPr>
        <w:tc>
          <w:tcPr>
            <w:tcW w:w="1260" w:type="dxa"/>
            <w:tcBorders>
              <w:top w:val="nil"/>
              <w:left w:val="single" w:sz="4" w:space="0" w:color="auto"/>
              <w:bottom w:val="nil"/>
              <w:right w:val="single" w:sz="4" w:space="0" w:color="auto"/>
            </w:tcBorders>
            <w:shd w:val="clear" w:color="000000" w:fill="FFFFFF"/>
            <w:noWrap/>
            <w:vAlign w:val="bottom"/>
            <w:hideMark/>
          </w:tcPr>
          <w:p w14:paraId="3EA9CD0D" w14:textId="77777777" w:rsidR="008D795C" w:rsidRPr="008D795C" w:rsidRDefault="008D795C" w:rsidP="008D795C">
            <w:pPr>
              <w:spacing w:after="0" w:line="240" w:lineRule="auto"/>
              <w:jc w:val="right"/>
              <w:rPr>
                <w:rFonts w:eastAsia="Times New Roman" w:cs="Calibri"/>
                <w:color w:val="000000"/>
                <w:sz w:val="24"/>
                <w:szCs w:val="24"/>
                <w:lang w:eastAsia="en-GB"/>
              </w:rPr>
            </w:pPr>
            <w:r w:rsidRPr="008D795C">
              <w:rPr>
                <w:rFonts w:eastAsia="Times New Roman" w:cs="Calibri"/>
                <w:color w:val="000000"/>
                <w:sz w:val="24"/>
                <w:szCs w:val="24"/>
                <w:lang w:eastAsia="en-GB"/>
              </w:rPr>
              <w:t>75.118</w:t>
            </w:r>
          </w:p>
        </w:tc>
        <w:tc>
          <w:tcPr>
            <w:tcW w:w="3720" w:type="dxa"/>
            <w:tcBorders>
              <w:top w:val="nil"/>
              <w:left w:val="nil"/>
              <w:bottom w:val="nil"/>
              <w:right w:val="single" w:sz="4" w:space="0" w:color="auto"/>
            </w:tcBorders>
            <w:shd w:val="clear" w:color="000000" w:fill="FFFFFF"/>
            <w:noWrap/>
            <w:vAlign w:val="bottom"/>
            <w:hideMark/>
          </w:tcPr>
          <w:p w14:paraId="132C51B4" w14:textId="77777777" w:rsidR="008D795C" w:rsidRPr="008D795C" w:rsidRDefault="008D795C" w:rsidP="008D795C">
            <w:pPr>
              <w:spacing w:after="0" w:line="240" w:lineRule="auto"/>
              <w:rPr>
                <w:rFonts w:eastAsia="Times New Roman" w:cs="Calibri"/>
                <w:color w:val="000000"/>
                <w:sz w:val="24"/>
                <w:szCs w:val="24"/>
                <w:lang w:eastAsia="en-GB"/>
              </w:rPr>
            </w:pPr>
            <w:r w:rsidRPr="008D795C">
              <w:rPr>
                <w:rFonts w:eastAsia="Times New Roman" w:cs="Calibri"/>
                <w:color w:val="000000"/>
                <w:sz w:val="24"/>
                <w:szCs w:val="24"/>
                <w:lang w:eastAsia="en-GB"/>
              </w:rPr>
              <w:t>Precept</w:t>
            </w:r>
          </w:p>
        </w:tc>
        <w:tc>
          <w:tcPr>
            <w:tcW w:w="1260" w:type="dxa"/>
            <w:tcBorders>
              <w:top w:val="nil"/>
              <w:left w:val="nil"/>
              <w:bottom w:val="nil"/>
              <w:right w:val="single" w:sz="4" w:space="0" w:color="auto"/>
            </w:tcBorders>
            <w:shd w:val="clear" w:color="000000" w:fill="DDEBF7"/>
            <w:noWrap/>
            <w:vAlign w:val="bottom"/>
            <w:hideMark/>
          </w:tcPr>
          <w:p w14:paraId="26472209" w14:textId="77777777" w:rsidR="008D795C" w:rsidRPr="008D795C" w:rsidRDefault="008D795C" w:rsidP="008D795C">
            <w:pPr>
              <w:spacing w:after="0" w:line="240" w:lineRule="auto"/>
              <w:jc w:val="right"/>
              <w:rPr>
                <w:rFonts w:eastAsia="Times New Roman" w:cs="Calibri"/>
                <w:color w:val="000000"/>
                <w:sz w:val="24"/>
                <w:szCs w:val="24"/>
                <w:lang w:eastAsia="en-GB"/>
              </w:rPr>
            </w:pPr>
            <w:r w:rsidRPr="008D795C">
              <w:rPr>
                <w:rFonts w:eastAsia="Times New Roman" w:cs="Calibri"/>
                <w:color w:val="000000"/>
                <w:sz w:val="24"/>
                <w:szCs w:val="24"/>
                <w:lang w:eastAsia="en-GB"/>
              </w:rPr>
              <w:t>79.115</w:t>
            </w:r>
          </w:p>
        </w:tc>
      </w:tr>
      <w:tr w:rsidR="008D795C" w:rsidRPr="008D795C" w14:paraId="4A9F4C33" w14:textId="77777777" w:rsidTr="008D795C">
        <w:trPr>
          <w:trHeight w:val="315"/>
        </w:trPr>
        <w:tc>
          <w:tcPr>
            <w:tcW w:w="1260" w:type="dxa"/>
            <w:tcBorders>
              <w:top w:val="nil"/>
              <w:left w:val="single" w:sz="4" w:space="0" w:color="auto"/>
              <w:bottom w:val="nil"/>
              <w:right w:val="single" w:sz="4" w:space="0" w:color="auto"/>
            </w:tcBorders>
            <w:shd w:val="clear" w:color="000000" w:fill="FFFFFF"/>
            <w:noWrap/>
            <w:vAlign w:val="bottom"/>
            <w:hideMark/>
          </w:tcPr>
          <w:p w14:paraId="785DD842" w14:textId="77777777" w:rsidR="008D795C" w:rsidRPr="008D795C" w:rsidRDefault="008D795C" w:rsidP="008D795C">
            <w:pPr>
              <w:spacing w:after="0" w:line="240" w:lineRule="auto"/>
              <w:jc w:val="right"/>
              <w:rPr>
                <w:rFonts w:eastAsia="Times New Roman" w:cs="Calibri"/>
                <w:color w:val="000000"/>
                <w:sz w:val="24"/>
                <w:szCs w:val="24"/>
                <w:lang w:eastAsia="en-GB"/>
              </w:rPr>
            </w:pPr>
            <w:r w:rsidRPr="008D795C">
              <w:rPr>
                <w:rFonts w:eastAsia="Times New Roman" w:cs="Calibri"/>
                <w:color w:val="000000"/>
                <w:sz w:val="24"/>
                <w:szCs w:val="24"/>
                <w:lang w:eastAsia="en-GB"/>
              </w:rPr>
              <w:t>1.039</w:t>
            </w:r>
          </w:p>
        </w:tc>
        <w:tc>
          <w:tcPr>
            <w:tcW w:w="3720" w:type="dxa"/>
            <w:tcBorders>
              <w:top w:val="nil"/>
              <w:left w:val="nil"/>
              <w:bottom w:val="nil"/>
              <w:right w:val="single" w:sz="4" w:space="0" w:color="auto"/>
            </w:tcBorders>
            <w:shd w:val="clear" w:color="000000" w:fill="FFFFFF"/>
            <w:noWrap/>
            <w:vAlign w:val="bottom"/>
            <w:hideMark/>
          </w:tcPr>
          <w:p w14:paraId="433E530A" w14:textId="77777777" w:rsidR="008D795C" w:rsidRPr="008D795C" w:rsidRDefault="008D795C" w:rsidP="008D795C">
            <w:pPr>
              <w:spacing w:after="0" w:line="240" w:lineRule="auto"/>
              <w:rPr>
                <w:rFonts w:eastAsia="Times New Roman" w:cs="Calibri"/>
                <w:color w:val="000000"/>
                <w:sz w:val="24"/>
                <w:szCs w:val="24"/>
                <w:lang w:eastAsia="en-GB"/>
              </w:rPr>
            </w:pPr>
            <w:r w:rsidRPr="008D795C">
              <w:rPr>
                <w:rFonts w:eastAsia="Times New Roman" w:cs="Calibri"/>
                <w:color w:val="000000"/>
                <w:sz w:val="24"/>
                <w:szCs w:val="24"/>
                <w:lang w:eastAsia="en-GB"/>
              </w:rPr>
              <w:t>Collection Fund Surplus</w:t>
            </w:r>
          </w:p>
        </w:tc>
        <w:tc>
          <w:tcPr>
            <w:tcW w:w="1260" w:type="dxa"/>
            <w:tcBorders>
              <w:top w:val="nil"/>
              <w:left w:val="nil"/>
              <w:bottom w:val="nil"/>
              <w:right w:val="single" w:sz="4" w:space="0" w:color="auto"/>
            </w:tcBorders>
            <w:shd w:val="clear" w:color="000000" w:fill="DDEBF7"/>
            <w:noWrap/>
            <w:vAlign w:val="bottom"/>
            <w:hideMark/>
          </w:tcPr>
          <w:p w14:paraId="4904723C" w14:textId="77777777" w:rsidR="008D795C" w:rsidRPr="008D795C" w:rsidRDefault="008D795C" w:rsidP="008D795C">
            <w:pPr>
              <w:spacing w:after="0" w:line="240" w:lineRule="auto"/>
              <w:jc w:val="right"/>
              <w:rPr>
                <w:rFonts w:eastAsia="Times New Roman" w:cs="Calibri"/>
                <w:color w:val="000000"/>
                <w:sz w:val="24"/>
                <w:szCs w:val="24"/>
                <w:lang w:eastAsia="en-GB"/>
              </w:rPr>
            </w:pPr>
            <w:r w:rsidRPr="008D795C">
              <w:rPr>
                <w:rFonts w:eastAsia="Times New Roman" w:cs="Calibri"/>
                <w:color w:val="000000"/>
                <w:sz w:val="24"/>
                <w:szCs w:val="24"/>
                <w:lang w:eastAsia="en-GB"/>
              </w:rPr>
              <w:t>1.259</w:t>
            </w:r>
          </w:p>
        </w:tc>
      </w:tr>
      <w:tr w:rsidR="008D795C" w:rsidRPr="008D795C" w14:paraId="143818CE" w14:textId="77777777" w:rsidTr="008D795C">
        <w:trPr>
          <w:trHeight w:val="315"/>
        </w:trPr>
        <w:tc>
          <w:tcPr>
            <w:tcW w:w="1260" w:type="dxa"/>
            <w:tcBorders>
              <w:top w:val="single" w:sz="4" w:space="0" w:color="auto"/>
              <w:left w:val="single" w:sz="4" w:space="0" w:color="auto"/>
              <w:bottom w:val="nil"/>
              <w:right w:val="single" w:sz="4" w:space="0" w:color="auto"/>
            </w:tcBorders>
            <w:shd w:val="clear" w:color="000000" w:fill="FFFFFF"/>
            <w:noWrap/>
            <w:vAlign w:val="bottom"/>
            <w:hideMark/>
          </w:tcPr>
          <w:p w14:paraId="5C3B29A6" w14:textId="77777777" w:rsidR="008D795C" w:rsidRPr="008D795C" w:rsidRDefault="008D795C" w:rsidP="008D795C">
            <w:pPr>
              <w:spacing w:after="0" w:line="240" w:lineRule="auto"/>
              <w:jc w:val="right"/>
              <w:rPr>
                <w:rFonts w:eastAsia="Times New Roman" w:cs="Calibri"/>
                <w:b/>
                <w:bCs/>
                <w:color w:val="000000"/>
                <w:sz w:val="24"/>
                <w:szCs w:val="24"/>
                <w:lang w:eastAsia="en-GB"/>
              </w:rPr>
            </w:pPr>
            <w:r w:rsidRPr="008D795C">
              <w:rPr>
                <w:rFonts w:eastAsia="Times New Roman" w:cs="Calibri"/>
                <w:b/>
                <w:bCs/>
                <w:color w:val="000000"/>
                <w:sz w:val="24"/>
                <w:szCs w:val="24"/>
                <w:lang w:eastAsia="en-GB"/>
              </w:rPr>
              <w:t>76.157</w:t>
            </w:r>
          </w:p>
        </w:tc>
        <w:tc>
          <w:tcPr>
            <w:tcW w:w="3720" w:type="dxa"/>
            <w:tcBorders>
              <w:top w:val="single" w:sz="4" w:space="0" w:color="auto"/>
              <w:left w:val="nil"/>
              <w:bottom w:val="nil"/>
              <w:right w:val="single" w:sz="4" w:space="0" w:color="auto"/>
            </w:tcBorders>
            <w:shd w:val="clear" w:color="000000" w:fill="FFFFFF"/>
            <w:noWrap/>
            <w:vAlign w:val="bottom"/>
            <w:hideMark/>
          </w:tcPr>
          <w:p w14:paraId="64B9BF70" w14:textId="77777777" w:rsidR="008D795C" w:rsidRPr="008D795C" w:rsidRDefault="008D795C" w:rsidP="008D795C">
            <w:pPr>
              <w:spacing w:after="0" w:line="240" w:lineRule="auto"/>
              <w:rPr>
                <w:rFonts w:eastAsia="Times New Roman" w:cs="Calibri"/>
                <w:b/>
                <w:bCs/>
                <w:color w:val="000000"/>
                <w:sz w:val="24"/>
                <w:szCs w:val="24"/>
                <w:lang w:eastAsia="en-GB"/>
              </w:rPr>
            </w:pPr>
            <w:r w:rsidRPr="008D795C">
              <w:rPr>
                <w:rFonts w:eastAsia="Times New Roman" w:cs="Calibri"/>
                <w:b/>
                <w:bCs/>
                <w:color w:val="000000"/>
                <w:sz w:val="24"/>
                <w:szCs w:val="24"/>
                <w:lang w:eastAsia="en-GB"/>
              </w:rPr>
              <w:t>Total Precept and Collection Fund</w:t>
            </w:r>
          </w:p>
        </w:tc>
        <w:tc>
          <w:tcPr>
            <w:tcW w:w="1260" w:type="dxa"/>
            <w:tcBorders>
              <w:top w:val="single" w:sz="4" w:space="0" w:color="auto"/>
              <w:left w:val="nil"/>
              <w:bottom w:val="nil"/>
              <w:right w:val="single" w:sz="4" w:space="0" w:color="auto"/>
            </w:tcBorders>
            <w:shd w:val="clear" w:color="000000" w:fill="DDEBF7"/>
            <w:noWrap/>
            <w:vAlign w:val="bottom"/>
            <w:hideMark/>
          </w:tcPr>
          <w:p w14:paraId="44F20860" w14:textId="77777777" w:rsidR="008D795C" w:rsidRPr="008D795C" w:rsidRDefault="008D795C" w:rsidP="008D795C">
            <w:pPr>
              <w:spacing w:after="0" w:line="240" w:lineRule="auto"/>
              <w:jc w:val="right"/>
              <w:rPr>
                <w:rFonts w:eastAsia="Times New Roman" w:cs="Calibri"/>
                <w:b/>
                <w:bCs/>
                <w:color w:val="000000"/>
                <w:sz w:val="24"/>
                <w:szCs w:val="24"/>
                <w:lang w:eastAsia="en-GB"/>
              </w:rPr>
            </w:pPr>
            <w:r w:rsidRPr="008D795C">
              <w:rPr>
                <w:rFonts w:eastAsia="Times New Roman" w:cs="Calibri"/>
                <w:b/>
                <w:bCs/>
                <w:color w:val="000000"/>
                <w:sz w:val="24"/>
                <w:szCs w:val="24"/>
                <w:lang w:eastAsia="en-GB"/>
              </w:rPr>
              <w:t>80.374</w:t>
            </w:r>
          </w:p>
        </w:tc>
      </w:tr>
      <w:tr w:rsidR="008D795C" w:rsidRPr="008D795C" w14:paraId="356A256E" w14:textId="77777777" w:rsidTr="008D795C">
        <w:trPr>
          <w:trHeight w:val="315"/>
        </w:trPr>
        <w:tc>
          <w:tcPr>
            <w:tcW w:w="1260" w:type="dxa"/>
            <w:tcBorders>
              <w:top w:val="nil"/>
              <w:left w:val="single" w:sz="4" w:space="0" w:color="auto"/>
              <w:bottom w:val="nil"/>
              <w:right w:val="single" w:sz="4" w:space="0" w:color="auto"/>
            </w:tcBorders>
            <w:shd w:val="clear" w:color="000000" w:fill="FFFFFF"/>
            <w:noWrap/>
            <w:vAlign w:val="bottom"/>
            <w:hideMark/>
          </w:tcPr>
          <w:p w14:paraId="471C46B7" w14:textId="77777777" w:rsidR="008D795C" w:rsidRPr="008D795C" w:rsidRDefault="008D795C" w:rsidP="008D795C">
            <w:pPr>
              <w:spacing w:after="0" w:line="240" w:lineRule="auto"/>
              <w:rPr>
                <w:rFonts w:eastAsia="Times New Roman" w:cs="Calibri"/>
                <w:color w:val="000000"/>
                <w:sz w:val="24"/>
                <w:szCs w:val="24"/>
                <w:lang w:eastAsia="en-GB"/>
              </w:rPr>
            </w:pPr>
            <w:r w:rsidRPr="008D795C">
              <w:rPr>
                <w:rFonts w:eastAsia="Times New Roman" w:cs="Calibri"/>
                <w:color w:val="000000"/>
                <w:sz w:val="24"/>
                <w:szCs w:val="24"/>
                <w:lang w:eastAsia="en-GB"/>
              </w:rPr>
              <w:t> </w:t>
            </w:r>
          </w:p>
        </w:tc>
        <w:tc>
          <w:tcPr>
            <w:tcW w:w="3720" w:type="dxa"/>
            <w:tcBorders>
              <w:top w:val="nil"/>
              <w:left w:val="nil"/>
              <w:bottom w:val="nil"/>
              <w:right w:val="single" w:sz="4" w:space="0" w:color="auto"/>
            </w:tcBorders>
            <w:shd w:val="clear" w:color="000000" w:fill="FFFFFF"/>
            <w:noWrap/>
            <w:vAlign w:val="bottom"/>
            <w:hideMark/>
          </w:tcPr>
          <w:p w14:paraId="22D1B6F2" w14:textId="77777777" w:rsidR="008D795C" w:rsidRPr="008D795C" w:rsidRDefault="008D795C" w:rsidP="008D795C">
            <w:pPr>
              <w:spacing w:after="0" w:line="240" w:lineRule="auto"/>
              <w:rPr>
                <w:rFonts w:eastAsia="Times New Roman" w:cs="Calibri"/>
                <w:color w:val="000000"/>
                <w:sz w:val="24"/>
                <w:szCs w:val="24"/>
                <w:lang w:eastAsia="en-GB"/>
              </w:rPr>
            </w:pPr>
            <w:r w:rsidRPr="008D795C">
              <w:rPr>
                <w:rFonts w:eastAsia="Times New Roman" w:cs="Calibri"/>
                <w:color w:val="000000"/>
                <w:sz w:val="24"/>
                <w:szCs w:val="24"/>
                <w:lang w:eastAsia="en-GB"/>
              </w:rPr>
              <w:t> </w:t>
            </w:r>
          </w:p>
        </w:tc>
        <w:tc>
          <w:tcPr>
            <w:tcW w:w="1260" w:type="dxa"/>
            <w:tcBorders>
              <w:top w:val="nil"/>
              <w:left w:val="nil"/>
              <w:bottom w:val="nil"/>
              <w:right w:val="single" w:sz="4" w:space="0" w:color="auto"/>
            </w:tcBorders>
            <w:shd w:val="clear" w:color="000000" w:fill="DDEBF7"/>
            <w:noWrap/>
            <w:vAlign w:val="bottom"/>
            <w:hideMark/>
          </w:tcPr>
          <w:p w14:paraId="62641AEF" w14:textId="77777777" w:rsidR="008D795C" w:rsidRPr="008D795C" w:rsidRDefault="008D795C" w:rsidP="008D795C">
            <w:pPr>
              <w:spacing w:after="0" w:line="240" w:lineRule="auto"/>
              <w:rPr>
                <w:rFonts w:eastAsia="Times New Roman" w:cs="Calibri"/>
                <w:color w:val="000000"/>
                <w:sz w:val="24"/>
                <w:szCs w:val="24"/>
                <w:lang w:eastAsia="en-GB"/>
              </w:rPr>
            </w:pPr>
            <w:r w:rsidRPr="008D795C">
              <w:rPr>
                <w:rFonts w:eastAsia="Times New Roman" w:cs="Calibri"/>
                <w:color w:val="000000"/>
                <w:sz w:val="24"/>
                <w:szCs w:val="24"/>
                <w:lang w:eastAsia="en-GB"/>
              </w:rPr>
              <w:t> </w:t>
            </w:r>
          </w:p>
        </w:tc>
      </w:tr>
      <w:tr w:rsidR="008D795C" w:rsidRPr="008D795C" w14:paraId="4F4089A9" w14:textId="77777777" w:rsidTr="008D795C">
        <w:trPr>
          <w:trHeight w:val="315"/>
        </w:trPr>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2AC84C" w14:textId="77777777" w:rsidR="008D795C" w:rsidRPr="008D795C" w:rsidRDefault="008D795C" w:rsidP="008D795C">
            <w:pPr>
              <w:spacing w:after="0" w:line="240" w:lineRule="auto"/>
              <w:jc w:val="right"/>
              <w:rPr>
                <w:rFonts w:eastAsia="Times New Roman" w:cs="Calibri"/>
                <w:b/>
                <w:bCs/>
                <w:color w:val="000000"/>
                <w:sz w:val="24"/>
                <w:szCs w:val="24"/>
                <w:lang w:eastAsia="en-GB"/>
              </w:rPr>
            </w:pPr>
            <w:r w:rsidRPr="008D795C">
              <w:rPr>
                <w:rFonts w:eastAsia="Times New Roman" w:cs="Calibri"/>
                <w:b/>
                <w:bCs/>
                <w:color w:val="000000"/>
                <w:sz w:val="24"/>
                <w:szCs w:val="24"/>
                <w:lang w:eastAsia="en-GB"/>
              </w:rPr>
              <w:t>168.578</w:t>
            </w:r>
          </w:p>
        </w:tc>
        <w:tc>
          <w:tcPr>
            <w:tcW w:w="3720" w:type="dxa"/>
            <w:tcBorders>
              <w:top w:val="single" w:sz="4" w:space="0" w:color="auto"/>
              <w:left w:val="nil"/>
              <w:bottom w:val="single" w:sz="4" w:space="0" w:color="auto"/>
              <w:right w:val="single" w:sz="4" w:space="0" w:color="auto"/>
            </w:tcBorders>
            <w:shd w:val="clear" w:color="000000" w:fill="FFFFFF"/>
            <w:noWrap/>
            <w:vAlign w:val="bottom"/>
            <w:hideMark/>
          </w:tcPr>
          <w:p w14:paraId="3852F58F" w14:textId="77777777" w:rsidR="008D795C" w:rsidRPr="008D795C" w:rsidRDefault="008D795C" w:rsidP="008D795C">
            <w:pPr>
              <w:spacing w:after="0" w:line="240" w:lineRule="auto"/>
              <w:rPr>
                <w:rFonts w:eastAsia="Times New Roman" w:cs="Calibri"/>
                <w:b/>
                <w:bCs/>
                <w:color w:val="000000"/>
                <w:sz w:val="24"/>
                <w:szCs w:val="24"/>
                <w:lang w:eastAsia="en-GB"/>
              </w:rPr>
            </w:pPr>
            <w:r w:rsidRPr="008D795C">
              <w:rPr>
                <w:rFonts w:eastAsia="Times New Roman" w:cs="Calibri"/>
                <w:b/>
                <w:bCs/>
                <w:color w:val="000000"/>
                <w:sz w:val="24"/>
                <w:szCs w:val="24"/>
                <w:lang w:eastAsia="en-GB"/>
              </w:rPr>
              <w:t>TOTAL FUNDING</w:t>
            </w:r>
          </w:p>
        </w:tc>
        <w:tc>
          <w:tcPr>
            <w:tcW w:w="1260" w:type="dxa"/>
            <w:tcBorders>
              <w:top w:val="single" w:sz="4" w:space="0" w:color="auto"/>
              <w:left w:val="nil"/>
              <w:bottom w:val="single" w:sz="4" w:space="0" w:color="auto"/>
              <w:right w:val="single" w:sz="4" w:space="0" w:color="auto"/>
            </w:tcBorders>
            <w:shd w:val="clear" w:color="000000" w:fill="DDEBF7"/>
            <w:noWrap/>
            <w:vAlign w:val="bottom"/>
            <w:hideMark/>
          </w:tcPr>
          <w:p w14:paraId="61A342A4" w14:textId="77777777" w:rsidR="008D795C" w:rsidRPr="008D795C" w:rsidRDefault="008D795C" w:rsidP="008D795C">
            <w:pPr>
              <w:spacing w:after="0" w:line="240" w:lineRule="auto"/>
              <w:jc w:val="right"/>
              <w:rPr>
                <w:rFonts w:eastAsia="Times New Roman" w:cs="Calibri"/>
                <w:b/>
                <w:bCs/>
                <w:color w:val="000000"/>
                <w:sz w:val="24"/>
                <w:szCs w:val="24"/>
                <w:lang w:eastAsia="en-GB"/>
              </w:rPr>
            </w:pPr>
            <w:r w:rsidRPr="008D795C">
              <w:rPr>
                <w:rFonts w:eastAsia="Times New Roman" w:cs="Calibri"/>
                <w:b/>
                <w:bCs/>
                <w:color w:val="000000"/>
                <w:sz w:val="24"/>
                <w:szCs w:val="24"/>
                <w:lang w:eastAsia="en-GB"/>
              </w:rPr>
              <w:t>182.968</w:t>
            </w:r>
          </w:p>
        </w:tc>
      </w:tr>
    </w:tbl>
    <w:p w14:paraId="000C8B37" w14:textId="049BF970" w:rsidR="00975740" w:rsidRPr="00047250" w:rsidRDefault="00975740" w:rsidP="00DD0250">
      <w:pPr>
        <w:spacing w:after="0" w:line="240" w:lineRule="auto"/>
        <w:jc w:val="both"/>
        <w:rPr>
          <w:rFonts w:asciiTheme="minorHAnsi" w:hAnsiTheme="minorHAnsi" w:cstheme="minorHAnsi"/>
          <w:noProof/>
          <w:sz w:val="24"/>
          <w:szCs w:val="24"/>
          <w:lang w:eastAsia="en-GB"/>
        </w:rPr>
      </w:pPr>
      <w:r w:rsidRPr="00047250">
        <w:rPr>
          <w:rFonts w:asciiTheme="minorHAnsi" w:hAnsiTheme="minorHAnsi" w:cstheme="minorHAnsi"/>
          <w:noProof/>
          <w:sz w:val="24"/>
          <w:szCs w:val="24"/>
          <w:lang w:eastAsia="en-GB"/>
        </w:rPr>
        <w:tab/>
      </w:r>
    </w:p>
    <w:p w14:paraId="730C39F1" w14:textId="515910D3" w:rsidR="00D662BA" w:rsidRPr="00685B66" w:rsidRDefault="00D662BA" w:rsidP="00685B66">
      <w:pPr>
        <w:pStyle w:val="PanelHeading"/>
      </w:pPr>
      <w:r w:rsidRPr="00047250">
        <w:t xml:space="preserve">Police </w:t>
      </w:r>
      <w:r w:rsidR="00484495" w:rsidRPr="00685B66">
        <w:t>Officer</w:t>
      </w:r>
      <w:r w:rsidR="00484495" w:rsidRPr="00047250">
        <w:t xml:space="preserve"> Recruitmen</w:t>
      </w:r>
      <w:r w:rsidR="00004F36" w:rsidRPr="00047250">
        <w:t>t and Police</w:t>
      </w:r>
      <w:r w:rsidR="00484495" w:rsidRPr="00047250">
        <w:t xml:space="preserve"> </w:t>
      </w:r>
      <w:r w:rsidRPr="00047250">
        <w:t xml:space="preserve">Uplift Programme </w:t>
      </w:r>
      <w:r w:rsidR="00E543B8" w:rsidRPr="00047250">
        <w:t xml:space="preserve">(PUP) </w:t>
      </w:r>
    </w:p>
    <w:p w14:paraId="17D4BBAF" w14:textId="7B1EC6F1" w:rsidR="00975740" w:rsidRPr="00DD0250" w:rsidRDefault="00A40E50" w:rsidP="00DD0250">
      <w:pPr>
        <w:pStyle w:val="PanelPara"/>
      </w:pPr>
      <w:r w:rsidRPr="00047250">
        <w:t xml:space="preserve">In </w:t>
      </w:r>
      <w:r w:rsidR="00F712E5" w:rsidRPr="00047250">
        <w:t>September 2019, the Government launched the national recruitment of 20,000 Police Officers</w:t>
      </w:r>
      <w:r w:rsidR="00004F36" w:rsidRPr="00047250">
        <w:t>, referred to as the Police Uplift Programme (PUP)</w:t>
      </w:r>
      <w:r w:rsidR="00F712E5" w:rsidRPr="00047250">
        <w:t xml:space="preserve">. </w:t>
      </w:r>
      <w:r w:rsidR="00DD0250">
        <w:t xml:space="preserve"> </w:t>
      </w:r>
      <w:r w:rsidR="00975740" w:rsidRPr="00047250">
        <w:t xml:space="preserve">This was in addition to the 83 officers already provided by the PFCC in that year </w:t>
      </w:r>
      <w:r w:rsidR="00AE0643">
        <w:t>along with</w:t>
      </w:r>
      <w:r w:rsidR="00AE0643" w:rsidRPr="00047250">
        <w:t xml:space="preserve"> </w:t>
      </w:r>
      <w:r w:rsidR="00975740" w:rsidRPr="00047250">
        <w:t>additional officers</w:t>
      </w:r>
      <w:r w:rsidR="00AE0643">
        <w:t xml:space="preserve"> recruited</w:t>
      </w:r>
      <w:r w:rsidR="00975740" w:rsidRPr="00047250">
        <w:t xml:space="preserve"> in previous years.</w:t>
      </w:r>
    </w:p>
    <w:p w14:paraId="4BBE91CF" w14:textId="4F9CB82E" w:rsidR="00047250" w:rsidRPr="00DD0250" w:rsidRDefault="00484495" w:rsidP="00DD0250">
      <w:pPr>
        <w:pStyle w:val="PanelPara"/>
      </w:pPr>
      <w:r w:rsidRPr="00047250">
        <w:t xml:space="preserve">The PFCC </w:t>
      </w:r>
      <w:r w:rsidR="00047250">
        <w:t xml:space="preserve">has also </w:t>
      </w:r>
      <w:r w:rsidRPr="00047250">
        <w:t xml:space="preserve">listened to the views of Northamptonshire residents and </w:t>
      </w:r>
      <w:r w:rsidR="007449D4" w:rsidRPr="00047250">
        <w:t xml:space="preserve">has </w:t>
      </w:r>
      <w:r w:rsidRPr="00047250">
        <w:t xml:space="preserve">worked closely with the Chief Constable to increase Police Officers wherever possible and affordable. </w:t>
      </w:r>
    </w:p>
    <w:p w14:paraId="43F7A180" w14:textId="6755FCBA" w:rsidR="00BA59CB" w:rsidRPr="00DD0250" w:rsidRDefault="007B7859" w:rsidP="00DD0250">
      <w:pPr>
        <w:pStyle w:val="PanelPara"/>
      </w:pPr>
      <w:r>
        <w:t>T</w:t>
      </w:r>
      <w:r w:rsidR="00484495" w:rsidRPr="00047250">
        <w:t xml:space="preserve">he </w:t>
      </w:r>
      <w:r w:rsidR="00047250">
        <w:t xml:space="preserve">PFCC funded 83 additional officers and the </w:t>
      </w:r>
      <w:r w:rsidR="009E47D7">
        <w:t>f</w:t>
      </w:r>
      <w:r w:rsidR="00484495" w:rsidRPr="00047250">
        <w:t>orce ha</w:t>
      </w:r>
      <w:r w:rsidR="00E543B8" w:rsidRPr="00047250">
        <w:t xml:space="preserve">s grown from </w:t>
      </w:r>
      <w:r w:rsidR="00484495" w:rsidRPr="00047250">
        <w:t>1</w:t>
      </w:r>
      <w:r w:rsidR="00D67ACB" w:rsidRPr="00047250">
        <w:t>,</w:t>
      </w:r>
      <w:r w:rsidR="00484495" w:rsidRPr="00047250">
        <w:t>170 police officers</w:t>
      </w:r>
      <w:r w:rsidR="00047250">
        <w:t xml:space="preserve"> </w:t>
      </w:r>
      <w:r w:rsidR="00412294">
        <w:t xml:space="preserve">to </w:t>
      </w:r>
      <w:r w:rsidR="00484495" w:rsidRPr="00047250">
        <w:t>1</w:t>
      </w:r>
      <w:r w:rsidR="00D67ACB" w:rsidRPr="00047250">
        <w:t>,</w:t>
      </w:r>
      <w:r w:rsidR="00484495" w:rsidRPr="00047250">
        <w:t>500</w:t>
      </w:r>
      <w:r w:rsidR="00412294">
        <w:t xml:space="preserve"> by March 2023</w:t>
      </w:r>
      <w:r w:rsidR="00484495" w:rsidRPr="00047250">
        <w:t xml:space="preserve">. </w:t>
      </w:r>
      <w:r w:rsidR="00DD0250">
        <w:t xml:space="preserve"> </w:t>
      </w:r>
      <w:r w:rsidR="00484495" w:rsidRPr="00047250">
        <w:t xml:space="preserve">This is an increase of </w:t>
      </w:r>
      <w:r w:rsidR="007449D4" w:rsidRPr="00047250">
        <w:t xml:space="preserve">330 officers (over </w:t>
      </w:r>
      <w:r w:rsidR="00484495" w:rsidRPr="00047250">
        <w:t>28%</w:t>
      </w:r>
      <w:r w:rsidR="007449D4" w:rsidRPr="00047250">
        <w:t>)</w:t>
      </w:r>
      <w:r w:rsidR="00484495" w:rsidRPr="00047250">
        <w:t xml:space="preserve"> and the most officers the </w:t>
      </w:r>
      <w:r w:rsidR="00AE0643">
        <w:t>force</w:t>
      </w:r>
      <w:r w:rsidR="00AE0643" w:rsidRPr="00047250">
        <w:t xml:space="preserve"> </w:t>
      </w:r>
      <w:r w:rsidR="00484495" w:rsidRPr="00047250">
        <w:t>has ever had.</w:t>
      </w:r>
    </w:p>
    <w:p w14:paraId="35AEF2AB" w14:textId="572AE394" w:rsidR="004D5103" w:rsidRDefault="004D5103" w:rsidP="00685B66">
      <w:pPr>
        <w:pStyle w:val="PanelHeading"/>
      </w:pPr>
      <w:r>
        <w:t>Pensions</w:t>
      </w:r>
    </w:p>
    <w:p w14:paraId="66ABF11C" w14:textId="77777777" w:rsidR="004D5103" w:rsidRPr="004D5103" w:rsidRDefault="004D5103" w:rsidP="004D5103">
      <w:pPr>
        <w:pStyle w:val="PanelPara"/>
      </w:pPr>
      <w:r w:rsidRPr="00C40200">
        <w:t xml:space="preserve">The Government introduced reforms to public service pensions in 2015 which resulted in most public sector workers being moved into new pension schemes.  In December 2018, the Court of Appeal ruled that the ‘transitional protection’ offered to some members gave rise to unlawful discrimination on the basis of age. </w:t>
      </w:r>
      <w:r>
        <w:t xml:space="preserve"> </w:t>
      </w:r>
      <w:r w:rsidRPr="00C40200">
        <w:t>In July 2019, the Chief Secretary to the Treasury made a written ministerial statement confirming that as ‘transitional protection’ was offered to members of all the main public service pension schemes, the difference in treatment will need to be removed across all those schemes for members with relevant service.</w:t>
      </w:r>
    </w:p>
    <w:p w14:paraId="57F3573B" w14:textId="26747D16" w:rsidR="004D5103" w:rsidRPr="00DA742D" w:rsidRDefault="004D5103" w:rsidP="00DA742D">
      <w:pPr>
        <w:pStyle w:val="PanelPara"/>
      </w:pPr>
      <w:r w:rsidRPr="00DA742D">
        <w:t>As expected, the on-going cost of higher pension benefits has resulted in an increase to employer contribution rates following the scheme actuarial valuation</w:t>
      </w:r>
      <w:r w:rsidR="00DA742D">
        <w:t xml:space="preserve"> for </w:t>
      </w:r>
      <w:r w:rsidR="00DA742D" w:rsidRPr="00DA742D">
        <w:t>2024/25</w:t>
      </w:r>
      <w:r w:rsidRPr="00DA742D">
        <w:t>.  The contribution rate will increase from 31.8% to 36.2% resulting in a</w:t>
      </w:r>
      <w:r w:rsidR="00DA742D" w:rsidRPr="00DA742D">
        <w:t>n</w:t>
      </w:r>
      <w:r w:rsidRPr="00DA742D">
        <w:t xml:space="preserve"> additional budget </w:t>
      </w:r>
      <w:r w:rsidRPr="00DA742D">
        <w:lastRenderedPageBreak/>
        <w:t xml:space="preserve">requirement of </w:t>
      </w:r>
      <w:r w:rsidR="00DA742D">
        <w:t xml:space="preserve">around </w:t>
      </w:r>
      <w:r w:rsidRPr="00DA742D">
        <w:t>£2.5m.</w:t>
      </w:r>
      <w:r w:rsidR="00DA742D">
        <w:t xml:space="preserve">  The impact on police staff pensions had already been taken </w:t>
      </w:r>
      <w:r w:rsidR="00DA742D" w:rsidRPr="00DA742D">
        <w:t>into account.</w:t>
      </w:r>
    </w:p>
    <w:p w14:paraId="798F4B2D" w14:textId="4105F144" w:rsidR="00DA742D" w:rsidRDefault="004D5103" w:rsidP="00DD0250">
      <w:pPr>
        <w:pStyle w:val="PanelPara"/>
      </w:pPr>
      <w:r w:rsidRPr="00DA742D">
        <w:t>As promised by the Minister previously, the provisional settlement includes a</w:t>
      </w:r>
      <w:r w:rsidR="00DA742D" w:rsidRPr="00DA742D">
        <w:t>dditional</w:t>
      </w:r>
      <w:r w:rsidRPr="00DA742D">
        <w:t xml:space="preserve"> pension grant intended to cover the cost of this increase.  It </w:t>
      </w:r>
      <w:r w:rsidR="00DA742D" w:rsidRPr="00DA742D">
        <w:t>also includes a one-off amount to help pay for administration and systems costs that are being incurred to implement the pension remedy.</w:t>
      </w:r>
    </w:p>
    <w:p w14:paraId="38130A5E" w14:textId="1D9F0BAA" w:rsidR="00142CB4" w:rsidRDefault="00142CB4" w:rsidP="00685B66">
      <w:pPr>
        <w:pStyle w:val="PanelHeading"/>
      </w:pPr>
      <w:r w:rsidRPr="00762DC0">
        <w:t>Council Taxbase and Council Tax Precept Income</w:t>
      </w:r>
    </w:p>
    <w:p w14:paraId="7029D70C" w14:textId="77A31195" w:rsidR="00762DC0" w:rsidRPr="00800DD8" w:rsidRDefault="00762DC0" w:rsidP="001722C3">
      <w:pPr>
        <w:pStyle w:val="PanelPara"/>
      </w:pPr>
      <w:r w:rsidRPr="00800DD8">
        <w:t xml:space="preserve">The Council Tax and the level of precept is a fundamental part of the local government finance settlement. </w:t>
      </w:r>
    </w:p>
    <w:p w14:paraId="7ACD659E" w14:textId="54D5C808" w:rsidR="00762DC0" w:rsidRPr="00800DD8" w:rsidRDefault="00762DC0" w:rsidP="001722C3">
      <w:pPr>
        <w:pStyle w:val="PanelPara"/>
        <w:rPr>
          <w:lang w:eastAsia="en-GB"/>
        </w:rPr>
      </w:pPr>
      <w:r w:rsidRPr="00800DD8">
        <w:rPr>
          <w:lang w:eastAsia="en-GB"/>
        </w:rPr>
        <w:t xml:space="preserve">Income generated from the precept depends on both the level of the Band D precept and the taxbase – the latter being the </w:t>
      </w:r>
      <w:r w:rsidR="00685B66">
        <w:rPr>
          <w:lang w:eastAsia="en-GB"/>
        </w:rPr>
        <w:t xml:space="preserve">average </w:t>
      </w:r>
      <w:r w:rsidRPr="00800DD8">
        <w:rPr>
          <w:lang w:eastAsia="en-GB"/>
        </w:rPr>
        <w:t xml:space="preserve">number of properties required to pay Council Tax. </w:t>
      </w:r>
    </w:p>
    <w:p w14:paraId="514DBF09" w14:textId="11726720" w:rsidR="00762DC0" w:rsidRPr="00800DD8" w:rsidRDefault="00762DC0" w:rsidP="001722C3">
      <w:pPr>
        <w:pStyle w:val="PanelPara"/>
        <w:rPr>
          <w:lang w:eastAsia="en-GB"/>
        </w:rPr>
      </w:pPr>
      <w:r w:rsidRPr="00800DD8">
        <w:rPr>
          <w:lang w:eastAsia="en-GB"/>
        </w:rPr>
        <w:t xml:space="preserve">In </w:t>
      </w:r>
      <w:r>
        <w:rPr>
          <w:lang w:eastAsia="en-GB"/>
        </w:rPr>
        <w:t>Policing</w:t>
      </w:r>
      <w:r w:rsidRPr="00800DD8">
        <w:rPr>
          <w:lang w:eastAsia="en-GB"/>
        </w:rPr>
        <w:t xml:space="preserve">, the precept </w:t>
      </w:r>
      <w:r>
        <w:rPr>
          <w:lang w:eastAsia="en-GB"/>
        </w:rPr>
        <w:t xml:space="preserve">and the surplus on the collection fund </w:t>
      </w:r>
      <w:r w:rsidRPr="00800DD8">
        <w:rPr>
          <w:lang w:eastAsia="en-GB"/>
        </w:rPr>
        <w:t xml:space="preserve">accounts for </w:t>
      </w:r>
      <w:r>
        <w:rPr>
          <w:lang w:eastAsia="en-GB"/>
        </w:rPr>
        <w:t>around</w:t>
      </w:r>
      <w:r w:rsidRPr="00800DD8">
        <w:rPr>
          <w:lang w:eastAsia="en-GB"/>
        </w:rPr>
        <w:t xml:space="preserve"> </w:t>
      </w:r>
      <w:r>
        <w:rPr>
          <w:lang w:eastAsia="en-GB"/>
        </w:rPr>
        <w:t>4</w:t>
      </w:r>
      <w:r w:rsidR="00DD0250">
        <w:rPr>
          <w:lang w:eastAsia="en-GB"/>
        </w:rPr>
        <w:t>4</w:t>
      </w:r>
      <w:r w:rsidRPr="00800DD8">
        <w:rPr>
          <w:lang w:eastAsia="en-GB"/>
        </w:rPr>
        <w:t xml:space="preserve">% of funding, therefore any variations can have a significant impact. </w:t>
      </w:r>
    </w:p>
    <w:p w14:paraId="49E78A2D" w14:textId="4D127AF9" w:rsidR="00762DC0" w:rsidRPr="00800DD8" w:rsidRDefault="00762DC0" w:rsidP="001722C3">
      <w:pPr>
        <w:pStyle w:val="PanelPara"/>
        <w:rPr>
          <w:lang w:eastAsia="en-GB"/>
        </w:rPr>
      </w:pPr>
      <w:r w:rsidRPr="00800DD8">
        <w:rPr>
          <w:lang w:eastAsia="en-GB"/>
        </w:rPr>
        <w:t>The North and West Unitary Councils have advised the PFCC of their proposed taxbases for 202</w:t>
      </w:r>
      <w:r w:rsidR="004E111D">
        <w:rPr>
          <w:lang w:eastAsia="en-GB"/>
        </w:rPr>
        <w:t>4</w:t>
      </w:r>
      <w:r w:rsidRPr="00800DD8">
        <w:rPr>
          <w:lang w:eastAsia="en-GB"/>
        </w:rPr>
        <w:t>/2</w:t>
      </w:r>
      <w:r w:rsidR="004E111D">
        <w:rPr>
          <w:lang w:eastAsia="en-GB"/>
        </w:rPr>
        <w:t>5</w:t>
      </w:r>
      <w:r w:rsidRPr="00800DD8">
        <w:rPr>
          <w:lang w:eastAsia="en-GB"/>
        </w:rPr>
        <w:t xml:space="preserve">. </w:t>
      </w:r>
    </w:p>
    <w:p w14:paraId="6B341415" w14:textId="69A6403B" w:rsidR="00762DC0" w:rsidRPr="004E111D" w:rsidRDefault="00762DC0" w:rsidP="004E111D">
      <w:pPr>
        <w:pStyle w:val="PanelPara"/>
        <w:rPr>
          <w:lang w:eastAsia="en-GB"/>
        </w:rPr>
      </w:pPr>
      <w:r w:rsidRPr="001F0F83">
        <w:rPr>
          <w:lang w:eastAsia="en-GB"/>
        </w:rPr>
        <w:t>A comparison of the 202</w:t>
      </w:r>
      <w:r w:rsidR="004E111D">
        <w:rPr>
          <w:lang w:eastAsia="en-GB"/>
        </w:rPr>
        <w:t>3</w:t>
      </w:r>
      <w:r w:rsidRPr="001F0F83">
        <w:rPr>
          <w:lang w:eastAsia="en-GB"/>
        </w:rPr>
        <w:t>/2</w:t>
      </w:r>
      <w:r w:rsidR="004E111D">
        <w:rPr>
          <w:lang w:eastAsia="en-GB"/>
        </w:rPr>
        <w:t>4</w:t>
      </w:r>
      <w:r w:rsidRPr="001F0F83">
        <w:rPr>
          <w:lang w:eastAsia="en-GB"/>
        </w:rPr>
        <w:t xml:space="preserve"> and 202</w:t>
      </w:r>
      <w:r w:rsidR="004E111D">
        <w:rPr>
          <w:lang w:eastAsia="en-GB"/>
        </w:rPr>
        <w:t>4</w:t>
      </w:r>
      <w:r w:rsidRPr="001F0F83">
        <w:rPr>
          <w:lang w:eastAsia="en-GB"/>
        </w:rPr>
        <w:t>/2</w:t>
      </w:r>
      <w:r w:rsidR="004E111D">
        <w:rPr>
          <w:lang w:eastAsia="en-GB"/>
        </w:rPr>
        <w:t>5</w:t>
      </w:r>
      <w:r w:rsidRPr="001F0F83">
        <w:rPr>
          <w:lang w:eastAsia="en-GB"/>
        </w:rPr>
        <w:t xml:space="preserve"> figures reflects an average </w:t>
      </w:r>
      <w:r w:rsidR="004E111D">
        <w:rPr>
          <w:lang w:eastAsia="en-GB"/>
        </w:rPr>
        <w:t>0.85</w:t>
      </w:r>
      <w:r w:rsidRPr="001F0F83">
        <w:rPr>
          <w:lang w:eastAsia="en-GB"/>
        </w:rPr>
        <w:t xml:space="preserve">% taxbase increase </w:t>
      </w:r>
      <w:r>
        <w:rPr>
          <w:lang w:eastAsia="en-GB"/>
        </w:rPr>
        <w:t>(compared to 1.</w:t>
      </w:r>
      <w:r w:rsidR="004E111D">
        <w:rPr>
          <w:lang w:eastAsia="en-GB"/>
        </w:rPr>
        <w:t>46</w:t>
      </w:r>
      <w:r>
        <w:rPr>
          <w:lang w:eastAsia="en-GB"/>
        </w:rPr>
        <w:t>% in 202</w:t>
      </w:r>
      <w:r w:rsidR="004E111D">
        <w:rPr>
          <w:lang w:eastAsia="en-GB"/>
        </w:rPr>
        <w:t>3</w:t>
      </w:r>
      <w:r>
        <w:rPr>
          <w:lang w:eastAsia="en-GB"/>
        </w:rPr>
        <w:t>/2</w:t>
      </w:r>
      <w:r w:rsidR="004E111D">
        <w:rPr>
          <w:lang w:eastAsia="en-GB"/>
        </w:rPr>
        <w:t>4</w:t>
      </w:r>
      <w:r>
        <w:rPr>
          <w:lang w:eastAsia="en-GB"/>
        </w:rPr>
        <w:t xml:space="preserve">) </w:t>
      </w:r>
      <w:r w:rsidRPr="001F0F83">
        <w:rPr>
          <w:lang w:eastAsia="en-GB"/>
        </w:rPr>
        <w:t>as follows:</w:t>
      </w:r>
    </w:p>
    <w:tbl>
      <w:tblPr>
        <w:tblW w:w="7440" w:type="dxa"/>
        <w:tblInd w:w="562" w:type="dxa"/>
        <w:tblLook w:val="04A0" w:firstRow="1" w:lastRow="0" w:firstColumn="1" w:lastColumn="0" w:noHBand="0" w:noVBand="1"/>
      </w:tblPr>
      <w:tblGrid>
        <w:gridCol w:w="1600"/>
        <w:gridCol w:w="1460"/>
        <w:gridCol w:w="1460"/>
        <w:gridCol w:w="1460"/>
        <w:gridCol w:w="1460"/>
      </w:tblGrid>
      <w:tr w:rsidR="004E111D" w:rsidRPr="004E111D" w14:paraId="34FFA0C9" w14:textId="77777777" w:rsidTr="004E111D">
        <w:trPr>
          <w:trHeight w:val="630"/>
        </w:trPr>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2C21EF" w14:textId="77777777" w:rsidR="004E111D" w:rsidRPr="004E111D" w:rsidRDefault="004E111D" w:rsidP="004E111D">
            <w:pPr>
              <w:spacing w:after="0" w:line="240" w:lineRule="auto"/>
              <w:rPr>
                <w:rFonts w:eastAsia="Times New Roman" w:cs="Calibri"/>
                <w:b/>
                <w:bCs/>
                <w:color w:val="000000"/>
                <w:sz w:val="24"/>
                <w:szCs w:val="24"/>
                <w:lang w:eastAsia="en-GB"/>
              </w:rPr>
            </w:pPr>
            <w:r w:rsidRPr="004E111D">
              <w:rPr>
                <w:rFonts w:eastAsia="Times New Roman" w:cs="Calibri"/>
                <w:b/>
                <w:bCs/>
                <w:color w:val="000000"/>
                <w:sz w:val="24"/>
                <w:szCs w:val="24"/>
                <w:lang w:eastAsia="en-GB"/>
              </w:rPr>
              <w:t>Authority</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7C1E7768" w14:textId="77777777" w:rsidR="004E111D" w:rsidRPr="004E111D" w:rsidRDefault="004E111D" w:rsidP="004E111D">
            <w:pPr>
              <w:spacing w:after="0" w:line="240" w:lineRule="auto"/>
              <w:jc w:val="center"/>
              <w:rPr>
                <w:rFonts w:eastAsia="Times New Roman" w:cs="Calibri"/>
                <w:b/>
                <w:bCs/>
                <w:color w:val="000000"/>
                <w:sz w:val="24"/>
                <w:szCs w:val="24"/>
                <w:lang w:eastAsia="en-GB"/>
              </w:rPr>
            </w:pPr>
            <w:r w:rsidRPr="004E111D">
              <w:rPr>
                <w:rFonts w:eastAsia="Times New Roman" w:cs="Calibri"/>
                <w:b/>
                <w:bCs/>
                <w:color w:val="000000"/>
                <w:sz w:val="24"/>
                <w:szCs w:val="24"/>
                <w:lang w:eastAsia="en-GB"/>
              </w:rPr>
              <w:t>2023/24</w:t>
            </w:r>
            <w:r w:rsidRPr="004E111D">
              <w:rPr>
                <w:rFonts w:eastAsia="Times New Roman" w:cs="Calibri"/>
                <w:b/>
                <w:bCs/>
                <w:color w:val="000000"/>
                <w:sz w:val="24"/>
                <w:szCs w:val="24"/>
                <w:lang w:eastAsia="en-GB"/>
              </w:rPr>
              <w:br/>
              <w:t>(number)</w:t>
            </w:r>
          </w:p>
        </w:tc>
        <w:tc>
          <w:tcPr>
            <w:tcW w:w="1460" w:type="dxa"/>
            <w:tcBorders>
              <w:top w:val="single" w:sz="4" w:space="0" w:color="auto"/>
              <w:left w:val="nil"/>
              <w:bottom w:val="single" w:sz="4" w:space="0" w:color="auto"/>
              <w:right w:val="single" w:sz="4" w:space="0" w:color="auto"/>
            </w:tcBorders>
            <w:shd w:val="clear" w:color="000000" w:fill="DDEBF7"/>
            <w:vAlign w:val="center"/>
            <w:hideMark/>
          </w:tcPr>
          <w:p w14:paraId="37D7C9B7" w14:textId="77777777" w:rsidR="004E111D" w:rsidRPr="004E111D" w:rsidRDefault="004E111D" w:rsidP="004E111D">
            <w:pPr>
              <w:spacing w:after="0" w:line="240" w:lineRule="auto"/>
              <w:jc w:val="center"/>
              <w:rPr>
                <w:rFonts w:eastAsia="Times New Roman" w:cs="Calibri"/>
                <w:b/>
                <w:bCs/>
                <w:color w:val="000000"/>
                <w:sz w:val="24"/>
                <w:szCs w:val="24"/>
                <w:lang w:eastAsia="en-GB"/>
              </w:rPr>
            </w:pPr>
            <w:r w:rsidRPr="004E111D">
              <w:rPr>
                <w:rFonts w:eastAsia="Times New Roman" w:cs="Calibri"/>
                <w:b/>
                <w:bCs/>
                <w:color w:val="000000"/>
                <w:sz w:val="24"/>
                <w:szCs w:val="24"/>
                <w:lang w:eastAsia="en-GB"/>
              </w:rPr>
              <w:t>2024/25</w:t>
            </w:r>
            <w:r w:rsidRPr="004E111D">
              <w:rPr>
                <w:rFonts w:eastAsia="Times New Roman" w:cs="Calibri"/>
                <w:b/>
                <w:bCs/>
                <w:color w:val="000000"/>
                <w:sz w:val="24"/>
                <w:szCs w:val="24"/>
                <w:lang w:eastAsia="en-GB"/>
              </w:rPr>
              <w:br/>
              <w:t>(number)</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6C6251E9" w14:textId="77777777" w:rsidR="004E111D" w:rsidRPr="004E111D" w:rsidRDefault="004E111D" w:rsidP="004E111D">
            <w:pPr>
              <w:spacing w:after="0" w:line="240" w:lineRule="auto"/>
              <w:jc w:val="center"/>
              <w:rPr>
                <w:rFonts w:eastAsia="Times New Roman" w:cs="Calibri"/>
                <w:b/>
                <w:bCs/>
                <w:color w:val="000000"/>
                <w:sz w:val="24"/>
                <w:szCs w:val="24"/>
                <w:lang w:eastAsia="en-GB"/>
              </w:rPr>
            </w:pPr>
            <w:r w:rsidRPr="004E111D">
              <w:rPr>
                <w:rFonts w:eastAsia="Times New Roman" w:cs="Calibri"/>
                <w:b/>
                <w:bCs/>
                <w:color w:val="000000"/>
                <w:sz w:val="24"/>
                <w:szCs w:val="24"/>
                <w:lang w:eastAsia="en-GB"/>
              </w:rPr>
              <w:t>Increase</w:t>
            </w:r>
            <w:r w:rsidRPr="004E111D">
              <w:rPr>
                <w:rFonts w:eastAsia="Times New Roman" w:cs="Calibri"/>
                <w:b/>
                <w:bCs/>
                <w:color w:val="000000"/>
                <w:sz w:val="24"/>
                <w:szCs w:val="24"/>
                <w:lang w:eastAsia="en-GB"/>
              </w:rPr>
              <w:br/>
              <w:t>(number)</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12ED4F15" w14:textId="77777777" w:rsidR="004E111D" w:rsidRPr="004E111D" w:rsidRDefault="004E111D" w:rsidP="004E111D">
            <w:pPr>
              <w:spacing w:after="0" w:line="240" w:lineRule="auto"/>
              <w:jc w:val="center"/>
              <w:rPr>
                <w:rFonts w:eastAsia="Times New Roman" w:cs="Calibri"/>
                <w:b/>
                <w:bCs/>
                <w:color w:val="000000"/>
                <w:sz w:val="24"/>
                <w:szCs w:val="24"/>
                <w:lang w:eastAsia="en-GB"/>
              </w:rPr>
            </w:pPr>
            <w:r w:rsidRPr="004E111D">
              <w:rPr>
                <w:rFonts w:eastAsia="Times New Roman" w:cs="Calibri"/>
                <w:b/>
                <w:bCs/>
                <w:color w:val="000000"/>
                <w:sz w:val="24"/>
                <w:szCs w:val="24"/>
                <w:lang w:eastAsia="en-GB"/>
              </w:rPr>
              <w:t>Increase</w:t>
            </w:r>
            <w:r w:rsidRPr="004E111D">
              <w:rPr>
                <w:rFonts w:eastAsia="Times New Roman" w:cs="Calibri"/>
                <w:b/>
                <w:bCs/>
                <w:color w:val="000000"/>
                <w:sz w:val="24"/>
                <w:szCs w:val="24"/>
                <w:lang w:eastAsia="en-GB"/>
              </w:rPr>
              <w:br/>
              <w:t>%</w:t>
            </w:r>
          </w:p>
        </w:tc>
      </w:tr>
      <w:tr w:rsidR="004E111D" w:rsidRPr="004E111D" w14:paraId="7B03D1A9" w14:textId="77777777" w:rsidTr="004E111D">
        <w:trPr>
          <w:trHeight w:val="315"/>
        </w:trPr>
        <w:tc>
          <w:tcPr>
            <w:tcW w:w="1600" w:type="dxa"/>
            <w:tcBorders>
              <w:top w:val="nil"/>
              <w:left w:val="single" w:sz="4" w:space="0" w:color="auto"/>
              <w:bottom w:val="nil"/>
              <w:right w:val="single" w:sz="4" w:space="0" w:color="auto"/>
            </w:tcBorders>
            <w:shd w:val="clear" w:color="000000" w:fill="FFFFFF"/>
            <w:noWrap/>
            <w:vAlign w:val="bottom"/>
            <w:hideMark/>
          </w:tcPr>
          <w:p w14:paraId="4DC815C9" w14:textId="77777777" w:rsidR="004E111D" w:rsidRPr="004E111D" w:rsidRDefault="004E111D" w:rsidP="004E111D">
            <w:pPr>
              <w:spacing w:after="0" w:line="240" w:lineRule="auto"/>
              <w:rPr>
                <w:rFonts w:eastAsia="Times New Roman" w:cs="Calibri"/>
                <w:color w:val="000000"/>
                <w:sz w:val="24"/>
                <w:szCs w:val="24"/>
                <w:lang w:eastAsia="en-GB"/>
              </w:rPr>
            </w:pPr>
            <w:r w:rsidRPr="004E111D">
              <w:rPr>
                <w:rFonts w:eastAsia="Times New Roman" w:cs="Calibri"/>
                <w:color w:val="000000"/>
                <w:sz w:val="24"/>
                <w:szCs w:val="24"/>
                <w:lang w:eastAsia="en-GB"/>
              </w:rPr>
              <w:t>North</w:t>
            </w:r>
          </w:p>
        </w:tc>
        <w:tc>
          <w:tcPr>
            <w:tcW w:w="1460" w:type="dxa"/>
            <w:tcBorders>
              <w:top w:val="nil"/>
              <w:left w:val="nil"/>
              <w:bottom w:val="nil"/>
              <w:right w:val="single" w:sz="4" w:space="0" w:color="auto"/>
            </w:tcBorders>
            <w:shd w:val="clear" w:color="000000" w:fill="FFFFFF"/>
            <w:noWrap/>
            <w:vAlign w:val="bottom"/>
            <w:hideMark/>
          </w:tcPr>
          <w:p w14:paraId="0FF8A6E6" w14:textId="77777777" w:rsidR="004E111D" w:rsidRPr="004E111D" w:rsidRDefault="004E111D" w:rsidP="004E111D">
            <w:pPr>
              <w:spacing w:after="0" w:line="240" w:lineRule="auto"/>
              <w:jc w:val="right"/>
              <w:rPr>
                <w:rFonts w:eastAsia="Times New Roman" w:cs="Calibri"/>
                <w:color w:val="000000"/>
                <w:sz w:val="24"/>
                <w:szCs w:val="24"/>
                <w:lang w:eastAsia="en-GB"/>
              </w:rPr>
            </w:pPr>
            <w:r w:rsidRPr="004E111D">
              <w:rPr>
                <w:rFonts w:eastAsia="Times New Roman" w:cs="Calibri"/>
                <w:color w:val="000000"/>
                <w:sz w:val="24"/>
                <w:szCs w:val="24"/>
                <w:lang w:eastAsia="en-GB"/>
              </w:rPr>
              <w:t>114,279.00</w:t>
            </w:r>
          </w:p>
        </w:tc>
        <w:tc>
          <w:tcPr>
            <w:tcW w:w="1460" w:type="dxa"/>
            <w:tcBorders>
              <w:top w:val="nil"/>
              <w:left w:val="nil"/>
              <w:bottom w:val="nil"/>
              <w:right w:val="single" w:sz="4" w:space="0" w:color="auto"/>
            </w:tcBorders>
            <w:shd w:val="clear" w:color="000000" w:fill="DDEBF7"/>
            <w:noWrap/>
            <w:vAlign w:val="bottom"/>
            <w:hideMark/>
          </w:tcPr>
          <w:p w14:paraId="51278817" w14:textId="77777777" w:rsidR="004E111D" w:rsidRPr="004E111D" w:rsidRDefault="004E111D" w:rsidP="004E111D">
            <w:pPr>
              <w:spacing w:after="0" w:line="240" w:lineRule="auto"/>
              <w:jc w:val="right"/>
              <w:rPr>
                <w:rFonts w:eastAsia="Times New Roman" w:cs="Calibri"/>
                <w:color w:val="000000"/>
                <w:sz w:val="24"/>
                <w:szCs w:val="24"/>
                <w:lang w:eastAsia="en-GB"/>
              </w:rPr>
            </w:pPr>
            <w:r w:rsidRPr="004E111D">
              <w:rPr>
                <w:rFonts w:eastAsia="Times New Roman" w:cs="Calibri"/>
                <w:color w:val="000000"/>
                <w:sz w:val="24"/>
                <w:szCs w:val="24"/>
                <w:lang w:eastAsia="en-GB"/>
              </w:rPr>
              <w:t>115,847.00</w:t>
            </w:r>
          </w:p>
        </w:tc>
        <w:tc>
          <w:tcPr>
            <w:tcW w:w="1460" w:type="dxa"/>
            <w:tcBorders>
              <w:top w:val="nil"/>
              <w:left w:val="nil"/>
              <w:bottom w:val="nil"/>
              <w:right w:val="single" w:sz="4" w:space="0" w:color="auto"/>
            </w:tcBorders>
            <w:shd w:val="clear" w:color="000000" w:fill="FFFFFF"/>
            <w:noWrap/>
            <w:vAlign w:val="bottom"/>
            <w:hideMark/>
          </w:tcPr>
          <w:p w14:paraId="749CBF95" w14:textId="77777777" w:rsidR="004E111D" w:rsidRPr="004E111D" w:rsidRDefault="004E111D" w:rsidP="004E111D">
            <w:pPr>
              <w:spacing w:after="0" w:line="240" w:lineRule="auto"/>
              <w:jc w:val="right"/>
              <w:rPr>
                <w:rFonts w:eastAsia="Times New Roman" w:cs="Calibri"/>
                <w:color w:val="000000"/>
                <w:sz w:val="24"/>
                <w:szCs w:val="24"/>
                <w:lang w:eastAsia="en-GB"/>
              </w:rPr>
            </w:pPr>
            <w:r w:rsidRPr="004E111D">
              <w:rPr>
                <w:rFonts w:eastAsia="Times New Roman" w:cs="Calibri"/>
                <w:color w:val="000000"/>
                <w:sz w:val="24"/>
                <w:szCs w:val="24"/>
                <w:lang w:eastAsia="en-GB"/>
              </w:rPr>
              <w:t>1,568.00</w:t>
            </w:r>
          </w:p>
        </w:tc>
        <w:tc>
          <w:tcPr>
            <w:tcW w:w="1460" w:type="dxa"/>
            <w:tcBorders>
              <w:top w:val="nil"/>
              <w:left w:val="nil"/>
              <w:bottom w:val="nil"/>
              <w:right w:val="single" w:sz="4" w:space="0" w:color="auto"/>
            </w:tcBorders>
            <w:shd w:val="clear" w:color="000000" w:fill="FFFFFF"/>
            <w:noWrap/>
            <w:vAlign w:val="bottom"/>
            <w:hideMark/>
          </w:tcPr>
          <w:p w14:paraId="3C6EA02E" w14:textId="77777777" w:rsidR="004E111D" w:rsidRPr="004E111D" w:rsidRDefault="004E111D" w:rsidP="004E111D">
            <w:pPr>
              <w:spacing w:after="0" w:line="240" w:lineRule="auto"/>
              <w:jc w:val="right"/>
              <w:rPr>
                <w:rFonts w:eastAsia="Times New Roman" w:cs="Calibri"/>
                <w:color w:val="000000"/>
                <w:sz w:val="24"/>
                <w:szCs w:val="24"/>
                <w:lang w:eastAsia="en-GB"/>
              </w:rPr>
            </w:pPr>
            <w:r w:rsidRPr="004E111D">
              <w:rPr>
                <w:rFonts w:eastAsia="Times New Roman" w:cs="Calibri"/>
                <w:color w:val="000000"/>
                <w:sz w:val="24"/>
                <w:szCs w:val="24"/>
                <w:lang w:eastAsia="en-GB"/>
              </w:rPr>
              <w:t>1.37%</w:t>
            </w:r>
          </w:p>
        </w:tc>
      </w:tr>
      <w:tr w:rsidR="004E111D" w:rsidRPr="004E111D" w14:paraId="0724BBF9" w14:textId="77777777" w:rsidTr="004E111D">
        <w:trPr>
          <w:trHeight w:val="315"/>
        </w:trPr>
        <w:tc>
          <w:tcPr>
            <w:tcW w:w="1600" w:type="dxa"/>
            <w:tcBorders>
              <w:top w:val="nil"/>
              <w:left w:val="single" w:sz="4" w:space="0" w:color="auto"/>
              <w:bottom w:val="nil"/>
              <w:right w:val="single" w:sz="4" w:space="0" w:color="auto"/>
            </w:tcBorders>
            <w:shd w:val="clear" w:color="000000" w:fill="FFFFFF"/>
            <w:noWrap/>
            <w:vAlign w:val="bottom"/>
            <w:hideMark/>
          </w:tcPr>
          <w:p w14:paraId="5C8F2F23" w14:textId="77777777" w:rsidR="004E111D" w:rsidRPr="004E111D" w:rsidRDefault="004E111D" w:rsidP="004E111D">
            <w:pPr>
              <w:spacing w:after="0" w:line="240" w:lineRule="auto"/>
              <w:rPr>
                <w:rFonts w:eastAsia="Times New Roman" w:cs="Calibri"/>
                <w:color w:val="000000"/>
                <w:sz w:val="24"/>
                <w:szCs w:val="24"/>
                <w:lang w:eastAsia="en-GB"/>
              </w:rPr>
            </w:pPr>
            <w:r w:rsidRPr="004E111D">
              <w:rPr>
                <w:rFonts w:eastAsia="Times New Roman" w:cs="Calibri"/>
                <w:color w:val="000000"/>
                <w:sz w:val="24"/>
                <w:szCs w:val="24"/>
                <w:lang w:eastAsia="en-GB"/>
              </w:rPr>
              <w:t>West</w:t>
            </w:r>
          </w:p>
        </w:tc>
        <w:tc>
          <w:tcPr>
            <w:tcW w:w="1460" w:type="dxa"/>
            <w:tcBorders>
              <w:top w:val="nil"/>
              <w:left w:val="nil"/>
              <w:bottom w:val="nil"/>
              <w:right w:val="single" w:sz="4" w:space="0" w:color="auto"/>
            </w:tcBorders>
            <w:shd w:val="clear" w:color="000000" w:fill="FFFFFF"/>
            <w:noWrap/>
            <w:vAlign w:val="bottom"/>
            <w:hideMark/>
          </w:tcPr>
          <w:p w14:paraId="7C103D89" w14:textId="77777777" w:rsidR="004E111D" w:rsidRPr="004E111D" w:rsidRDefault="004E111D" w:rsidP="004E111D">
            <w:pPr>
              <w:spacing w:after="0" w:line="240" w:lineRule="auto"/>
              <w:jc w:val="right"/>
              <w:rPr>
                <w:rFonts w:eastAsia="Times New Roman" w:cs="Calibri"/>
                <w:color w:val="000000"/>
                <w:sz w:val="24"/>
                <w:szCs w:val="24"/>
                <w:lang w:eastAsia="en-GB"/>
              </w:rPr>
            </w:pPr>
            <w:r w:rsidRPr="004E111D">
              <w:rPr>
                <w:rFonts w:eastAsia="Times New Roman" w:cs="Calibri"/>
                <w:color w:val="000000"/>
                <w:sz w:val="24"/>
                <w:szCs w:val="24"/>
                <w:lang w:eastAsia="en-GB"/>
              </w:rPr>
              <w:t>142,060.80</w:t>
            </w:r>
          </w:p>
        </w:tc>
        <w:tc>
          <w:tcPr>
            <w:tcW w:w="1460" w:type="dxa"/>
            <w:tcBorders>
              <w:top w:val="nil"/>
              <w:left w:val="nil"/>
              <w:bottom w:val="nil"/>
              <w:right w:val="single" w:sz="4" w:space="0" w:color="auto"/>
            </w:tcBorders>
            <w:shd w:val="clear" w:color="000000" w:fill="DDEBF7"/>
            <w:noWrap/>
            <w:vAlign w:val="bottom"/>
            <w:hideMark/>
          </w:tcPr>
          <w:p w14:paraId="16159939" w14:textId="77777777" w:rsidR="004E111D" w:rsidRPr="004E111D" w:rsidRDefault="004E111D" w:rsidP="004E111D">
            <w:pPr>
              <w:spacing w:after="0" w:line="240" w:lineRule="auto"/>
              <w:jc w:val="right"/>
              <w:rPr>
                <w:rFonts w:eastAsia="Times New Roman" w:cs="Calibri"/>
                <w:color w:val="000000"/>
                <w:sz w:val="24"/>
                <w:szCs w:val="24"/>
                <w:lang w:eastAsia="en-GB"/>
              </w:rPr>
            </w:pPr>
            <w:r w:rsidRPr="004E111D">
              <w:rPr>
                <w:rFonts w:eastAsia="Times New Roman" w:cs="Calibri"/>
                <w:color w:val="000000"/>
                <w:sz w:val="24"/>
                <w:szCs w:val="24"/>
                <w:lang w:eastAsia="en-GB"/>
              </w:rPr>
              <w:t>142,664.60</w:t>
            </w:r>
          </w:p>
        </w:tc>
        <w:tc>
          <w:tcPr>
            <w:tcW w:w="1460" w:type="dxa"/>
            <w:tcBorders>
              <w:top w:val="nil"/>
              <w:left w:val="nil"/>
              <w:bottom w:val="nil"/>
              <w:right w:val="single" w:sz="4" w:space="0" w:color="auto"/>
            </w:tcBorders>
            <w:shd w:val="clear" w:color="000000" w:fill="FFFFFF"/>
            <w:noWrap/>
            <w:vAlign w:val="bottom"/>
            <w:hideMark/>
          </w:tcPr>
          <w:p w14:paraId="55A3DB46" w14:textId="77777777" w:rsidR="004E111D" w:rsidRPr="004E111D" w:rsidRDefault="004E111D" w:rsidP="004E111D">
            <w:pPr>
              <w:spacing w:after="0" w:line="240" w:lineRule="auto"/>
              <w:jc w:val="right"/>
              <w:rPr>
                <w:rFonts w:eastAsia="Times New Roman" w:cs="Calibri"/>
                <w:color w:val="000000"/>
                <w:sz w:val="24"/>
                <w:szCs w:val="24"/>
                <w:lang w:eastAsia="en-GB"/>
              </w:rPr>
            </w:pPr>
            <w:r w:rsidRPr="004E111D">
              <w:rPr>
                <w:rFonts w:eastAsia="Times New Roman" w:cs="Calibri"/>
                <w:color w:val="000000"/>
                <w:sz w:val="24"/>
                <w:szCs w:val="24"/>
                <w:lang w:eastAsia="en-GB"/>
              </w:rPr>
              <w:t>603.80</w:t>
            </w:r>
          </w:p>
        </w:tc>
        <w:tc>
          <w:tcPr>
            <w:tcW w:w="1460" w:type="dxa"/>
            <w:tcBorders>
              <w:top w:val="nil"/>
              <w:left w:val="nil"/>
              <w:bottom w:val="nil"/>
              <w:right w:val="single" w:sz="4" w:space="0" w:color="auto"/>
            </w:tcBorders>
            <w:shd w:val="clear" w:color="000000" w:fill="FFFFFF"/>
            <w:noWrap/>
            <w:vAlign w:val="bottom"/>
            <w:hideMark/>
          </w:tcPr>
          <w:p w14:paraId="0A1FF5C8" w14:textId="77777777" w:rsidR="004E111D" w:rsidRPr="004E111D" w:rsidRDefault="004E111D" w:rsidP="004E111D">
            <w:pPr>
              <w:spacing w:after="0" w:line="240" w:lineRule="auto"/>
              <w:jc w:val="right"/>
              <w:rPr>
                <w:rFonts w:eastAsia="Times New Roman" w:cs="Calibri"/>
                <w:color w:val="000000"/>
                <w:sz w:val="24"/>
                <w:szCs w:val="24"/>
                <w:lang w:eastAsia="en-GB"/>
              </w:rPr>
            </w:pPr>
            <w:r w:rsidRPr="004E111D">
              <w:rPr>
                <w:rFonts w:eastAsia="Times New Roman" w:cs="Calibri"/>
                <w:color w:val="000000"/>
                <w:sz w:val="24"/>
                <w:szCs w:val="24"/>
                <w:lang w:eastAsia="en-GB"/>
              </w:rPr>
              <w:t>0.43%</w:t>
            </w:r>
          </w:p>
        </w:tc>
      </w:tr>
      <w:tr w:rsidR="004E111D" w:rsidRPr="004E111D" w14:paraId="67CD0F04" w14:textId="77777777" w:rsidTr="004E111D">
        <w:trPr>
          <w:trHeight w:val="315"/>
        </w:trPr>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4BE96B" w14:textId="77777777" w:rsidR="004E111D" w:rsidRPr="004E111D" w:rsidRDefault="004E111D" w:rsidP="004E111D">
            <w:pPr>
              <w:spacing w:after="0" w:line="240" w:lineRule="auto"/>
              <w:rPr>
                <w:rFonts w:eastAsia="Times New Roman" w:cs="Calibri"/>
                <w:b/>
                <w:bCs/>
                <w:color w:val="000000"/>
                <w:sz w:val="24"/>
                <w:szCs w:val="24"/>
                <w:lang w:eastAsia="en-GB"/>
              </w:rPr>
            </w:pPr>
            <w:r w:rsidRPr="004E111D">
              <w:rPr>
                <w:rFonts w:eastAsia="Times New Roman" w:cs="Calibri"/>
                <w:b/>
                <w:bCs/>
                <w:color w:val="000000"/>
                <w:sz w:val="24"/>
                <w:szCs w:val="24"/>
                <w:lang w:eastAsia="en-GB"/>
              </w:rPr>
              <w:t>TOTAL</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26467CEC" w14:textId="77777777" w:rsidR="004E111D" w:rsidRPr="004E111D" w:rsidRDefault="004E111D" w:rsidP="004E111D">
            <w:pPr>
              <w:spacing w:after="0" w:line="240" w:lineRule="auto"/>
              <w:jc w:val="right"/>
              <w:rPr>
                <w:rFonts w:eastAsia="Times New Roman" w:cs="Calibri"/>
                <w:b/>
                <w:bCs/>
                <w:color w:val="000000"/>
                <w:sz w:val="24"/>
                <w:szCs w:val="24"/>
                <w:lang w:eastAsia="en-GB"/>
              </w:rPr>
            </w:pPr>
            <w:r w:rsidRPr="004E111D">
              <w:rPr>
                <w:rFonts w:eastAsia="Times New Roman" w:cs="Calibri"/>
                <w:b/>
                <w:bCs/>
                <w:color w:val="000000"/>
                <w:sz w:val="24"/>
                <w:szCs w:val="24"/>
                <w:lang w:eastAsia="en-GB"/>
              </w:rPr>
              <w:t>256,339.80</w:t>
            </w:r>
          </w:p>
        </w:tc>
        <w:tc>
          <w:tcPr>
            <w:tcW w:w="1460" w:type="dxa"/>
            <w:tcBorders>
              <w:top w:val="single" w:sz="4" w:space="0" w:color="auto"/>
              <w:left w:val="nil"/>
              <w:bottom w:val="single" w:sz="4" w:space="0" w:color="auto"/>
              <w:right w:val="single" w:sz="4" w:space="0" w:color="auto"/>
            </w:tcBorders>
            <w:shd w:val="clear" w:color="000000" w:fill="DDEBF7"/>
            <w:noWrap/>
            <w:vAlign w:val="bottom"/>
            <w:hideMark/>
          </w:tcPr>
          <w:p w14:paraId="79333569" w14:textId="77777777" w:rsidR="004E111D" w:rsidRPr="004E111D" w:rsidRDefault="004E111D" w:rsidP="004E111D">
            <w:pPr>
              <w:spacing w:after="0" w:line="240" w:lineRule="auto"/>
              <w:jc w:val="right"/>
              <w:rPr>
                <w:rFonts w:eastAsia="Times New Roman" w:cs="Calibri"/>
                <w:b/>
                <w:bCs/>
                <w:color w:val="000000"/>
                <w:sz w:val="24"/>
                <w:szCs w:val="24"/>
                <w:lang w:eastAsia="en-GB"/>
              </w:rPr>
            </w:pPr>
            <w:r w:rsidRPr="004E111D">
              <w:rPr>
                <w:rFonts w:eastAsia="Times New Roman" w:cs="Calibri"/>
                <w:b/>
                <w:bCs/>
                <w:color w:val="000000"/>
                <w:sz w:val="24"/>
                <w:szCs w:val="24"/>
                <w:lang w:eastAsia="en-GB"/>
              </w:rPr>
              <w:t>258,511.60</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3C94E884" w14:textId="77777777" w:rsidR="004E111D" w:rsidRPr="004E111D" w:rsidRDefault="004E111D" w:rsidP="004E111D">
            <w:pPr>
              <w:spacing w:after="0" w:line="240" w:lineRule="auto"/>
              <w:jc w:val="right"/>
              <w:rPr>
                <w:rFonts w:eastAsia="Times New Roman" w:cs="Calibri"/>
                <w:b/>
                <w:bCs/>
                <w:color w:val="000000"/>
                <w:sz w:val="24"/>
                <w:szCs w:val="24"/>
                <w:lang w:eastAsia="en-GB"/>
              </w:rPr>
            </w:pPr>
            <w:r w:rsidRPr="004E111D">
              <w:rPr>
                <w:rFonts w:eastAsia="Times New Roman" w:cs="Calibri"/>
                <w:b/>
                <w:bCs/>
                <w:color w:val="000000"/>
                <w:sz w:val="24"/>
                <w:szCs w:val="24"/>
                <w:lang w:eastAsia="en-GB"/>
              </w:rPr>
              <w:t>2,171.80</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37A8F508" w14:textId="77777777" w:rsidR="004E111D" w:rsidRPr="004E111D" w:rsidRDefault="004E111D" w:rsidP="004E111D">
            <w:pPr>
              <w:spacing w:after="0" w:line="240" w:lineRule="auto"/>
              <w:jc w:val="right"/>
              <w:rPr>
                <w:rFonts w:eastAsia="Times New Roman" w:cs="Calibri"/>
                <w:b/>
                <w:bCs/>
                <w:color w:val="000000"/>
                <w:sz w:val="24"/>
                <w:szCs w:val="24"/>
                <w:lang w:eastAsia="en-GB"/>
              </w:rPr>
            </w:pPr>
            <w:r w:rsidRPr="004E111D">
              <w:rPr>
                <w:rFonts w:eastAsia="Times New Roman" w:cs="Calibri"/>
                <w:b/>
                <w:bCs/>
                <w:color w:val="000000"/>
                <w:sz w:val="24"/>
                <w:szCs w:val="24"/>
                <w:lang w:eastAsia="en-GB"/>
              </w:rPr>
              <w:t>0.85%</w:t>
            </w:r>
          </w:p>
        </w:tc>
      </w:tr>
    </w:tbl>
    <w:p w14:paraId="5C6FCD52" w14:textId="77777777" w:rsidR="00762DC0" w:rsidRDefault="00762DC0" w:rsidP="00762DC0">
      <w:pPr>
        <w:spacing w:after="0" w:line="240" w:lineRule="auto"/>
        <w:rPr>
          <w:rFonts w:asciiTheme="minorHAnsi" w:hAnsiTheme="minorHAnsi" w:cstheme="minorHAnsi"/>
          <w:sz w:val="24"/>
          <w:szCs w:val="24"/>
          <w:lang w:eastAsia="en-GB"/>
        </w:rPr>
      </w:pPr>
    </w:p>
    <w:p w14:paraId="48249E80" w14:textId="2D6DB9AC" w:rsidR="00762DC0" w:rsidRDefault="0075131D" w:rsidP="004E111D">
      <w:pPr>
        <w:pStyle w:val="PanelPara"/>
        <w:rPr>
          <w:lang w:eastAsia="en-GB"/>
        </w:rPr>
      </w:pPr>
      <w:r>
        <w:rPr>
          <w:lang w:eastAsia="en-GB"/>
        </w:rPr>
        <w:t>Whilst the increase is lower than seen in previous years</w:t>
      </w:r>
      <w:r w:rsidR="00762DC0" w:rsidRPr="001F0F83">
        <w:rPr>
          <w:lang w:eastAsia="en-GB"/>
        </w:rPr>
        <w:t xml:space="preserve">, </w:t>
      </w:r>
      <w:r>
        <w:rPr>
          <w:lang w:eastAsia="en-GB"/>
        </w:rPr>
        <w:t xml:space="preserve">it is still more </w:t>
      </w:r>
      <w:r w:rsidR="00762DC0" w:rsidRPr="001F0F83">
        <w:rPr>
          <w:lang w:eastAsia="en-GB"/>
        </w:rPr>
        <w:t>than th</w:t>
      </w:r>
      <w:r w:rsidR="006730C2">
        <w:rPr>
          <w:lang w:eastAsia="en-GB"/>
        </w:rPr>
        <w:t>at used</w:t>
      </w:r>
      <w:r w:rsidR="00762DC0" w:rsidRPr="001F0F83">
        <w:rPr>
          <w:lang w:eastAsia="en-GB"/>
        </w:rPr>
        <w:t xml:space="preserve"> by the Home Office </w:t>
      </w:r>
      <w:r w:rsidR="00762DC0">
        <w:rPr>
          <w:lang w:eastAsia="en-GB"/>
        </w:rPr>
        <w:t xml:space="preserve">of </w:t>
      </w:r>
      <w:r>
        <w:rPr>
          <w:lang w:eastAsia="en-GB"/>
        </w:rPr>
        <w:t>0.70</w:t>
      </w:r>
      <w:r w:rsidR="00762DC0">
        <w:rPr>
          <w:lang w:eastAsia="en-GB"/>
        </w:rPr>
        <w:t xml:space="preserve">% </w:t>
      </w:r>
      <w:r w:rsidR="00762DC0" w:rsidRPr="001F0F83">
        <w:rPr>
          <w:lang w:eastAsia="en-GB"/>
        </w:rPr>
        <w:t xml:space="preserve">for </w:t>
      </w:r>
      <w:r w:rsidR="00762DC0">
        <w:rPr>
          <w:lang w:eastAsia="en-GB"/>
        </w:rPr>
        <w:t xml:space="preserve">the </w:t>
      </w:r>
      <w:r w:rsidR="00762DC0" w:rsidRPr="001F0F83">
        <w:rPr>
          <w:lang w:eastAsia="en-GB"/>
        </w:rPr>
        <w:t>Policing</w:t>
      </w:r>
      <w:r w:rsidR="00762DC0">
        <w:rPr>
          <w:lang w:eastAsia="en-GB"/>
        </w:rPr>
        <w:t xml:space="preserve"> settlement</w:t>
      </w:r>
      <w:r w:rsidR="00762DC0" w:rsidRPr="001F0F83">
        <w:rPr>
          <w:lang w:eastAsia="en-GB"/>
        </w:rPr>
        <w:t xml:space="preserve">. </w:t>
      </w:r>
    </w:p>
    <w:p w14:paraId="254A68B8" w14:textId="5046FA4F" w:rsidR="00C432D6" w:rsidRPr="004E111D" w:rsidRDefault="000C4CE1" w:rsidP="001722C3">
      <w:pPr>
        <w:pStyle w:val="PanelPara"/>
        <w:rPr>
          <w:lang w:eastAsia="en-GB"/>
        </w:rPr>
      </w:pPr>
      <w:r>
        <w:rPr>
          <w:lang w:eastAsia="en-GB"/>
        </w:rPr>
        <w:t>T</w:t>
      </w:r>
      <w:r w:rsidR="00762DC0" w:rsidRPr="00F5755E">
        <w:rPr>
          <w:lang w:eastAsia="en-GB"/>
        </w:rPr>
        <w:t xml:space="preserve">he MTFP assumes average but prudent increases </w:t>
      </w:r>
      <w:r w:rsidR="00762DC0">
        <w:rPr>
          <w:lang w:eastAsia="en-GB"/>
        </w:rPr>
        <w:t xml:space="preserve">in the taxbase </w:t>
      </w:r>
      <w:r w:rsidR="00762DC0" w:rsidRPr="00F5755E">
        <w:rPr>
          <w:lang w:eastAsia="en-GB"/>
        </w:rPr>
        <w:t>and the S151 officers will continue to link in with West</w:t>
      </w:r>
      <w:r w:rsidR="00AE0643">
        <w:rPr>
          <w:lang w:eastAsia="en-GB"/>
        </w:rPr>
        <w:t xml:space="preserve"> Northamptonshire</w:t>
      </w:r>
      <w:r w:rsidR="00762DC0" w:rsidRPr="00F5755E">
        <w:rPr>
          <w:lang w:eastAsia="en-GB"/>
        </w:rPr>
        <w:t xml:space="preserve"> and North</w:t>
      </w:r>
      <w:r w:rsidR="00AE0643">
        <w:rPr>
          <w:lang w:eastAsia="en-GB"/>
        </w:rPr>
        <w:t xml:space="preserve"> Northamptonshire</w:t>
      </w:r>
      <w:r w:rsidR="00762DC0" w:rsidRPr="00F5755E">
        <w:rPr>
          <w:lang w:eastAsia="en-GB"/>
        </w:rPr>
        <w:t xml:space="preserve"> S151 colleagues to ensure </w:t>
      </w:r>
      <w:r w:rsidR="00762DC0">
        <w:rPr>
          <w:lang w:eastAsia="en-GB"/>
        </w:rPr>
        <w:t>future forecasts</w:t>
      </w:r>
      <w:r w:rsidR="00762DC0" w:rsidRPr="00F5755E">
        <w:rPr>
          <w:lang w:eastAsia="en-GB"/>
        </w:rPr>
        <w:t xml:space="preserve"> align. </w:t>
      </w:r>
    </w:p>
    <w:p w14:paraId="599491C4" w14:textId="5AC8C864" w:rsidR="00276BF4" w:rsidRDefault="00C432D6" w:rsidP="001722C3">
      <w:pPr>
        <w:pStyle w:val="PanelPara"/>
        <w:rPr>
          <w:lang w:eastAsia="en-GB"/>
        </w:rPr>
      </w:pPr>
      <w:r w:rsidRPr="00F5755E">
        <w:rPr>
          <w:lang w:eastAsia="en-GB"/>
        </w:rPr>
        <w:t>The total precept funding is a combination of the taxbase increase and the precept increase as follows:</w:t>
      </w:r>
    </w:p>
    <w:p w14:paraId="63BC958B" w14:textId="77777777" w:rsidR="00276BF4" w:rsidRDefault="00276BF4">
      <w:pPr>
        <w:spacing w:after="0" w:line="240" w:lineRule="auto"/>
        <w:rPr>
          <w:rFonts w:asciiTheme="minorHAnsi" w:hAnsiTheme="minorHAnsi" w:cstheme="minorHAnsi"/>
          <w:sz w:val="24"/>
          <w:szCs w:val="24"/>
          <w:lang w:eastAsia="en-GB"/>
        </w:rPr>
      </w:pPr>
      <w:r>
        <w:rPr>
          <w:lang w:eastAsia="en-GB"/>
        </w:rPr>
        <w:br w:type="page"/>
      </w:r>
    </w:p>
    <w:tbl>
      <w:tblPr>
        <w:tblW w:w="5640" w:type="dxa"/>
        <w:tblInd w:w="562" w:type="dxa"/>
        <w:tblLook w:val="04A0" w:firstRow="1" w:lastRow="0" w:firstColumn="1" w:lastColumn="0" w:noHBand="0" w:noVBand="1"/>
      </w:tblPr>
      <w:tblGrid>
        <w:gridCol w:w="1420"/>
        <w:gridCol w:w="2800"/>
        <w:gridCol w:w="1420"/>
      </w:tblGrid>
      <w:tr w:rsidR="00040DD9" w:rsidRPr="00040DD9" w14:paraId="39915498" w14:textId="77777777" w:rsidTr="00040DD9">
        <w:trPr>
          <w:trHeight w:val="630"/>
        </w:trPr>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EFA428" w14:textId="77777777" w:rsidR="00040DD9" w:rsidRPr="00040DD9" w:rsidRDefault="00040DD9" w:rsidP="00040DD9">
            <w:pPr>
              <w:spacing w:after="0" w:line="240" w:lineRule="auto"/>
              <w:jc w:val="center"/>
              <w:rPr>
                <w:rFonts w:eastAsia="Times New Roman" w:cs="Calibri"/>
                <w:b/>
                <w:bCs/>
                <w:color w:val="000000"/>
                <w:sz w:val="24"/>
                <w:szCs w:val="24"/>
                <w:lang w:eastAsia="en-GB"/>
              </w:rPr>
            </w:pPr>
            <w:r w:rsidRPr="00040DD9">
              <w:rPr>
                <w:rFonts w:eastAsia="Times New Roman" w:cs="Calibri"/>
                <w:b/>
                <w:bCs/>
                <w:color w:val="000000"/>
                <w:sz w:val="24"/>
                <w:szCs w:val="24"/>
                <w:lang w:eastAsia="en-GB"/>
              </w:rPr>
              <w:lastRenderedPageBreak/>
              <w:t>2023/24</w:t>
            </w:r>
            <w:r w:rsidRPr="00040DD9">
              <w:rPr>
                <w:rFonts w:eastAsia="Times New Roman" w:cs="Calibri"/>
                <w:b/>
                <w:bCs/>
                <w:color w:val="000000"/>
                <w:sz w:val="24"/>
                <w:szCs w:val="24"/>
                <w:lang w:eastAsia="en-GB"/>
              </w:rPr>
              <w:br/>
              <w:t>£</w:t>
            </w:r>
          </w:p>
        </w:tc>
        <w:tc>
          <w:tcPr>
            <w:tcW w:w="2800" w:type="dxa"/>
            <w:tcBorders>
              <w:top w:val="single" w:sz="4" w:space="0" w:color="auto"/>
              <w:left w:val="nil"/>
              <w:bottom w:val="single" w:sz="4" w:space="0" w:color="auto"/>
              <w:right w:val="single" w:sz="4" w:space="0" w:color="auto"/>
            </w:tcBorders>
            <w:shd w:val="clear" w:color="000000" w:fill="FFFFFF"/>
            <w:vAlign w:val="center"/>
            <w:hideMark/>
          </w:tcPr>
          <w:p w14:paraId="78793991" w14:textId="77777777" w:rsidR="00040DD9" w:rsidRPr="00040DD9" w:rsidRDefault="00040DD9" w:rsidP="00040DD9">
            <w:pPr>
              <w:spacing w:after="0" w:line="240" w:lineRule="auto"/>
              <w:jc w:val="center"/>
              <w:rPr>
                <w:rFonts w:eastAsia="Times New Roman" w:cs="Calibri"/>
                <w:b/>
                <w:bCs/>
                <w:color w:val="000000"/>
                <w:sz w:val="24"/>
                <w:szCs w:val="24"/>
                <w:lang w:eastAsia="en-GB"/>
              </w:rPr>
            </w:pPr>
            <w:r w:rsidRPr="00040DD9">
              <w:rPr>
                <w:rFonts w:eastAsia="Times New Roman" w:cs="Calibri"/>
                <w:b/>
                <w:bCs/>
                <w:color w:val="000000"/>
                <w:sz w:val="24"/>
                <w:szCs w:val="24"/>
                <w:lang w:eastAsia="en-GB"/>
              </w:rPr>
              <w:t> </w:t>
            </w:r>
          </w:p>
        </w:tc>
        <w:tc>
          <w:tcPr>
            <w:tcW w:w="1420" w:type="dxa"/>
            <w:tcBorders>
              <w:top w:val="single" w:sz="4" w:space="0" w:color="auto"/>
              <w:left w:val="nil"/>
              <w:bottom w:val="single" w:sz="4" w:space="0" w:color="auto"/>
              <w:right w:val="single" w:sz="4" w:space="0" w:color="auto"/>
            </w:tcBorders>
            <w:shd w:val="clear" w:color="000000" w:fill="DDEBF7"/>
            <w:vAlign w:val="center"/>
            <w:hideMark/>
          </w:tcPr>
          <w:p w14:paraId="5DA261DD" w14:textId="77777777" w:rsidR="00040DD9" w:rsidRPr="00040DD9" w:rsidRDefault="00040DD9" w:rsidP="00040DD9">
            <w:pPr>
              <w:spacing w:after="0" w:line="240" w:lineRule="auto"/>
              <w:jc w:val="center"/>
              <w:rPr>
                <w:rFonts w:eastAsia="Times New Roman" w:cs="Calibri"/>
                <w:b/>
                <w:bCs/>
                <w:color w:val="000000"/>
                <w:sz w:val="24"/>
                <w:szCs w:val="24"/>
                <w:lang w:eastAsia="en-GB"/>
              </w:rPr>
            </w:pPr>
            <w:r w:rsidRPr="00040DD9">
              <w:rPr>
                <w:rFonts w:eastAsia="Times New Roman" w:cs="Calibri"/>
                <w:b/>
                <w:bCs/>
                <w:color w:val="000000"/>
                <w:sz w:val="24"/>
                <w:szCs w:val="24"/>
                <w:lang w:eastAsia="en-GB"/>
              </w:rPr>
              <w:t>2024/25</w:t>
            </w:r>
            <w:r w:rsidRPr="00040DD9">
              <w:rPr>
                <w:rFonts w:eastAsia="Times New Roman" w:cs="Calibri"/>
                <w:b/>
                <w:bCs/>
                <w:color w:val="000000"/>
                <w:sz w:val="24"/>
                <w:szCs w:val="24"/>
                <w:lang w:eastAsia="en-GB"/>
              </w:rPr>
              <w:br/>
              <w:t>£</w:t>
            </w:r>
          </w:p>
        </w:tc>
      </w:tr>
      <w:tr w:rsidR="00040DD9" w:rsidRPr="00040DD9" w14:paraId="2021E4CE" w14:textId="77777777" w:rsidTr="00040DD9">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176727FC" w14:textId="77777777" w:rsidR="00040DD9" w:rsidRPr="00040DD9" w:rsidRDefault="00040DD9" w:rsidP="00040DD9">
            <w:pPr>
              <w:spacing w:after="0" w:line="240" w:lineRule="auto"/>
              <w:rPr>
                <w:rFonts w:eastAsia="Times New Roman" w:cs="Calibri"/>
                <w:color w:val="000000"/>
                <w:sz w:val="24"/>
                <w:szCs w:val="24"/>
                <w:lang w:eastAsia="en-GB"/>
              </w:rPr>
            </w:pPr>
            <w:r w:rsidRPr="00040DD9">
              <w:rPr>
                <w:rFonts w:eastAsia="Times New Roman" w:cs="Calibri"/>
                <w:color w:val="000000"/>
                <w:sz w:val="24"/>
                <w:szCs w:val="24"/>
                <w:lang w:eastAsia="en-GB"/>
              </w:rPr>
              <w:t> </w:t>
            </w:r>
          </w:p>
        </w:tc>
        <w:tc>
          <w:tcPr>
            <w:tcW w:w="2800" w:type="dxa"/>
            <w:tcBorders>
              <w:top w:val="nil"/>
              <w:left w:val="nil"/>
              <w:bottom w:val="nil"/>
              <w:right w:val="nil"/>
            </w:tcBorders>
            <w:shd w:val="clear" w:color="000000" w:fill="FFFFFF"/>
            <w:noWrap/>
            <w:vAlign w:val="bottom"/>
            <w:hideMark/>
          </w:tcPr>
          <w:p w14:paraId="6B759D13" w14:textId="77777777" w:rsidR="00040DD9" w:rsidRPr="00040DD9" w:rsidRDefault="00040DD9" w:rsidP="00040DD9">
            <w:pPr>
              <w:spacing w:after="0" w:line="240" w:lineRule="auto"/>
              <w:rPr>
                <w:rFonts w:eastAsia="Times New Roman" w:cs="Calibri"/>
                <w:color w:val="000000"/>
                <w:sz w:val="24"/>
                <w:szCs w:val="24"/>
                <w:u w:val="single"/>
                <w:lang w:eastAsia="en-GB"/>
              </w:rPr>
            </w:pPr>
            <w:r w:rsidRPr="00040DD9">
              <w:rPr>
                <w:rFonts w:eastAsia="Times New Roman" w:cs="Calibri"/>
                <w:color w:val="000000"/>
                <w:sz w:val="24"/>
                <w:szCs w:val="24"/>
                <w:u w:val="single"/>
                <w:lang w:eastAsia="en-GB"/>
              </w:rPr>
              <w:t>Tax base changes:</w:t>
            </w:r>
          </w:p>
        </w:tc>
        <w:tc>
          <w:tcPr>
            <w:tcW w:w="1420" w:type="dxa"/>
            <w:tcBorders>
              <w:top w:val="nil"/>
              <w:left w:val="single" w:sz="4" w:space="0" w:color="auto"/>
              <w:bottom w:val="nil"/>
              <w:right w:val="single" w:sz="4" w:space="0" w:color="auto"/>
            </w:tcBorders>
            <w:shd w:val="clear" w:color="000000" w:fill="DDEBF7"/>
            <w:noWrap/>
            <w:vAlign w:val="bottom"/>
            <w:hideMark/>
          </w:tcPr>
          <w:p w14:paraId="1A17DA64" w14:textId="77777777" w:rsidR="00040DD9" w:rsidRPr="00040DD9" w:rsidRDefault="00040DD9" w:rsidP="00040DD9">
            <w:pPr>
              <w:spacing w:after="0" w:line="240" w:lineRule="auto"/>
              <w:rPr>
                <w:rFonts w:eastAsia="Times New Roman" w:cs="Calibri"/>
                <w:color w:val="000000"/>
                <w:sz w:val="24"/>
                <w:szCs w:val="24"/>
                <w:lang w:eastAsia="en-GB"/>
              </w:rPr>
            </w:pPr>
            <w:r w:rsidRPr="00040DD9">
              <w:rPr>
                <w:rFonts w:eastAsia="Times New Roman" w:cs="Calibri"/>
                <w:color w:val="000000"/>
                <w:sz w:val="24"/>
                <w:szCs w:val="24"/>
                <w:lang w:eastAsia="en-GB"/>
              </w:rPr>
              <w:t> </w:t>
            </w:r>
          </w:p>
        </w:tc>
      </w:tr>
      <w:tr w:rsidR="00040DD9" w:rsidRPr="00040DD9" w14:paraId="77B930A2" w14:textId="77777777" w:rsidTr="00040DD9">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4F536856" w14:textId="77777777" w:rsidR="00040DD9" w:rsidRPr="00040DD9" w:rsidRDefault="00040DD9" w:rsidP="00040DD9">
            <w:pPr>
              <w:spacing w:after="0" w:line="240" w:lineRule="auto"/>
              <w:jc w:val="right"/>
              <w:rPr>
                <w:rFonts w:eastAsia="Times New Roman" w:cs="Calibri"/>
                <w:color w:val="000000"/>
                <w:sz w:val="24"/>
                <w:szCs w:val="24"/>
                <w:lang w:eastAsia="en-GB"/>
              </w:rPr>
            </w:pPr>
            <w:r w:rsidRPr="00040DD9">
              <w:rPr>
                <w:rFonts w:eastAsia="Times New Roman" w:cs="Calibri"/>
                <w:color w:val="000000"/>
                <w:sz w:val="24"/>
                <w:szCs w:val="24"/>
                <w:lang w:eastAsia="en-GB"/>
              </w:rPr>
              <w:t>342,545</w:t>
            </w:r>
          </w:p>
        </w:tc>
        <w:tc>
          <w:tcPr>
            <w:tcW w:w="2800" w:type="dxa"/>
            <w:tcBorders>
              <w:top w:val="nil"/>
              <w:left w:val="nil"/>
              <w:bottom w:val="nil"/>
              <w:right w:val="nil"/>
            </w:tcBorders>
            <w:shd w:val="clear" w:color="000000" w:fill="FFFFFF"/>
            <w:noWrap/>
            <w:vAlign w:val="bottom"/>
            <w:hideMark/>
          </w:tcPr>
          <w:p w14:paraId="4DD6793E" w14:textId="77777777" w:rsidR="00040DD9" w:rsidRPr="00040DD9" w:rsidRDefault="00040DD9" w:rsidP="00040DD9">
            <w:pPr>
              <w:spacing w:after="0" w:line="240" w:lineRule="auto"/>
              <w:rPr>
                <w:rFonts w:eastAsia="Times New Roman" w:cs="Calibri"/>
                <w:color w:val="000000"/>
                <w:sz w:val="24"/>
                <w:szCs w:val="24"/>
                <w:lang w:eastAsia="en-GB"/>
              </w:rPr>
            </w:pPr>
            <w:r w:rsidRPr="00040DD9">
              <w:rPr>
                <w:rFonts w:eastAsia="Times New Roman" w:cs="Calibri"/>
                <w:color w:val="000000"/>
                <w:sz w:val="24"/>
                <w:szCs w:val="24"/>
                <w:lang w:eastAsia="en-GB"/>
              </w:rPr>
              <w:t>- North</w:t>
            </w:r>
          </w:p>
        </w:tc>
        <w:tc>
          <w:tcPr>
            <w:tcW w:w="1420" w:type="dxa"/>
            <w:tcBorders>
              <w:top w:val="nil"/>
              <w:left w:val="single" w:sz="4" w:space="0" w:color="auto"/>
              <w:bottom w:val="nil"/>
              <w:right w:val="single" w:sz="4" w:space="0" w:color="auto"/>
            </w:tcBorders>
            <w:shd w:val="clear" w:color="000000" w:fill="DDEBF7"/>
            <w:noWrap/>
            <w:vAlign w:val="bottom"/>
            <w:hideMark/>
          </w:tcPr>
          <w:p w14:paraId="37F61CBC" w14:textId="77777777" w:rsidR="00040DD9" w:rsidRPr="00040DD9" w:rsidRDefault="00040DD9" w:rsidP="00040DD9">
            <w:pPr>
              <w:spacing w:after="0" w:line="240" w:lineRule="auto"/>
              <w:jc w:val="right"/>
              <w:rPr>
                <w:rFonts w:eastAsia="Times New Roman" w:cs="Calibri"/>
                <w:color w:val="000000"/>
                <w:sz w:val="24"/>
                <w:szCs w:val="24"/>
                <w:lang w:eastAsia="en-GB"/>
              </w:rPr>
            </w:pPr>
            <w:r w:rsidRPr="00040DD9">
              <w:rPr>
                <w:rFonts w:eastAsia="Times New Roman" w:cs="Calibri"/>
                <w:color w:val="000000"/>
                <w:sz w:val="24"/>
                <w:szCs w:val="24"/>
                <w:lang w:eastAsia="en-GB"/>
              </w:rPr>
              <w:t>459,487</w:t>
            </w:r>
          </w:p>
        </w:tc>
      </w:tr>
      <w:tr w:rsidR="00040DD9" w:rsidRPr="00040DD9" w14:paraId="578E52AC" w14:textId="77777777" w:rsidTr="00040DD9">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168BBCFA" w14:textId="77777777" w:rsidR="00040DD9" w:rsidRPr="00040DD9" w:rsidRDefault="00040DD9" w:rsidP="00040DD9">
            <w:pPr>
              <w:spacing w:after="0" w:line="240" w:lineRule="auto"/>
              <w:jc w:val="right"/>
              <w:rPr>
                <w:rFonts w:eastAsia="Times New Roman" w:cs="Calibri"/>
                <w:color w:val="000000"/>
                <w:sz w:val="24"/>
                <w:szCs w:val="24"/>
                <w:lang w:eastAsia="en-GB"/>
              </w:rPr>
            </w:pPr>
            <w:r w:rsidRPr="00040DD9">
              <w:rPr>
                <w:rFonts w:eastAsia="Times New Roman" w:cs="Calibri"/>
                <w:color w:val="000000"/>
                <w:sz w:val="24"/>
                <w:szCs w:val="24"/>
                <w:lang w:eastAsia="en-GB"/>
              </w:rPr>
              <w:t>683,078</w:t>
            </w:r>
          </w:p>
        </w:tc>
        <w:tc>
          <w:tcPr>
            <w:tcW w:w="2800" w:type="dxa"/>
            <w:tcBorders>
              <w:top w:val="nil"/>
              <w:left w:val="nil"/>
              <w:bottom w:val="nil"/>
              <w:right w:val="nil"/>
            </w:tcBorders>
            <w:shd w:val="clear" w:color="000000" w:fill="FFFFFF"/>
            <w:noWrap/>
            <w:vAlign w:val="bottom"/>
            <w:hideMark/>
          </w:tcPr>
          <w:p w14:paraId="09DD7BB2" w14:textId="77777777" w:rsidR="00040DD9" w:rsidRPr="00040DD9" w:rsidRDefault="00040DD9" w:rsidP="00040DD9">
            <w:pPr>
              <w:spacing w:after="0" w:line="240" w:lineRule="auto"/>
              <w:rPr>
                <w:rFonts w:eastAsia="Times New Roman" w:cs="Calibri"/>
                <w:color w:val="000000"/>
                <w:sz w:val="24"/>
                <w:szCs w:val="24"/>
                <w:lang w:eastAsia="en-GB"/>
              </w:rPr>
            </w:pPr>
            <w:r w:rsidRPr="00040DD9">
              <w:rPr>
                <w:rFonts w:eastAsia="Times New Roman" w:cs="Calibri"/>
                <w:color w:val="000000"/>
                <w:sz w:val="24"/>
                <w:szCs w:val="24"/>
                <w:lang w:eastAsia="en-GB"/>
              </w:rPr>
              <w:t>- West</w:t>
            </w:r>
          </w:p>
        </w:tc>
        <w:tc>
          <w:tcPr>
            <w:tcW w:w="1420" w:type="dxa"/>
            <w:tcBorders>
              <w:top w:val="nil"/>
              <w:left w:val="single" w:sz="4" w:space="0" w:color="auto"/>
              <w:bottom w:val="nil"/>
              <w:right w:val="single" w:sz="4" w:space="0" w:color="auto"/>
            </w:tcBorders>
            <w:shd w:val="clear" w:color="000000" w:fill="DDEBF7"/>
            <w:noWrap/>
            <w:vAlign w:val="bottom"/>
            <w:hideMark/>
          </w:tcPr>
          <w:p w14:paraId="10DF09F9" w14:textId="77777777" w:rsidR="00040DD9" w:rsidRPr="00040DD9" w:rsidRDefault="00040DD9" w:rsidP="00040DD9">
            <w:pPr>
              <w:spacing w:after="0" w:line="240" w:lineRule="auto"/>
              <w:jc w:val="right"/>
              <w:rPr>
                <w:rFonts w:eastAsia="Times New Roman" w:cs="Calibri"/>
                <w:color w:val="000000"/>
                <w:sz w:val="24"/>
                <w:szCs w:val="24"/>
                <w:lang w:eastAsia="en-GB"/>
              </w:rPr>
            </w:pPr>
            <w:r w:rsidRPr="00040DD9">
              <w:rPr>
                <w:rFonts w:eastAsia="Times New Roman" w:cs="Calibri"/>
                <w:color w:val="000000"/>
                <w:sz w:val="24"/>
                <w:szCs w:val="24"/>
                <w:lang w:eastAsia="en-GB"/>
              </w:rPr>
              <w:t>176,938</w:t>
            </w:r>
          </w:p>
        </w:tc>
      </w:tr>
      <w:tr w:rsidR="00040DD9" w:rsidRPr="00040DD9" w14:paraId="35E360CA" w14:textId="77777777" w:rsidTr="00040DD9">
        <w:trPr>
          <w:trHeight w:val="315"/>
        </w:trPr>
        <w:tc>
          <w:tcPr>
            <w:tcW w:w="1420" w:type="dxa"/>
            <w:tcBorders>
              <w:top w:val="single" w:sz="4" w:space="0" w:color="auto"/>
              <w:left w:val="single" w:sz="4" w:space="0" w:color="auto"/>
              <w:bottom w:val="nil"/>
              <w:right w:val="single" w:sz="4" w:space="0" w:color="auto"/>
            </w:tcBorders>
            <w:shd w:val="clear" w:color="000000" w:fill="FFFFFF"/>
            <w:noWrap/>
            <w:vAlign w:val="bottom"/>
            <w:hideMark/>
          </w:tcPr>
          <w:p w14:paraId="0A0679B0" w14:textId="77777777" w:rsidR="00040DD9" w:rsidRPr="00040DD9" w:rsidRDefault="00040DD9" w:rsidP="00040DD9">
            <w:pPr>
              <w:spacing w:after="0" w:line="240" w:lineRule="auto"/>
              <w:jc w:val="right"/>
              <w:rPr>
                <w:rFonts w:eastAsia="Times New Roman" w:cs="Calibri"/>
                <w:b/>
                <w:bCs/>
                <w:color w:val="000000"/>
                <w:sz w:val="24"/>
                <w:szCs w:val="24"/>
                <w:lang w:eastAsia="en-GB"/>
              </w:rPr>
            </w:pPr>
            <w:r w:rsidRPr="00040DD9">
              <w:rPr>
                <w:rFonts w:eastAsia="Times New Roman" w:cs="Calibri"/>
                <w:b/>
                <w:bCs/>
                <w:color w:val="000000"/>
                <w:sz w:val="24"/>
                <w:szCs w:val="24"/>
                <w:lang w:eastAsia="en-GB"/>
              </w:rPr>
              <w:t>1,025,623</w:t>
            </w:r>
          </w:p>
        </w:tc>
        <w:tc>
          <w:tcPr>
            <w:tcW w:w="2800" w:type="dxa"/>
            <w:tcBorders>
              <w:top w:val="nil"/>
              <w:left w:val="nil"/>
              <w:bottom w:val="nil"/>
              <w:right w:val="nil"/>
            </w:tcBorders>
            <w:shd w:val="clear" w:color="000000" w:fill="FFFFFF"/>
            <w:noWrap/>
            <w:vAlign w:val="bottom"/>
            <w:hideMark/>
          </w:tcPr>
          <w:p w14:paraId="35770950" w14:textId="77777777" w:rsidR="00040DD9" w:rsidRPr="00040DD9" w:rsidRDefault="00040DD9" w:rsidP="00040DD9">
            <w:pPr>
              <w:spacing w:after="0" w:line="240" w:lineRule="auto"/>
              <w:rPr>
                <w:rFonts w:eastAsia="Times New Roman" w:cs="Calibri"/>
                <w:b/>
                <w:bCs/>
                <w:color w:val="000000"/>
                <w:sz w:val="24"/>
                <w:szCs w:val="24"/>
                <w:lang w:eastAsia="en-GB"/>
              </w:rPr>
            </w:pPr>
            <w:r w:rsidRPr="00040DD9">
              <w:rPr>
                <w:rFonts w:eastAsia="Times New Roman" w:cs="Calibri"/>
                <w:b/>
                <w:bCs/>
                <w:color w:val="000000"/>
                <w:sz w:val="24"/>
                <w:szCs w:val="24"/>
                <w:lang w:eastAsia="en-GB"/>
              </w:rPr>
              <w:t> </w:t>
            </w:r>
          </w:p>
        </w:tc>
        <w:tc>
          <w:tcPr>
            <w:tcW w:w="1420" w:type="dxa"/>
            <w:tcBorders>
              <w:top w:val="single" w:sz="4" w:space="0" w:color="auto"/>
              <w:left w:val="single" w:sz="4" w:space="0" w:color="auto"/>
              <w:bottom w:val="nil"/>
              <w:right w:val="single" w:sz="4" w:space="0" w:color="auto"/>
            </w:tcBorders>
            <w:shd w:val="clear" w:color="000000" w:fill="DDEBF7"/>
            <w:noWrap/>
            <w:vAlign w:val="bottom"/>
            <w:hideMark/>
          </w:tcPr>
          <w:p w14:paraId="32AD1AA1" w14:textId="77777777" w:rsidR="00040DD9" w:rsidRPr="00040DD9" w:rsidRDefault="00040DD9" w:rsidP="00040DD9">
            <w:pPr>
              <w:spacing w:after="0" w:line="240" w:lineRule="auto"/>
              <w:jc w:val="right"/>
              <w:rPr>
                <w:rFonts w:eastAsia="Times New Roman" w:cs="Calibri"/>
                <w:b/>
                <w:bCs/>
                <w:color w:val="000000"/>
                <w:sz w:val="24"/>
                <w:szCs w:val="24"/>
                <w:lang w:eastAsia="en-GB"/>
              </w:rPr>
            </w:pPr>
            <w:r w:rsidRPr="00040DD9">
              <w:rPr>
                <w:rFonts w:eastAsia="Times New Roman" w:cs="Calibri"/>
                <w:b/>
                <w:bCs/>
                <w:color w:val="000000"/>
                <w:sz w:val="24"/>
                <w:szCs w:val="24"/>
                <w:lang w:eastAsia="en-GB"/>
              </w:rPr>
              <w:t>636,424</w:t>
            </w:r>
          </w:p>
        </w:tc>
      </w:tr>
      <w:tr w:rsidR="00040DD9" w:rsidRPr="00040DD9" w14:paraId="3756DC52" w14:textId="77777777" w:rsidTr="00040DD9">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6F04F81A" w14:textId="77777777" w:rsidR="00040DD9" w:rsidRPr="00040DD9" w:rsidRDefault="00040DD9" w:rsidP="00040DD9">
            <w:pPr>
              <w:spacing w:after="0" w:line="240" w:lineRule="auto"/>
              <w:rPr>
                <w:rFonts w:eastAsia="Times New Roman" w:cs="Calibri"/>
                <w:color w:val="000000"/>
                <w:sz w:val="24"/>
                <w:szCs w:val="24"/>
                <w:lang w:eastAsia="en-GB"/>
              </w:rPr>
            </w:pPr>
            <w:r w:rsidRPr="00040DD9">
              <w:rPr>
                <w:rFonts w:eastAsia="Times New Roman" w:cs="Calibri"/>
                <w:color w:val="000000"/>
                <w:sz w:val="24"/>
                <w:szCs w:val="24"/>
                <w:lang w:eastAsia="en-GB"/>
              </w:rPr>
              <w:t> </w:t>
            </w:r>
          </w:p>
        </w:tc>
        <w:tc>
          <w:tcPr>
            <w:tcW w:w="2800" w:type="dxa"/>
            <w:tcBorders>
              <w:top w:val="nil"/>
              <w:left w:val="nil"/>
              <w:bottom w:val="nil"/>
              <w:right w:val="nil"/>
            </w:tcBorders>
            <w:shd w:val="clear" w:color="000000" w:fill="FFFFFF"/>
            <w:noWrap/>
            <w:vAlign w:val="bottom"/>
            <w:hideMark/>
          </w:tcPr>
          <w:p w14:paraId="2CAEEBAB" w14:textId="77777777" w:rsidR="00040DD9" w:rsidRPr="00040DD9" w:rsidRDefault="00040DD9" w:rsidP="00040DD9">
            <w:pPr>
              <w:spacing w:after="0" w:line="240" w:lineRule="auto"/>
              <w:rPr>
                <w:rFonts w:eastAsia="Times New Roman" w:cs="Calibri"/>
                <w:color w:val="000000"/>
                <w:sz w:val="24"/>
                <w:szCs w:val="24"/>
                <w:u w:val="single"/>
                <w:lang w:eastAsia="en-GB"/>
              </w:rPr>
            </w:pPr>
            <w:r w:rsidRPr="00040DD9">
              <w:rPr>
                <w:rFonts w:eastAsia="Times New Roman" w:cs="Calibri"/>
                <w:color w:val="000000"/>
                <w:sz w:val="24"/>
                <w:szCs w:val="24"/>
                <w:u w:val="single"/>
                <w:lang w:eastAsia="en-GB"/>
              </w:rPr>
              <w:t>Precept Increase</w:t>
            </w:r>
          </w:p>
        </w:tc>
        <w:tc>
          <w:tcPr>
            <w:tcW w:w="1420" w:type="dxa"/>
            <w:tcBorders>
              <w:top w:val="nil"/>
              <w:left w:val="single" w:sz="4" w:space="0" w:color="auto"/>
              <w:bottom w:val="nil"/>
              <w:right w:val="single" w:sz="4" w:space="0" w:color="auto"/>
            </w:tcBorders>
            <w:shd w:val="clear" w:color="000000" w:fill="DDEBF7"/>
            <w:noWrap/>
            <w:vAlign w:val="bottom"/>
            <w:hideMark/>
          </w:tcPr>
          <w:p w14:paraId="4D93BA17" w14:textId="77777777" w:rsidR="00040DD9" w:rsidRPr="00040DD9" w:rsidRDefault="00040DD9" w:rsidP="00040DD9">
            <w:pPr>
              <w:spacing w:after="0" w:line="240" w:lineRule="auto"/>
              <w:rPr>
                <w:rFonts w:eastAsia="Times New Roman" w:cs="Calibri"/>
                <w:color w:val="000000"/>
                <w:sz w:val="24"/>
                <w:szCs w:val="24"/>
                <w:lang w:eastAsia="en-GB"/>
              </w:rPr>
            </w:pPr>
            <w:r w:rsidRPr="00040DD9">
              <w:rPr>
                <w:rFonts w:eastAsia="Times New Roman" w:cs="Calibri"/>
                <w:color w:val="000000"/>
                <w:sz w:val="24"/>
                <w:szCs w:val="24"/>
                <w:lang w:eastAsia="en-GB"/>
              </w:rPr>
              <w:t> </w:t>
            </w:r>
          </w:p>
        </w:tc>
      </w:tr>
      <w:tr w:rsidR="00040DD9" w:rsidRPr="00040DD9" w14:paraId="2B30CB4B" w14:textId="77777777" w:rsidTr="00040DD9">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1A4F1912" w14:textId="77777777" w:rsidR="00040DD9" w:rsidRPr="00040DD9" w:rsidRDefault="00040DD9" w:rsidP="00040DD9">
            <w:pPr>
              <w:spacing w:after="0" w:line="240" w:lineRule="auto"/>
              <w:jc w:val="right"/>
              <w:rPr>
                <w:rFonts w:eastAsia="Times New Roman" w:cs="Calibri"/>
                <w:color w:val="000000"/>
                <w:sz w:val="24"/>
                <w:szCs w:val="24"/>
                <w:lang w:eastAsia="en-GB"/>
              </w:rPr>
            </w:pPr>
            <w:r w:rsidRPr="00040DD9">
              <w:rPr>
                <w:rFonts w:eastAsia="Times New Roman" w:cs="Calibri"/>
                <w:color w:val="000000"/>
                <w:sz w:val="24"/>
                <w:szCs w:val="24"/>
                <w:lang w:eastAsia="en-GB"/>
              </w:rPr>
              <w:t>1,714,185</w:t>
            </w:r>
          </w:p>
        </w:tc>
        <w:tc>
          <w:tcPr>
            <w:tcW w:w="2800" w:type="dxa"/>
            <w:tcBorders>
              <w:top w:val="nil"/>
              <w:left w:val="nil"/>
              <w:bottom w:val="nil"/>
              <w:right w:val="nil"/>
            </w:tcBorders>
            <w:shd w:val="clear" w:color="000000" w:fill="FFFFFF"/>
            <w:noWrap/>
            <w:vAlign w:val="bottom"/>
            <w:hideMark/>
          </w:tcPr>
          <w:p w14:paraId="678194DD" w14:textId="77777777" w:rsidR="00040DD9" w:rsidRPr="00040DD9" w:rsidRDefault="00040DD9" w:rsidP="00040DD9">
            <w:pPr>
              <w:spacing w:after="0" w:line="240" w:lineRule="auto"/>
              <w:rPr>
                <w:rFonts w:eastAsia="Times New Roman" w:cs="Calibri"/>
                <w:color w:val="000000"/>
                <w:sz w:val="24"/>
                <w:szCs w:val="24"/>
                <w:lang w:eastAsia="en-GB"/>
              </w:rPr>
            </w:pPr>
            <w:r w:rsidRPr="00040DD9">
              <w:rPr>
                <w:rFonts w:eastAsia="Times New Roman" w:cs="Calibri"/>
                <w:color w:val="000000"/>
                <w:sz w:val="24"/>
                <w:szCs w:val="24"/>
                <w:lang w:eastAsia="en-GB"/>
              </w:rPr>
              <w:t>- North</w:t>
            </w:r>
          </w:p>
        </w:tc>
        <w:tc>
          <w:tcPr>
            <w:tcW w:w="1420" w:type="dxa"/>
            <w:tcBorders>
              <w:top w:val="nil"/>
              <w:left w:val="single" w:sz="4" w:space="0" w:color="auto"/>
              <w:bottom w:val="nil"/>
              <w:right w:val="single" w:sz="4" w:space="0" w:color="auto"/>
            </w:tcBorders>
            <w:shd w:val="clear" w:color="000000" w:fill="DDEBF7"/>
            <w:noWrap/>
            <w:vAlign w:val="bottom"/>
            <w:hideMark/>
          </w:tcPr>
          <w:p w14:paraId="7138CD81" w14:textId="77777777" w:rsidR="00040DD9" w:rsidRPr="00040DD9" w:rsidRDefault="00040DD9" w:rsidP="00040DD9">
            <w:pPr>
              <w:spacing w:after="0" w:line="240" w:lineRule="auto"/>
              <w:jc w:val="right"/>
              <w:rPr>
                <w:rFonts w:eastAsia="Times New Roman" w:cs="Calibri"/>
                <w:color w:val="000000"/>
                <w:sz w:val="24"/>
                <w:szCs w:val="24"/>
                <w:lang w:eastAsia="en-GB"/>
              </w:rPr>
            </w:pPr>
            <w:r w:rsidRPr="00040DD9">
              <w:rPr>
                <w:rFonts w:eastAsia="Times New Roman" w:cs="Calibri"/>
                <w:color w:val="000000"/>
                <w:sz w:val="24"/>
                <w:szCs w:val="24"/>
                <w:lang w:eastAsia="en-GB"/>
              </w:rPr>
              <w:t>1,506,011</w:t>
            </w:r>
          </w:p>
        </w:tc>
      </w:tr>
      <w:tr w:rsidR="00040DD9" w:rsidRPr="00040DD9" w14:paraId="7A0EE167" w14:textId="77777777" w:rsidTr="00040DD9">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09F3D8C9" w14:textId="77777777" w:rsidR="00040DD9" w:rsidRPr="00040DD9" w:rsidRDefault="00040DD9" w:rsidP="00040DD9">
            <w:pPr>
              <w:spacing w:after="0" w:line="240" w:lineRule="auto"/>
              <w:jc w:val="right"/>
              <w:rPr>
                <w:rFonts w:eastAsia="Times New Roman" w:cs="Calibri"/>
                <w:color w:val="000000"/>
                <w:sz w:val="24"/>
                <w:szCs w:val="24"/>
                <w:lang w:eastAsia="en-GB"/>
              </w:rPr>
            </w:pPr>
            <w:r w:rsidRPr="00040DD9">
              <w:rPr>
                <w:rFonts w:eastAsia="Times New Roman" w:cs="Calibri"/>
                <w:color w:val="000000"/>
                <w:sz w:val="24"/>
                <w:szCs w:val="24"/>
                <w:lang w:eastAsia="en-GB"/>
              </w:rPr>
              <w:t>2,130,912</w:t>
            </w:r>
          </w:p>
        </w:tc>
        <w:tc>
          <w:tcPr>
            <w:tcW w:w="2800" w:type="dxa"/>
            <w:tcBorders>
              <w:top w:val="nil"/>
              <w:left w:val="nil"/>
              <w:bottom w:val="nil"/>
              <w:right w:val="nil"/>
            </w:tcBorders>
            <w:shd w:val="clear" w:color="000000" w:fill="FFFFFF"/>
            <w:noWrap/>
            <w:vAlign w:val="bottom"/>
            <w:hideMark/>
          </w:tcPr>
          <w:p w14:paraId="6AD05702" w14:textId="77777777" w:rsidR="00040DD9" w:rsidRPr="00040DD9" w:rsidRDefault="00040DD9" w:rsidP="00040DD9">
            <w:pPr>
              <w:spacing w:after="0" w:line="240" w:lineRule="auto"/>
              <w:rPr>
                <w:rFonts w:eastAsia="Times New Roman" w:cs="Calibri"/>
                <w:color w:val="000000"/>
                <w:sz w:val="24"/>
                <w:szCs w:val="24"/>
                <w:lang w:eastAsia="en-GB"/>
              </w:rPr>
            </w:pPr>
            <w:r w:rsidRPr="00040DD9">
              <w:rPr>
                <w:rFonts w:eastAsia="Times New Roman" w:cs="Calibri"/>
                <w:color w:val="000000"/>
                <w:sz w:val="24"/>
                <w:szCs w:val="24"/>
                <w:lang w:eastAsia="en-GB"/>
              </w:rPr>
              <w:t>- West</w:t>
            </w:r>
          </w:p>
        </w:tc>
        <w:tc>
          <w:tcPr>
            <w:tcW w:w="1420" w:type="dxa"/>
            <w:tcBorders>
              <w:top w:val="nil"/>
              <w:left w:val="single" w:sz="4" w:space="0" w:color="auto"/>
              <w:bottom w:val="nil"/>
              <w:right w:val="single" w:sz="4" w:space="0" w:color="auto"/>
            </w:tcBorders>
            <w:shd w:val="clear" w:color="000000" w:fill="DDEBF7"/>
            <w:noWrap/>
            <w:vAlign w:val="bottom"/>
            <w:hideMark/>
          </w:tcPr>
          <w:p w14:paraId="55A6C636" w14:textId="77777777" w:rsidR="00040DD9" w:rsidRPr="00040DD9" w:rsidRDefault="00040DD9" w:rsidP="00040DD9">
            <w:pPr>
              <w:spacing w:after="0" w:line="240" w:lineRule="auto"/>
              <w:jc w:val="right"/>
              <w:rPr>
                <w:rFonts w:eastAsia="Times New Roman" w:cs="Calibri"/>
                <w:color w:val="000000"/>
                <w:sz w:val="24"/>
                <w:szCs w:val="24"/>
                <w:lang w:eastAsia="en-GB"/>
              </w:rPr>
            </w:pPr>
            <w:r w:rsidRPr="00040DD9">
              <w:rPr>
                <w:rFonts w:eastAsia="Times New Roman" w:cs="Calibri"/>
                <w:color w:val="000000"/>
                <w:sz w:val="24"/>
                <w:szCs w:val="24"/>
                <w:lang w:eastAsia="en-GB"/>
              </w:rPr>
              <w:t>1,854,640</w:t>
            </w:r>
          </w:p>
        </w:tc>
      </w:tr>
      <w:tr w:rsidR="00040DD9" w:rsidRPr="00040DD9" w14:paraId="0FD6AFD1" w14:textId="77777777" w:rsidTr="00040DD9">
        <w:trPr>
          <w:trHeight w:val="315"/>
        </w:trPr>
        <w:tc>
          <w:tcPr>
            <w:tcW w:w="1420" w:type="dxa"/>
            <w:tcBorders>
              <w:top w:val="single" w:sz="4" w:space="0" w:color="auto"/>
              <w:left w:val="single" w:sz="4" w:space="0" w:color="auto"/>
              <w:bottom w:val="nil"/>
              <w:right w:val="single" w:sz="4" w:space="0" w:color="auto"/>
            </w:tcBorders>
            <w:shd w:val="clear" w:color="000000" w:fill="FFFFFF"/>
            <w:noWrap/>
            <w:vAlign w:val="bottom"/>
            <w:hideMark/>
          </w:tcPr>
          <w:p w14:paraId="27EA19D1" w14:textId="77777777" w:rsidR="00040DD9" w:rsidRPr="00040DD9" w:rsidRDefault="00040DD9" w:rsidP="00040DD9">
            <w:pPr>
              <w:spacing w:after="0" w:line="240" w:lineRule="auto"/>
              <w:jc w:val="right"/>
              <w:rPr>
                <w:rFonts w:eastAsia="Times New Roman" w:cs="Calibri"/>
                <w:b/>
                <w:bCs/>
                <w:color w:val="000000"/>
                <w:sz w:val="24"/>
                <w:szCs w:val="24"/>
                <w:lang w:eastAsia="en-GB"/>
              </w:rPr>
            </w:pPr>
            <w:r w:rsidRPr="00040DD9">
              <w:rPr>
                <w:rFonts w:eastAsia="Times New Roman" w:cs="Calibri"/>
                <w:b/>
                <w:bCs/>
                <w:color w:val="000000"/>
                <w:sz w:val="24"/>
                <w:szCs w:val="24"/>
                <w:lang w:eastAsia="en-GB"/>
              </w:rPr>
              <w:t>3,845,097</w:t>
            </w:r>
          </w:p>
        </w:tc>
        <w:tc>
          <w:tcPr>
            <w:tcW w:w="2800" w:type="dxa"/>
            <w:tcBorders>
              <w:top w:val="nil"/>
              <w:left w:val="nil"/>
              <w:bottom w:val="nil"/>
              <w:right w:val="nil"/>
            </w:tcBorders>
            <w:shd w:val="clear" w:color="000000" w:fill="FFFFFF"/>
            <w:noWrap/>
            <w:vAlign w:val="bottom"/>
            <w:hideMark/>
          </w:tcPr>
          <w:p w14:paraId="5AED21E5" w14:textId="77777777" w:rsidR="00040DD9" w:rsidRPr="00040DD9" w:rsidRDefault="00040DD9" w:rsidP="00040DD9">
            <w:pPr>
              <w:spacing w:after="0" w:line="240" w:lineRule="auto"/>
              <w:rPr>
                <w:rFonts w:eastAsia="Times New Roman" w:cs="Calibri"/>
                <w:b/>
                <w:bCs/>
                <w:color w:val="000000"/>
                <w:sz w:val="24"/>
                <w:szCs w:val="24"/>
                <w:lang w:eastAsia="en-GB"/>
              </w:rPr>
            </w:pPr>
            <w:r w:rsidRPr="00040DD9">
              <w:rPr>
                <w:rFonts w:eastAsia="Times New Roman" w:cs="Calibri"/>
                <w:b/>
                <w:bCs/>
                <w:color w:val="000000"/>
                <w:sz w:val="24"/>
                <w:szCs w:val="24"/>
                <w:lang w:eastAsia="en-GB"/>
              </w:rPr>
              <w:t> </w:t>
            </w:r>
          </w:p>
        </w:tc>
        <w:tc>
          <w:tcPr>
            <w:tcW w:w="1420" w:type="dxa"/>
            <w:tcBorders>
              <w:top w:val="single" w:sz="4" w:space="0" w:color="auto"/>
              <w:left w:val="single" w:sz="4" w:space="0" w:color="auto"/>
              <w:bottom w:val="nil"/>
              <w:right w:val="single" w:sz="4" w:space="0" w:color="auto"/>
            </w:tcBorders>
            <w:shd w:val="clear" w:color="000000" w:fill="DDEBF7"/>
            <w:noWrap/>
            <w:vAlign w:val="bottom"/>
            <w:hideMark/>
          </w:tcPr>
          <w:p w14:paraId="563A2628" w14:textId="77777777" w:rsidR="00040DD9" w:rsidRPr="00040DD9" w:rsidRDefault="00040DD9" w:rsidP="00040DD9">
            <w:pPr>
              <w:spacing w:after="0" w:line="240" w:lineRule="auto"/>
              <w:jc w:val="right"/>
              <w:rPr>
                <w:rFonts w:eastAsia="Times New Roman" w:cs="Calibri"/>
                <w:b/>
                <w:bCs/>
                <w:color w:val="000000"/>
                <w:sz w:val="24"/>
                <w:szCs w:val="24"/>
                <w:lang w:eastAsia="en-GB"/>
              </w:rPr>
            </w:pPr>
            <w:r w:rsidRPr="00040DD9">
              <w:rPr>
                <w:rFonts w:eastAsia="Times New Roman" w:cs="Calibri"/>
                <w:b/>
                <w:bCs/>
                <w:color w:val="000000"/>
                <w:sz w:val="24"/>
                <w:szCs w:val="24"/>
                <w:lang w:eastAsia="en-GB"/>
              </w:rPr>
              <w:t>3,360,651</w:t>
            </w:r>
          </w:p>
        </w:tc>
      </w:tr>
      <w:tr w:rsidR="00040DD9" w:rsidRPr="00040DD9" w14:paraId="120C5BC1" w14:textId="77777777" w:rsidTr="00040DD9">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3A238BE4" w14:textId="77777777" w:rsidR="00040DD9" w:rsidRPr="00040DD9" w:rsidRDefault="00040DD9" w:rsidP="00040DD9">
            <w:pPr>
              <w:spacing w:after="0" w:line="240" w:lineRule="auto"/>
              <w:rPr>
                <w:rFonts w:eastAsia="Times New Roman" w:cs="Calibri"/>
                <w:color w:val="000000"/>
                <w:sz w:val="24"/>
                <w:szCs w:val="24"/>
                <w:lang w:eastAsia="en-GB"/>
              </w:rPr>
            </w:pPr>
            <w:r w:rsidRPr="00040DD9">
              <w:rPr>
                <w:rFonts w:eastAsia="Times New Roman" w:cs="Calibri"/>
                <w:color w:val="000000"/>
                <w:sz w:val="24"/>
                <w:szCs w:val="24"/>
                <w:lang w:eastAsia="en-GB"/>
              </w:rPr>
              <w:t> </w:t>
            </w:r>
          </w:p>
        </w:tc>
        <w:tc>
          <w:tcPr>
            <w:tcW w:w="2800" w:type="dxa"/>
            <w:tcBorders>
              <w:top w:val="nil"/>
              <w:left w:val="nil"/>
              <w:bottom w:val="nil"/>
              <w:right w:val="nil"/>
            </w:tcBorders>
            <w:shd w:val="clear" w:color="000000" w:fill="FFFFFF"/>
            <w:noWrap/>
            <w:vAlign w:val="bottom"/>
            <w:hideMark/>
          </w:tcPr>
          <w:p w14:paraId="00BA6EB1" w14:textId="77777777" w:rsidR="00040DD9" w:rsidRPr="00040DD9" w:rsidRDefault="00040DD9" w:rsidP="00040DD9">
            <w:pPr>
              <w:spacing w:after="0" w:line="240" w:lineRule="auto"/>
              <w:rPr>
                <w:rFonts w:eastAsia="Times New Roman" w:cs="Calibri"/>
                <w:color w:val="000000"/>
                <w:sz w:val="24"/>
                <w:szCs w:val="24"/>
                <w:lang w:eastAsia="en-GB"/>
              </w:rPr>
            </w:pPr>
            <w:r w:rsidRPr="00040DD9">
              <w:rPr>
                <w:rFonts w:eastAsia="Times New Roman" w:cs="Calibri"/>
                <w:color w:val="000000"/>
                <w:sz w:val="24"/>
                <w:szCs w:val="24"/>
                <w:lang w:eastAsia="en-GB"/>
              </w:rPr>
              <w:t> </w:t>
            </w:r>
          </w:p>
        </w:tc>
        <w:tc>
          <w:tcPr>
            <w:tcW w:w="1420" w:type="dxa"/>
            <w:tcBorders>
              <w:top w:val="nil"/>
              <w:left w:val="single" w:sz="4" w:space="0" w:color="auto"/>
              <w:bottom w:val="nil"/>
              <w:right w:val="single" w:sz="4" w:space="0" w:color="auto"/>
            </w:tcBorders>
            <w:shd w:val="clear" w:color="000000" w:fill="DDEBF7"/>
            <w:noWrap/>
            <w:vAlign w:val="bottom"/>
            <w:hideMark/>
          </w:tcPr>
          <w:p w14:paraId="0B352D02" w14:textId="77777777" w:rsidR="00040DD9" w:rsidRPr="00040DD9" w:rsidRDefault="00040DD9" w:rsidP="00040DD9">
            <w:pPr>
              <w:spacing w:after="0" w:line="240" w:lineRule="auto"/>
              <w:rPr>
                <w:rFonts w:eastAsia="Times New Roman" w:cs="Calibri"/>
                <w:color w:val="000000"/>
                <w:sz w:val="24"/>
                <w:szCs w:val="24"/>
                <w:lang w:eastAsia="en-GB"/>
              </w:rPr>
            </w:pPr>
            <w:r w:rsidRPr="00040DD9">
              <w:rPr>
                <w:rFonts w:eastAsia="Times New Roman" w:cs="Calibri"/>
                <w:color w:val="000000"/>
                <w:sz w:val="24"/>
                <w:szCs w:val="24"/>
                <w:lang w:eastAsia="en-GB"/>
              </w:rPr>
              <w:t> </w:t>
            </w:r>
          </w:p>
        </w:tc>
      </w:tr>
      <w:tr w:rsidR="00040DD9" w:rsidRPr="00040DD9" w14:paraId="10700FA1" w14:textId="77777777" w:rsidTr="00040DD9">
        <w:trPr>
          <w:trHeight w:val="315"/>
        </w:trPr>
        <w:tc>
          <w:tcPr>
            <w:tcW w:w="14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28B8AA" w14:textId="77777777" w:rsidR="00040DD9" w:rsidRPr="00040DD9" w:rsidRDefault="00040DD9" w:rsidP="00040DD9">
            <w:pPr>
              <w:spacing w:after="0" w:line="240" w:lineRule="auto"/>
              <w:jc w:val="right"/>
              <w:rPr>
                <w:rFonts w:eastAsia="Times New Roman" w:cs="Calibri"/>
                <w:b/>
                <w:bCs/>
                <w:color w:val="000000"/>
                <w:sz w:val="24"/>
                <w:szCs w:val="24"/>
                <w:lang w:eastAsia="en-GB"/>
              </w:rPr>
            </w:pPr>
            <w:r w:rsidRPr="00040DD9">
              <w:rPr>
                <w:rFonts w:eastAsia="Times New Roman" w:cs="Calibri"/>
                <w:b/>
                <w:bCs/>
                <w:color w:val="000000"/>
                <w:sz w:val="24"/>
                <w:szCs w:val="24"/>
                <w:lang w:eastAsia="en-GB"/>
              </w:rPr>
              <w:t>4,870,720</w:t>
            </w:r>
          </w:p>
        </w:tc>
        <w:tc>
          <w:tcPr>
            <w:tcW w:w="2800" w:type="dxa"/>
            <w:tcBorders>
              <w:top w:val="single" w:sz="4" w:space="0" w:color="auto"/>
              <w:left w:val="nil"/>
              <w:bottom w:val="single" w:sz="4" w:space="0" w:color="auto"/>
              <w:right w:val="nil"/>
            </w:tcBorders>
            <w:shd w:val="clear" w:color="000000" w:fill="FFFFFF"/>
            <w:noWrap/>
            <w:vAlign w:val="bottom"/>
            <w:hideMark/>
          </w:tcPr>
          <w:p w14:paraId="58414722" w14:textId="77777777" w:rsidR="00040DD9" w:rsidRPr="00040DD9" w:rsidRDefault="00040DD9" w:rsidP="00040DD9">
            <w:pPr>
              <w:spacing w:after="0" w:line="240" w:lineRule="auto"/>
              <w:rPr>
                <w:rFonts w:eastAsia="Times New Roman" w:cs="Calibri"/>
                <w:b/>
                <w:bCs/>
                <w:color w:val="000000"/>
                <w:sz w:val="24"/>
                <w:szCs w:val="24"/>
                <w:lang w:eastAsia="en-GB"/>
              </w:rPr>
            </w:pPr>
            <w:r w:rsidRPr="00040DD9">
              <w:rPr>
                <w:rFonts w:eastAsia="Times New Roman" w:cs="Calibri"/>
                <w:b/>
                <w:bCs/>
                <w:color w:val="000000"/>
                <w:sz w:val="24"/>
                <w:szCs w:val="24"/>
                <w:lang w:eastAsia="en-GB"/>
              </w:rPr>
              <w:t>Total Precept Change</w:t>
            </w:r>
          </w:p>
        </w:tc>
        <w:tc>
          <w:tcPr>
            <w:tcW w:w="142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B52BED6" w14:textId="77777777" w:rsidR="00040DD9" w:rsidRPr="00040DD9" w:rsidRDefault="00040DD9" w:rsidP="00040DD9">
            <w:pPr>
              <w:spacing w:after="0" w:line="240" w:lineRule="auto"/>
              <w:jc w:val="right"/>
              <w:rPr>
                <w:rFonts w:eastAsia="Times New Roman" w:cs="Calibri"/>
                <w:b/>
                <w:bCs/>
                <w:color w:val="000000"/>
                <w:sz w:val="24"/>
                <w:szCs w:val="24"/>
                <w:lang w:eastAsia="en-GB"/>
              </w:rPr>
            </w:pPr>
            <w:r w:rsidRPr="00040DD9">
              <w:rPr>
                <w:rFonts w:eastAsia="Times New Roman" w:cs="Calibri"/>
                <w:b/>
                <w:bCs/>
                <w:color w:val="000000"/>
                <w:sz w:val="24"/>
                <w:szCs w:val="24"/>
                <w:lang w:eastAsia="en-GB"/>
              </w:rPr>
              <w:t>3,997,075</w:t>
            </w:r>
          </w:p>
        </w:tc>
      </w:tr>
    </w:tbl>
    <w:p w14:paraId="4BE2F7D7" w14:textId="5D4AD183" w:rsidR="00C432D6" w:rsidRDefault="00C432D6" w:rsidP="00425585">
      <w:pPr>
        <w:spacing w:after="0" w:line="240" w:lineRule="auto"/>
        <w:rPr>
          <w:noProof/>
        </w:rPr>
      </w:pPr>
    </w:p>
    <w:p w14:paraId="3FE78EE3" w14:textId="4FA25CF1" w:rsidR="00DC7955" w:rsidRPr="00685B66" w:rsidRDefault="00C432D6" w:rsidP="00685B66">
      <w:pPr>
        <w:pStyle w:val="PanelPara"/>
        <w:rPr>
          <w:lang w:eastAsia="en-GB"/>
        </w:rPr>
      </w:pPr>
      <w:r w:rsidRPr="00F5755E">
        <w:rPr>
          <w:lang w:eastAsia="en-GB"/>
        </w:rPr>
        <w:t>The 202</w:t>
      </w:r>
      <w:r w:rsidR="00040DD9">
        <w:rPr>
          <w:lang w:eastAsia="en-GB"/>
        </w:rPr>
        <w:t>4</w:t>
      </w:r>
      <w:r w:rsidRPr="00F5755E">
        <w:rPr>
          <w:lang w:eastAsia="en-GB"/>
        </w:rPr>
        <w:t>/2</w:t>
      </w:r>
      <w:r w:rsidR="00040DD9">
        <w:rPr>
          <w:lang w:eastAsia="en-GB"/>
        </w:rPr>
        <w:t>5</w:t>
      </w:r>
      <w:r w:rsidRPr="00F5755E">
        <w:rPr>
          <w:lang w:eastAsia="en-GB"/>
        </w:rPr>
        <w:t xml:space="preserve"> proposed precept increase of £</w:t>
      </w:r>
      <w:r>
        <w:rPr>
          <w:lang w:eastAsia="en-GB"/>
        </w:rPr>
        <w:t>1</w:t>
      </w:r>
      <w:r w:rsidR="00040DD9">
        <w:rPr>
          <w:lang w:eastAsia="en-GB"/>
        </w:rPr>
        <w:t>3</w:t>
      </w:r>
      <w:r w:rsidRPr="00F5755E">
        <w:rPr>
          <w:lang w:eastAsia="en-GB"/>
        </w:rPr>
        <w:t xml:space="preserve">, together with the increased taxbase will generate an </w:t>
      </w:r>
      <w:r w:rsidRPr="00674A0C">
        <w:rPr>
          <w:lang w:eastAsia="en-GB"/>
        </w:rPr>
        <w:t xml:space="preserve">additional </w:t>
      </w:r>
      <w:r w:rsidRPr="00047BC3">
        <w:rPr>
          <w:lang w:eastAsia="en-GB"/>
        </w:rPr>
        <w:t>£</w:t>
      </w:r>
      <w:r w:rsidR="00040DD9">
        <w:rPr>
          <w:lang w:eastAsia="en-GB"/>
        </w:rPr>
        <w:t>3.997</w:t>
      </w:r>
      <w:r w:rsidRPr="00047BC3">
        <w:rPr>
          <w:lang w:eastAsia="en-GB"/>
        </w:rPr>
        <w:t>m on t</w:t>
      </w:r>
      <w:r w:rsidRPr="00674A0C">
        <w:rPr>
          <w:lang w:eastAsia="en-GB"/>
        </w:rPr>
        <w:t>he</w:t>
      </w:r>
      <w:r w:rsidRPr="00F5755E">
        <w:rPr>
          <w:lang w:eastAsia="en-GB"/>
        </w:rPr>
        <w:t xml:space="preserve"> base budget.</w:t>
      </w:r>
    </w:p>
    <w:p w14:paraId="53297678" w14:textId="06C50AA6" w:rsidR="00C432D6" w:rsidRPr="00685B66" w:rsidRDefault="00C432D6" w:rsidP="00685B66">
      <w:pPr>
        <w:pStyle w:val="PanelHeading"/>
      </w:pPr>
      <w:r w:rsidRPr="00F5755E">
        <w:t>Council Tax Collection Fund</w:t>
      </w:r>
    </w:p>
    <w:p w14:paraId="57AC6130" w14:textId="2833A6C3" w:rsidR="000A18A7" w:rsidRPr="00F5755E" w:rsidRDefault="00C432D6" w:rsidP="001722C3">
      <w:pPr>
        <w:pStyle w:val="PanelPara"/>
      </w:pPr>
      <w:bookmarkStart w:id="2" w:name="_Hlk156745232"/>
      <w:r w:rsidRPr="00F5755E">
        <w:t xml:space="preserve">Each year the billing authorities estimate how much of the total potential Council Tax income liability of taxpayers they will collect. They advise precepting authorities of any projected surplus or deficit on the Collection Fund in January of each year. </w:t>
      </w:r>
    </w:p>
    <w:p w14:paraId="6F4A7BF5" w14:textId="79CFAC56" w:rsidR="00C432D6" w:rsidRPr="00F5755E" w:rsidRDefault="00C432D6" w:rsidP="001722C3">
      <w:pPr>
        <w:pStyle w:val="PanelPara"/>
      </w:pPr>
      <w:r w:rsidRPr="00F5755E">
        <w:t xml:space="preserve">The PFCC is very appreciative of the hard work undertaken by the North and West Northamptonshire Unitary Authorities </w:t>
      </w:r>
      <w:r>
        <w:t xml:space="preserve">in ensuring high collection rates and </w:t>
      </w:r>
      <w:r w:rsidRPr="00F5755E">
        <w:t>in providing the information to enable their inclusion in his budget and precept considerations.</w:t>
      </w:r>
    </w:p>
    <w:p w14:paraId="7C7EA047" w14:textId="36460F5F" w:rsidR="00C432D6" w:rsidRDefault="00C432D6" w:rsidP="001722C3">
      <w:pPr>
        <w:pStyle w:val="PanelPara"/>
      </w:pPr>
      <w:r>
        <w:t xml:space="preserve">In previous years, despite </w:t>
      </w:r>
      <w:r w:rsidRPr="00F5755E">
        <w:t>high collection rates within Northamptonshire,</w:t>
      </w:r>
      <w:r>
        <w:t xml:space="preserve"> COVID-19 impacted on these levels which resulted in deficits in both 2021/22 and 2022/23. </w:t>
      </w:r>
      <w:r w:rsidR="00040DD9">
        <w:t xml:space="preserve"> </w:t>
      </w:r>
      <w:r>
        <w:t xml:space="preserve">Some government support was provided which included grants and enabling the deficit to be spread across three financial years. </w:t>
      </w:r>
      <w:r w:rsidR="00040DD9">
        <w:t xml:space="preserve"> </w:t>
      </w:r>
      <w:r>
        <w:t>These measures helped to mitigate the impact</w:t>
      </w:r>
      <w:r w:rsidR="00040DD9">
        <w:t xml:space="preserve"> and then in 2023/24, the collection funds provided a surplus.</w:t>
      </w:r>
    </w:p>
    <w:p w14:paraId="3554616F" w14:textId="15C849AB" w:rsidR="00C432D6" w:rsidRDefault="00C432D6" w:rsidP="001722C3">
      <w:pPr>
        <w:pStyle w:val="PanelPara"/>
      </w:pPr>
      <w:r w:rsidRPr="00F5755E">
        <w:t xml:space="preserve">The Unitary Authorities have advised the PFCC of their </w:t>
      </w:r>
      <w:r w:rsidR="00040DD9">
        <w:t xml:space="preserve">estimated </w:t>
      </w:r>
      <w:r w:rsidRPr="00F5755E">
        <w:t>collection fund positions for 202</w:t>
      </w:r>
      <w:r w:rsidR="00040DD9">
        <w:t>4</w:t>
      </w:r>
      <w:r w:rsidRPr="00F5755E">
        <w:t>/2</w:t>
      </w:r>
      <w:r w:rsidR="00040DD9">
        <w:t>5</w:t>
      </w:r>
      <w:r w:rsidRPr="00F5755E">
        <w:t xml:space="preserve"> for </w:t>
      </w:r>
      <w:r w:rsidR="009B1C90">
        <w:t>Police</w:t>
      </w:r>
      <w:r w:rsidR="009B1C90" w:rsidRPr="00F5755E">
        <w:t xml:space="preserve"> </w:t>
      </w:r>
      <w:r>
        <w:t xml:space="preserve">which have resulted in surpluses from both authorities. </w:t>
      </w:r>
    </w:p>
    <w:tbl>
      <w:tblPr>
        <w:tblW w:w="6860" w:type="dxa"/>
        <w:tblInd w:w="562" w:type="dxa"/>
        <w:tblLook w:val="04A0" w:firstRow="1" w:lastRow="0" w:firstColumn="1" w:lastColumn="0" w:noHBand="0" w:noVBand="1"/>
      </w:tblPr>
      <w:tblGrid>
        <w:gridCol w:w="1460"/>
        <w:gridCol w:w="3940"/>
        <w:gridCol w:w="1460"/>
      </w:tblGrid>
      <w:tr w:rsidR="008D795C" w:rsidRPr="008D795C" w14:paraId="190B4E54" w14:textId="77777777" w:rsidTr="008D795C">
        <w:trPr>
          <w:trHeight w:val="630"/>
        </w:trPr>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2"/>
          <w:p w14:paraId="7B5CAA02" w14:textId="77777777" w:rsidR="008D795C" w:rsidRPr="008D795C" w:rsidRDefault="008D795C" w:rsidP="008D795C">
            <w:pPr>
              <w:spacing w:after="0" w:line="240" w:lineRule="auto"/>
              <w:jc w:val="center"/>
              <w:rPr>
                <w:rFonts w:eastAsia="Times New Roman" w:cs="Calibri"/>
                <w:b/>
                <w:bCs/>
                <w:color w:val="000000"/>
                <w:sz w:val="24"/>
                <w:szCs w:val="24"/>
                <w:lang w:eastAsia="en-GB"/>
              </w:rPr>
            </w:pPr>
            <w:r w:rsidRPr="008D795C">
              <w:rPr>
                <w:rFonts w:eastAsia="Times New Roman" w:cs="Calibri"/>
                <w:b/>
                <w:bCs/>
                <w:color w:val="000000"/>
                <w:sz w:val="24"/>
                <w:szCs w:val="24"/>
                <w:lang w:eastAsia="en-GB"/>
              </w:rPr>
              <w:t>2023/24</w:t>
            </w:r>
            <w:r w:rsidRPr="008D795C">
              <w:rPr>
                <w:rFonts w:eastAsia="Times New Roman" w:cs="Calibri"/>
                <w:b/>
                <w:bCs/>
                <w:color w:val="000000"/>
                <w:sz w:val="24"/>
                <w:szCs w:val="24"/>
                <w:lang w:eastAsia="en-GB"/>
              </w:rPr>
              <w:br/>
              <w:t>£m</w:t>
            </w:r>
          </w:p>
        </w:tc>
        <w:tc>
          <w:tcPr>
            <w:tcW w:w="3940" w:type="dxa"/>
            <w:tcBorders>
              <w:top w:val="single" w:sz="4" w:space="0" w:color="auto"/>
              <w:left w:val="nil"/>
              <w:bottom w:val="single" w:sz="4" w:space="0" w:color="auto"/>
              <w:right w:val="single" w:sz="4" w:space="0" w:color="auto"/>
            </w:tcBorders>
            <w:shd w:val="clear" w:color="000000" w:fill="FFFFFF"/>
            <w:noWrap/>
            <w:vAlign w:val="center"/>
            <w:hideMark/>
          </w:tcPr>
          <w:p w14:paraId="2CF3197F" w14:textId="77777777" w:rsidR="008D795C" w:rsidRPr="008D795C" w:rsidRDefault="008D795C" w:rsidP="008D795C">
            <w:pPr>
              <w:spacing w:after="0" w:line="240" w:lineRule="auto"/>
              <w:rPr>
                <w:rFonts w:eastAsia="Times New Roman" w:cs="Calibri"/>
                <w:b/>
                <w:bCs/>
                <w:color w:val="000000"/>
                <w:sz w:val="24"/>
                <w:szCs w:val="24"/>
                <w:lang w:eastAsia="en-GB"/>
              </w:rPr>
            </w:pPr>
            <w:r w:rsidRPr="008D795C">
              <w:rPr>
                <w:rFonts w:eastAsia="Times New Roman" w:cs="Calibri"/>
                <w:b/>
                <w:bCs/>
                <w:color w:val="000000"/>
                <w:sz w:val="24"/>
                <w:szCs w:val="24"/>
                <w:lang w:eastAsia="en-GB"/>
              </w:rPr>
              <w:t> </w:t>
            </w:r>
          </w:p>
        </w:tc>
        <w:tc>
          <w:tcPr>
            <w:tcW w:w="1460" w:type="dxa"/>
            <w:tcBorders>
              <w:top w:val="single" w:sz="4" w:space="0" w:color="auto"/>
              <w:left w:val="nil"/>
              <w:bottom w:val="single" w:sz="4" w:space="0" w:color="auto"/>
              <w:right w:val="single" w:sz="4" w:space="0" w:color="auto"/>
            </w:tcBorders>
            <w:shd w:val="clear" w:color="000000" w:fill="DDEBF7"/>
            <w:vAlign w:val="center"/>
            <w:hideMark/>
          </w:tcPr>
          <w:p w14:paraId="0525DFE7" w14:textId="77777777" w:rsidR="008D795C" w:rsidRPr="008D795C" w:rsidRDefault="008D795C" w:rsidP="008D795C">
            <w:pPr>
              <w:spacing w:after="0" w:line="240" w:lineRule="auto"/>
              <w:jc w:val="center"/>
              <w:rPr>
                <w:rFonts w:eastAsia="Times New Roman" w:cs="Calibri"/>
                <w:b/>
                <w:bCs/>
                <w:color w:val="000000"/>
                <w:sz w:val="24"/>
                <w:szCs w:val="24"/>
                <w:lang w:eastAsia="en-GB"/>
              </w:rPr>
            </w:pPr>
            <w:r w:rsidRPr="008D795C">
              <w:rPr>
                <w:rFonts w:eastAsia="Times New Roman" w:cs="Calibri"/>
                <w:b/>
                <w:bCs/>
                <w:color w:val="000000"/>
                <w:sz w:val="24"/>
                <w:szCs w:val="24"/>
                <w:lang w:eastAsia="en-GB"/>
              </w:rPr>
              <w:t>2024/25</w:t>
            </w:r>
            <w:r w:rsidRPr="008D795C">
              <w:rPr>
                <w:rFonts w:eastAsia="Times New Roman" w:cs="Calibri"/>
                <w:b/>
                <w:bCs/>
                <w:color w:val="000000"/>
                <w:sz w:val="24"/>
                <w:szCs w:val="24"/>
                <w:lang w:eastAsia="en-GB"/>
              </w:rPr>
              <w:br/>
              <w:t>£m</w:t>
            </w:r>
          </w:p>
        </w:tc>
      </w:tr>
      <w:tr w:rsidR="008D795C" w:rsidRPr="008D795C" w14:paraId="3FC4B344" w14:textId="77777777" w:rsidTr="008D795C">
        <w:trPr>
          <w:trHeight w:val="315"/>
        </w:trPr>
        <w:tc>
          <w:tcPr>
            <w:tcW w:w="1460" w:type="dxa"/>
            <w:tcBorders>
              <w:top w:val="nil"/>
              <w:left w:val="single" w:sz="4" w:space="0" w:color="auto"/>
              <w:bottom w:val="nil"/>
              <w:right w:val="single" w:sz="4" w:space="0" w:color="auto"/>
            </w:tcBorders>
            <w:shd w:val="clear" w:color="000000" w:fill="FFFFFF"/>
            <w:noWrap/>
            <w:vAlign w:val="bottom"/>
            <w:hideMark/>
          </w:tcPr>
          <w:p w14:paraId="61C8A2D6" w14:textId="77777777" w:rsidR="008D795C" w:rsidRPr="008D795C" w:rsidRDefault="008D795C" w:rsidP="008D795C">
            <w:pPr>
              <w:spacing w:after="0" w:line="240" w:lineRule="auto"/>
              <w:jc w:val="right"/>
              <w:rPr>
                <w:rFonts w:eastAsia="Times New Roman" w:cs="Calibri"/>
                <w:color w:val="000000"/>
                <w:sz w:val="24"/>
                <w:szCs w:val="24"/>
                <w:lang w:eastAsia="en-GB"/>
              </w:rPr>
            </w:pPr>
            <w:r w:rsidRPr="008D795C">
              <w:rPr>
                <w:rFonts w:eastAsia="Times New Roman" w:cs="Calibri"/>
                <w:color w:val="000000"/>
                <w:sz w:val="24"/>
                <w:szCs w:val="24"/>
                <w:lang w:eastAsia="en-GB"/>
              </w:rPr>
              <w:t>0.335</w:t>
            </w:r>
          </w:p>
        </w:tc>
        <w:tc>
          <w:tcPr>
            <w:tcW w:w="3940" w:type="dxa"/>
            <w:tcBorders>
              <w:top w:val="nil"/>
              <w:left w:val="nil"/>
              <w:bottom w:val="nil"/>
              <w:right w:val="single" w:sz="4" w:space="0" w:color="auto"/>
            </w:tcBorders>
            <w:shd w:val="clear" w:color="000000" w:fill="FFFFFF"/>
            <w:noWrap/>
            <w:vAlign w:val="bottom"/>
            <w:hideMark/>
          </w:tcPr>
          <w:p w14:paraId="691BE007" w14:textId="77777777" w:rsidR="008D795C" w:rsidRPr="008D795C" w:rsidRDefault="008D795C" w:rsidP="008D795C">
            <w:pPr>
              <w:spacing w:after="0" w:line="240" w:lineRule="auto"/>
              <w:rPr>
                <w:rFonts w:eastAsia="Times New Roman" w:cs="Calibri"/>
                <w:color w:val="000000"/>
                <w:sz w:val="24"/>
                <w:szCs w:val="24"/>
                <w:lang w:eastAsia="en-GB"/>
              </w:rPr>
            </w:pPr>
            <w:r w:rsidRPr="008D795C">
              <w:rPr>
                <w:rFonts w:eastAsia="Times New Roman" w:cs="Calibri"/>
                <w:color w:val="000000"/>
                <w:sz w:val="24"/>
                <w:szCs w:val="24"/>
                <w:lang w:eastAsia="en-GB"/>
              </w:rPr>
              <w:t xml:space="preserve"> - North</w:t>
            </w:r>
          </w:p>
        </w:tc>
        <w:tc>
          <w:tcPr>
            <w:tcW w:w="1460" w:type="dxa"/>
            <w:tcBorders>
              <w:top w:val="nil"/>
              <w:left w:val="nil"/>
              <w:bottom w:val="nil"/>
              <w:right w:val="single" w:sz="4" w:space="0" w:color="auto"/>
            </w:tcBorders>
            <w:shd w:val="clear" w:color="000000" w:fill="DDEBF7"/>
            <w:noWrap/>
            <w:vAlign w:val="bottom"/>
            <w:hideMark/>
          </w:tcPr>
          <w:p w14:paraId="6D6E6925" w14:textId="77777777" w:rsidR="008D795C" w:rsidRPr="008D795C" w:rsidRDefault="008D795C" w:rsidP="008D795C">
            <w:pPr>
              <w:spacing w:after="0" w:line="240" w:lineRule="auto"/>
              <w:jc w:val="right"/>
              <w:rPr>
                <w:rFonts w:eastAsia="Times New Roman" w:cs="Calibri"/>
                <w:color w:val="000000"/>
                <w:sz w:val="24"/>
                <w:szCs w:val="24"/>
                <w:lang w:eastAsia="en-GB"/>
              </w:rPr>
            </w:pPr>
            <w:r w:rsidRPr="008D795C">
              <w:rPr>
                <w:rFonts w:eastAsia="Times New Roman" w:cs="Calibri"/>
                <w:color w:val="000000"/>
                <w:sz w:val="24"/>
                <w:szCs w:val="24"/>
                <w:lang w:eastAsia="en-GB"/>
              </w:rPr>
              <w:t>0.338</w:t>
            </w:r>
          </w:p>
        </w:tc>
      </w:tr>
      <w:tr w:rsidR="008D795C" w:rsidRPr="008D795C" w14:paraId="20B6BA78" w14:textId="77777777" w:rsidTr="008D795C">
        <w:trPr>
          <w:trHeight w:val="315"/>
        </w:trPr>
        <w:tc>
          <w:tcPr>
            <w:tcW w:w="1460" w:type="dxa"/>
            <w:tcBorders>
              <w:top w:val="nil"/>
              <w:left w:val="single" w:sz="4" w:space="0" w:color="auto"/>
              <w:bottom w:val="nil"/>
              <w:right w:val="single" w:sz="4" w:space="0" w:color="auto"/>
            </w:tcBorders>
            <w:shd w:val="clear" w:color="000000" w:fill="FFFFFF"/>
            <w:noWrap/>
            <w:vAlign w:val="bottom"/>
            <w:hideMark/>
          </w:tcPr>
          <w:p w14:paraId="781E173C" w14:textId="77777777" w:rsidR="008D795C" w:rsidRPr="008D795C" w:rsidRDefault="008D795C" w:rsidP="008D795C">
            <w:pPr>
              <w:spacing w:after="0" w:line="240" w:lineRule="auto"/>
              <w:jc w:val="right"/>
              <w:rPr>
                <w:rFonts w:eastAsia="Times New Roman" w:cs="Calibri"/>
                <w:color w:val="000000"/>
                <w:sz w:val="24"/>
                <w:szCs w:val="24"/>
                <w:lang w:eastAsia="en-GB"/>
              </w:rPr>
            </w:pPr>
            <w:r w:rsidRPr="008D795C">
              <w:rPr>
                <w:rFonts w:eastAsia="Times New Roman" w:cs="Calibri"/>
                <w:color w:val="000000"/>
                <w:sz w:val="24"/>
                <w:szCs w:val="24"/>
                <w:lang w:eastAsia="en-GB"/>
              </w:rPr>
              <w:t>0.704</w:t>
            </w:r>
          </w:p>
        </w:tc>
        <w:tc>
          <w:tcPr>
            <w:tcW w:w="3940" w:type="dxa"/>
            <w:tcBorders>
              <w:top w:val="nil"/>
              <w:left w:val="nil"/>
              <w:bottom w:val="nil"/>
              <w:right w:val="single" w:sz="4" w:space="0" w:color="auto"/>
            </w:tcBorders>
            <w:shd w:val="clear" w:color="000000" w:fill="FFFFFF"/>
            <w:noWrap/>
            <w:vAlign w:val="bottom"/>
            <w:hideMark/>
          </w:tcPr>
          <w:p w14:paraId="356E4957" w14:textId="77777777" w:rsidR="008D795C" w:rsidRPr="008D795C" w:rsidRDefault="008D795C" w:rsidP="008D795C">
            <w:pPr>
              <w:spacing w:after="0" w:line="240" w:lineRule="auto"/>
              <w:rPr>
                <w:rFonts w:eastAsia="Times New Roman" w:cs="Calibri"/>
                <w:color w:val="000000"/>
                <w:sz w:val="24"/>
                <w:szCs w:val="24"/>
                <w:lang w:eastAsia="en-GB"/>
              </w:rPr>
            </w:pPr>
            <w:r w:rsidRPr="008D795C">
              <w:rPr>
                <w:rFonts w:eastAsia="Times New Roman" w:cs="Calibri"/>
                <w:color w:val="000000"/>
                <w:sz w:val="24"/>
                <w:szCs w:val="24"/>
                <w:lang w:eastAsia="en-GB"/>
              </w:rPr>
              <w:t xml:space="preserve"> - West</w:t>
            </w:r>
          </w:p>
        </w:tc>
        <w:tc>
          <w:tcPr>
            <w:tcW w:w="1460" w:type="dxa"/>
            <w:tcBorders>
              <w:top w:val="nil"/>
              <w:left w:val="nil"/>
              <w:bottom w:val="nil"/>
              <w:right w:val="single" w:sz="4" w:space="0" w:color="auto"/>
            </w:tcBorders>
            <w:shd w:val="clear" w:color="000000" w:fill="DDEBF7"/>
            <w:noWrap/>
            <w:vAlign w:val="bottom"/>
            <w:hideMark/>
          </w:tcPr>
          <w:p w14:paraId="630061D9" w14:textId="77777777" w:rsidR="008D795C" w:rsidRPr="008D795C" w:rsidRDefault="008D795C" w:rsidP="008D795C">
            <w:pPr>
              <w:spacing w:after="0" w:line="240" w:lineRule="auto"/>
              <w:jc w:val="right"/>
              <w:rPr>
                <w:rFonts w:eastAsia="Times New Roman" w:cs="Calibri"/>
                <w:color w:val="000000"/>
                <w:sz w:val="24"/>
                <w:szCs w:val="24"/>
                <w:lang w:eastAsia="en-GB"/>
              </w:rPr>
            </w:pPr>
            <w:r w:rsidRPr="008D795C">
              <w:rPr>
                <w:rFonts w:eastAsia="Times New Roman" w:cs="Calibri"/>
                <w:color w:val="000000"/>
                <w:sz w:val="24"/>
                <w:szCs w:val="24"/>
                <w:lang w:eastAsia="en-GB"/>
              </w:rPr>
              <w:t>0.922</w:t>
            </w:r>
          </w:p>
        </w:tc>
      </w:tr>
      <w:tr w:rsidR="008D795C" w:rsidRPr="008D795C" w14:paraId="5DC55EC7" w14:textId="77777777" w:rsidTr="008D795C">
        <w:trPr>
          <w:trHeight w:val="315"/>
        </w:trPr>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1C5201" w14:textId="77777777" w:rsidR="008D795C" w:rsidRPr="008D795C" w:rsidRDefault="008D795C" w:rsidP="008D795C">
            <w:pPr>
              <w:spacing w:after="0" w:line="240" w:lineRule="auto"/>
              <w:jc w:val="right"/>
              <w:rPr>
                <w:rFonts w:eastAsia="Times New Roman" w:cs="Calibri"/>
                <w:b/>
                <w:bCs/>
                <w:color w:val="000000"/>
                <w:sz w:val="24"/>
                <w:szCs w:val="24"/>
                <w:lang w:eastAsia="en-GB"/>
              </w:rPr>
            </w:pPr>
            <w:r w:rsidRPr="008D795C">
              <w:rPr>
                <w:rFonts w:eastAsia="Times New Roman" w:cs="Calibri"/>
                <w:b/>
                <w:bCs/>
                <w:color w:val="000000"/>
                <w:sz w:val="24"/>
                <w:szCs w:val="24"/>
                <w:lang w:eastAsia="en-GB"/>
              </w:rPr>
              <w:t>1.039</w:t>
            </w:r>
          </w:p>
        </w:tc>
        <w:tc>
          <w:tcPr>
            <w:tcW w:w="3940" w:type="dxa"/>
            <w:tcBorders>
              <w:top w:val="single" w:sz="4" w:space="0" w:color="auto"/>
              <w:left w:val="nil"/>
              <w:bottom w:val="single" w:sz="4" w:space="0" w:color="auto"/>
              <w:right w:val="single" w:sz="4" w:space="0" w:color="auto"/>
            </w:tcBorders>
            <w:shd w:val="clear" w:color="000000" w:fill="FFFFFF"/>
            <w:noWrap/>
            <w:vAlign w:val="bottom"/>
            <w:hideMark/>
          </w:tcPr>
          <w:p w14:paraId="6282C3FB" w14:textId="77777777" w:rsidR="008D795C" w:rsidRPr="008D795C" w:rsidRDefault="008D795C" w:rsidP="008D795C">
            <w:pPr>
              <w:spacing w:after="0" w:line="240" w:lineRule="auto"/>
              <w:rPr>
                <w:rFonts w:eastAsia="Times New Roman" w:cs="Calibri"/>
                <w:b/>
                <w:bCs/>
                <w:color w:val="000000"/>
                <w:sz w:val="24"/>
                <w:szCs w:val="24"/>
                <w:lang w:eastAsia="en-GB"/>
              </w:rPr>
            </w:pPr>
            <w:r w:rsidRPr="008D795C">
              <w:rPr>
                <w:rFonts w:eastAsia="Times New Roman" w:cs="Calibri"/>
                <w:b/>
                <w:bCs/>
                <w:color w:val="000000"/>
                <w:sz w:val="24"/>
                <w:szCs w:val="24"/>
                <w:lang w:eastAsia="en-GB"/>
              </w:rPr>
              <w:t>Collection Fund Surplus</w:t>
            </w:r>
          </w:p>
        </w:tc>
        <w:tc>
          <w:tcPr>
            <w:tcW w:w="1460" w:type="dxa"/>
            <w:tcBorders>
              <w:top w:val="single" w:sz="4" w:space="0" w:color="auto"/>
              <w:left w:val="nil"/>
              <w:bottom w:val="single" w:sz="4" w:space="0" w:color="auto"/>
              <w:right w:val="single" w:sz="4" w:space="0" w:color="auto"/>
            </w:tcBorders>
            <w:shd w:val="clear" w:color="000000" w:fill="DDEBF7"/>
            <w:noWrap/>
            <w:vAlign w:val="bottom"/>
            <w:hideMark/>
          </w:tcPr>
          <w:p w14:paraId="4DA5694C" w14:textId="77777777" w:rsidR="008D795C" w:rsidRPr="008D795C" w:rsidRDefault="008D795C" w:rsidP="008D795C">
            <w:pPr>
              <w:spacing w:after="0" w:line="240" w:lineRule="auto"/>
              <w:jc w:val="right"/>
              <w:rPr>
                <w:rFonts w:eastAsia="Times New Roman" w:cs="Calibri"/>
                <w:b/>
                <w:bCs/>
                <w:color w:val="000000"/>
                <w:sz w:val="24"/>
                <w:szCs w:val="24"/>
                <w:lang w:eastAsia="en-GB"/>
              </w:rPr>
            </w:pPr>
            <w:r w:rsidRPr="008D795C">
              <w:rPr>
                <w:rFonts w:eastAsia="Times New Roman" w:cs="Calibri"/>
                <w:b/>
                <w:bCs/>
                <w:color w:val="000000"/>
                <w:sz w:val="24"/>
                <w:szCs w:val="24"/>
                <w:lang w:eastAsia="en-GB"/>
              </w:rPr>
              <w:t>1.259</w:t>
            </w:r>
          </w:p>
        </w:tc>
      </w:tr>
    </w:tbl>
    <w:p w14:paraId="5AF24143" w14:textId="77777777" w:rsidR="00C432D6" w:rsidRPr="00040DD9" w:rsidRDefault="00C432D6" w:rsidP="00040DD9">
      <w:pPr>
        <w:spacing w:after="0" w:line="240" w:lineRule="auto"/>
        <w:jc w:val="both"/>
        <w:rPr>
          <w:rFonts w:asciiTheme="minorHAnsi" w:hAnsiTheme="minorHAnsi" w:cstheme="minorHAnsi"/>
          <w:sz w:val="24"/>
          <w:szCs w:val="24"/>
        </w:rPr>
      </w:pPr>
    </w:p>
    <w:p w14:paraId="1B2F0AAD" w14:textId="73170915" w:rsidR="00C432D6" w:rsidRPr="00BC01A5" w:rsidRDefault="00C432D6" w:rsidP="00BC01A5">
      <w:pPr>
        <w:pStyle w:val="PanelPara"/>
      </w:pPr>
      <w:bookmarkStart w:id="3" w:name="_Hlk156745294"/>
      <w:r w:rsidRPr="001D38A8">
        <w:t xml:space="preserve">Due to statutory timescales, notification of the final collection fund surplus figures is received after the draft budgets are finalised.  </w:t>
      </w:r>
      <w:r w:rsidR="00BC01A5">
        <w:t>If t</w:t>
      </w:r>
      <w:r w:rsidRPr="001D38A8">
        <w:t xml:space="preserve">his surplus results in a one-year benefit, </w:t>
      </w:r>
      <w:r w:rsidR="00830D37">
        <w:t xml:space="preserve">it will be </w:t>
      </w:r>
      <w:r w:rsidR="00830D37">
        <w:lastRenderedPageBreak/>
        <w:t>transferred</w:t>
      </w:r>
      <w:r w:rsidRPr="001D38A8">
        <w:t xml:space="preserve"> to reserves in order to replenish some of the one-off use of reserves planned as part of the agreed balanced budget.</w:t>
      </w:r>
    </w:p>
    <w:p w14:paraId="3C51DA67" w14:textId="398CD8B0" w:rsidR="00C432D6" w:rsidRPr="00685B66" w:rsidRDefault="00C432D6" w:rsidP="00685B66">
      <w:pPr>
        <w:pStyle w:val="PanelPara"/>
      </w:pPr>
      <w:bookmarkStart w:id="4" w:name="_Hlk156745341"/>
      <w:bookmarkEnd w:id="3"/>
      <w:r w:rsidRPr="00B6262D">
        <w:t>The S151 Officer will work closely with the Unitary Authorities throughout the year to monitor and understand any impact on the collection fund position for 2024/25 and future years.</w:t>
      </w:r>
      <w:bookmarkStart w:id="5" w:name="_Hlk92960447"/>
    </w:p>
    <w:bookmarkEnd w:id="4"/>
    <w:p w14:paraId="164FB153" w14:textId="6B61A410" w:rsidR="00C432D6" w:rsidRPr="00685B66" w:rsidRDefault="00C432D6" w:rsidP="00685B66">
      <w:pPr>
        <w:pStyle w:val="PanelHeading"/>
      </w:pPr>
      <w:r w:rsidRPr="00B6262D">
        <w:t>Public Consultation on the Level of the Precept</w:t>
      </w:r>
    </w:p>
    <w:p w14:paraId="1AAE8005" w14:textId="3667EE99" w:rsidR="00C432D6" w:rsidRDefault="00C432D6" w:rsidP="001722C3">
      <w:pPr>
        <w:pStyle w:val="PanelPara"/>
      </w:pPr>
      <w:r>
        <w:t xml:space="preserve">Each year following the provisional settlement, the PFCC undertakes a precept consultation with residents of Northamptonshire to gather their views which help to inform his precept intentions. </w:t>
      </w:r>
    </w:p>
    <w:p w14:paraId="1029522C" w14:textId="77777777" w:rsidR="00BC01A5" w:rsidRDefault="00C432D6" w:rsidP="00BC01A5">
      <w:pPr>
        <w:pStyle w:val="PanelPara"/>
      </w:pPr>
      <w:r>
        <w:t>T</w:t>
      </w:r>
      <w:r w:rsidRPr="001E5FBC">
        <w:t xml:space="preserve">he PFCC is </w:t>
      </w:r>
      <w:r w:rsidR="009B1C90">
        <w:t xml:space="preserve">very </w:t>
      </w:r>
      <w:r w:rsidRPr="001E5FBC">
        <w:t xml:space="preserve">mindful of the impact that inflation and the cost of living is having on the residents of Northamptonshire. </w:t>
      </w:r>
      <w:r w:rsidR="00BC01A5">
        <w:t xml:space="preserve"> </w:t>
      </w:r>
      <w:r>
        <w:t>As such, for 202</w:t>
      </w:r>
      <w:r w:rsidR="00BC01A5">
        <w:t>4</w:t>
      </w:r>
      <w:r>
        <w:t>/2</w:t>
      </w:r>
      <w:r w:rsidR="00BC01A5">
        <w:t>5</w:t>
      </w:r>
      <w:r>
        <w:t>, and ahead of his precept consultation in December, the PFCC and officers undertook pre-budget engagement to inform his considerations. Of note are the following:</w:t>
      </w:r>
    </w:p>
    <w:p w14:paraId="302C12CA" w14:textId="77777777" w:rsidR="00BC01A5" w:rsidRPr="00BC01A5" w:rsidRDefault="00C432D6" w:rsidP="001722C3">
      <w:pPr>
        <w:pStyle w:val="PanelPara"/>
        <w:numPr>
          <w:ilvl w:val="1"/>
          <w:numId w:val="31"/>
        </w:numPr>
      </w:pPr>
      <w:bookmarkStart w:id="6" w:name="_Hlk157081096"/>
      <w:r w:rsidRPr="00BC01A5">
        <w:rPr>
          <w:bCs/>
        </w:rPr>
        <w:t>The PFCC, Chief Fire Officer and Chief Constable attended a meeting with Northamptonshire MPs</w:t>
      </w:r>
      <w:r w:rsidR="00142AEE" w:rsidRPr="00BC01A5">
        <w:rPr>
          <w:bCs/>
        </w:rPr>
        <w:t xml:space="preserve"> and briefed</w:t>
      </w:r>
      <w:r w:rsidRPr="00BC01A5">
        <w:rPr>
          <w:bCs/>
        </w:rPr>
        <w:t xml:space="preserve"> them on the current financial position for Police and Fire and </w:t>
      </w:r>
      <w:r w:rsidR="00142AEE" w:rsidRPr="00BC01A5">
        <w:rPr>
          <w:bCs/>
        </w:rPr>
        <w:t xml:space="preserve">outlined </w:t>
      </w:r>
      <w:r w:rsidRPr="00BC01A5">
        <w:rPr>
          <w:bCs/>
        </w:rPr>
        <w:t>the current financial context for both services.</w:t>
      </w:r>
    </w:p>
    <w:p w14:paraId="12BE0A19" w14:textId="0F49F8AE" w:rsidR="00BC01A5" w:rsidRPr="000255B4" w:rsidRDefault="00C432D6" w:rsidP="001722C3">
      <w:pPr>
        <w:pStyle w:val="PanelPara"/>
        <w:numPr>
          <w:ilvl w:val="1"/>
          <w:numId w:val="31"/>
        </w:numPr>
      </w:pPr>
      <w:r w:rsidRPr="000255B4">
        <w:rPr>
          <w:bCs/>
        </w:rPr>
        <w:t xml:space="preserve">The PFCC and the Chief Finance Officer attended local meetings with representative groups to have conversations around the current financial position and hear their thoughts on the levels of precept, budget challenges and services. </w:t>
      </w:r>
      <w:r w:rsidR="00685B66" w:rsidRPr="000255B4">
        <w:rPr>
          <w:bCs/>
        </w:rPr>
        <w:t xml:space="preserve"> </w:t>
      </w:r>
      <w:r w:rsidRPr="000255B4">
        <w:rPr>
          <w:bCs/>
        </w:rPr>
        <w:t xml:space="preserve">The PFCC found these conversations and discussions </w:t>
      </w:r>
      <w:r w:rsidR="00685B66" w:rsidRPr="000255B4">
        <w:rPr>
          <w:bCs/>
        </w:rPr>
        <w:t>invaluable,</w:t>
      </w:r>
      <w:r w:rsidRPr="000255B4">
        <w:rPr>
          <w:bCs/>
        </w:rPr>
        <w:t xml:space="preserve"> and the office is now on the circulation list for many of these meetings.</w:t>
      </w:r>
    </w:p>
    <w:bookmarkEnd w:id="6"/>
    <w:p w14:paraId="1C3AA433" w14:textId="17933CCB" w:rsidR="0040239A" w:rsidRPr="0040239A" w:rsidRDefault="0040239A" w:rsidP="001722C3">
      <w:pPr>
        <w:pStyle w:val="PanelPara"/>
        <w:rPr>
          <w:bCs/>
        </w:rPr>
      </w:pPr>
      <w:r w:rsidRPr="0040239A">
        <w:t>For this year’s precept, over the period 5</w:t>
      </w:r>
      <w:r w:rsidR="008778C8" w:rsidRPr="008778C8">
        <w:rPr>
          <w:vertAlign w:val="superscript"/>
        </w:rPr>
        <w:t>th</w:t>
      </w:r>
      <w:r w:rsidRPr="0040239A">
        <w:t xml:space="preserve"> December 2023 to 16</w:t>
      </w:r>
      <w:r w:rsidR="008778C8" w:rsidRPr="008778C8">
        <w:rPr>
          <w:vertAlign w:val="superscript"/>
        </w:rPr>
        <w:t>th</w:t>
      </w:r>
      <w:r w:rsidRPr="0040239A">
        <w:t xml:space="preserve"> January 2024, the PFCC undertook an online survey was carried out with the intention of reaching as many people as possible to obtain the views of a demographically representative group of the county’s population.</w:t>
      </w:r>
    </w:p>
    <w:p w14:paraId="1FA3A65A" w14:textId="0A16800A" w:rsidR="00C432D6" w:rsidRPr="00BC01A5" w:rsidRDefault="00C432D6" w:rsidP="001722C3">
      <w:pPr>
        <w:pStyle w:val="PanelPara"/>
        <w:rPr>
          <w:bCs/>
        </w:rPr>
      </w:pPr>
      <w:r w:rsidRPr="00B6262D">
        <w:t xml:space="preserve">The survey was sent out to </w:t>
      </w:r>
      <w:r w:rsidR="00142AEE">
        <w:t>a wide range of</w:t>
      </w:r>
      <w:r w:rsidR="00142AEE" w:rsidRPr="00B6262D">
        <w:t xml:space="preserve"> </w:t>
      </w:r>
      <w:r w:rsidRPr="00B6262D">
        <w:t>contacts and using many different approaches</w:t>
      </w:r>
      <w:r>
        <w:t xml:space="preserve">. </w:t>
      </w:r>
      <w:r w:rsidRPr="00B6262D">
        <w:t xml:space="preserve"> Appendix A</w:t>
      </w:r>
      <w:r>
        <w:t xml:space="preserve"> sets out the consultation on the precept further.</w:t>
      </w:r>
    </w:p>
    <w:p w14:paraId="5E96438C" w14:textId="5CF3B3CF" w:rsidR="00C432D6" w:rsidRPr="00B6262D" w:rsidRDefault="00C432D6" w:rsidP="001722C3">
      <w:pPr>
        <w:pStyle w:val="PanelPara"/>
      </w:pPr>
      <w:r w:rsidRPr="00B6262D">
        <w:t>This wide reach is set within the challenges of the limited timescale of the government funding settlement</w:t>
      </w:r>
      <w:r>
        <w:t xml:space="preserve">, </w:t>
      </w:r>
      <w:r w:rsidRPr="00B6262D">
        <w:t xml:space="preserve">the current </w:t>
      </w:r>
      <w:r>
        <w:t xml:space="preserve">cost of living </w:t>
      </w:r>
      <w:r w:rsidRPr="00B6262D">
        <w:t xml:space="preserve">climate </w:t>
      </w:r>
      <w:r>
        <w:t xml:space="preserve">and </w:t>
      </w:r>
      <w:r w:rsidR="00142AEE">
        <w:t xml:space="preserve">the fact that </w:t>
      </w:r>
      <w:r w:rsidR="00BC01A5">
        <w:t>it</w:t>
      </w:r>
      <w:r w:rsidR="00142AEE">
        <w:t xml:space="preserve"> was</w:t>
      </w:r>
      <w:r w:rsidR="00474625">
        <w:t xml:space="preserve"> </w:t>
      </w:r>
      <w:r>
        <w:t xml:space="preserve">held </w:t>
      </w:r>
      <w:r w:rsidRPr="00B6262D">
        <w:t xml:space="preserve">over the festive season.  </w:t>
      </w:r>
    </w:p>
    <w:p w14:paraId="160D4A25" w14:textId="16E2275D" w:rsidR="0040239A" w:rsidRDefault="0040239A" w:rsidP="009740CB">
      <w:pPr>
        <w:pStyle w:val="PanelPara"/>
      </w:pPr>
      <w:r w:rsidRPr="0040239A">
        <w:t xml:space="preserve">The online survey was targeted specifically in relation to the precept and to understand confidence in policing and fire and rescue services within Northamptonshire. </w:t>
      </w:r>
      <w:r>
        <w:t xml:space="preserve"> </w:t>
      </w:r>
      <w:r w:rsidRPr="0040239A">
        <w:t xml:space="preserve">It was communicated to as many stakeholders as possible, to enable any resident to share their views on the level of the precept. </w:t>
      </w:r>
    </w:p>
    <w:p w14:paraId="394D708C" w14:textId="4B497692" w:rsidR="00C432D6" w:rsidRDefault="00C432D6" w:rsidP="009740CB">
      <w:pPr>
        <w:pStyle w:val="PanelPara"/>
      </w:pPr>
      <w:r>
        <w:lastRenderedPageBreak/>
        <w:t>Interim reviews were taken on the survey to assess the reach and where appropriate, additional communications were made to key areas of the county to ensure those who wished to contribute to the survey were able to do so.</w:t>
      </w:r>
    </w:p>
    <w:p w14:paraId="45EA0D13" w14:textId="718CFBEB" w:rsidR="0040239A" w:rsidRDefault="0040239A" w:rsidP="0040239A">
      <w:pPr>
        <w:pStyle w:val="PanelPara"/>
      </w:pPr>
      <w:r>
        <w:t>The precept online consultation has formed part of a wider public consultation, conducted across all areas of Northamptonshire to understand how people feel about policing in the county and their levels of trust and confidence in their local police force.  Qualitative, face-to-face consultation is being undertaken with communities across Northamptonshire to capture views and feedback.</w:t>
      </w:r>
    </w:p>
    <w:p w14:paraId="5C56A4A4" w14:textId="6971A9A3" w:rsidR="0040239A" w:rsidRPr="009740CB" w:rsidRDefault="0040239A" w:rsidP="0040239A">
      <w:pPr>
        <w:pStyle w:val="PanelPara"/>
      </w:pPr>
      <w:r>
        <w:t>As part of this qualitative consultation, two ‘reflector session</w:t>
      </w:r>
      <w:r w:rsidR="00F73ACA">
        <w:t>s</w:t>
      </w:r>
      <w:r>
        <w:t>’ are being carried out with stakeholders representing support organisations, commissioned services and individuals and groups within the wider community safety partnerships.</w:t>
      </w:r>
    </w:p>
    <w:p w14:paraId="1C9F2DCD" w14:textId="338EED94" w:rsidR="00BC01A5" w:rsidRDefault="00C432D6" w:rsidP="00BC01A5">
      <w:pPr>
        <w:pStyle w:val="PanelPara"/>
      </w:pPr>
      <w:r w:rsidRPr="00201750">
        <w:t xml:space="preserve">The PFCC would like to give particular appreciation to the commitment and engagement of </w:t>
      </w:r>
      <w:r>
        <w:t xml:space="preserve">the Chair and </w:t>
      </w:r>
      <w:r w:rsidR="00C77CDF">
        <w:t>m</w:t>
      </w:r>
      <w:r w:rsidR="00C77CDF" w:rsidRPr="00201750">
        <w:t xml:space="preserve">embers </w:t>
      </w:r>
      <w:r w:rsidRPr="00201750">
        <w:t>of the Police, Fire and Crime Panel, local Councillors MPs</w:t>
      </w:r>
      <w:r w:rsidR="00C77CDF">
        <w:t>,</w:t>
      </w:r>
      <w:r>
        <w:t xml:space="preserve"> forum members and teams within the unitary authorities</w:t>
      </w:r>
      <w:r w:rsidRPr="00201750">
        <w:t xml:space="preserve"> as he recognises </w:t>
      </w:r>
      <w:r w:rsidR="00BC01A5">
        <w:t xml:space="preserve">that </w:t>
      </w:r>
      <w:r w:rsidRPr="00201750">
        <w:t>they have been contacted multiple times during the survey period and asked to disseminate the survey amongst their local residents and contacts.</w:t>
      </w:r>
    </w:p>
    <w:bookmarkEnd w:id="5"/>
    <w:p w14:paraId="18BE609A" w14:textId="572EE06A" w:rsidR="0040239A" w:rsidRPr="0040239A" w:rsidRDefault="0040239A" w:rsidP="0040239A">
      <w:pPr>
        <w:pStyle w:val="PanelPara"/>
      </w:pPr>
      <w:r w:rsidRPr="0040239A">
        <w:t>The online survey received 1,997 responses.  This is classed as a statistically relevant sample size for the County based on a 95% level of confidence.  The PFCC has considered the results of the online survey which were:</w:t>
      </w:r>
    </w:p>
    <w:p w14:paraId="5A8CA386" w14:textId="77777777" w:rsidR="0040239A" w:rsidRPr="0040239A" w:rsidRDefault="0040239A" w:rsidP="0040239A">
      <w:pPr>
        <w:pStyle w:val="PanelBullet"/>
        <w:rPr>
          <w:b/>
          <w:bCs/>
        </w:rPr>
      </w:pPr>
      <w:r w:rsidRPr="0040239A">
        <w:rPr>
          <w:b/>
          <w:bCs/>
        </w:rPr>
        <w:t xml:space="preserve">49.6% of residents were prepared to pay £15 or more if they were able to for Police services. </w:t>
      </w:r>
    </w:p>
    <w:p w14:paraId="606A32A1" w14:textId="77777777" w:rsidR="0040239A" w:rsidRPr="0040239A" w:rsidRDefault="0040239A" w:rsidP="0040239A">
      <w:pPr>
        <w:pStyle w:val="PanelBullet"/>
      </w:pPr>
      <w:r w:rsidRPr="0040239A">
        <w:t xml:space="preserve">45.2% were not prepared to pay any more than they do now; and </w:t>
      </w:r>
    </w:p>
    <w:p w14:paraId="65253A5B" w14:textId="77777777" w:rsidR="0040239A" w:rsidRPr="0040239A" w:rsidRDefault="0040239A" w:rsidP="0040239A">
      <w:pPr>
        <w:pStyle w:val="PanelBullet"/>
      </w:pPr>
      <w:r w:rsidRPr="0040239A">
        <w:t>5.2% said they did not know.</w:t>
      </w:r>
    </w:p>
    <w:p w14:paraId="603C962A" w14:textId="311235E8" w:rsidR="0040239A" w:rsidRPr="0040239A" w:rsidRDefault="0040239A" w:rsidP="0040239A">
      <w:pPr>
        <w:pStyle w:val="PanelPara"/>
      </w:pPr>
      <w:r w:rsidRPr="0040239A">
        <w:t>Respondents were also given the opportunity to comment on how good a job the Police and the Fire and Rescue Service did.  For Police, 1,944 residents replied</w:t>
      </w:r>
      <w:r w:rsidR="00FD1846">
        <w:t>:</w:t>
      </w:r>
    </w:p>
    <w:p w14:paraId="0F59B2AF" w14:textId="3D676993" w:rsidR="0040239A" w:rsidRPr="0040239A" w:rsidRDefault="0040239A" w:rsidP="0040239A">
      <w:pPr>
        <w:pStyle w:val="PanelBullet"/>
        <w:rPr>
          <w:b/>
          <w:bCs/>
        </w:rPr>
      </w:pPr>
      <w:r w:rsidRPr="0040239A">
        <w:rPr>
          <w:b/>
          <w:bCs/>
        </w:rPr>
        <w:t xml:space="preserve">33.8% of residents thought Police were doing a good or excellent </w:t>
      </w:r>
      <w:r>
        <w:rPr>
          <w:b/>
          <w:bCs/>
        </w:rPr>
        <w:t>job</w:t>
      </w:r>
      <w:r w:rsidRPr="0040239A">
        <w:rPr>
          <w:b/>
          <w:bCs/>
        </w:rPr>
        <w:t>.</w:t>
      </w:r>
    </w:p>
    <w:p w14:paraId="7F28ACDA" w14:textId="77777777" w:rsidR="0040239A" w:rsidRPr="0040239A" w:rsidRDefault="0040239A" w:rsidP="0040239A">
      <w:pPr>
        <w:pStyle w:val="PanelBullet"/>
      </w:pPr>
      <w:r w:rsidRPr="0040239A">
        <w:t>32.9% of residents thought they were doing a fair job.</w:t>
      </w:r>
    </w:p>
    <w:p w14:paraId="567C19C2" w14:textId="77777777" w:rsidR="0040239A" w:rsidRPr="0040239A" w:rsidRDefault="0040239A" w:rsidP="0040239A">
      <w:pPr>
        <w:pStyle w:val="PanelBullet"/>
      </w:pPr>
      <w:r w:rsidRPr="0040239A">
        <w:t>25.4% of residents thought they were doing a poor or very poor job.</w:t>
      </w:r>
    </w:p>
    <w:p w14:paraId="71F51D56" w14:textId="77777777" w:rsidR="0040239A" w:rsidRPr="0040239A" w:rsidRDefault="0040239A" w:rsidP="0040239A">
      <w:pPr>
        <w:pStyle w:val="PanelBullet"/>
      </w:pPr>
      <w:r w:rsidRPr="0040239A">
        <w:t>8.0% did not know.</w:t>
      </w:r>
    </w:p>
    <w:p w14:paraId="4C41F1AC" w14:textId="77777777" w:rsidR="006A7F66" w:rsidRDefault="0040239A" w:rsidP="006A7F66">
      <w:pPr>
        <w:pStyle w:val="PanelPara"/>
      </w:pPr>
      <w:r w:rsidRPr="0040239A">
        <w:t>The PFCC will consider the narrative comments in the survey as part of the wider Precept and Confidence Consultation findings which will be published on the PFCC website in due course</w:t>
      </w:r>
      <w:r w:rsidR="006A7F66">
        <w:t>.</w:t>
      </w:r>
    </w:p>
    <w:p w14:paraId="6FE22CF1" w14:textId="3502ECC4" w:rsidR="006A7F66" w:rsidRDefault="006A7F66" w:rsidP="006A7F66">
      <w:pPr>
        <w:pStyle w:val="PanelPara"/>
      </w:pPr>
      <w:r w:rsidRPr="00B6262D">
        <w:t xml:space="preserve">Furthermore, </w:t>
      </w:r>
      <w:r>
        <w:t xml:space="preserve">two in-person budget and precept meetings were held in January with key stakeholders, with one taking place after the provisional settlement when more information was available.  The meetings took place as follows:  </w:t>
      </w:r>
    </w:p>
    <w:p w14:paraId="52E3024D" w14:textId="084DBBA6" w:rsidR="006A7F66" w:rsidRPr="00B232A1" w:rsidRDefault="006A7F66" w:rsidP="006A7F66">
      <w:pPr>
        <w:pStyle w:val="PanelPara"/>
        <w:numPr>
          <w:ilvl w:val="1"/>
          <w:numId w:val="31"/>
        </w:numPr>
      </w:pPr>
      <w:r w:rsidRPr="00BC01A5">
        <w:lastRenderedPageBreak/>
        <w:t>A Councillor Budget and Precept meeting was held on the 16</w:t>
      </w:r>
      <w:r w:rsidR="008778C8" w:rsidRPr="008778C8">
        <w:rPr>
          <w:vertAlign w:val="superscript"/>
        </w:rPr>
        <w:t>th</w:t>
      </w:r>
      <w:r w:rsidRPr="00BC01A5">
        <w:t xml:space="preserve"> January 2024. </w:t>
      </w:r>
      <w:r>
        <w:t xml:space="preserve"> </w:t>
      </w:r>
      <w:r w:rsidRPr="00B232A1">
        <w:t xml:space="preserve">All 318 local Councillors and representatives were invited. </w:t>
      </w:r>
      <w:r w:rsidR="008778C8">
        <w:t xml:space="preserve"> </w:t>
      </w:r>
      <w:r w:rsidRPr="00B232A1">
        <w:t>32 Councillors attended and received a high-level briefing on the provisional funding settlement for both Fire and Policing.  The PFCC is grateful to those who attended.</w:t>
      </w:r>
    </w:p>
    <w:p w14:paraId="637361BA" w14:textId="70BBE211" w:rsidR="0040239A" w:rsidRPr="0040239A" w:rsidRDefault="006A7F66" w:rsidP="006A7F66">
      <w:pPr>
        <w:pStyle w:val="PanelPara"/>
        <w:numPr>
          <w:ilvl w:val="1"/>
          <w:numId w:val="31"/>
        </w:numPr>
      </w:pPr>
      <w:r w:rsidRPr="00BC01A5">
        <w:t xml:space="preserve">The PFCC held a Police Fire and Crime Panel workshop on the </w:t>
      </w:r>
      <w:r>
        <w:t>26</w:t>
      </w:r>
      <w:r w:rsidR="008778C8" w:rsidRPr="008778C8">
        <w:rPr>
          <w:vertAlign w:val="superscript"/>
        </w:rPr>
        <w:t>th</w:t>
      </w:r>
      <w:r w:rsidRPr="00BC01A5">
        <w:t xml:space="preserve"> January regarding the budget and precept considerations for 202</w:t>
      </w:r>
      <w:r>
        <w:t>4</w:t>
      </w:r>
      <w:r w:rsidRPr="00BC01A5">
        <w:t>/2</w:t>
      </w:r>
      <w:r>
        <w:t>5</w:t>
      </w:r>
      <w:r w:rsidRPr="00BC01A5">
        <w:t xml:space="preserve">, which was attended by </w:t>
      </w:r>
      <w:r w:rsidR="008778C8">
        <w:t>five</w:t>
      </w:r>
      <w:r w:rsidRPr="00BC01A5">
        <w:t xml:space="preserve"> representatives.</w:t>
      </w:r>
      <w:r>
        <w:t xml:space="preserve"> </w:t>
      </w:r>
      <w:r w:rsidRPr="00BC01A5">
        <w:t xml:space="preserve"> The annual workshops commenced in January 2021 and the PFCC has again found this approach and member input invaluable. </w:t>
      </w:r>
      <w:r>
        <w:t xml:space="preserve"> </w:t>
      </w:r>
      <w:r w:rsidRPr="00BC01A5">
        <w:t xml:space="preserve">The PFCC is grateful to all </w:t>
      </w:r>
      <w:r>
        <w:t>P</w:t>
      </w:r>
      <w:r w:rsidRPr="00BC01A5">
        <w:t>anel members who attended, and subject to the views of the Panel will continue to offer the budget workshop as an annual event.</w:t>
      </w:r>
    </w:p>
    <w:p w14:paraId="2BAC7348" w14:textId="759B59FC" w:rsidR="00C270EC" w:rsidRPr="00C40200" w:rsidRDefault="005D2DA4" w:rsidP="00141D16">
      <w:pPr>
        <w:pStyle w:val="PanelHeading"/>
      </w:pPr>
      <w:r w:rsidRPr="00C40200">
        <w:t>The Financial Challenge –</w:t>
      </w:r>
      <w:r w:rsidR="007A17F8" w:rsidRPr="00C40200">
        <w:t xml:space="preserve"> Future Risks, Challenges</w:t>
      </w:r>
      <w:r w:rsidR="002E15EF" w:rsidRPr="00C40200">
        <w:t xml:space="preserve"> and </w:t>
      </w:r>
      <w:r w:rsidR="007A17F8" w:rsidRPr="00C40200">
        <w:t xml:space="preserve">Uncertainties </w:t>
      </w:r>
    </w:p>
    <w:p w14:paraId="7AE6E08A" w14:textId="77777777" w:rsidR="009740CB" w:rsidRDefault="00C47408" w:rsidP="009740CB">
      <w:pPr>
        <w:pStyle w:val="PanelPara"/>
      </w:pPr>
      <w:r w:rsidRPr="00C40200">
        <w:t>The impact of a different inflation assumptions to that estimated in the MTFP are as follows:</w:t>
      </w:r>
    </w:p>
    <w:p w14:paraId="7AF092C6" w14:textId="77777777" w:rsidR="009740CB" w:rsidRPr="00B232A1" w:rsidRDefault="00B35232" w:rsidP="009740CB">
      <w:pPr>
        <w:pStyle w:val="PanelPara"/>
        <w:numPr>
          <w:ilvl w:val="2"/>
          <w:numId w:val="31"/>
        </w:numPr>
      </w:pPr>
      <w:bookmarkStart w:id="7" w:name="_Hlk156745554"/>
      <w:r w:rsidRPr="00B232A1">
        <w:t>Every 1% reduction in grant equates to circa £</w:t>
      </w:r>
      <w:r w:rsidR="009740CB" w:rsidRPr="00B232A1">
        <w:t>1</w:t>
      </w:r>
      <w:r w:rsidRPr="00B232A1">
        <w:t>.</w:t>
      </w:r>
      <w:r w:rsidR="009740CB" w:rsidRPr="00B232A1">
        <w:t>0</w:t>
      </w:r>
      <w:r w:rsidRPr="00B232A1">
        <w:t xml:space="preserve">m per </w:t>
      </w:r>
      <w:proofErr w:type="gramStart"/>
      <w:r w:rsidRPr="00B232A1">
        <w:t>annum</w:t>
      </w:r>
      <w:proofErr w:type="gramEnd"/>
    </w:p>
    <w:bookmarkEnd w:id="7"/>
    <w:p w14:paraId="1E7C2179" w14:textId="72DBBF6D" w:rsidR="009740CB" w:rsidRPr="00B232A1" w:rsidRDefault="00C47408" w:rsidP="009740CB">
      <w:pPr>
        <w:pStyle w:val="PanelPara"/>
        <w:numPr>
          <w:ilvl w:val="2"/>
          <w:numId w:val="31"/>
        </w:numPr>
      </w:pPr>
      <w:r w:rsidRPr="00B232A1">
        <w:t xml:space="preserve">Every 1% in Council Tax </w:t>
      </w:r>
      <w:r w:rsidR="00C40200" w:rsidRPr="00B232A1">
        <w:t>(£</w:t>
      </w:r>
      <w:r w:rsidR="00B232A1" w:rsidRPr="00B232A1">
        <w:t>3.06</w:t>
      </w:r>
      <w:r w:rsidR="00C40200" w:rsidRPr="00B232A1">
        <w:t xml:space="preserve">) </w:t>
      </w:r>
      <w:r w:rsidRPr="00B232A1">
        <w:t>equates to circa £</w:t>
      </w:r>
      <w:r w:rsidR="00960E79" w:rsidRPr="00B232A1">
        <w:t>0.</w:t>
      </w:r>
      <w:r w:rsidR="00C40200" w:rsidRPr="00B232A1">
        <w:t>8</w:t>
      </w:r>
      <w:r w:rsidR="00960E79" w:rsidRPr="00B232A1">
        <w:t>m</w:t>
      </w:r>
      <w:r w:rsidRPr="00B232A1">
        <w:t xml:space="preserve"> per </w:t>
      </w:r>
      <w:proofErr w:type="gramStart"/>
      <w:r w:rsidRPr="00B232A1">
        <w:t>annum</w:t>
      </w:r>
      <w:proofErr w:type="gramEnd"/>
    </w:p>
    <w:p w14:paraId="2787B4E1" w14:textId="77777777" w:rsidR="00B232A1" w:rsidRDefault="00C47408" w:rsidP="00B232A1">
      <w:pPr>
        <w:pStyle w:val="PanelPara"/>
        <w:numPr>
          <w:ilvl w:val="2"/>
          <w:numId w:val="31"/>
        </w:numPr>
      </w:pPr>
      <w:r w:rsidRPr="00B232A1">
        <w:t>Every £1 in Council Tax equates to £</w:t>
      </w:r>
      <w:r w:rsidR="00960E79" w:rsidRPr="00B232A1">
        <w:t>0.</w:t>
      </w:r>
      <w:r w:rsidR="00C40200" w:rsidRPr="00B232A1">
        <w:t>25</w:t>
      </w:r>
      <w:r w:rsidR="009740CB" w:rsidRPr="00B232A1">
        <w:t>9</w:t>
      </w:r>
      <w:r w:rsidR="00960E79" w:rsidRPr="00B232A1">
        <w:t>m</w:t>
      </w:r>
      <w:r w:rsidRPr="00B232A1">
        <w:t xml:space="preserve"> per </w:t>
      </w:r>
      <w:proofErr w:type="gramStart"/>
      <w:r w:rsidRPr="00B232A1">
        <w:t>annum</w:t>
      </w:r>
      <w:proofErr w:type="gramEnd"/>
    </w:p>
    <w:p w14:paraId="421F3400" w14:textId="1910FA56" w:rsidR="00B232A1" w:rsidRPr="00B232A1" w:rsidRDefault="00C47408" w:rsidP="00B232A1">
      <w:pPr>
        <w:pStyle w:val="PanelPara"/>
        <w:numPr>
          <w:ilvl w:val="2"/>
          <w:numId w:val="31"/>
        </w:numPr>
      </w:pPr>
      <w:r w:rsidRPr="00B232A1">
        <w:t>Every 1% in Pay equates to circa £</w:t>
      </w:r>
      <w:r w:rsidR="00960E79" w:rsidRPr="00B232A1">
        <w:t>1.</w:t>
      </w:r>
      <w:r w:rsidR="00B232A1" w:rsidRPr="00B232A1">
        <w:t>5</w:t>
      </w:r>
      <w:r w:rsidR="00960E79" w:rsidRPr="00B232A1">
        <w:t>m</w:t>
      </w:r>
      <w:r w:rsidRPr="00B232A1">
        <w:t xml:space="preserve"> in a full </w:t>
      </w:r>
      <w:proofErr w:type="gramStart"/>
      <w:r w:rsidRPr="00B232A1">
        <w:t>year</w:t>
      </w:r>
      <w:proofErr w:type="gramEnd"/>
    </w:p>
    <w:p w14:paraId="5A556FEF" w14:textId="57FA05B7" w:rsidR="00C47408" w:rsidRPr="00B232A1" w:rsidRDefault="00C47408" w:rsidP="00B232A1">
      <w:pPr>
        <w:pStyle w:val="PanelPara"/>
        <w:numPr>
          <w:ilvl w:val="2"/>
          <w:numId w:val="31"/>
        </w:numPr>
      </w:pPr>
      <w:r w:rsidRPr="00B232A1">
        <w:t>Every 1% non-pay inflation equates to £</w:t>
      </w:r>
      <w:r w:rsidR="00960E79" w:rsidRPr="00B232A1">
        <w:t>0.3m</w:t>
      </w:r>
      <w:r w:rsidRPr="00B232A1">
        <w:t xml:space="preserve"> per </w:t>
      </w:r>
      <w:proofErr w:type="gramStart"/>
      <w:r w:rsidRPr="00B232A1">
        <w:t>annum</w:t>
      </w:r>
      <w:proofErr w:type="gramEnd"/>
    </w:p>
    <w:p w14:paraId="2D2272FE" w14:textId="0F61370E" w:rsidR="00C47408" w:rsidRPr="00BC01A5" w:rsidRDefault="00C47408" w:rsidP="00BC01A5">
      <w:pPr>
        <w:pStyle w:val="PanelPara"/>
      </w:pPr>
      <w:bookmarkStart w:id="8" w:name="_Hlk156746022"/>
      <w:r w:rsidRPr="00C40200">
        <w:t>Prudent forecasts have been included where information which has not yet been finalised.</w:t>
      </w:r>
      <w:r w:rsidR="00BC01A5">
        <w:t xml:space="preserve"> </w:t>
      </w:r>
      <w:r w:rsidRPr="00C40200">
        <w:t xml:space="preserve"> Any variations between the provisional and final </w:t>
      </w:r>
      <w:r w:rsidR="00C40200">
        <w:t>police</w:t>
      </w:r>
      <w:r w:rsidRPr="00C40200">
        <w:t xml:space="preserve"> settlement, council tax or the collection fund will be balanced with reserves.</w:t>
      </w:r>
    </w:p>
    <w:bookmarkEnd w:id="8"/>
    <w:p w14:paraId="51256175" w14:textId="77777777" w:rsidR="00BC01A5" w:rsidRDefault="00C77CDF" w:rsidP="00BC01A5">
      <w:pPr>
        <w:pStyle w:val="PanelPara"/>
      </w:pPr>
      <w:r>
        <w:t>There are some</w:t>
      </w:r>
      <w:r w:rsidRPr="00C40200">
        <w:t xml:space="preserve"> </w:t>
      </w:r>
      <w:r w:rsidR="005751D3" w:rsidRPr="00C40200">
        <w:t>f</w:t>
      </w:r>
      <w:r w:rsidR="001306B5" w:rsidRPr="00C40200">
        <w:t xml:space="preserve">urther </w:t>
      </w:r>
      <w:r w:rsidR="00F22504" w:rsidRPr="00C40200">
        <w:t xml:space="preserve">financial and operational </w:t>
      </w:r>
      <w:r w:rsidR="001306B5" w:rsidRPr="00C40200">
        <w:t xml:space="preserve">risks and challenges </w:t>
      </w:r>
      <w:r>
        <w:t xml:space="preserve">which </w:t>
      </w:r>
      <w:r w:rsidR="005751D3" w:rsidRPr="00C40200">
        <w:t>are</w:t>
      </w:r>
      <w:r w:rsidR="002942FC" w:rsidRPr="00C40200">
        <w:t xml:space="preserve"> as follows: </w:t>
      </w:r>
      <w:r w:rsidR="005751D3" w:rsidRPr="00C40200">
        <w:t xml:space="preserve"> </w:t>
      </w:r>
    </w:p>
    <w:p w14:paraId="1680E1EE" w14:textId="77777777" w:rsidR="00BC01A5" w:rsidRDefault="001306B5" w:rsidP="001722C3">
      <w:pPr>
        <w:pStyle w:val="PanelPara"/>
        <w:numPr>
          <w:ilvl w:val="1"/>
          <w:numId w:val="31"/>
        </w:numPr>
      </w:pPr>
      <w:r w:rsidRPr="00BC01A5">
        <w:t xml:space="preserve">The unknown impact of </w:t>
      </w:r>
      <w:r w:rsidR="00206F72" w:rsidRPr="00BC01A5">
        <w:t xml:space="preserve">the </w:t>
      </w:r>
      <w:r w:rsidR="00830D37" w:rsidRPr="00BC01A5">
        <w:t xml:space="preserve">Police </w:t>
      </w:r>
      <w:r w:rsidR="00206F72" w:rsidRPr="00BC01A5">
        <w:t xml:space="preserve">Funding Formula Review on </w:t>
      </w:r>
      <w:r w:rsidRPr="00BC01A5">
        <w:t>Future Funding Settlement</w:t>
      </w:r>
      <w:r w:rsidR="00206F72" w:rsidRPr="00BC01A5">
        <w:t xml:space="preserve">s. </w:t>
      </w:r>
    </w:p>
    <w:p w14:paraId="57DBB4D5" w14:textId="77777777" w:rsidR="00BC01A5" w:rsidRDefault="00E25941" w:rsidP="001722C3">
      <w:pPr>
        <w:pStyle w:val="PanelPara"/>
        <w:numPr>
          <w:ilvl w:val="1"/>
          <w:numId w:val="31"/>
        </w:numPr>
      </w:pPr>
      <w:r w:rsidRPr="00BC01A5">
        <w:t xml:space="preserve">There is a national move to consider the charging of costs in line with a Net Revenue Expenditure </w:t>
      </w:r>
      <w:r w:rsidR="00B95944" w:rsidRPr="00BC01A5">
        <w:t xml:space="preserve">(NRE) </w:t>
      </w:r>
      <w:r w:rsidRPr="00BC01A5">
        <w:t xml:space="preserve">rather than a funding formula methodology. </w:t>
      </w:r>
      <w:r w:rsidR="00BC01A5">
        <w:t xml:space="preserve"> </w:t>
      </w:r>
      <w:r w:rsidRPr="00BC01A5">
        <w:t xml:space="preserve">This disproportionately affects forces such as Northamptonshire who have a </w:t>
      </w:r>
      <w:r w:rsidR="00C77CDF" w:rsidRPr="00BC01A5">
        <w:t>lower-than-average</w:t>
      </w:r>
      <w:r w:rsidRPr="00BC01A5">
        <w:t xml:space="preserve"> grant allocation</w:t>
      </w:r>
      <w:r w:rsidR="00AB33AE" w:rsidRPr="00BC01A5">
        <w:t xml:space="preserve"> and </w:t>
      </w:r>
      <w:r w:rsidR="00C77CDF" w:rsidRPr="00BC01A5">
        <w:t xml:space="preserve">it </w:t>
      </w:r>
      <w:r w:rsidR="00AB33AE" w:rsidRPr="00BC01A5">
        <w:t xml:space="preserve">bears no correlation </w:t>
      </w:r>
      <w:r w:rsidR="00B95944" w:rsidRPr="00BC01A5">
        <w:t xml:space="preserve">to increasing population or households as can be seen </w:t>
      </w:r>
      <w:r w:rsidR="00532950" w:rsidRPr="00BC01A5">
        <w:t xml:space="preserve">earlier in the report. </w:t>
      </w:r>
      <w:r w:rsidR="00BC01A5">
        <w:t xml:space="preserve"> </w:t>
      </w:r>
      <w:r w:rsidR="00B95944" w:rsidRPr="00BC01A5">
        <w:t>Any movement of national c</w:t>
      </w:r>
      <w:r w:rsidR="00532950" w:rsidRPr="00BC01A5">
        <w:t xml:space="preserve">harging </w:t>
      </w:r>
      <w:r w:rsidR="00B95944" w:rsidRPr="00BC01A5">
        <w:t>to NR</w:t>
      </w:r>
      <w:r w:rsidR="00532950" w:rsidRPr="00BC01A5">
        <w:t>E</w:t>
      </w:r>
      <w:r w:rsidR="00B95944" w:rsidRPr="00BC01A5">
        <w:t xml:space="preserve"> will result in cost increases to Northamptonshire.</w:t>
      </w:r>
    </w:p>
    <w:p w14:paraId="7D178EAF" w14:textId="77777777" w:rsidR="00BC01A5" w:rsidRDefault="00A13958" w:rsidP="001722C3">
      <w:pPr>
        <w:pStyle w:val="PanelPara"/>
        <w:numPr>
          <w:ilvl w:val="1"/>
          <w:numId w:val="31"/>
        </w:numPr>
      </w:pPr>
      <w:r w:rsidRPr="00BC01A5">
        <w:t>The impact of a different</w:t>
      </w:r>
      <w:r w:rsidR="000A4660" w:rsidRPr="00BC01A5">
        <w:t xml:space="preserve"> core</w:t>
      </w:r>
      <w:r w:rsidRPr="00BC01A5">
        <w:t xml:space="preserve"> grant assumption to that estimated in the </w:t>
      </w:r>
      <w:r w:rsidR="00876802" w:rsidRPr="00BC01A5">
        <w:t>MTFP</w:t>
      </w:r>
      <w:r w:rsidRPr="00BC01A5">
        <w:t xml:space="preserve"> for the years after </w:t>
      </w:r>
      <w:r w:rsidR="00220144" w:rsidRPr="00BC01A5">
        <w:t>202</w:t>
      </w:r>
      <w:r w:rsidR="00BC01A5">
        <w:t>4</w:t>
      </w:r>
      <w:r w:rsidR="00220144" w:rsidRPr="00BC01A5">
        <w:t>/2</w:t>
      </w:r>
      <w:r w:rsidR="00BC01A5">
        <w:t>5</w:t>
      </w:r>
      <w:r w:rsidRPr="00BC01A5">
        <w:t xml:space="preserve">. </w:t>
      </w:r>
    </w:p>
    <w:p w14:paraId="036B1ACE" w14:textId="77777777" w:rsidR="00BC01A5" w:rsidRDefault="00F22504" w:rsidP="001722C3">
      <w:pPr>
        <w:pStyle w:val="PanelPara"/>
        <w:numPr>
          <w:ilvl w:val="1"/>
          <w:numId w:val="31"/>
        </w:numPr>
      </w:pPr>
      <w:r w:rsidRPr="00BC01A5">
        <w:lastRenderedPageBreak/>
        <w:t>The operational and financial impact of new, emerging and increasing areas of threat</w:t>
      </w:r>
      <w:r w:rsidR="00A5533F" w:rsidRPr="00BC01A5">
        <w:t xml:space="preserve"> and demand</w:t>
      </w:r>
      <w:r w:rsidR="00CF5D71" w:rsidRPr="00BC01A5">
        <w:t>, including, but not limited to</w:t>
      </w:r>
      <w:r w:rsidR="003C7194" w:rsidRPr="00BC01A5">
        <w:t>,</w:t>
      </w:r>
      <w:r w:rsidR="00CF5D71" w:rsidRPr="00BC01A5">
        <w:t xml:space="preserve"> </w:t>
      </w:r>
      <w:r w:rsidR="00613FA4" w:rsidRPr="00BC01A5">
        <w:t>c</w:t>
      </w:r>
      <w:r w:rsidRPr="00BC01A5">
        <w:t xml:space="preserve">hild </w:t>
      </w:r>
      <w:r w:rsidR="00613FA4" w:rsidRPr="00BC01A5">
        <w:t>s</w:t>
      </w:r>
      <w:r w:rsidRPr="00BC01A5">
        <w:t xml:space="preserve">exual </w:t>
      </w:r>
      <w:r w:rsidR="00613FA4" w:rsidRPr="00BC01A5">
        <w:t>e</w:t>
      </w:r>
      <w:r w:rsidRPr="00BC01A5">
        <w:t xml:space="preserve">xploitation, </w:t>
      </w:r>
      <w:r w:rsidR="00613FA4" w:rsidRPr="00BC01A5">
        <w:t>a</w:t>
      </w:r>
      <w:r w:rsidR="00FD6BBC" w:rsidRPr="00BC01A5">
        <w:t xml:space="preserve">dult and </w:t>
      </w:r>
      <w:r w:rsidR="00613FA4" w:rsidRPr="00BC01A5">
        <w:t>c</w:t>
      </w:r>
      <w:r w:rsidR="00080E5A" w:rsidRPr="00BC01A5">
        <w:t xml:space="preserve">hild </w:t>
      </w:r>
      <w:r w:rsidR="00613FA4" w:rsidRPr="00BC01A5">
        <w:t>s</w:t>
      </w:r>
      <w:r w:rsidR="00080E5A" w:rsidRPr="00BC01A5">
        <w:t xml:space="preserve">exual and </w:t>
      </w:r>
      <w:r w:rsidR="00613FA4" w:rsidRPr="00BC01A5">
        <w:t>d</w:t>
      </w:r>
      <w:r w:rsidR="00A5533F" w:rsidRPr="00BC01A5">
        <w:t xml:space="preserve">omestic </w:t>
      </w:r>
      <w:r w:rsidR="006730C2" w:rsidRPr="00BC01A5">
        <w:t xml:space="preserve">violence </w:t>
      </w:r>
      <w:r w:rsidR="00FD6BBC" w:rsidRPr="00BC01A5">
        <w:t xml:space="preserve">crimes and increasing </w:t>
      </w:r>
      <w:r w:rsidR="00F86E9B" w:rsidRPr="00BC01A5">
        <w:t>cybercrime.</w:t>
      </w:r>
      <w:r w:rsidR="00BC01A5">
        <w:t xml:space="preserve"> </w:t>
      </w:r>
      <w:r w:rsidR="00F86E9B" w:rsidRPr="00BC01A5">
        <w:t xml:space="preserve"> It</w:t>
      </w:r>
      <w:r w:rsidR="00934843" w:rsidRPr="00BC01A5">
        <w:t xml:space="preserve"> is anticipated that the additional officers </w:t>
      </w:r>
      <w:r w:rsidR="00582D56" w:rsidRPr="00BC01A5">
        <w:t xml:space="preserve">recruited </w:t>
      </w:r>
      <w:r w:rsidR="00934843" w:rsidRPr="00BC01A5">
        <w:t xml:space="preserve">will assist in </w:t>
      </w:r>
      <w:r w:rsidR="00B35D54" w:rsidRPr="00BC01A5">
        <w:t xml:space="preserve">the </w:t>
      </w:r>
      <w:r w:rsidR="00934843" w:rsidRPr="00BC01A5">
        <w:t>challenge of meeting such demands.</w:t>
      </w:r>
    </w:p>
    <w:p w14:paraId="689F82C9" w14:textId="77777777" w:rsidR="00BC01A5" w:rsidRDefault="00D96E64" w:rsidP="001722C3">
      <w:pPr>
        <w:pStyle w:val="PanelPara"/>
        <w:numPr>
          <w:ilvl w:val="1"/>
          <w:numId w:val="31"/>
        </w:numPr>
      </w:pPr>
      <w:r w:rsidRPr="00BC01A5">
        <w:t>It is anticipated that the impact of national grants reducing or ceasing for regional developments and activities w</w:t>
      </w:r>
      <w:r w:rsidR="00B35D54" w:rsidRPr="00BC01A5">
        <w:t xml:space="preserve">ould </w:t>
      </w:r>
      <w:r w:rsidRPr="00BC01A5">
        <w:t>have a significant impact</w:t>
      </w:r>
      <w:r w:rsidR="00B35D54" w:rsidRPr="00BC01A5">
        <w:t xml:space="preserve">. </w:t>
      </w:r>
    </w:p>
    <w:p w14:paraId="7B37DD11" w14:textId="77777777" w:rsidR="00BC01A5" w:rsidRDefault="00B537F3" w:rsidP="001722C3">
      <w:pPr>
        <w:pStyle w:val="PanelPara"/>
        <w:numPr>
          <w:ilvl w:val="1"/>
          <w:numId w:val="31"/>
        </w:numPr>
      </w:pPr>
      <w:r w:rsidRPr="00BC01A5">
        <w:t xml:space="preserve">The </w:t>
      </w:r>
      <w:r w:rsidR="00443389" w:rsidRPr="00BC01A5">
        <w:t xml:space="preserve">capital programme requirements and the </w:t>
      </w:r>
      <w:r w:rsidRPr="00BC01A5">
        <w:t xml:space="preserve">investment required to take </w:t>
      </w:r>
      <w:r w:rsidR="00733E07" w:rsidRPr="00BC01A5">
        <w:t>an</w:t>
      </w:r>
      <w:r w:rsidR="00E12ACE" w:rsidRPr="00BC01A5">
        <w:t>y</w:t>
      </w:r>
      <w:r w:rsidR="00733E07" w:rsidRPr="00BC01A5">
        <w:t xml:space="preserve"> </w:t>
      </w:r>
      <w:r w:rsidR="00ED6358" w:rsidRPr="00BC01A5">
        <w:t xml:space="preserve">business as usual, </w:t>
      </w:r>
      <w:r w:rsidR="00A5533F" w:rsidRPr="00BC01A5">
        <w:t xml:space="preserve">innovative or </w:t>
      </w:r>
      <w:r w:rsidR="00733E07" w:rsidRPr="00BC01A5">
        <w:t xml:space="preserve">collaborative work </w:t>
      </w:r>
      <w:r w:rsidRPr="00BC01A5">
        <w:t>forward in advance of the timings of savings</w:t>
      </w:r>
      <w:r w:rsidR="00E12ACE" w:rsidRPr="00BC01A5">
        <w:t xml:space="preserve">. </w:t>
      </w:r>
      <w:r w:rsidR="00BC01A5">
        <w:t xml:space="preserve"> </w:t>
      </w:r>
      <w:r w:rsidR="00B35D54" w:rsidRPr="00BC01A5">
        <w:t xml:space="preserve">The </w:t>
      </w:r>
      <w:r w:rsidR="00BC01A5">
        <w:t>removal of</w:t>
      </w:r>
      <w:r w:rsidR="00B35D54" w:rsidRPr="00BC01A5">
        <w:t xml:space="preserve"> capital grant</w:t>
      </w:r>
      <w:r w:rsidR="00BC01A5">
        <w:t>s</w:t>
      </w:r>
      <w:r w:rsidR="00B35D54" w:rsidRPr="00BC01A5">
        <w:t xml:space="preserve"> has had an impact on the revenue costs of the capital programme</w:t>
      </w:r>
      <w:r w:rsidR="00582D56" w:rsidRPr="00BC01A5">
        <w:t xml:space="preserve">, </w:t>
      </w:r>
      <w:r w:rsidR="00BC01A5">
        <w:t>which</w:t>
      </w:r>
      <w:r w:rsidR="00B35D54" w:rsidRPr="00BC01A5">
        <w:t xml:space="preserve"> </w:t>
      </w:r>
      <w:r w:rsidR="00BC01A5">
        <w:t>are</w:t>
      </w:r>
      <w:r w:rsidR="00B35D54" w:rsidRPr="00BC01A5">
        <w:t xml:space="preserve"> </w:t>
      </w:r>
      <w:r w:rsidR="00582D56" w:rsidRPr="00BC01A5">
        <w:t xml:space="preserve">now </w:t>
      </w:r>
      <w:r w:rsidR="00B35D54" w:rsidRPr="00BC01A5">
        <w:t>built into the MTFP.</w:t>
      </w:r>
    </w:p>
    <w:p w14:paraId="00BDF11C" w14:textId="7527599C" w:rsidR="00BC01A5" w:rsidRPr="00276BF4" w:rsidRDefault="00C40200" w:rsidP="001722C3">
      <w:pPr>
        <w:pStyle w:val="PanelPara"/>
        <w:numPr>
          <w:ilvl w:val="1"/>
          <w:numId w:val="31"/>
        </w:numPr>
      </w:pPr>
      <w:r w:rsidRPr="00BC01A5">
        <w:t xml:space="preserve">Strategies for: </w:t>
      </w:r>
      <w:r w:rsidR="00582D56" w:rsidRPr="00BC01A5">
        <w:t>estates</w:t>
      </w:r>
      <w:r w:rsidRPr="00BC01A5">
        <w:t xml:space="preserve">, </w:t>
      </w:r>
      <w:r w:rsidR="00582D56" w:rsidRPr="00BC01A5">
        <w:t>fleet</w:t>
      </w:r>
      <w:r w:rsidRPr="00BC01A5">
        <w:t xml:space="preserve">, </w:t>
      </w:r>
      <w:r w:rsidR="00582D56" w:rsidRPr="00BC01A5">
        <w:t xml:space="preserve">digital </w:t>
      </w:r>
      <w:r w:rsidRPr="00BC01A5">
        <w:t xml:space="preserve">and </w:t>
      </w:r>
      <w:r w:rsidR="00582D56" w:rsidRPr="00BC01A5">
        <w:t xml:space="preserve">operational </w:t>
      </w:r>
      <w:r w:rsidRPr="00BC01A5">
        <w:t xml:space="preserve">equipment are in place which inform the </w:t>
      </w:r>
      <w:r w:rsidR="00582D56" w:rsidRPr="00BC01A5">
        <w:t xml:space="preserve">capital </w:t>
      </w:r>
      <w:r w:rsidRPr="00BC01A5">
        <w:t xml:space="preserve">programme and </w:t>
      </w:r>
      <w:r w:rsidR="00582D56" w:rsidRPr="00BC01A5">
        <w:t xml:space="preserve">revenue </w:t>
      </w:r>
      <w:r w:rsidRPr="00276BF4">
        <w:t>budgets.</w:t>
      </w:r>
      <w:r w:rsidR="00BC01A5" w:rsidRPr="00276BF4">
        <w:t xml:space="preserve"> </w:t>
      </w:r>
      <w:r w:rsidRPr="00276BF4">
        <w:t xml:space="preserve"> The Estates Strategy is currently being reviewed to develop a new masterplan and once updated will inform future capital programme and MTFP updates.</w:t>
      </w:r>
    </w:p>
    <w:p w14:paraId="303EEE03" w14:textId="77777777" w:rsidR="001722C3" w:rsidRDefault="00ED6358" w:rsidP="001722C3">
      <w:pPr>
        <w:pStyle w:val="PanelPara"/>
        <w:numPr>
          <w:ilvl w:val="1"/>
          <w:numId w:val="31"/>
        </w:numPr>
      </w:pPr>
      <w:r w:rsidRPr="00BC01A5">
        <w:t>The impact of partners</w:t>
      </w:r>
      <w:r w:rsidR="003C7194" w:rsidRPr="00BC01A5">
        <w:t>’</w:t>
      </w:r>
      <w:r w:rsidRPr="00BC01A5">
        <w:t xml:space="preserve"> spending decisions which may affect services provided by the Force or </w:t>
      </w:r>
      <w:r w:rsidR="005B590E" w:rsidRPr="00BC01A5">
        <w:t>PFCC</w:t>
      </w:r>
      <w:r w:rsidRPr="00BC01A5">
        <w:t xml:space="preserve">.   </w:t>
      </w:r>
    </w:p>
    <w:p w14:paraId="5B3D6F0A" w14:textId="77777777" w:rsidR="001722C3" w:rsidRDefault="00830D37" w:rsidP="001722C3">
      <w:pPr>
        <w:pStyle w:val="PanelPara"/>
        <w:numPr>
          <w:ilvl w:val="1"/>
          <w:numId w:val="31"/>
        </w:numPr>
      </w:pPr>
      <w:r w:rsidRPr="00BC01A5">
        <w:t>Inflation uncertainty:</w:t>
      </w:r>
    </w:p>
    <w:p w14:paraId="218AEBF8" w14:textId="77777777" w:rsidR="001722C3" w:rsidRPr="00704F6D" w:rsidRDefault="00C40200" w:rsidP="00704F6D">
      <w:pPr>
        <w:pStyle w:val="PanelBullet"/>
      </w:pPr>
      <w:r w:rsidRPr="00704F6D">
        <w:t xml:space="preserve">The uncertainty of </w:t>
      </w:r>
      <w:r w:rsidR="00BC01A5" w:rsidRPr="00704F6D">
        <w:t>future</w:t>
      </w:r>
      <w:r w:rsidRPr="00704F6D">
        <w:t xml:space="preserve"> </w:t>
      </w:r>
      <w:r w:rsidR="00582D56" w:rsidRPr="00704F6D">
        <w:t>pay awards</w:t>
      </w:r>
      <w:r w:rsidRPr="00704F6D">
        <w:t>.</w:t>
      </w:r>
    </w:p>
    <w:p w14:paraId="6594A8B7" w14:textId="285B89BB" w:rsidR="00830D37" w:rsidRPr="00704F6D" w:rsidRDefault="00C40200" w:rsidP="00704F6D">
      <w:pPr>
        <w:pStyle w:val="PanelBullet"/>
      </w:pPr>
      <w:r w:rsidRPr="00704F6D">
        <w:t xml:space="preserve">Future </w:t>
      </w:r>
      <w:r w:rsidR="00830D37" w:rsidRPr="00704F6D">
        <w:t xml:space="preserve">non-pay </w:t>
      </w:r>
      <w:r w:rsidRPr="00704F6D">
        <w:t>inflationary challenges.</w:t>
      </w:r>
      <w:bookmarkStart w:id="9" w:name="_Hlk62220860"/>
    </w:p>
    <w:p w14:paraId="682AE13F" w14:textId="605D57CE" w:rsidR="009455E6" w:rsidRPr="00DD75A9" w:rsidRDefault="009455E6" w:rsidP="00B232A1">
      <w:pPr>
        <w:pStyle w:val="PanelHeading"/>
      </w:pPr>
      <w:r w:rsidRPr="00DA742D">
        <w:t>Budget Strategy</w:t>
      </w:r>
    </w:p>
    <w:p w14:paraId="1532EAF9" w14:textId="7DEB19E1" w:rsidR="009455E6" w:rsidRPr="001E1A00" w:rsidRDefault="009455E6" w:rsidP="00B232A1">
      <w:pPr>
        <w:pStyle w:val="PanelPara"/>
      </w:pPr>
      <w:r w:rsidRPr="00DD75A9">
        <w:t xml:space="preserve">Since being elected into office, the PFCC has sought to maximise the allocation provided to the </w:t>
      </w:r>
      <w:r w:rsidR="002E221A">
        <w:t>police budget</w:t>
      </w:r>
      <w:r w:rsidRPr="00DD75A9">
        <w:t xml:space="preserve"> from within his funding envelope.</w:t>
      </w:r>
      <w:r w:rsidR="00B232A1">
        <w:t xml:space="preserve"> </w:t>
      </w:r>
      <w:r w:rsidRPr="00DD75A9">
        <w:t xml:space="preserve"> This is balanced with maintaining sufficient resources to fund the capital programme, maintain the </w:t>
      </w:r>
      <w:r w:rsidR="00A86088">
        <w:t xml:space="preserve">Office of the </w:t>
      </w:r>
      <w:r w:rsidRPr="00DD75A9">
        <w:t xml:space="preserve">PFCC and </w:t>
      </w:r>
      <w:r w:rsidRPr="001E1A00">
        <w:t xml:space="preserve">provide over £5m in commissioning and delivery activities for the public of Northamptonshire. </w:t>
      </w:r>
    </w:p>
    <w:p w14:paraId="3D0D5687" w14:textId="19DAD6E6" w:rsidR="009455E6" w:rsidRPr="00C8388E" w:rsidRDefault="009455E6" w:rsidP="00DA742D">
      <w:pPr>
        <w:pStyle w:val="PanelPara"/>
      </w:pPr>
      <w:r w:rsidRPr="001E1A00">
        <w:t>In 202</w:t>
      </w:r>
      <w:r w:rsidR="00DA742D" w:rsidRPr="001E1A00">
        <w:t>4</w:t>
      </w:r>
      <w:r w:rsidRPr="001E1A00">
        <w:t>/2</w:t>
      </w:r>
      <w:r w:rsidR="00DA742D" w:rsidRPr="001E1A00">
        <w:t>5</w:t>
      </w:r>
      <w:r w:rsidRPr="001E1A00">
        <w:t>,</w:t>
      </w:r>
      <w:r w:rsidR="00A86088" w:rsidRPr="001E1A00">
        <w:t xml:space="preserve"> </w:t>
      </w:r>
      <w:r w:rsidRPr="001E1A00">
        <w:t xml:space="preserve">before investments, the PFCC will allocate </w:t>
      </w:r>
      <w:r w:rsidR="00107C61" w:rsidRPr="001E1A00">
        <w:t>over 95%</w:t>
      </w:r>
      <w:r w:rsidRPr="001E1A00">
        <w:t xml:space="preserve"> of funding available to the </w:t>
      </w:r>
      <w:r w:rsidRPr="00C8388E">
        <w:t>Force.</w:t>
      </w:r>
    </w:p>
    <w:p w14:paraId="012762AC" w14:textId="48C23218" w:rsidR="00B35232" w:rsidRPr="00C8388E" w:rsidRDefault="009455E6" w:rsidP="00DA742D">
      <w:pPr>
        <w:pStyle w:val="PanelPara"/>
        <w:rPr>
          <w:b/>
        </w:rPr>
      </w:pPr>
      <w:r w:rsidRPr="00C8388E">
        <w:t>In 202</w:t>
      </w:r>
      <w:r w:rsidR="001E1A00" w:rsidRPr="00C8388E">
        <w:t>4</w:t>
      </w:r>
      <w:r w:rsidRPr="00C8388E">
        <w:t>/2</w:t>
      </w:r>
      <w:r w:rsidR="001E1A00" w:rsidRPr="00C8388E">
        <w:t>5</w:t>
      </w:r>
      <w:r w:rsidRPr="00C8388E">
        <w:t xml:space="preserve">, the </w:t>
      </w:r>
      <w:r w:rsidR="00C8388E" w:rsidRPr="00C8388E">
        <w:t>Force</w:t>
      </w:r>
      <w:r w:rsidR="009B1C90" w:rsidRPr="00C8388E">
        <w:t xml:space="preserve"> </w:t>
      </w:r>
      <w:r w:rsidRPr="00C8388E">
        <w:t xml:space="preserve">budget will increase by </w:t>
      </w:r>
      <w:r w:rsidR="00C8388E" w:rsidRPr="00C8388E">
        <w:t>over</w:t>
      </w:r>
      <w:r w:rsidR="00C87C19" w:rsidRPr="00C8388E">
        <w:t xml:space="preserve"> £1</w:t>
      </w:r>
      <w:r w:rsidR="00C8388E" w:rsidRPr="00C8388E">
        <w:t>5</w:t>
      </w:r>
      <w:r w:rsidR="00C87C19" w:rsidRPr="00C8388E">
        <w:t>m</w:t>
      </w:r>
      <w:r w:rsidRPr="00C8388E">
        <w:t xml:space="preserve"> on the previous year</w:t>
      </w:r>
      <w:r w:rsidR="00C8388E" w:rsidRPr="00C8388E">
        <w:t>;</w:t>
      </w:r>
      <w:r w:rsidR="006730C2" w:rsidRPr="00C8388E">
        <w:t xml:space="preserve"> a</w:t>
      </w:r>
      <w:r w:rsidRPr="00C8388E">
        <w:t xml:space="preserve"> cash increase of a</w:t>
      </w:r>
      <w:r w:rsidR="00C87C19" w:rsidRPr="00C8388E">
        <w:t xml:space="preserve">round </w:t>
      </w:r>
      <w:r w:rsidRPr="00C8388E">
        <w:t>£</w:t>
      </w:r>
      <w:r w:rsidR="00C8388E" w:rsidRPr="00C8388E">
        <w:t>64</w:t>
      </w:r>
      <w:r w:rsidRPr="00C8388E">
        <w:t>m since 2016/17.</w:t>
      </w:r>
    </w:p>
    <w:bookmarkEnd w:id="9"/>
    <w:p w14:paraId="2F01C9E6" w14:textId="5D08919E" w:rsidR="008A79C0" w:rsidRPr="00C8388E" w:rsidRDefault="00220144" w:rsidP="00C8388E">
      <w:pPr>
        <w:pStyle w:val="PanelHeading"/>
      </w:pPr>
      <w:r w:rsidRPr="00C40200">
        <w:t>202</w:t>
      </w:r>
      <w:r w:rsidR="00DA742D">
        <w:t>4</w:t>
      </w:r>
      <w:r w:rsidRPr="00C40200">
        <w:t>/2</w:t>
      </w:r>
      <w:r w:rsidR="00DA742D">
        <w:t>5</w:t>
      </w:r>
      <w:r w:rsidR="008A79C0" w:rsidRPr="00C40200">
        <w:t xml:space="preserve"> – Base Budget preparation, approach and scrutiny </w:t>
      </w:r>
    </w:p>
    <w:p w14:paraId="0D4469A9" w14:textId="7A30315B" w:rsidR="009811CA" w:rsidRPr="00C40200" w:rsidRDefault="009811CA" w:rsidP="00DA742D">
      <w:pPr>
        <w:pStyle w:val="PanelPara"/>
      </w:pPr>
      <w:bookmarkStart w:id="10" w:name="_Hlk156747272"/>
      <w:r w:rsidRPr="00C40200">
        <w:t xml:space="preserve">The budget is the </w:t>
      </w:r>
      <w:r w:rsidR="00DA742D">
        <w:t>fourth</w:t>
      </w:r>
      <w:r w:rsidR="00C40200" w:rsidRPr="00C40200">
        <w:t xml:space="preserve"> </w:t>
      </w:r>
      <w:r w:rsidRPr="00C40200">
        <w:t xml:space="preserve">budget prepared under the </w:t>
      </w:r>
      <w:r w:rsidR="00DA742D">
        <w:t>J</w:t>
      </w:r>
      <w:r w:rsidRPr="00C40200">
        <w:t xml:space="preserve">oint </w:t>
      </w:r>
      <w:r w:rsidR="00DA742D">
        <w:t>F</w:t>
      </w:r>
      <w:r w:rsidR="00A86088" w:rsidRPr="00C40200">
        <w:t xml:space="preserve">inance </w:t>
      </w:r>
      <w:r w:rsidR="00DA742D">
        <w:t>T</w:t>
      </w:r>
      <w:r w:rsidRPr="00C40200">
        <w:t xml:space="preserve">eam </w:t>
      </w:r>
      <w:r w:rsidR="00DA742D">
        <w:t xml:space="preserve">using </w:t>
      </w:r>
      <w:r w:rsidRPr="00C40200">
        <w:t>an approach which provide</w:t>
      </w:r>
      <w:r w:rsidR="00DA742D">
        <w:t>s</w:t>
      </w:r>
      <w:r w:rsidRPr="00C40200">
        <w:t xml:space="preserve"> consistency across </w:t>
      </w:r>
      <w:r w:rsidR="00A86088">
        <w:t xml:space="preserve">both </w:t>
      </w:r>
      <w:r w:rsidRPr="00C40200">
        <w:t>Fir</w:t>
      </w:r>
      <w:r w:rsidR="00174CE0" w:rsidRPr="00C40200">
        <w:t xml:space="preserve">e </w:t>
      </w:r>
      <w:r w:rsidRPr="00C40200">
        <w:t>and</w:t>
      </w:r>
      <w:r w:rsidR="00174CE0" w:rsidRPr="00C40200">
        <w:t xml:space="preserve"> </w:t>
      </w:r>
      <w:r w:rsidRPr="00C40200">
        <w:t xml:space="preserve">Police. </w:t>
      </w:r>
      <w:r w:rsidR="00DA742D">
        <w:t xml:space="preserve"> </w:t>
      </w:r>
      <w:r w:rsidRPr="00C40200">
        <w:t xml:space="preserve">This has enabled comparability of assumptions and principles, together with best practice, resilience and a more efficient </w:t>
      </w:r>
      <w:r w:rsidR="00DA742D">
        <w:t>process</w:t>
      </w:r>
      <w:r w:rsidRPr="00C40200">
        <w:t xml:space="preserve"> applied to budgeting for all services.</w:t>
      </w:r>
    </w:p>
    <w:p w14:paraId="61516DD8" w14:textId="65131856" w:rsidR="009811CA" w:rsidRPr="00C40200" w:rsidRDefault="009811CA" w:rsidP="00DA742D">
      <w:pPr>
        <w:pStyle w:val="PanelPara"/>
      </w:pPr>
      <w:r w:rsidRPr="00C40200">
        <w:t xml:space="preserve">The budget has been prepared on a zero-base where possible, in full consultation with budget holders, aligned to the Police, Fire and </w:t>
      </w:r>
      <w:r w:rsidR="00DA742D">
        <w:t>Crime</w:t>
      </w:r>
      <w:r w:rsidRPr="00C40200">
        <w:t xml:space="preserve"> Plan and tested against the MTFP. </w:t>
      </w:r>
    </w:p>
    <w:p w14:paraId="0D14D4A8" w14:textId="2A92A9F5" w:rsidR="009811CA" w:rsidRPr="00C40200" w:rsidRDefault="009811CA" w:rsidP="00DA742D">
      <w:pPr>
        <w:pStyle w:val="PanelPara"/>
      </w:pPr>
      <w:r w:rsidRPr="00C40200">
        <w:t xml:space="preserve">The </w:t>
      </w:r>
      <w:r w:rsidR="00A86088" w:rsidRPr="00C40200">
        <w:t>zero-based</w:t>
      </w:r>
      <w:r w:rsidRPr="00C40200">
        <w:t xml:space="preserve"> approach ensures that efficiencies are taken from this process where possible that only approved increases, inflation and unavoidable pressures are built in. </w:t>
      </w:r>
      <w:r w:rsidR="00DA742D">
        <w:t xml:space="preserve"> </w:t>
      </w:r>
      <w:r w:rsidRPr="00C40200">
        <w:t>Detailed workings are prepared</w:t>
      </w:r>
      <w:r w:rsidR="00DA742D">
        <w:t>,</w:t>
      </w:r>
      <w:r w:rsidRPr="00C40200">
        <w:t xml:space="preserve"> and the format of the budget models are consistent and </w:t>
      </w:r>
      <w:r w:rsidR="00A86088">
        <w:t>contain</w:t>
      </w:r>
      <w:r w:rsidR="00A86088" w:rsidRPr="00C40200">
        <w:t xml:space="preserve"> </w:t>
      </w:r>
      <w:r w:rsidRPr="00C40200">
        <w:t xml:space="preserve">built in checks and balances to ensure the correct information is fed through. </w:t>
      </w:r>
      <w:r w:rsidR="00DA742D">
        <w:t xml:space="preserve"> </w:t>
      </w:r>
      <w:r w:rsidRPr="00C40200">
        <w:t>This approach also enables resilience within the finance team.</w:t>
      </w:r>
    </w:p>
    <w:p w14:paraId="67EA4D71" w14:textId="30925160" w:rsidR="009811CA" w:rsidRPr="00C40200" w:rsidRDefault="009811CA" w:rsidP="00DA742D">
      <w:pPr>
        <w:pStyle w:val="PanelPara"/>
      </w:pPr>
      <w:r w:rsidRPr="00C40200">
        <w:t xml:space="preserve">Following the preparation of the </w:t>
      </w:r>
      <w:r w:rsidR="00A86088">
        <w:t>b</w:t>
      </w:r>
      <w:r w:rsidR="00A86088" w:rsidRPr="00C40200">
        <w:t xml:space="preserve">udget </w:t>
      </w:r>
      <w:r w:rsidR="00A86088">
        <w:t>s</w:t>
      </w:r>
      <w:r w:rsidR="00A86088" w:rsidRPr="00C40200">
        <w:t xml:space="preserve">trategy </w:t>
      </w:r>
      <w:r w:rsidRPr="00C40200">
        <w:t xml:space="preserve">and approach in September, briefing sessions took place with all budget holders and the strategy was shared with the Joint Independent Audit Committee (JIAC) for further scrutiny and review. </w:t>
      </w:r>
    </w:p>
    <w:p w14:paraId="2CE6450B" w14:textId="5175BD4A" w:rsidR="00107C61" w:rsidRDefault="009811CA" w:rsidP="00DA742D">
      <w:pPr>
        <w:pStyle w:val="PanelPara"/>
      </w:pPr>
      <w:r w:rsidRPr="00C40200">
        <w:t xml:space="preserve">The table below sets out the preparation and scrutiny elements </w:t>
      </w:r>
      <w:r w:rsidR="0037796D">
        <w:t>of the budgeting process</w:t>
      </w:r>
      <w:r w:rsidR="00191853">
        <w:t>:</w:t>
      </w:r>
    </w:p>
    <w:bookmarkEnd w:id="10"/>
    <w:p w14:paraId="20570740" w14:textId="5446B005" w:rsidR="008A79C0" w:rsidRPr="001D144A" w:rsidRDefault="00191853" w:rsidP="00191853">
      <w:pPr>
        <w:tabs>
          <w:tab w:val="left" w:pos="567"/>
        </w:tabs>
        <w:spacing w:after="0" w:line="240" w:lineRule="auto"/>
        <w:ind w:left="567" w:hanging="567"/>
        <w:rPr>
          <w:rFonts w:ascii="Arial" w:hAnsi="Arial" w:cs="Arial"/>
          <w:kern w:val="36"/>
        </w:rPr>
      </w:pPr>
      <w:r w:rsidRPr="00191853">
        <w:rPr>
          <w:rFonts w:ascii="Arial" w:hAnsi="Arial" w:cs="Arial"/>
          <w:noProof/>
          <w:kern w:val="36"/>
        </w:rPr>
        <w:drawing>
          <wp:inline distT="0" distB="0" distL="0" distR="0" wp14:anchorId="36DB939F" wp14:editId="3DC8A23E">
            <wp:extent cx="6120130" cy="4211955"/>
            <wp:effectExtent l="38100" t="19050" r="13970" b="36195"/>
            <wp:docPr id="1" name="Diagram 1">
              <a:extLst xmlns:a="http://schemas.openxmlformats.org/drawingml/2006/main">
                <a:ext uri="{FF2B5EF4-FFF2-40B4-BE49-F238E27FC236}">
                  <a16:creationId xmlns:a16="http://schemas.microsoft.com/office/drawing/2014/main" id="{AD664C20-7B26-5365-F78B-95BC80D3F6D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5BDD580" w14:textId="77777777" w:rsidR="008F0349" w:rsidRPr="001D144A" w:rsidRDefault="008F0349" w:rsidP="004364E9">
      <w:pPr>
        <w:tabs>
          <w:tab w:val="left" w:pos="567"/>
        </w:tabs>
        <w:spacing w:after="0" w:line="240" w:lineRule="auto"/>
        <w:jc w:val="both"/>
        <w:rPr>
          <w:rFonts w:ascii="Arial" w:hAnsi="Arial" w:cs="Arial"/>
          <w:kern w:val="36"/>
        </w:rPr>
      </w:pPr>
    </w:p>
    <w:p w14:paraId="308805A8" w14:textId="77777777" w:rsidR="00191853" w:rsidRDefault="009811CA" w:rsidP="00191853">
      <w:pPr>
        <w:pStyle w:val="PanelPara"/>
      </w:pPr>
      <w:r w:rsidRPr="001D144A">
        <w:t>At the December Accountability Board</w:t>
      </w:r>
      <w:r w:rsidR="00191853">
        <w:t>,</w:t>
      </w:r>
      <w:r w:rsidRPr="001D144A">
        <w:t xml:space="preserve"> the PFCC </w:t>
      </w:r>
      <w:r w:rsidR="00191853">
        <w:t>commended the work on proposed budgets and approved investments in principle whilst final funding information was still awaited.  The PFCC subsequently</w:t>
      </w:r>
      <w:r w:rsidR="00C40200" w:rsidRPr="00FF3003">
        <w:t xml:space="preserve"> approved the budget subject to agreement on the precept and the sum of </w:t>
      </w:r>
      <w:r w:rsidR="00C40200" w:rsidRPr="009433F4">
        <w:t>£</w:t>
      </w:r>
      <w:r w:rsidR="00191853" w:rsidRPr="009433F4">
        <w:t>1.823</w:t>
      </w:r>
      <w:r w:rsidR="00C40200" w:rsidRPr="009433F4">
        <w:t xml:space="preserve">m </w:t>
      </w:r>
      <w:r w:rsidR="00FF3003" w:rsidRPr="009433F4">
        <w:t>for</w:t>
      </w:r>
      <w:r w:rsidR="00FF3003" w:rsidRPr="00FF3003">
        <w:t xml:space="preserve"> investments requested by the Chief Constable.</w:t>
      </w:r>
    </w:p>
    <w:p w14:paraId="11DCD733" w14:textId="32C8628C" w:rsidR="009811CA" w:rsidRPr="00191853" w:rsidRDefault="00191853" w:rsidP="00191853">
      <w:pPr>
        <w:pStyle w:val="PanelPara"/>
      </w:pPr>
      <w:r>
        <w:rPr>
          <w:kern w:val="36"/>
        </w:rPr>
        <w:t>Thus, the</w:t>
      </w:r>
      <w:r w:rsidR="009811CA" w:rsidRPr="00191853">
        <w:rPr>
          <w:kern w:val="36"/>
        </w:rPr>
        <w:t xml:space="preserve"> PFCC </w:t>
      </w:r>
      <w:r>
        <w:rPr>
          <w:kern w:val="36"/>
        </w:rPr>
        <w:t xml:space="preserve">has </w:t>
      </w:r>
      <w:r w:rsidR="009811CA" w:rsidRPr="00191853">
        <w:rPr>
          <w:kern w:val="36"/>
        </w:rPr>
        <w:t xml:space="preserve">set the following budget for policing: </w:t>
      </w:r>
    </w:p>
    <w:tbl>
      <w:tblPr>
        <w:tblW w:w="6280" w:type="dxa"/>
        <w:tblLook w:val="04A0" w:firstRow="1" w:lastRow="0" w:firstColumn="1" w:lastColumn="0" w:noHBand="0" w:noVBand="1"/>
      </w:tblPr>
      <w:tblGrid>
        <w:gridCol w:w="1140"/>
        <w:gridCol w:w="4000"/>
        <w:gridCol w:w="1140"/>
      </w:tblGrid>
      <w:tr w:rsidR="006400EB" w:rsidRPr="006400EB" w14:paraId="7946472E" w14:textId="77777777" w:rsidTr="006400EB">
        <w:trPr>
          <w:trHeight w:val="630"/>
        </w:trPr>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514730" w14:textId="77777777" w:rsidR="006400EB" w:rsidRPr="006400EB" w:rsidRDefault="006400EB" w:rsidP="006400EB">
            <w:pPr>
              <w:spacing w:after="0" w:line="240" w:lineRule="auto"/>
              <w:jc w:val="center"/>
              <w:rPr>
                <w:rFonts w:eastAsia="Times New Roman" w:cs="Calibri"/>
                <w:b/>
                <w:bCs/>
                <w:color w:val="000000"/>
                <w:sz w:val="24"/>
                <w:szCs w:val="24"/>
                <w:lang w:eastAsia="en-GB"/>
              </w:rPr>
            </w:pPr>
            <w:r w:rsidRPr="006400EB">
              <w:rPr>
                <w:rFonts w:eastAsia="Times New Roman" w:cs="Calibri"/>
                <w:b/>
                <w:bCs/>
                <w:color w:val="000000"/>
                <w:sz w:val="24"/>
                <w:szCs w:val="24"/>
                <w:lang w:eastAsia="en-GB"/>
              </w:rPr>
              <w:t>2023/24</w:t>
            </w:r>
            <w:r w:rsidRPr="006400EB">
              <w:rPr>
                <w:rFonts w:eastAsia="Times New Roman" w:cs="Calibri"/>
                <w:b/>
                <w:bCs/>
                <w:color w:val="000000"/>
                <w:sz w:val="24"/>
                <w:szCs w:val="24"/>
                <w:lang w:eastAsia="en-GB"/>
              </w:rPr>
              <w:br/>
              <w:t>£m</w:t>
            </w:r>
          </w:p>
        </w:tc>
        <w:tc>
          <w:tcPr>
            <w:tcW w:w="4000" w:type="dxa"/>
            <w:tcBorders>
              <w:top w:val="single" w:sz="4" w:space="0" w:color="auto"/>
              <w:left w:val="nil"/>
              <w:bottom w:val="single" w:sz="4" w:space="0" w:color="auto"/>
              <w:right w:val="single" w:sz="4" w:space="0" w:color="auto"/>
            </w:tcBorders>
            <w:shd w:val="clear" w:color="000000" w:fill="FFFFFF"/>
            <w:noWrap/>
            <w:vAlign w:val="center"/>
            <w:hideMark/>
          </w:tcPr>
          <w:p w14:paraId="5424B5AF" w14:textId="77777777" w:rsidR="006400EB" w:rsidRPr="006400EB" w:rsidRDefault="006400EB" w:rsidP="006400EB">
            <w:pPr>
              <w:spacing w:after="0" w:line="240" w:lineRule="auto"/>
              <w:jc w:val="center"/>
              <w:rPr>
                <w:rFonts w:eastAsia="Times New Roman" w:cs="Calibri"/>
                <w:b/>
                <w:bCs/>
                <w:color w:val="000000"/>
                <w:sz w:val="24"/>
                <w:szCs w:val="24"/>
                <w:lang w:eastAsia="en-GB"/>
              </w:rPr>
            </w:pPr>
            <w:r w:rsidRPr="006400EB">
              <w:rPr>
                <w:rFonts w:eastAsia="Times New Roman" w:cs="Calibri"/>
                <w:b/>
                <w:bCs/>
                <w:color w:val="000000"/>
                <w:sz w:val="24"/>
                <w:szCs w:val="24"/>
                <w:lang w:eastAsia="en-GB"/>
              </w:rPr>
              <w:t>Budget Breakdown</w:t>
            </w:r>
          </w:p>
        </w:tc>
        <w:tc>
          <w:tcPr>
            <w:tcW w:w="1140" w:type="dxa"/>
            <w:tcBorders>
              <w:top w:val="single" w:sz="4" w:space="0" w:color="auto"/>
              <w:left w:val="nil"/>
              <w:bottom w:val="single" w:sz="4" w:space="0" w:color="auto"/>
              <w:right w:val="single" w:sz="4" w:space="0" w:color="auto"/>
            </w:tcBorders>
            <w:shd w:val="clear" w:color="000000" w:fill="DDEBF7"/>
            <w:vAlign w:val="center"/>
            <w:hideMark/>
          </w:tcPr>
          <w:p w14:paraId="1F5ACBB9" w14:textId="77777777" w:rsidR="006400EB" w:rsidRPr="006400EB" w:rsidRDefault="006400EB" w:rsidP="006400EB">
            <w:pPr>
              <w:spacing w:after="0" w:line="240" w:lineRule="auto"/>
              <w:jc w:val="center"/>
              <w:rPr>
                <w:rFonts w:eastAsia="Times New Roman" w:cs="Calibri"/>
                <w:b/>
                <w:bCs/>
                <w:color w:val="000000"/>
                <w:sz w:val="24"/>
                <w:szCs w:val="24"/>
                <w:lang w:eastAsia="en-GB"/>
              </w:rPr>
            </w:pPr>
            <w:r w:rsidRPr="006400EB">
              <w:rPr>
                <w:rFonts w:eastAsia="Times New Roman" w:cs="Calibri"/>
                <w:b/>
                <w:bCs/>
                <w:color w:val="000000"/>
                <w:sz w:val="24"/>
                <w:szCs w:val="24"/>
                <w:lang w:eastAsia="en-GB"/>
              </w:rPr>
              <w:t>2024/25</w:t>
            </w:r>
            <w:r w:rsidRPr="006400EB">
              <w:rPr>
                <w:rFonts w:eastAsia="Times New Roman" w:cs="Calibri"/>
                <w:b/>
                <w:bCs/>
                <w:color w:val="000000"/>
                <w:sz w:val="24"/>
                <w:szCs w:val="24"/>
                <w:lang w:eastAsia="en-GB"/>
              </w:rPr>
              <w:br/>
              <w:t>£m</w:t>
            </w:r>
          </w:p>
        </w:tc>
      </w:tr>
      <w:tr w:rsidR="006400EB" w:rsidRPr="006400EB" w14:paraId="026C8BE3" w14:textId="77777777" w:rsidTr="006400EB">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18259AC9" w14:textId="77777777" w:rsidR="006400EB" w:rsidRPr="006400EB" w:rsidRDefault="006400EB" w:rsidP="006400EB">
            <w:pPr>
              <w:spacing w:after="0" w:line="240" w:lineRule="auto"/>
              <w:jc w:val="right"/>
              <w:rPr>
                <w:rFonts w:eastAsia="Times New Roman" w:cs="Calibri"/>
                <w:color w:val="000000"/>
                <w:sz w:val="24"/>
                <w:szCs w:val="24"/>
                <w:lang w:eastAsia="en-GB"/>
              </w:rPr>
            </w:pPr>
            <w:r w:rsidRPr="006400EB">
              <w:rPr>
                <w:rFonts w:eastAsia="Times New Roman" w:cs="Calibri"/>
                <w:color w:val="000000"/>
                <w:sz w:val="24"/>
                <w:szCs w:val="24"/>
                <w:lang w:eastAsia="en-GB"/>
              </w:rPr>
              <w:t>133.344</w:t>
            </w:r>
          </w:p>
        </w:tc>
        <w:tc>
          <w:tcPr>
            <w:tcW w:w="4000" w:type="dxa"/>
            <w:tcBorders>
              <w:top w:val="nil"/>
              <w:left w:val="nil"/>
              <w:bottom w:val="nil"/>
              <w:right w:val="single" w:sz="4" w:space="0" w:color="auto"/>
            </w:tcBorders>
            <w:shd w:val="clear" w:color="000000" w:fill="FFFFFF"/>
            <w:noWrap/>
            <w:vAlign w:val="bottom"/>
            <w:hideMark/>
          </w:tcPr>
          <w:p w14:paraId="75AFDA39" w14:textId="77777777" w:rsidR="006400EB" w:rsidRPr="006400EB" w:rsidRDefault="006400EB" w:rsidP="006400EB">
            <w:pPr>
              <w:spacing w:after="0" w:line="240" w:lineRule="auto"/>
              <w:rPr>
                <w:rFonts w:eastAsia="Times New Roman" w:cs="Calibri"/>
                <w:color w:val="000000"/>
                <w:sz w:val="24"/>
                <w:szCs w:val="24"/>
                <w:lang w:eastAsia="en-GB"/>
              </w:rPr>
            </w:pPr>
            <w:r w:rsidRPr="006400EB">
              <w:rPr>
                <w:rFonts w:eastAsia="Times New Roman" w:cs="Calibri"/>
                <w:color w:val="000000"/>
                <w:sz w:val="24"/>
                <w:szCs w:val="24"/>
                <w:lang w:eastAsia="en-GB"/>
              </w:rPr>
              <w:t>Force</w:t>
            </w:r>
          </w:p>
        </w:tc>
        <w:tc>
          <w:tcPr>
            <w:tcW w:w="1140" w:type="dxa"/>
            <w:tcBorders>
              <w:top w:val="nil"/>
              <w:left w:val="nil"/>
              <w:bottom w:val="nil"/>
              <w:right w:val="single" w:sz="4" w:space="0" w:color="auto"/>
            </w:tcBorders>
            <w:shd w:val="clear" w:color="000000" w:fill="DDEBF7"/>
            <w:noWrap/>
            <w:vAlign w:val="bottom"/>
            <w:hideMark/>
          </w:tcPr>
          <w:p w14:paraId="7653A84D" w14:textId="77777777" w:rsidR="006400EB" w:rsidRPr="006400EB" w:rsidRDefault="006400EB" w:rsidP="006400EB">
            <w:pPr>
              <w:spacing w:after="0" w:line="240" w:lineRule="auto"/>
              <w:jc w:val="right"/>
              <w:rPr>
                <w:rFonts w:eastAsia="Times New Roman" w:cs="Calibri"/>
                <w:color w:val="000000"/>
                <w:sz w:val="24"/>
                <w:szCs w:val="24"/>
                <w:lang w:eastAsia="en-GB"/>
              </w:rPr>
            </w:pPr>
            <w:r w:rsidRPr="006400EB">
              <w:rPr>
                <w:rFonts w:eastAsia="Times New Roman" w:cs="Calibri"/>
                <w:color w:val="000000"/>
                <w:sz w:val="24"/>
                <w:szCs w:val="24"/>
                <w:lang w:eastAsia="en-GB"/>
              </w:rPr>
              <w:t>144.471</w:t>
            </w:r>
          </w:p>
        </w:tc>
      </w:tr>
      <w:tr w:rsidR="006400EB" w:rsidRPr="006400EB" w14:paraId="37DFDDF1" w14:textId="77777777" w:rsidTr="006400EB">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193F24F6" w14:textId="77777777" w:rsidR="006400EB" w:rsidRPr="006400EB" w:rsidRDefault="006400EB" w:rsidP="006400EB">
            <w:pPr>
              <w:spacing w:after="0" w:line="240" w:lineRule="auto"/>
              <w:jc w:val="right"/>
              <w:rPr>
                <w:rFonts w:eastAsia="Times New Roman" w:cs="Calibri"/>
                <w:color w:val="000000"/>
                <w:sz w:val="24"/>
                <w:szCs w:val="24"/>
                <w:lang w:eastAsia="en-GB"/>
              </w:rPr>
            </w:pPr>
            <w:r w:rsidRPr="006400EB">
              <w:rPr>
                <w:rFonts w:eastAsia="Times New Roman" w:cs="Calibri"/>
                <w:color w:val="000000"/>
                <w:sz w:val="24"/>
                <w:szCs w:val="24"/>
                <w:lang w:eastAsia="en-GB"/>
              </w:rPr>
              <w:t>27.245</w:t>
            </w:r>
          </w:p>
        </w:tc>
        <w:tc>
          <w:tcPr>
            <w:tcW w:w="4000" w:type="dxa"/>
            <w:tcBorders>
              <w:top w:val="nil"/>
              <w:left w:val="nil"/>
              <w:bottom w:val="nil"/>
              <w:right w:val="single" w:sz="4" w:space="0" w:color="auto"/>
            </w:tcBorders>
            <w:shd w:val="clear" w:color="000000" w:fill="FFFFFF"/>
            <w:noWrap/>
            <w:vAlign w:val="bottom"/>
            <w:hideMark/>
          </w:tcPr>
          <w:p w14:paraId="2679AC44" w14:textId="77777777" w:rsidR="006400EB" w:rsidRPr="006400EB" w:rsidRDefault="006400EB" w:rsidP="006400EB">
            <w:pPr>
              <w:spacing w:after="0" w:line="240" w:lineRule="auto"/>
              <w:rPr>
                <w:rFonts w:eastAsia="Times New Roman" w:cs="Calibri"/>
                <w:color w:val="000000"/>
                <w:sz w:val="24"/>
                <w:szCs w:val="24"/>
                <w:lang w:eastAsia="en-GB"/>
              </w:rPr>
            </w:pPr>
            <w:r w:rsidRPr="006400EB">
              <w:rPr>
                <w:rFonts w:eastAsia="Times New Roman" w:cs="Calibri"/>
                <w:color w:val="000000"/>
                <w:sz w:val="24"/>
                <w:szCs w:val="24"/>
                <w:lang w:eastAsia="en-GB"/>
              </w:rPr>
              <w:t>Enabling Services</w:t>
            </w:r>
          </w:p>
        </w:tc>
        <w:tc>
          <w:tcPr>
            <w:tcW w:w="1140" w:type="dxa"/>
            <w:tcBorders>
              <w:top w:val="nil"/>
              <w:left w:val="nil"/>
              <w:bottom w:val="nil"/>
              <w:right w:val="single" w:sz="4" w:space="0" w:color="auto"/>
            </w:tcBorders>
            <w:shd w:val="clear" w:color="000000" w:fill="DDEBF7"/>
            <w:noWrap/>
            <w:vAlign w:val="bottom"/>
            <w:hideMark/>
          </w:tcPr>
          <w:p w14:paraId="24D26E58" w14:textId="77777777" w:rsidR="006400EB" w:rsidRPr="006400EB" w:rsidRDefault="006400EB" w:rsidP="006400EB">
            <w:pPr>
              <w:spacing w:after="0" w:line="240" w:lineRule="auto"/>
              <w:jc w:val="right"/>
              <w:rPr>
                <w:rFonts w:eastAsia="Times New Roman" w:cs="Calibri"/>
                <w:color w:val="000000"/>
                <w:sz w:val="24"/>
                <w:szCs w:val="24"/>
                <w:lang w:eastAsia="en-GB"/>
              </w:rPr>
            </w:pPr>
            <w:r w:rsidRPr="006400EB">
              <w:rPr>
                <w:rFonts w:eastAsia="Times New Roman" w:cs="Calibri"/>
                <w:color w:val="000000"/>
                <w:sz w:val="24"/>
                <w:szCs w:val="24"/>
                <w:lang w:eastAsia="en-GB"/>
              </w:rPr>
              <w:t>31.799</w:t>
            </w:r>
          </w:p>
        </w:tc>
      </w:tr>
      <w:tr w:rsidR="006400EB" w:rsidRPr="006400EB" w14:paraId="73842CE8" w14:textId="77777777" w:rsidTr="006400EB">
        <w:trPr>
          <w:trHeight w:val="315"/>
        </w:trPr>
        <w:tc>
          <w:tcPr>
            <w:tcW w:w="1140" w:type="dxa"/>
            <w:tcBorders>
              <w:top w:val="single" w:sz="4" w:space="0" w:color="auto"/>
              <w:left w:val="single" w:sz="4" w:space="0" w:color="auto"/>
              <w:bottom w:val="nil"/>
              <w:right w:val="single" w:sz="4" w:space="0" w:color="auto"/>
            </w:tcBorders>
            <w:shd w:val="clear" w:color="000000" w:fill="FFFFFF"/>
            <w:noWrap/>
            <w:vAlign w:val="bottom"/>
            <w:hideMark/>
          </w:tcPr>
          <w:p w14:paraId="22523454" w14:textId="77777777" w:rsidR="006400EB" w:rsidRPr="006400EB" w:rsidRDefault="006400EB" w:rsidP="006400EB">
            <w:pPr>
              <w:spacing w:after="0" w:line="240" w:lineRule="auto"/>
              <w:jc w:val="right"/>
              <w:rPr>
                <w:rFonts w:eastAsia="Times New Roman" w:cs="Calibri"/>
                <w:b/>
                <w:bCs/>
                <w:color w:val="000000"/>
                <w:sz w:val="24"/>
                <w:szCs w:val="24"/>
                <w:lang w:eastAsia="en-GB"/>
              </w:rPr>
            </w:pPr>
            <w:r w:rsidRPr="006400EB">
              <w:rPr>
                <w:rFonts w:eastAsia="Times New Roman" w:cs="Calibri"/>
                <w:b/>
                <w:bCs/>
                <w:color w:val="000000"/>
                <w:sz w:val="24"/>
                <w:szCs w:val="24"/>
                <w:lang w:eastAsia="en-GB"/>
              </w:rPr>
              <w:t>160.589</w:t>
            </w:r>
          </w:p>
        </w:tc>
        <w:tc>
          <w:tcPr>
            <w:tcW w:w="4000" w:type="dxa"/>
            <w:tcBorders>
              <w:top w:val="single" w:sz="4" w:space="0" w:color="auto"/>
              <w:left w:val="nil"/>
              <w:bottom w:val="nil"/>
              <w:right w:val="single" w:sz="4" w:space="0" w:color="auto"/>
            </w:tcBorders>
            <w:shd w:val="clear" w:color="000000" w:fill="FFFFFF"/>
            <w:noWrap/>
            <w:vAlign w:val="bottom"/>
            <w:hideMark/>
          </w:tcPr>
          <w:p w14:paraId="46AE42D2" w14:textId="77777777" w:rsidR="006400EB" w:rsidRPr="006400EB" w:rsidRDefault="006400EB" w:rsidP="006400EB">
            <w:pPr>
              <w:spacing w:after="0" w:line="240" w:lineRule="auto"/>
              <w:rPr>
                <w:rFonts w:eastAsia="Times New Roman" w:cs="Calibri"/>
                <w:b/>
                <w:bCs/>
                <w:color w:val="000000"/>
                <w:sz w:val="24"/>
                <w:szCs w:val="24"/>
                <w:lang w:eastAsia="en-GB"/>
              </w:rPr>
            </w:pPr>
            <w:r w:rsidRPr="006400EB">
              <w:rPr>
                <w:rFonts w:eastAsia="Times New Roman" w:cs="Calibri"/>
                <w:b/>
                <w:bCs/>
                <w:color w:val="000000"/>
                <w:sz w:val="24"/>
                <w:szCs w:val="24"/>
                <w:lang w:eastAsia="en-GB"/>
              </w:rPr>
              <w:t>Indicative Police Budget</w:t>
            </w:r>
          </w:p>
        </w:tc>
        <w:tc>
          <w:tcPr>
            <w:tcW w:w="1140" w:type="dxa"/>
            <w:tcBorders>
              <w:top w:val="single" w:sz="4" w:space="0" w:color="auto"/>
              <w:left w:val="nil"/>
              <w:bottom w:val="nil"/>
              <w:right w:val="single" w:sz="4" w:space="0" w:color="auto"/>
            </w:tcBorders>
            <w:shd w:val="clear" w:color="000000" w:fill="DDEBF7"/>
            <w:noWrap/>
            <w:vAlign w:val="bottom"/>
            <w:hideMark/>
          </w:tcPr>
          <w:p w14:paraId="264656FF" w14:textId="77777777" w:rsidR="006400EB" w:rsidRPr="006400EB" w:rsidRDefault="006400EB" w:rsidP="006400EB">
            <w:pPr>
              <w:spacing w:after="0" w:line="240" w:lineRule="auto"/>
              <w:jc w:val="right"/>
              <w:rPr>
                <w:rFonts w:eastAsia="Times New Roman" w:cs="Calibri"/>
                <w:b/>
                <w:bCs/>
                <w:color w:val="000000"/>
                <w:sz w:val="24"/>
                <w:szCs w:val="24"/>
                <w:lang w:eastAsia="en-GB"/>
              </w:rPr>
            </w:pPr>
            <w:r w:rsidRPr="006400EB">
              <w:rPr>
                <w:rFonts w:eastAsia="Times New Roman" w:cs="Calibri"/>
                <w:b/>
                <w:bCs/>
                <w:color w:val="000000"/>
                <w:sz w:val="24"/>
                <w:szCs w:val="24"/>
                <w:lang w:eastAsia="en-GB"/>
              </w:rPr>
              <w:t>176.270</w:t>
            </w:r>
          </w:p>
        </w:tc>
      </w:tr>
      <w:tr w:rsidR="006400EB" w:rsidRPr="006400EB" w14:paraId="6A3F64C5" w14:textId="77777777" w:rsidTr="006400EB">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30BBA9EE" w14:textId="77777777" w:rsidR="006400EB" w:rsidRPr="006400EB" w:rsidRDefault="006400EB" w:rsidP="006400EB">
            <w:pPr>
              <w:spacing w:after="0" w:line="240" w:lineRule="auto"/>
              <w:rPr>
                <w:rFonts w:eastAsia="Times New Roman" w:cs="Calibri"/>
                <w:color w:val="000000"/>
                <w:sz w:val="24"/>
                <w:szCs w:val="24"/>
                <w:lang w:eastAsia="en-GB"/>
              </w:rPr>
            </w:pPr>
            <w:r w:rsidRPr="006400EB">
              <w:rPr>
                <w:rFonts w:eastAsia="Times New Roman" w:cs="Calibri"/>
                <w:color w:val="000000"/>
                <w:sz w:val="24"/>
                <w:szCs w:val="24"/>
                <w:lang w:eastAsia="en-GB"/>
              </w:rPr>
              <w:t> </w:t>
            </w:r>
          </w:p>
        </w:tc>
        <w:tc>
          <w:tcPr>
            <w:tcW w:w="4000" w:type="dxa"/>
            <w:tcBorders>
              <w:top w:val="nil"/>
              <w:left w:val="nil"/>
              <w:bottom w:val="nil"/>
              <w:right w:val="single" w:sz="4" w:space="0" w:color="auto"/>
            </w:tcBorders>
            <w:shd w:val="clear" w:color="000000" w:fill="FFFFFF"/>
            <w:noWrap/>
            <w:vAlign w:val="bottom"/>
            <w:hideMark/>
          </w:tcPr>
          <w:p w14:paraId="2A72EDCC" w14:textId="77777777" w:rsidR="006400EB" w:rsidRPr="006400EB" w:rsidRDefault="006400EB" w:rsidP="006400EB">
            <w:pPr>
              <w:spacing w:after="0" w:line="240" w:lineRule="auto"/>
              <w:rPr>
                <w:rFonts w:eastAsia="Times New Roman" w:cs="Calibri"/>
                <w:color w:val="000000"/>
                <w:sz w:val="24"/>
                <w:szCs w:val="24"/>
                <w:lang w:eastAsia="en-GB"/>
              </w:rPr>
            </w:pPr>
            <w:r w:rsidRPr="006400EB">
              <w:rPr>
                <w:rFonts w:eastAsia="Times New Roman" w:cs="Calibri"/>
                <w:color w:val="000000"/>
                <w:sz w:val="24"/>
                <w:szCs w:val="24"/>
                <w:lang w:eastAsia="en-GB"/>
              </w:rPr>
              <w:t> </w:t>
            </w:r>
          </w:p>
        </w:tc>
        <w:tc>
          <w:tcPr>
            <w:tcW w:w="1140" w:type="dxa"/>
            <w:tcBorders>
              <w:top w:val="nil"/>
              <w:left w:val="nil"/>
              <w:bottom w:val="nil"/>
              <w:right w:val="single" w:sz="4" w:space="0" w:color="auto"/>
            </w:tcBorders>
            <w:shd w:val="clear" w:color="000000" w:fill="DDEBF7"/>
            <w:noWrap/>
            <w:vAlign w:val="bottom"/>
            <w:hideMark/>
          </w:tcPr>
          <w:p w14:paraId="161978E3" w14:textId="77777777" w:rsidR="006400EB" w:rsidRPr="006400EB" w:rsidRDefault="006400EB" w:rsidP="006400EB">
            <w:pPr>
              <w:spacing w:after="0" w:line="240" w:lineRule="auto"/>
              <w:rPr>
                <w:rFonts w:eastAsia="Times New Roman" w:cs="Calibri"/>
                <w:color w:val="000000"/>
                <w:sz w:val="24"/>
                <w:szCs w:val="24"/>
                <w:lang w:eastAsia="en-GB"/>
              </w:rPr>
            </w:pPr>
            <w:r w:rsidRPr="006400EB">
              <w:rPr>
                <w:rFonts w:eastAsia="Times New Roman" w:cs="Calibri"/>
                <w:color w:val="000000"/>
                <w:sz w:val="24"/>
                <w:szCs w:val="24"/>
                <w:lang w:eastAsia="en-GB"/>
              </w:rPr>
              <w:t> </w:t>
            </w:r>
          </w:p>
        </w:tc>
      </w:tr>
      <w:tr w:rsidR="006400EB" w:rsidRPr="006400EB" w14:paraId="18786A09" w14:textId="77777777" w:rsidTr="006400EB">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1D09BE46" w14:textId="77777777" w:rsidR="006400EB" w:rsidRPr="006400EB" w:rsidRDefault="006400EB" w:rsidP="006400EB">
            <w:pPr>
              <w:spacing w:after="0" w:line="240" w:lineRule="auto"/>
              <w:jc w:val="right"/>
              <w:rPr>
                <w:rFonts w:eastAsia="Times New Roman" w:cs="Calibri"/>
                <w:color w:val="000000"/>
                <w:sz w:val="24"/>
                <w:szCs w:val="24"/>
                <w:lang w:eastAsia="en-GB"/>
              </w:rPr>
            </w:pPr>
            <w:r w:rsidRPr="006400EB">
              <w:rPr>
                <w:rFonts w:eastAsia="Times New Roman" w:cs="Calibri"/>
                <w:color w:val="000000"/>
                <w:sz w:val="24"/>
                <w:szCs w:val="24"/>
                <w:lang w:eastAsia="en-GB"/>
              </w:rPr>
              <w:t>1.288</w:t>
            </w:r>
          </w:p>
        </w:tc>
        <w:tc>
          <w:tcPr>
            <w:tcW w:w="4000" w:type="dxa"/>
            <w:tcBorders>
              <w:top w:val="nil"/>
              <w:left w:val="nil"/>
              <w:bottom w:val="nil"/>
              <w:right w:val="single" w:sz="4" w:space="0" w:color="auto"/>
            </w:tcBorders>
            <w:shd w:val="clear" w:color="000000" w:fill="FFFFFF"/>
            <w:noWrap/>
            <w:vAlign w:val="bottom"/>
            <w:hideMark/>
          </w:tcPr>
          <w:p w14:paraId="19D53BB4" w14:textId="77777777" w:rsidR="006400EB" w:rsidRPr="006400EB" w:rsidRDefault="006400EB" w:rsidP="006400EB">
            <w:pPr>
              <w:spacing w:after="0" w:line="240" w:lineRule="auto"/>
              <w:rPr>
                <w:rFonts w:eastAsia="Times New Roman" w:cs="Calibri"/>
                <w:color w:val="000000"/>
                <w:sz w:val="24"/>
                <w:szCs w:val="24"/>
                <w:lang w:eastAsia="en-GB"/>
              </w:rPr>
            </w:pPr>
            <w:r w:rsidRPr="006400EB">
              <w:rPr>
                <w:rFonts w:eastAsia="Times New Roman" w:cs="Calibri"/>
                <w:color w:val="000000"/>
                <w:sz w:val="24"/>
                <w:szCs w:val="24"/>
                <w:lang w:eastAsia="en-GB"/>
              </w:rPr>
              <w:t>OPFCC (Office)</w:t>
            </w:r>
          </w:p>
        </w:tc>
        <w:tc>
          <w:tcPr>
            <w:tcW w:w="1140" w:type="dxa"/>
            <w:tcBorders>
              <w:top w:val="nil"/>
              <w:left w:val="nil"/>
              <w:bottom w:val="nil"/>
              <w:right w:val="single" w:sz="4" w:space="0" w:color="auto"/>
            </w:tcBorders>
            <w:shd w:val="clear" w:color="000000" w:fill="DDEBF7"/>
            <w:noWrap/>
            <w:vAlign w:val="bottom"/>
            <w:hideMark/>
          </w:tcPr>
          <w:p w14:paraId="24602BAE" w14:textId="77777777" w:rsidR="006400EB" w:rsidRPr="006400EB" w:rsidRDefault="006400EB" w:rsidP="006400EB">
            <w:pPr>
              <w:spacing w:after="0" w:line="240" w:lineRule="auto"/>
              <w:jc w:val="right"/>
              <w:rPr>
                <w:rFonts w:eastAsia="Times New Roman" w:cs="Calibri"/>
                <w:color w:val="000000"/>
                <w:sz w:val="24"/>
                <w:szCs w:val="24"/>
                <w:lang w:eastAsia="en-GB"/>
              </w:rPr>
            </w:pPr>
            <w:r w:rsidRPr="006400EB">
              <w:rPr>
                <w:rFonts w:eastAsia="Times New Roman" w:cs="Calibri"/>
                <w:color w:val="000000"/>
                <w:sz w:val="24"/>
                <w:szCs w:val="24"/>
                <w:lang w:eastAsia="en-GB"/>
              </w:rPr>
              <w:t>1.314</w:t>
            </w:r>
          </w:p>
        </w:tc>
      </w:tr>
      <w:tr w:rsidR="006400EB" w:rsidRPr="006400EB" w14:paraId="19F9EECA" w14:textId="77777777" w:rsidTr="006400EB">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5E889B1B" w14:textId="77777777" w:rsidR="006400EB" w:rsidRPr="006400EB" w:rsidRDefault="006400EB" w:rsidP="006400EB">
            <w:pPr>
              <w:spacing w:after="0" w:line="240" w:lineRule="auto"/>
              <w:jc w:val="right"/>
              <w:rPr>
                <w:rFonts w:eastAsia="Times New Roman" w:cs="Calibri"/>
                <w:color w:val="000000"/>
                <w:sz w:val="24"/>
                <w:szCs w:val="24"/>
                <w:lang w:eastAsia="en-GB"/>
              </w:rPr>
            </w:pPr>
            <w:r w:rsidRPr="006400EB">
              <w:rPr>
                <w:rFonts w:eastAsia="Times New Roman" w:cs="Calibri"/>
                <w:color w:val="000000"/>
                <w:sz w:val="24"/>
                <w:szCs w:val="24"/>
                <w:lang w:eastAsia="en-GB"/>
              </w:rPr>
              <w:t>5.018</w:t>
            </w:r>
          </w:p>
        </w:tc>
        <w:tc>
          <w:tcPr>
            <w:tcW w:w="4000" w:type="dxa"/>
            <w:tcBorders>
              <w:top w:val="nil"/>
              <w:left w:val="nil"/>
              <w:bottom w:val="nil"/>
              <w:right w:val="single" w:sz="4" w:space="0" w:color="auto"/>
            </w:tcBorders>
            <w:shd w:val="clear" w:color="000000" w:fill="FFFFFF"/>
            <w:noWrap/>
            <w:vAlign w:val="bottom"/>
            <w:hideMark/>
          </w:tcPr>
          <w:p w14:paraId="39B351B8" w14:textId="77777777" w:rsidR="006400EB" w:rsidRPr="006400EB" w:rsidRDefault="006400EB" w:rsidP="006400EB">
            <w:pPr>
              <w:spacing w:after="0" w:line="240" w:lineRule="auto"/>
              <w:rPr>
                <w:rFonts w:eastAsia="Times New Roman" w:cs="Calibri"/>
                <w:color w:val="000000"/>
                <w:sz w:val="24"/>
                <w:szCs w:val="24"/>
                <w:lang w:eastAsia="en-GB"/>
              </w:rPr>
            </w:pPr>
            <w:r w:rsidRPr="006400EB">
              <w:rPr>
                <w:rFonts w:eastAsia="Times New Roman" w:cs="Calibri"/>
                <w:color w:val="000000"/>
                <w:sz w:val="24"/>
                <w:szCs w:val="24"/>
                <w:lang w:eastAsia="en-GB"/>
              </w:rPr>
              <w:t>Commissioning and Delivery (OPFCC)</w:t>
            </w:r>
          </w:p>
        </w:tc>
        <w:tc>
          <w:tcPr>
            <w:tcW w:w="1140" w:type="dxa"/>
            <w:tcBorders>
              <w:top w:val="nil"/>
              <w:left w:val="nil"/>
              <w:bottom w:val="nil"/>
              <w:right w:val="single" w:sz="4" w:space="0" w:color="auto"/>
            </w:tcBorders>
            <w:shd w:val="clear" w:color="000000" w:fill="DDEBF7"/>
            <w:noWrap/>
            <w:vAlign w:val="bottom"/>
            <w:hideMark/>
          </w:tcPr>
          <w:p w14:paraId="2F52E3CD" w14:textId="77777777" w:rsidR="006400EB" w:rsidRPr="006400EB" w:rsidRDefault="006400EB" w:rsidP="006400EB">
            <w:pPr>
              <w:spacing w:after="0" w:line="240" w:lineRule="auto"/>
              <w:jc w:val="right"/>
              <w:rPr>
                <w:rFonts w:eastAsia="Times New Roman" w:cs="Calibri"/>
                <w:color w:val="000000"/>
                <w:sz w:val="24"/>
                <w:szCs w:val="24"/>
                <w:lang w:eastAsia="en-GB"/>
              </w:rPr>
            </w:pPr>
            <w:r w:rsidRPr="006400EB">
              <w:rPr>
                <w:rFonts w:eastAsia="Times New Roman" w:cs="Calibri"/>
                <w:color w:val="000000"/>
                <w:sz w:val="24"/>
                <w:szCs w:val="24"/>
                <w:lang w:eastAsia="en-GB"/>
              </w:rPr>
              <w:t>5.353</w:t>
            </w:r>
          </w:p>
        </w:tc>
      </w:tr>
      <w:tr w:rsidR="006400EB" w:rsidRPr="006400EB" w14:paraId="16CB4864" w14:textId="77777777" w:rsidTr="006400EB">
        <w:trPr>
          <w:trHeight w:val="315"/>
        </w:trPr>
        <w:tc>
          <w:tcPr>
            <w:tcW w:w="1140" w:type="dxa"/>
            <w:tcBorders>
              <w:top w:val="single" w:sz="4" w:space="0" w:color="auto"/>
              <w:left w:val="single" w:sz="4" w:space="0" w:color="auto"/>
              <w:bottom w:val="nil"/>
              <w:right w:val="single" w:sz="4" w:space="0" w:color="auto"/>
            </w:tcBorders>
            <w:shd w:val="clear" w:color="000000" w:fill="FFFFFF"/>
            <w:noWrap/>
            <w:vAlign w:val="bottom"/>
            <w:hideMark/>
          </w:tcPr>
          <w:p w14:paraId="244A8185" w14:textId="77777777" w:rsidR="006400EB" w:rsidRPr="006400EB" w:rsidRDefault="006400EB" w:rsidP="006400EB">
            <w:pPr>
              <w:spacing w:after="0" w:line="240" w:lineRule="auto"/>
              <w:jc w:val="right"/>
              <w:rPr>
                <w:rFonts w:eastAsia="Times New Roman" w:cs="Calibri"/>
                <w:b/>
                <w:bCs/>
                <w:color w:val="000000"/>
                <w:sz w:val="24"/>
                <w:szCs w:val="24"/>
                <w:lang w:eastAsia="en-GB"/>
              </w:rPr>
            </w:pPr>
            <w:r w:rsidRPr="006400EB">
              <w:rPr>
                <w:rFonts w:eastAsia="Times New Roman" w:cs="Calibri"/>
                <w:b/>
                <w:bCs/>
                <w:color w:val="000000"/>
                <w:sz w:val="24"/>
                <w:szCs w:val="24"/>
                <w:lang w:eastAsia="en-GB"/>
              </w:rPr>
              <w:t>6.306</w:t>
            </w:r>
          </w:p>
        </w:tc>
        <w:tc>
          <w:tcPr>
            <w:tcW w:w="4000" w:type="dxa"/>
            <w:tcBorders>
              <w:top w:val="single" w:sz="4" w:space="0" w:color="auto"/>
              <w:left w:val="nil"/>
              <w:bottom w:val="nil"/>
              <w:right w:val="single" w:sz="4" w:space="0" w:color="auto"/>
            </w:tcBorders>
            <w:shd w:val="clear" w:color="000000" w:fill="FFFFFF"/>
            <w:noWrap/>
            <w:vAlign w:val="bottom"/>
            <w:hideMark/>
          </w:tcPr>
          <w:p w14:paraId="59577F64" w14:textId="77777777" w:rsidR="006400EB" w:rsidRPr="006400EB" w:rsidRDefault="006400EB" w:rsidP="006400EB">
            <w:pPr>
              <w:spacing w:after="0" w:line="240" w:lineRule="auto"/>
              <w:rPr>
                <w:rFonts w:eastAsia="Times New Roman" w:cs="Calibri"/>
                <w:b/>
                <w:bCs/>
                <w:color w:val="000000"/>
                <w:sz w:val="24"/>
                <w:szCs w:val="24"/>
                <w:lang w:eastAsia="en-GB"/>
              </w:rPr>
            </w:pPr>
            <w:r w:rsidRPr="006400EB">
              <w:rPr>
                <w:rFonts w:eastAsia="Times New Roman" w:cs="Calibri"/>
                <w:b/>
                <w:bCs/>
                <w:color w:val="000000"/>
                <w:sz w:val="24"/>
                <w:szCs w:val="24"/>
                <w:lang w:eastAsia="en-GB"/>
              </w:rPr>
              <w:t>Budgets managed by the PFCC</w:t>
            </w:r>
          </w:p>
        </w:tc>
        <w:tc>
          <w:tcPr>
            <w:tcW w:w="1140" w:type="dxa"/>
            <w:tcBorders>
              <w:top w:val="single" w:sz="4" w:space="0" w:color="auto"/>
              <w:left w:val="nil"/>
              <w:bottom w:val="nil"/>
              <w:right w:val="single" w:sz="4" w:space="0" w:color="auto"/>
            </w:tcBorders>
            <w:shd w:val="clear" w:color="000000" w:fill="DDEBF7"/>
            <w:noWrap/>
            <w:vAlign w:val="bottom"/>
            <w:hideMark/>
          </w:tcPr>
          <w:p w14:paraId="0CBF0263" w14:textId="77777777" w:rsidR="006400EB" w:rsidRPr="006400EB" w:rsidRDefault="006400EB" w:rsidP="006400EB">
            <w:pPr>
              <w:spacing w:after="0" w:line="240" w:lineRule="auto"/>
              <w:jc w:val="right"/>
              <w:rPr>
                <w:rFonts w:eastAsia="Times New Roman" w:cs="Calibri"/>
                <w:b/>
                <w:bCs/>
                <w:color w:val="000000"/>
                <w:sz w:val="24"/>
                <w:szCs w:val="24"/>
                <w:lang w:eastAsia="en-GB"/>
              </w:rPr>
            </w:pPr>
            <w:r w:rsidRPr="006400EB">
              <w:rPr>
                <w:rFonts w:eastAsia="Times New Roman" w:cs="Calibri"/>
                <w:b/>
                <w:bCs/>
                <w:color w:val="000000"/>
                <w:sz w:val="24"/>
                <w:szCs w:val="24"/>
                <w:lang w:eastAsia="en-GB"/>
              </w:rPr>
              <w:t>6.667</w:t>
            </w:r>
          </w:p>
        </w:tc>
      </w:tr>
      <w:tr w:rsidR="006400EB" w:rsidRPr="006400EB" w14:paraId="78805B4D" w14:textId="77777777" w:rsidTr="006400EB">
        <w:trPr>
          <w:trHeight w:val="315"/>
        </w:trPr>
        <w:tc>
          <w:tcPr>
            <w:tcW w:w="1140" w:type="dxa"/>
            <w:tcBorders>
              <w:top w:val="nil"/>
              <w:left w:val="single" w:sz="4" w:space="0" w:color="auto"/>
              <w:bottom w:val="nil"/>
              <w:right w:val="single" w:sz="4" w:space="0" w:color="auto"/>
            </w:tcBorders>
            <w:shd w:val="clear" w:color="auto" w:fill="auto"/>
            <w:noWrap/>
            <w:vAlign w:val="bottom"/>
            <w:hideMark/>
          </w:tcPr>
          <w:p w14:paraId="0FA4CF31" w14:textId="77777777" w:rsidR="006400EB" w:rsidRPr="006400EB" w:rsidRDefault="006400EB" w:rsidP="006400EB">
            <w:pPr>
              <w:spacing w:after="0" w:line="240" w:lineRule="auto"/>
              <w:rPr>
                <w:rFonts w:eastAsia="Times New Roman" w:cs="Calibri"/>
                <w:color w:val="000000"/>
                <w:sz w:val="24"/>
                <w:szCs w:val="24"/>
                <w:lang w:eastAsia="en-GB"/>
              </w:rPr>
            </w:pPr>
            <w:r w:rsidRPr="006400EB">
              <w:rPr>
                <w:rFonts w:eastAsia="Times New Roman" w:cs="Calibri"/>
                <w:color w:val="000000"/>
                <w:sz w:val="24"/>
                <w:szCs w:val="24"/>
                <w:lang w:eastAsia="en-GB"/>
              </w:rPr>
              <w:t> </w:t>
            </w:r>
          </w:p>
        </w:tc>
        <w:tc>
          <w:tcPr>
            <w:tcW w:w="4000" w:type="dxa"/>
            <w:tcBorders>
              <w:top w:val="nil"/>
              <w:left w:val="nil"/>
              <w:bottom w:val="nil"/>
              <w:right w:val="single" w:sz="4" w:space="0" w:color="auto"/>
            </w:tcBorders>
            <w:shd w:val="clear" w:color="auto" w:fill="auto"/>
            <w:noWrap/>
            <w:vAlign w:val="bottom"/>
            <w:hideMark/>
          </w:tcPr>
          <w:p w14:paraId="40AD3A61" w14:textId="77777777" w:rsidR="006400EB" w:rsidRPr="006400EB" w:rsidRDefault="006400EB" w:rsidP="006400EB">
            <w:pPr>
              <w:spacing w:after="0" w:line="240" w:lineRule="auto"/>
              <w:rPr>
                <w:rFonts w:eastAsia="Times New Roman" w:cs="Calibri"/>
                <w:color w:val="000000"/>
                <w:sz w:val="24"/>
                <w:szCs w:val="24"/>
                <w:lang w:eastAsia="en-GB"/>
              </w:rPr>
            </w:pPr>
            <w:r w:rsidRPr="006400EB">
              <w:rPr>
                <w:rFonts w:eastAsia="Times New Roman" w:cs="Calibri"/>
                <w:color w:val="000000"/>
                <w:sz w:val="24"/>
                <w:szCs w:val="24"/>
                <w:lang w:eastAsia="en-GB"/>
              </w:rPr>
              <w:t> </w:t>
            </w:r>
          </w:p>
        </w:tc>
        <w:tc>
          <w:tcPr>
            <w:tcW w:w="1140" w:type="dxa"/>
            <w:tcBorders>
              <w:top w:val="nil"/>
              <w:left w:val="nil"/>
              <w:bottom w:val="nil"/>
              <w:right w:val="single" w:sz="4" w:space="0" w:color="auto"/>
            </w:tcBorders>
            <w:shd w:val="clear" w:color="000000" w:fill="DDEBF7"/>
            <w:noWrap/>
            <w:vAlign w:val="bottom"/>
            <w:hideMark/>
          </w:tcPr>
          <w:p w14:paraId="50A58230" w14:textId="77777777" w:rsidR="006400EB" w:rsidRPr="006400EB" w:rsidRDefault="006400EB" w:rsidP="006400EB">
            <w:pPr>
              <w:spacing w:after="0" w:line="240" w:lineRule="auto"/>
              <w:rPr>
                <w:rFonts w:eastAsia="Times New Roman" w:cs="Calibri"/>
                <w:color w:val="000000"/>
                <w:sz w:val="24"/>
                <w:szCs w:val="24"/>
                <w:lang w:eastAsia="en-GB"/>
              </w:rPr>
            </w:pPr>
            <w:r w:rsidRPr="006400EB">
              <w:rPr>
                <w:rFonts w:eastAsia="Times New Roman" w:cs="Calibri"/>
                <w:color w:val="000000"/>
                <w:sz w:val="24"/>
                <w:szCs w:val="24"/>
                <w:lang w:eastAsia="en-GB"/>
              </w:rPr>
              <w:t> </w:t>
            </w:r>
          </w:p>
        </w:tc>
      </w:tr>
      <w:tr w:rsidR="006400EB" w:rsidRPr="006400EB" w14:paraId="2E06A505" w14:textId="77777777" w:rsidTr="006400EB">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6F3BA071" w14:textId="77777777" w:rsidR="006400EB" w:rsidRPr="006400EB" w:rsidRDefault="006400EB" w:rsidP="006400EB">
            <w:pPr>
              <w:spacing w:after="0" w:line="240" w:lineRule="auto"/>
              <w:jc w:val="right"/>
              <w:rPr>
                <w:rFonts w:eastAsia="Times New Roman" w:cs="Calibri"/>
                <w:color w:val="000000"/>
                <w:sz w:val="24"/>
                <w:szCs w:val="24"/>
                <w:lang w:eastAsia="en-GB"/>
              </w:rPr>
            </w:pPr>
            <w:r w:rsidRPr="006400EB">
              <w:rPr>
                <w:rFonts w:eastAsia="Times New Roman" w:cs="Calibri"/>
                <w:color w:val="000000"/>
                <w:sz w:val="24"/>
                <w:szCs w:val="24"/>
                <w:lang w:eastAsia="en-GB"/>
              </w:rPr>
              <w:t>2.798</w:t>
            </w:r>
          </w:p>
        </w:tc>
        <w:tc>
          <w:tcPr>
            <w:tcW w:w="4000" w:type="dxa"/>
            <w:tcBorders>
              <w:top w:val="nil"/>
              <w:left w:val="nil"/>
              <w:bottom w:val="nil"/>
              <w:right w:val="single" w:sz="4" w:space="0" w:color="auto"/>
            </w:tcBorders>
            <w:shd w:val="clear" w:color="000000" w:fill="FFFFFF"/>
            <w:noWrap/>
            <w:vAlign w:val="bottom"/>
            <w:hideMark/>
          </w:tcPr>
          <w:p w14:paraId="5D86F879" w14:textId="77777777" w:rsidR="006400EB" w:rsidRPr="006400EB" w:rsidRDefault="006400EB" w:rsidP="006400EB">
            <w:pPr>
              <w:spacing w:after="0" w:line="240" w:lineRule="auto"/>
              <w:rPr>
                <w:rFonts w:eastAsia="Times New Roman" w:cs="Calibri"/>
                <w:color w:val="000000"/>
                <w:sz w:val="24"/>
                <w:szCs w:val="24"/>
                <w:lang w:eastAsia="en-GB"/>
              </w:rPr>
            </w:pPr>
            <w:r w:rsidRPr="006400EB">
              <w:rPr>
                <w:rFonts w:eastAsia="Times New Roman" w:cs="Calibri"/>
                <w:color w:val="000000"/>
                <w:sz w:val="24"/>
                <w:szCs w:val="24"/>
                <w:lang w:eastAsia="en-GB"/>
              </w:rPr>
              <w:t>Capital Financing Costs</w:t>
            </w:r>
          </w:p>
        </w:tc>
        <w:tc>
          <w:tcPr>
            <w:tcW w:w="1140" w:type="dxa"/>
            <w:tcBorders>
              <w:top w:val="nil"/>
              <w:left w:val="nil"/>
              <w:bottom w:val="nil"/>
              <w:right w:val="single" w:sz="4" w:space="0" w:color="auto"/>
            </w:tcBorders>
            <w:shd w:val="clear" w:color="000000" w:fill="DDEBF7"/>
            <w:noWrap/>
            <w:vAlign w:val="bottom"/>
            <w:hideMark/>
          </w:tcPr>
          <w:p w14:paraId="1DF729AD" w14:textId="77777777" w:rsidR="006400EB" w:rsidRPr="006400EB" w:rsidRDefault="006400EB" w:rsidP="006400EB">
            <w:pPr>
              <w:spacing w:after="0" w:line="240" w:lineRule="auto"/>
              <w:jc w:val="right"/>
              <w:rPr>
                <w:rFonts w:eastAsia="Times New Roman" w:cs="Calibri"/>
                <w:color w:val="000000"/>
                <w:sz w:val="24"/>
                <w:szCs w:val="24"/>
                <w:lang w:eastAsia="en-GB"/>
              </w:rPr>
            </w:pPr>
            <w:r w:rsidRPr="006400EB">
              <w:rPr>
                <w:rFonts w:eastAsia="Times New Roman" w:cs="Calibri"/>
                <w:color w:val="000000"/>
                <w:sz w:val="24"/>
                <w:szCs w:val="24"/>
                <w:lang w:eastAsia="en-GB"/>
              </w:rPr>
              <w:t>4.463</w:t>
            </w:r>
          </w:p>
        </w:tc>
      </w:tr>
      <w:tr w:rsidR="006400EB" w:rsidRPr="006400EB" w14:paraId="62EF698B" w14:textId="77777777" w:rsidTr="006400EB">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4FF57C1E" w14:textId="77777777" w:rsidR="006400EB" w:rsidRPr="006400EB" w:rsidRDefault="006400EB" w:rsidP="006400EB">
            <w:pPr>
              <w:spacing w:after="0" w:line="240" w:lineRule="auto"/>
              <w:jc w:val="right"/>
              <w:rPr>
                <w:rFonts w:eastAsia="Times New Roman" w:cs="Calibri"/>
                <w:color w:val="000000"/>
                <w:sz w:val="24"/>
                <w:szCs w:val="24"/>
                <w:lang w:eastAsia="en-GB"/>
              </w:rPr>
            </w:pPr>
            <w:r w:rsidRPr="006400EB">
              <w:rPr>
                <w:rFonts w:eastAsia="Times New Roman" w:cs="Calibri"/>
                <w:color w:val="000000"/>
                <w:sz w:val="24"/>
                <w:szCs w:val="24"/>
                <w:lang w:eastAsia="en-GB"/>
              </w:rPr>
              <w:t>(1.561)</w:t>
            </w:r>
          </w:p>
        </w:tc>
        <w:tc>
          <w:tcPr>
            <w:tcW w:w="4000" w:type="dxa"/>
            <w:tcBorders>
              <w:top w:val="nil"/>
              <w:left w:val="nil"/>
              <w:bottom w:val="nil"/>
              <w:right w:val="single" w:sz="4" w:space="0" w:color="auto"/>
            </w:tcBorders>
            <w:shd w:val="clear" w:color="000000" w:fill="FFFFFF"/>
            <w:noWrap/>
            <w:vAlign w:val="bottom"/>
            <w:hideMark/>
          </w:tcPr>
          <w:p w14:paraId="17A779CC" w14:textId="77777777" w:rsidR="006400EB" w:rsidRPr="006400EB" w:rsidRDefault="006400EB" w:rsidP="006400EB">
            <w:pPr>
              <w:spacing w:after="0" w:line="240" w:lineRule="auto"/>
              <w:rPr>
                <w:rFonts w:eastAsia="Times New Roman" w:cs="Calibri"/>
                <w:color w:val="000000"/>
                <w:sz w:val="24"/>
                <w:szCs w:val="24"/>
                <w:lang w:eastAsia="en-GB"/>
              </w:rPr>
            </w:pPr>
            <w:r w:rsidRPr="006400EB">
              <w:rPr>
                <w:rFonts w:eastAsia="Times New Roman" w:cs="Calibri"/>
                <w:color w:val="000000"/>
                <w:sz w:val="24"/>
                <w:szCs w:val="24"/>
                <w:lang w:eastAsia="en-GB"/>
              </w:rPr>
              <w:t>Transfers to/(from) Reserves</w:t>
            </w:r>
          </w:p>
        </w:tc>
        <w:tc>
          <w:tcPr>
            <w:tcW w:w="1140" w:type="dxa"/>
            <w:tcBorders>
              <w:top w:val="nil"/>
              <w:left w:val="nil"/>
              <w:bottom w:val="nil"/>
              <w:right w:val="single" w:sz="4" w:space="0" w:color="auto"/>
            </w:tcBorders>
            <w:shd w:val="clear" w:color="000000" w:fill="DDEBF7"/>
            <w:noWrap/>
            <w:vAlign w:val="bottom"/>
            <w:hideMark/>
          </w:tcPr>
          <w:p w14:paraId="0EF833FF" w14:textId="77777777" w:rsidR="006400EB" w:rsidRPr="006400EB" w:rsidRDefault="006400EB" w:rsidP="006400EB">
            <w:pPr>
              <w:spacing w:after="0" w:line="240" w:lineRule="auto"/>
              <w:jc w:val="right"/>
              <w:rPr>
                <w:rFonts w:eastAsia="Times New Roman" w:cs="Calibri"/>
                <w:color w:val="000000"/>
                <w:sz w:val="24"/>
                <w:szCs w:val="24"/>
                <w:lang w:eastAsia="en-GB"/>
              </w:rPr>
            </w:pPr>
            <w:r w:rsidRPr="006400EB">
              <w:rPr>
                <w:rFonts w:eastAsia="Times New Roman" w:cs="Calibri"/>
                <w:color w:val="000000"/>
                <w:sz w:val="24"/>
                <w:szCs w:val="24"/>
                <w:lang w:eastAsia="en-GB"/>
              </w:rPr>
              <w:t>(5.452)</w:t>
            </w:r>
          </w:p>
        </w:tc>
      </w:tr>
      <w:tr w:rsidR="006400EB" w:rsidRPr="006400EB" w14:paraId="08FD5A1C" w14:textId="77777777" w:rsidTr="006400EB">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15B0E446" w14:textId="77777777" w:rsidR="006400EB" w:rsidRPr="006400EB" w:rsidRDefault="006400EB" w:rsidP="006400EB">
            <w:pPr>
              <w:spacing w:after="0" w:line="240" w:lineRule="auto"/>
              <w:jc w:val="right"/>
              <w:rPr>
                <w:rFonts w:eastAsia="Times New Roman" w:cs="Calibri"/>
                <w:color w:val="000000"/>
                <w:sz w:val="24"/>
                <w:szCs w:val="24"/>
                <w:lang w:eastAsia="en-GB"/>
              </w:rPr>
            </w:pPr>
            <w:r w:rsidRPr="006400EB">
              <w:rPr>
                <w:rFonts w:eastAsia="Times New Roman" w:cs="Calibri"/>
                <w:color w:val="000000"/>
                <w:sz w:val="24"/>
                <w:szCs w:val="24"/>
                <w:lang w:eastAsia="en-GB"/>
              </w:rPr>
              <w:t>0.946</w:t>
            </w:r>
          </w:p>
        </w:tc>
        <w:tc>
          <w:tcPr>
            <w:tcW w:w="4000" w:type="dxa"/>
            <w:tcBorders>
              <w:top w:val="nil"/>
              <w:left w:val="nil"/>
              <w:bottom w:val="nil"/>
              <w:right w:val="single" w:sz="4" w:space="0" w:color="auto"/>
            </w:tcBorders>
            <w:shd w:val="clear" w:color="000000" w:fill="FFFFFF"/>
            <w:noWrap/>
            <w:vAlign w:val="bottom"/>
            <w:hideMark/>
          </w:tcPr>
          <w:p w14:paraId="3E31FEB0" w14:textId="77777777" w:rsidR="006400EB" w:rsidRPr="006400EB" w:rsidRDefault="006400EB" w:rsidP="006400EB">
            <w:pPr>
              <w:spacing w:after="0" w:line="240" w:lineRule="auto"/>
              <w:rPr>
                <w:rFonts w:eastAsia="Times New Roman" w:cs="Calibri"/>
                <w:color w:val="000000"/>
                <w:sz w:val="24"/>
                <w:szCs w:val="24"/>
                <w:lang w:eastAsia="en-GB"/>
              </w:rPr>
            </w:pPr>
            <w:r w:rsidRPr="006400EB">
              <w:rPr>
                <w:rFonts w:eastAsia="Times New Roman" w:cs="Calibri"/>
                <w:color w:val="000000"/>
                <w:sz w:val="24"/>
                <w:szCs w:val="24"/>
                <w:lang w:eastAsia="en-GB"/>
              </w:rPr>
              <w:t>Investment</w:t>
            </w:r>
          </w:p>
        </w:tc>
        <w:tc>
          <w:tcPr>
            <w:tcW w:w="1140" w:type="dxa"/>
            <w:tcBorders>
              <w:top w:val="nil"/>
              <w:left w:val="nil"/>
              <w:bottom w:val="nil"/>
              <w:right w:val="single" w:sz="4" w:space="0" w:color="auto"/>
            </w:tcBorders>
            <w:shd w:val="clear" w:color="000000" w:fill="DDEBF7"/>
            <w:noWrap/>
            <w:vAlign w:val="bottom"/>
            <w:hideMark/>
          </w:tcPr>
          <w:p w14:paraId="1F0474B1" w14:textId="77777777" w:rsidR="006400EB" w:rsidRPr="006400EB" w:rsidRDefault="006400EB" w:rsidP="006400EB">
            <w:pPr>
              <w:spacing w:after="0" w:line="240" w:lineRule="auto"/>
              <w:jc w:val="right"/>
              <w:rPr>
                <w:rFonts w:eastAsia="Times New Roman" w:cs="Calibri"/>
                <w:color w:val="000000"/>
                <w:sz w:val="24"/>
                <w:szCs w:val="24"/>
                <w:lang w:eastAsia="en-GB"/>
              </w:rPr>
            </w:pPr>
            <w:r w:rsidRPr="006400EB">
              <w:rPr>
                <w:rFonts w:eastAsia="Times New Roman" w:cs="Calibri"/>
                <w:color w:val="000000"/>
                <w:sz w:val="24"/>
                <w:szCs w:val="24"/>
                <w:lang w:eastAsia="en-GB"/>
              </w:rPr>
              <w:t>1.823</w:t>
            </w:r>
          </w:p>
        </w:tc>
      </w:tr>
      <w:tr w:rsidR="006400EB" w:rsidRPr="006400EB" w14:paraId="677FB614" w14:textId="77777777" w:rsidTr="006400EB">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7A76934C" w14:textId="77777777" w:rsidR="006400EB" w:rsidRPr="006400EB" w:rsidRDefault="006400EB" w:rsidP="006400EB">
            <w:pPr>
              <w:spacing w:after="0" w:line="240" w:lineRule="auto"/>
              <w:jc w:val="right"/>
              <w:rPr>
                <w:rFonts w:eastAsia="Times New Roman" w:cs="Calibri"/>
                <w:color w:val="000000"/>
                <w:sz w:val="24"/>
                <w:szCs w:val="24"/>
                <w:lang w:eastAsia="en-GB"/>
              </w:rPr>
            </w:pPr>
            <w:r w:rsidRPr="006400EB">
              <w:rPr>
                <w:rFonts w:eastAsia="Times New Roman" w:cs="Calibri"/>
                <w:color w:val="000000"/>
                <w:sz w:val="24"/>
                <w:szCs w:val="24"/>
                <w:lang w:eastAsia="en-GB"/>
              </w:rPr>
              <w:t>(0.500)</w:t>
            </w:r>
          </w:p>
        </w:tc>
        <w:tc>
          <w:tcPr>
            <w:tcW w:w="4000" w:type="dxa"/>
            <w:tcBorders>
              <w:top w:val="nil"/>
              <w:left w:val="nil"/>
              <w:bottom w:val="nil"/>
              <w:right w:val="single" w:sz="4" w:space="0" w:color="auto"/>
            </w:tcBorders>
            <w:shd w:val="clear" w:color="000000" w:fill="FFFFFF"/>
            <w:noWrap/>
            <w:vAlign w:val="bottom"/>
            <w:hideMark/>
          </w:tcPr>
          <w:p w14:paraId="31FDD47B" w14:textId="77777777" w:rsidR="006400EB" w:rsidRPr="006400EB" w:rsidRDefault="006400EB" w:rsidP="006400EB">
            <w:pPr>
              <w:spacing w:after="0" w:line="240" w:lineRule="auto"/>
              <w:rPr>
                <w:rFonts w:eastAsia="Times New Roman" w:cs="Calibri"/>
                <w:color w:val="000000"/>
                <w:sz w:val="24"/>
                <w:szCs w:val="24"/>
                <w:lang w:eastAsia="en-GB"/>
              </w:rPr>
            </w:pPr>
            <w:r w:rsidRPr="006400EB">
              <w:rPr>
                <w:rFonts w:eastAsia="Times New Roman" w:cs="Calibri"/>
                <w:color w:val="000000"/>
                <w:sz w:val="24"/>
                <w:szCs w:val="24"/>
                <w:lang w:eastAsia="en-GB"/>
              </w:rPr>
              <w:t>Savings to be identified</w:t>
            </w:r>
          </w:p>
        </w:tc>
        <w:tc>
          <w:tcPr>
            <w:tcW w:w="1140" w:type="dxa"/>
            <w:tcBorders>
              <w:top w:val="nil"/>
              <w:left w:val="nil"/>
              <w:bottom w:val="nil"/>
              <w:right w:val="single" w:sz="4" w:space="0" w:color="auto"/>
            </w:tcBorders>
            <w:shd w:val="clear" w:color="000000" w:fill="DDEBF7"/>
            <w:noWrap/>
            <w:vAlign w:val="bottom"/>
            <w:hideMark/>
          </w:tcPr>
          <w:p w14:paraId="71CD2E8C" w14:textId="77777777" w:rsidR="006400EB" w:rsidRPr="006400EB" w:rsidRDefault="006400EB" w:rsidP="006400EB">
            <w:pPr>
              <w:spacing w:after="0" w:line="240" w:lineRule="auto"/>
              <w:jc w:val="right"/>
              <w:rPr>
                <w:rFonts w:eastAsia="Times New Roman" w:cs="Calibri"/>
                <w:color w:val="000000"/>
                <w:sz w:val="24"/>
                <w:szCs w:val="24"/>
                <w:lang w:eastAsia="en-GB"/>
              </w:rPr>
            </w:pPr>
            <w:r w:rsidRPr="006400EB">
              <w:rPr>
                <w:rFonts w:eastAsia="Times New Roman" w:cs="Calibri"/>
                <w:color w:val="000000"/>
                <w:sz w:val="24"/>
                <w:szCs w:val="24"/>
                <w:lang w:eastAsia="en-GB"/>
              </w:rPr>
              <w:t>(0.803)</w:t>
            </w:r>
          </w:p>
        </w:tc>
      </w:tr>
      <w:tr w:rsidR="006400EB" w:rsidRPr="006400EB" w14:paraId="6C824AE3" w14:textId="77777777" w:rsidTr="006400EB">
        <w:trPr>
          <w:trHeight w:val="315"/>
        </w:trPr>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791BF9" w14:textId="77777777" w:rsidR="006400EB" w:rsidRPr="006400EB" w:rsidRDefault="006400EB" w:rsidP="006400EB">
            <w:pPr>
              <w:spacing w:after="0" w:line="240" w:lineRule="auto"/>
              <w:jc w:val="right"/>
              <w:rPr>
                <w:rFonts w:eastAsia="Times New Roman" w:cs="Calibri"/>
                <w:b/>
                <w:bCs/>
                <w:color w:val="000000"/>
                <w:sz w:val="24"/>
                <w:szCs w:val="24"/>
                <w:lang w:eastAsia="en-GB"/>
              </w:rPr>
            </w:pPr>
            <w:r w:rsidRPr="006400EB">
              <w:rPr>
                <w:rFonts w:eastAsia="Times New Roman" w:cs="Calibri"/>
                <w:b/>
                <w:bCs/>
                <w:color w:val="000000"/>
                <w:sz w:val="24"/>
                <w:szCs w:val="24"/>
                <w:lang w:eastAsia="en-GB"/>
              </w:rPr>
              <w:t>168.578</w:t>
            </w:r>
          </w:p>
        </w:tc>
        <w:tc>
          <w:tcPr>
            <w:tcW w:w="4000" w:type="dxa"/>
            <w:tcBorders>
              <w:top w:val="single" w:sz="4" w:space="0" w:color="auto"/>
              <w:left w:val="nil"/>
              <w:bottom w:val="single" w:sz="4" w:space="0" w:color="auto"/>
              <w:right w:val="single" w:sz="4" w:space="0" w:color="auto"/>
            </w:tcBorders>
            <w:shd w:val="clear" w:color="000000" w:fill="FFFFFF"/>
            <w:noWrap/>
            <w:vAlign w:val="bottom"/>
            <w:hideMark/>
          </w:tcPr>
          <w:p w14:paraId="2632D8DB" w14:textId="77777777" w:rsidR="006400EB" w:rsidRPr="006400EB" w:rsidRDefault="006400EB" w:rsidP="006400EB">
            <w:pPr>
              <w:spacing w:after="0" w:line="240" w:lineRule="auto"/>
              <w:rPr>
                <w:rFonts w:eastAsia="Times New Roman" w:cs="Calibri"/>
                <w:b/>
                <w:bCs/>
                <w:color w:val="000000"/>
                <w:sz w:val="24"/>
                <w:szCs w:val="24"/>
                <w:lang w:eastAsia="en-GB"/>
              </w:rPr>
            </w:pPr>
            <w:r w:rsidRPr="006400EB">
              <w:rPr>
                <w:rFonts w:eastAsia="Times New Roman" w:cs="Calibri"/>
                <w:b/>
                <w:bCs/>
                <w:color w:val="000000"/>
                <w:sz w:val="24"/>
                <w:szCs w:val="24"/>
                <w:lang w:eastAsia="en-GB"/>
              </w:rPr>
              <w:t>TOTAL BUDGET</w:t>
            </w:r>
          </w:p>
        </w:tc>
        <w:tc>
          <w:tcPr>
            <w:tcW w:w="1140" w:type="dxa"/>
            <w:tcBorders>
              <w:top w:val="single" w:sz="4" w:space="0" w:color="auto"/>
              <w:left w:val="nil"/>
              <w:bottom w:val="single" w:sz="4" w:space="0" w:color="auto"/>
              <w:right w:val="single" w:sz="4" w:space="0" w:color="auto"/>
            </w:tcBorders>
            <w:shd w:val="clear" w:color="000000" w:fill="DDEBF7"/>
            <w:noWrap/>
            <w:vAlign w:val="bottom"/>
            <w:hideMark/>
          </w:tcPr>
          <w:p w14:paraId="07B60248" w14:textId="77777777" w:rsidR="006400EB" w:rsidRPr="006400EB" w:rsidRDefault="006400EB" w:rsidP="006400EB">
            <w:pPr>
              <w:spacing w:after="0" w:line="240" w:lineRule="auto"/>
              <w:jc w:val="right"/>
              <w:rPr>
                <w:rFonts w:eastAsia="Times New Roman" w:cs="Calibri"/>
                <w:b/>
                <w:bCs/>
                <w:color w:val="000000"/>
                <w:sz w:val="24"/>
                <w:szCs w:val="24"/>
                <w:lang w:eastAsia="en-GB"/>
              </w:rPr>
            </w:pPr>
            <w:r w:rsidRPr="006400EB">
              <w:rPr>
                <w:rFonts w:eastAsia="Times New Roman" w:cs="Calibri"/>
                <w:b/>
                <w:bCs/>
                <w:color w:val="000000"/>
                <w:sz w:val="24"/>
                <w:szCs w:val="24"/>
                <w:lang w:eastAsia="en-GB"/>
              </w:rPr>
              <w:t>182.968</w:t>
            </w:r>
          </w:p>
        </w:tc>
      </w:tr>
    </w:tbl>
    <w:p w14:paraId="0F0A162B" w14:textId="77777777" w:rsidR="00376315" w:rsidRPr="00BB71D8" w:rsidRDefault="00376315" w:rsidP="00191853">
      <w:pPr>
        <w:spacing w:after="0" w:line="240" w:lineRule="auto"/>
        <w:jc w:val="both"/>
        <w:rPr>
          <w:rFonts w:ascii="Arial" w:hAnsi="Arial" w:cs="Arial"/>
        </w:rPr>
      </w:pPr>
    </w:p>
    <w:p w14:paraId="4976085A" w14:textId="3D0AAB2C" w:rsidR="00C87C19" w:rsidRPr="00191853" w:rsidRDefault="00C87C19" w:rsidP="00191853">
      <w:pPr>
        <w:pStyle w:val="PanelHeading"/>
      </w:pPr>
      <w:r w:rsidRPr="00971F09">
        <w:t>Harmonisation and Efficiencies</w:t>
      </w:r>
    </w:p>
    <w:p w14:paraId="760A0B15" w14:textId="0BB909DA" w:rsidR="00C87C19" w:rsidRPr="00971F09" w:rsidRDefault="00C87C19" w:rsidP="00971F09">
      <w:pPr>
        <w:pStyle w:val="PanelPara"/>
        <w:rPr>
          <w:kern w:val="36"/>
        </w:rPr>
      </w:pPr>
      <w:r w:rsidRPr="00971F09">
        <w:t xml:space="preserve">Since 2019, Police and Fire have </w:t>
      </w:r>
      <w:r w:rsidR="00971F09">
        <w:t xml:space="preserve">incrementally </w:t>
      </w:r>
      <w:r w:rsidRPr="00971F09">
        <w:t>moved to shared support services</w:t>
      </w:r>
      <w:r w:rsidR="00971F09">
        <w:t xml:space="preserve"> under Enabling Services</w:t>
      </w:r>
      <w:r w:rsidRPr="00971F09">
        <w:t xml:space="preserve"> </w:t>
      </w:r>
      <w:r w:rsidR="00971F09">
        <w:t xml:space="preserve">and will be </w:t>
      </w:r>
      <w:r w:rsidRPr="00971F09">
        <w:t>shar</w:t>
      </w:r>
      <w:r w:rsidR="00971F09">
        <w:t>ing</w:t>
      </w:r>
      <w:r w:rsidRPr="00971F09">
        <w:t xml:space="preserve"> HR and Payroll systems</w:t>
      </w:r>
      <w:r w:rsidR="00971F09">
        <w:t xml:space="preserve"> from April 2024.</w:t>
      </w:r>
    </w:p>
    <w:p w14:paraId="42384542" w14:textId="72A92933" w:rsidR="00C87C19" w:rsidRPr="004D2F09" w:rsidRDefault="00C87C19" w:rsidP="00971F09">
      <w:pPr>
        <w:pStyle w:val="PanelPara"/>
      </w:pPr>
      <w:r w:rsidRPr="004D2F09">
        <w:t>The Fire governance transfer did not include funding for support services</w:t>
      </w:r>
      <w:r w:rsidR="00191853" w:rsidRPr="004D2F09">
        <w:t>,</w:t>
      </w:r>
      <w:r w:rsidRPr="004D2F09">
        <w:t xml:space="preserve"> </w:t>
      </w:r>
      <w:r w:rsidR="00191853" w:rsidRPr="004D2F09">
        <w:t>but</w:t>
      </w:r>
      <w:r w:rsidRPr="004D2F09">
        <w:t xml:space="preserve"> affordable resilient</w:t>
      </w:r>
      <w:r w:rsidR="00191853" w:rsidRPr="004D2F09">
        <w:t xml:space="preserve"> joint</w:t>
      </w:r>
      <w:r w:rsidRPr="004D2F09">
        <w:t xml:space="preserve"> </w:t>
      </w:r>
      <w:r w:rsidR="004D2F09" w:rsidRPr="004D2F09">
        <w:t>teams</w:t>
      </w:r>
      <w:r w:rsidRPr="004D2F09">
        <w:t xml:space="preserve"> </w:t>
      </w:r>
      <w:r w:rsidR="00191853" w:rsidRPr="004D2F09">
        <w:t>have been</w:t>
      </w:r>
      <w:r w:rsidRPr="004D2F09">
        <w:t xml:space="preserve"> established providing essential professional skills and capacity. </w:t>
      </w:r>
      <w:r w:rsidR="00191853" w:rsidRPr="004D2F09">
        <w:t xml:space="preserve"> </w:t>
      </w:r>
      <w:r w:rsidR="004D2F09" w:rsidRPr="004D2F09">
        <w:t>E</w:t>
      </w:r>
      <w:r w:rsidRPr="004D2F09">
        <w:t xml:space="preserve">fficiencies </w:t>
      </w:r>
      <w:r w:rsidR="00191853" w:rsidRPr="004D2F09">
        <w:t>have been made</w:t>
      </w:r>
      <w:r w:rsidRPr="004D2F09">
        <w:t xml:space="preserve"> from areas such as robust procurement and econ</w:t>
      </w:r>
      <w:r w:rsidR="00971F09" w:rsidRPr="004D2F09">
        <w:t>o</w:t>
      </w:r>
      <w:r w:rsidRPr="004D2F09">
        <w:t>mies of scale from sharing buildings and services.</w:t>
      </w:r>
    </w:p>
    <w:p w14:paraId="774163AB" w14:textId="2CA259F8" w:rsidR="005B7A16" w:rsidRPr="00AE5591" w:rsidRDefault="00C87C19" w:rsidP="004D2F09">
      <w:pPr>
        <w:pStyle w:val="PanelPara"/>
      </w:pPr>
      <w:r w:rsidRPr="00AE5591">
        <w:t>A</w:t>
      </w:r>
      <w:r w:rsidR="005B7A16" w:rsidRPr="00AE5591">
        <w:t>s</w:t>
      </w:r>
      <w:r w:rsidRPr="00AE5591">
        <w:t xml:space="preserve"> part of the response to the p</w:t>
      </w:r>
      <w:r w:rsidR="005B7A16" w:rsidRPr="00AE5591">
        <w:t>o</w:t>
      </w:r>
      <w:r w:rsidRPr="00AE5591">
        <w:t>lice</w:t>
      </w:r>
      <w:r w:rsidR="00107C61" w:rsidRPr="00AE5591">
        <w:t xml:space="preserve"> finance settlement</w:t>
      </w:r>
      <w:r w:rsidRPr="00AE5591">
        <w:t xml:space="preserve"> consultation, the PFCC was required to highlight some </w:t>
      </w:r>
      <w:r w:rsidR="005B7A16" w:rsidRPr="00AE5591">
        <w:t>of the efficiencies realised in Policing, these include (but are not limited to):</w:t>
      </w:r>
    </w:p>
    <w:p w14:paraId="7BA825FC" w14:textId="54BBB919" w:rsidR="005B7A16" w:rsidRPr="00AE5591" w:rsidRDefault="005B7A16" w:rsidP="00AE5591">
      <w:pPr>
        <w:pStyle w:val="PanelPara"/>
        <w:numPr>
          <w:ilvl w:val="1"/>
          <w:numId w:val="31"/>
        </w:numPr>
      </w:pPr>
      <w:bookmarkStart w:id="11" w:name="_Hlk125211005"/>
      <w:r w:rsidRPr="00AE5591">
        <w:t xml:space="preserve">Joint Digital Team </w:t>
      </w:r>
      <w:r w:rsidR="00AE5591" w:rsidRPr="00AE5591">
        <w:t>have delivered</w:t>
      </w:r>
      <w:r w:rsidRPr="00AE5591">
        <w:t xml:space="preserve"> £0.</w:t>
      </w:r>
      <w:r w:rsidR="00704F6D" w:rsidRPr="00AE5591">
        <w:t>3</w:t>
      </w:r>
      <w:r w:rsidRPr="00AE5591">
        <w:t>m of efficiencies so far</w:t>
      </w:r>
      <w:r w:rsidR="00AE5591" w:rsidRPr="00AE5591">
        <w:t xml:space="preserve">, </w:t>
      </w:r>
      <w:r w:rsidRPr="00AE5591">
        <w:t>realised from Police budgets</w:t>
      </w:r>
      <w:r w:rsidR="00AE5591">
        <w:t>.</w:t>
      </w:r>
    </w:p>
    <w:p w14:paraId="7788F154" w14:textId="4C9017FE" w:rsidR="005B7A16" w:rsidRPr="00AE5591" w:rsidRDefault="005B7A16" w:rsidP="00AE5591">
      <w:pPr>
        <w:pStyle w:val="PanelPara"/>
        <w:numPr>
          <w:ilvl w:val="1"/>
          <w:numId w:val="31"/>
        </w:numPr>
      </w:pPr>
      <w:r w:rsidRPr="00AE5591">
        <w:t xml:space="preserve">Joint Commercial Team </w:t>
      </w:r>
      <w:r w:rsidR="00704F6D" w:rsidRPr="00AE5591">
        <w:t>now embedded</w:t>
      </w:r>
      <w:r w:rsidRPr="00AE5591">
        <w:t xml:space="preserve">, moving away from an outsourced arrangement, providing better quality of service, diligence and efficiencies of </w:t>
      </w:r>
      <w:r w:rsidR="00704F6D" w:rsidRPr="00AE5591">
        <w:t>over £0.8m</w:t>
      </w:r>
      <w:r w:rsidRPr="00AE5591">
        <w:t xml:space="preserve">. </w:t>
      </w:r>
      <w:r w:rsidR="00704F6D" w:rsidRPr="00AE5591">
        <w:t xml:space="preserve"> This includes e</w:t>
      </w:r>
      <w:r w:rsidRPr="00AE5591">
        <w:t>stablishing commercial frameworks and ensuring full cost recovery from Special Police Services</w:t>
      </w:r>
      <w:r w:rsidR="00704F6D" w:rsidRPr="00AE5591">
        <w:t>.</w:t>
      </w:r>
      <w:bookmarkEnd w:id="11"/>
      <w:r w:rsidR="0035748F">
        <w:t xml:space="preserve">  Of particular note is the newly established estates framework which gives opportunities for local businesses.</w:t>
      </w:r>
    </w:p>
    <w:p w14:paraId="38345583" w14:textId="708A7BB7" w:rsidR="00E65FA4" w:rsidRPr="00AE5591" w:rsidRDefault="00220144" w:rsidP="00AE5591">
      <w:pPr>
        <w:pStyle w:val="PanelHeading"/>
      </w:pPr>
      <w:r w:rsidRPr="004D2F09">
        <w:t>202</w:t>
      </w:r>
      <w:r w:rsidR="004D2F09" w:rsidRPr="004D2F09">
        <w:t>4</w:t>
      </w:r>
      <w:r w:rsidRPr="004D2F09">
        <w:t>/2</w:t>
      </w:r>
      <w:r w:rsidR="004D2F09" w:rsidRPr="004D2F09">
        <w:t>5</w:t>
      </w:r>
      <w:r w:rsidR="00E65FA4" w:rsidRPr="004D2F09">
        <w:t xml:space="preserve"> Budget Consented to the Chief Constable</w:t>
      </w:r>
      <w:r w:rsidR="009615A2" w:rsidRPr="004D2F09">
        <w:t xml:space="preserve"> – the </w:t>
      </w:r>
      <w:r w:rsidR="004D2F09">
        <w:t>Police</w:t>
      </w:r>
      <w:r w:rsidR="009615A2" w:rsidRPr="004D2F09">
        <w:t xml:space="preserve"> </w:t>
      </w:r>
      <w:r w:rsidR="004D2F09" w:rsidRPr="004D2F09">
        <w:t>B</w:t>
      </w:r>
      <w:r w:rsidR="009615A2" w:rsidRPr="004D2F09">
        <w:t>udget</w:t>
      </w:r>
    </w:p>
    <w:p w14:paraId="6040C569" w14:textId="6041F52F" w:rsidR="009615A2" w:rsidRPr="004D2F09" w:rsidRDefault="004D2F09" w:rsidP="004D2F09">
      <w:pPr>
        <w:pStyle w:val="PanelPara"/>
      </w:pPr>
      <w:r w:rsidRPr="004D2F09">
        <w:t>As described above, t</w:t>
      </w:r>
      <w:r w:rsidR="00E65FA4" w:rsidRPr="004D2F09">
        <w:t xml:space="preserve">here has been a significant amount of scrutiny and challenge on the </w:t>
      </w:r>
      <w:r w:rsidR="009E47D7" w:rsidRPr="004D2F09">
        <w:t xml:space="preserve">police </w:t>
      </w:r>
      <w:r w:rsidR="00E65FA4" w:rsidRPr="004D2F09">
        <w:t xml:space="preserve">budget for </w:t>
      </w:r>
      <w:r w:rsidR="00220144" w:rsidRPr="004D2F09">
        <w:t>202</w:t>
      </w:r>
      <w:r w:rsidRPr="004D2F09">
        <w:t>4</w:t>
      </w:r>
      <w:r w:rsidR="00220144" w:rsidRPr="004D2F09">
        <w:t>/2</w:t>
      </w:r>
      <w:r w:rsidRPr="004D2F09">
        <w:t>5</w:t>
      </w:r>
      <w:r w:rsidR="00E65FA4" w:rsidRPr="004D2F09">
        <w:t>, and as part of these discussions and negotiations, the PFCC has sought and received assurances on how the assumptions and budgets have been calculated</w:t>
      </w:r>
      <w:r w:rsidR="00532192" w:rsidRPr="004D2F09">
        <w:t>.</w:t>
      </w:r>
    </w:p>
    <w:p w14:paraId="5229E688" w14:textId="73FEE82D" w:rsidR="004D2F09" w:rsidRPr="004D2F09" w:rsidRDefault="00556444" w:rsidP="004D2F09">
      <w:pPr>
        <w:pStyle w:val="PanelPara"/>
      </w:pPr>
      <w:r w:rsidRPr="004D2F09">
        <w:t xml:space="preserve">The </w:t>
      </w:r>
      <w:r w:rsidR="0035748F">
        <w:t xml:space="preserve">operational </w:t>
      </w:r>
      <w:r w:rsidR="009E47D7" w:rsidRPr="004D2F09">
        <w:t xml:space="preserve">police </w:t>
      </w:r>
      <w:r w:rsidR="00B200EE" w:rsidRPr="004D2F09">
        <w:t>budget</w:t>
      </w:r>
      <w:r w:rsidR="00656A64" w:rsidRPr="004D2F09">
        <w:t xml:space="preserve"> </w:t>
      </w:r>
      <w:r w:rsidR="0035748F">
        <w:t xml:space="preserve">allocated to the Chief Constable </w:t>
      </w:r>
      <w:r w:rsidRPr="004D2F09">
        <w:t xml:space="preserve">for </w:t>
      </w:r>
      <w:r w:rsidR="00220144" w:rsidRPr="004D2F09">
        <w:t>202</w:t>
      </w:r>
      <w:r w:rsidR="004D2F09" w:rsidRPr="004D2F09">
        <w:t>4</w:t>
      </w:r>
      <w:r w:rsidR="00220144" w:rsidRPr="004D2F09">
        <w:t>/2</w:t>
      </w:r>
      <w:r w:rsidR="004D2F09" w:rsidRPr="004D2F09">
        <w:t>5</w:t>
      </w:r>
      <w:r w:rsidR="00FE0DE6" w:rsidRPr="004D2F09">
        <w:t xml:space="preserve"> is </w:t>
      </w:r>
      <w:r w:rsidR="00FE0DE6" w:rsidRPr="004D2F09">
        <w:rPr>
          <w:b/>
          <w:bCs/>
        </w:rPr>
        <w:t>£</w:t>
      </w:r>
      <w:r w:rsidR="004D2F09" w:rsidRPr="004D2F09">
        <w:rPr>
          <w:b/>
          <w:bCs/>
        </w:rPr>
        <w:t>176.270</w:t>
      </w:r>
      <w:r w:rsidR="00FE0DE6" w:rsidRPr="004D2F09">
        <w:rPr>
          <w:b/>
          <w:bCs/>
        </w:rPr>
        <w:t>m</w:t>
      </w:r>
      <w:r w:rsidR="00FE0DE6" w:rsidRPr="004D2F09">
        <w:t xml:space="preserve">, </w:t>
      </w:r>
      <w:r w:rsidRPr="004D2F09">
        <w:t xml:space="preserve">an increase of </w:t>
      </w:r>
      <w:r w:rsidR="004D2F09" w:rsidRPr="004D2F09">
        <w:t>over</w:t>
      </w:r>
      <w:r w:rsidR="00107C61" w:rsidRPr="004D2F09">
        <w:t xml:space="preserve"> £1</w:t>
      </w:r>
      <w:r w:rsidR="004D2F09" w:rsidRPr="004D2F09">
        <w:t>5</w:t>
      </w:r>
      <w:r w:rsidR="00107C61" w:rsidRPr="004D2F09">
        <w:t>m</w:t>
      </w:r>
      <w:r w:rsidRPr="004D2F09">
        <w:t xml:space="preserve"> </w:t>
      </w:r>
      <w:r w:rsidR="00131E14" w:rsidRPr="004D2F09">
        <w:t xml:space="preserve">from </w:t>
      </w:r>
      <w:r w:rsidR="00220144" w:rsidRPr="004D2F09">
        <w:t>202</w:t>
      </w:r>
      <w:r w:rsidR="004D2F09" w:rsidRPr="004D2F09">
        <w:t>3</w:t>
      </w:r>
      <w:r w:rsidR="00220144" w:rsidRPr="004D2F09">
        <w:t>/2</w:t>
      </w:r>
      <w:r w:rsidR="004D2F09" w:rsidRPr="004D2F09">
        <w:t>4</w:t>
      </w:r>
      <w:r w:rsidR="004106DF" w:rsidRPr="004D2F09">
        <w:t xml:space="preserve"> </w:t>
      </w:r>
      <w:r w:rsidR="00174CE0" w:rsidRPr="004D2F09">
        <w:t>and is</w:t>
      </w:r>
      <w:r w:rsidR="004106DF" w:rsidRPr="004D2F09">
        <w:t xml:space="preserve"> broken down as follows:</w:t>
      </w:r>
    </w:p>
    <w:tbl>
      <w:tblPr>
        <w:tblW w:w="6040" w:type="dxa"/>
        <w:tblInd w:w="562" w:type="dxa"/>
        <w:tblLook w:val="04A0" w:firstRow="1" w:lastRow="0" w:firstColumn="1" w:lastColumn="0" w:noHBand="0" w:noVBand="1"/>
      </w:tblPr>
      <w:tblGrid>
        <w:gridCol w:w="1052"/>
        <w:gridCol w:w="4335"/>
        <w:gridCol w:w="1049"/>
      </w:tblGrid>
      <w:tr w:rsidR="004D2F09" w:rsidRPr="004D2F09" w14:paraId="0DF33551" w14:textId="77777777" w:rsidTr="001D0E11">
        <w:trPr>
          <w:trHeight w:val="630"/>
        </w:trPr>
        <w:tc>
          <w:tcPr>
            <w:tcW w:w="10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7DD65C" w14:textId="77777777" w:rsidR="004D2F09" w:rsidRPr="004D2F09" w:rsidRDefault="004D2F09" w:rsidP="004D2F09">
            <w:pPr>
              <w:spacing w:after="0" w:line="240" w:lineRule="auto"/>
              <w:jc w:val="center"/>
              <w:rPr>
                <w:rFonts w:eastAsia="Times New Roman" w:cs="Calibri"/>
                <w:b/>
                <w:bCs/>
                <w:color w:val="000000"/>
                <w:sz w:val="24"/>
                <w:szCs w:val="24"/>
                <w:lang w:eastAsia="en-GB"/>
              </w:rPr>
            </w:pPr>
            <w:r w:rsidRPr="004D2F09">
              <w:rPr>
                <w:rFonts w:eastAsia="Times New Roman" w:cs="Calibri"/>
                <w:b/>
                <w:bCs/>
                <w:color w:val="000000"/>
                <w:sz w:val="24"/>
                <w:szCs w:val="24"/>
                <w:lang w:eastAsia="en-GB"/>
              </w:rPr>
              <w:t>2023/24</w:t>
            </w:r>
            <w:r w:rsidRPr="004D2F09">
              <w:rPr>
                <w:rFonts w:eastAsia="Times New Roman" w:cs="Calibri"/>
                <w:b/>
                <w:bCs/>
                <w:color w:val="000000"/>
                <w:sz w:val="24"/>
                <w:szCs w:val="24"/>
                <w:lang w:eastAsia="en-GB"/>
              </w:rPr>
              <w:br/>
              <w:t>£m</w:t>
            </w:r>
          </w:p>
        </w:tc>
        <w:tc>
          <w:tcPr>
            <w:tcW w:w="4335" w:type="dxa"/>
            <w:tcBorders>
              <w:top w:val="single" w:sz="4" w:space="0" w:color="auto"/>
              <w:left w:val="nil"/>
              <w:bottom w:val="single" w:sz="4" w:space="0" w:color="auto"/>
              <w:right w:val="single" w:sz="4" w:space="0" w:color="auto"/>
            </w:tcBorders>
            <w:shd w:val="clear" w:color="000000" w:fill="FFFFFF"/>
            <w:noWrap/>
            <w:vAlign w:val="center"/>
            <w:hideMark/>
          </w:tcPr>
          <w:p w14:paraId="729550EC" w14:textId="77777777" w:rsidR="004D2F09" w:rsidRPr="004D2F09" w:rsidRDefault="004D2F09" w:rsidP="004D2F09">
            <w:pPr>
              <w:spacing w:after="0" w:line="240" w:lineRule="auto"/>
              <w:jc w:val="center"/>
              <w:rPr>
                <w:rFonts w:eastAsia="Times New Roman" w:cs="Calibri"/>
                <w:b/>
                <w:bCs/>
                <w:color w:val="000000"/>
                <w:sz w:val="24"/>
                <w:szCs w:val="24"/>
                <w:lang w:eastAsia="en-GB"/>
              </w:rPr>
            </w:pPr>
            <w:r w:rsidRPr="004D2F09">
              <w:rPr>
                <w:rFonts w:eastAsia="Times New Roman" w:cs="Calibri"/>
                <w:b/>
                <w:bCs/>
                <w:color w:val="000000"/>
                <w:sz w:val="24"/>
                <w:szCs w:val="24"/>
                <w:lang w:eastAsia="en-GB"/>
              </w:rPr>
              <w:t>Police Budget Breakdown</w:t>
            </w:r>
          </w:p>
        </w:tc>
        <w:tc>
          <w:tcPr>
            <w:tcW w:w="653" w:type="dxa"/>
            <w:tcBorders>
              <w:top w:val="single" w:sz="4" w:space="0" w:color="auto"/>
              <w:left w:val="nil"/>
              <w:bottom w:val="single" w:sz="4" w:space="0" w:color="auto"/>
              <w:right w:val="single" w:sz="4" w:space="0" w:color="auto"/>
            </w:tcBorders>
            <w:shd w:val="clear" w:color="000000" w:fill="DDEBF7"/>
            <w:vAlign w:val="center"/>
            <w:hideMark/>
          </w:tcPr>
          <w:p w14:paraId="654E7534" w14:textId="77777777" w:rsidR="004D2F09" w:rsidRPr="004D2F09" w:rsidRDefault="004D2F09" w:rsidP="004D2F09">
            <w:pPr>
              <w:spacing w:after="0" w:line="240" w:lineRule="auto"/>
              <w:jc w:val="center"/>
              <w:rPr>
                <w:rFonts w:eastAsia="Times New Roman" w:cs="Calibri"/>
                <w:b/>
                <w:bCs/>
                <w:color w:val="000000"/>
                <w:sz w:val="24"/>
                <w:szCs w:val="24"/>
                <w:lang w:eastAsia="en-GB"/>
              </w:rPr>
            </w:pPr>
            <w:r w:rsidRPr="004D2F09">
              <w:rPr>
                <w:rFonts w:eastAsia="Times New Roman" w:cs="Calibri"/>
                <w:b/>
                <w:bCs/>
                <w:color w:val="000000"/>
                <w:sz w:val="24"/>
                <w:szCs w:val="24"/>
                <w:lang w:eastAsia="en-GB"/>
              </w:rPr>
              <w:t>2024/25</w:t>
            </w:r>
            <w:r w:rsidRPr="004D2F09">
              <w:rPr>
                <w:rFonts w:eastAsia="Times New Roman" w:cs="Calibri"/>
                <w:b/>
                <w:bCs/>
                <w:color w:val="000000"/>
                <w:sz w:val="24"/>
                <w:szCs w:val="24"/>
                <w:lang w:eastAsia="en-GB"/>
              </w:rPr>
              <w:br/>
              <w:t>£m</w:t>
            </w:r>
          </w:p>
        </w:tc>
      </w:tr>
      <w:tr w:rsidR="004D2F09" w:rsidRPr="004D2F09" w14:paraId="5793561E" w14:textId="77777777" w:rsidTr="001D0E11">
        <w:trPr>
          <w:trHeight w:val="315"/>
        </w:trPr>
        <w:tc>
          <w:tcPr>
            <w:tcW w:w="1052" w:type="dxa"/>
            <w:tcBorders>
              <w:top w:val="nil"/>
              <w:left w:val="single" w:sz="4" w:space="0" w:color="auto"/>
              <w:bottom w:val="nil"/>
              <w:right w:val="single" w:sz="4" w:space="0" w:color="auto"/>
            </w:tcBorders>
            <w:shd w:val="clear" w:color="000000" w:fill="FFFFFF"/>
            <w:noWrap/>
            <w:vAlign w:val="bottom"/>
            <w:hideMark/>
          </w:tcPr>
          <w:p w14:paraId="46512DB5"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86.570</w:t>
            </w:r>
          </w:p>
        </w:tc>
        <w:tc>
          <w:tcPr>
            <w:tcW w:w="4335" w:type="dxa"/>
            <w:tcBorders>
              <w:top w:val="nil"/>
              <w:left w:val="nil"/>
              <w:bottom w:val="nil"/>
              <w:right w:val="single" w:sz="4" w:space="0" w:color="auto"/>
            </w:tcBorders>
            <w:shd w:val="clear" w:color="auto" w:fill="auto"/>
            <w:noWrap/>
            <w:vAlign w:val="bottom"/>
            <w:hideMark/>
          </w:tcPr>
          <w:p w14:paraId="335344F5" w14:textId="77777777" w:rsidR="004D2F09" w:rsidRPr="004D2F09" w:rsidRDefault="004D2F09" w:rsidP="004D2F09">
            <w:pPr>
              <w:spacing w:after="0" w:line="240" w:lineRule="auto"/>
              <w:rPr>
                <w:rFonts w:eastAsia="Times New Roman" w:cs="Calibri"/>
                <w:color w:val="000000"/>
                <w:sz w:val="24"/>
                <w:szCs w:val="24"/>
                <w:lang w:eastAsia="en-GB"/>
              </w:rPr>
            </w:pPr>
            <w:r w:rsidRPr="004D2F09">
              <w:rPr>
                <w:rFonts w:eastAsia="Times New Roman" w:cs="Calibri"/>
                <w:color w:val="000000"/>
                <w:sz w:val="24"/>
                <w:szCs w:val="24"/>
                <w:lang w:eastAsia="en-GB"/>
              </w:rPr>
              <w:t>Police Officers</w:t>
            </w:r>
          </w:p>
        </w:tc>
        <w:tc>
          <w:tcPr>
            <w:tcW w:w="653" w:type="dxa"/>
            <w:tcBorders>
              <w:top w:val="nil"/>
              <w:left w:val="nil"/>
              <w:bottom w:val="nil"/>
              <w:right w:val="single" w:sz="4" w:space="0" w:color="auto"/>
            </w:tcBorders>
            <w:shd w:val="clear" w:color="000000" w:fill="DDEBF7"/>
            <w:noWrap/>
            <w:vAlign w:val="bottom"/>
            <w:hideMark/>
          </w:tcPr>
          <w:p w14:paraId="1C893A6E"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97.537</w:t>
            </w:r>
          </w:p>
        </w:tc>
      </w:tr>
      <w:tr w:rsidR="004D2F09" w:rsidRPr="004D2F09" w14:paraId="6A48FCFA" w14:textId="77777777" w:rsidTr="001D0E11">
        <w:trPr>
          <w:trHeight w:val="315"/>
        </w:trPr>
        <w:tc>
          <w:tcPr>
            <w:tcW w:w="1052" w:type="dxa"/>
            <w:tcBorders>
              <w:top w:val="nil"/>
              <w:left w:val="single" w:sz="4" w:space="0" w:color="auto"/>
              <w:bottom w:val="nil"/>
              <w:right w:val="single" w:sz="4" w:space="0" w:color="auto"/>
            </w:tcBorders>
            <w:shd w:val="clear" w:color="000000" w:fill="FFFFFF"/>
            <w:noWrap/>
            <w:vAlign w:val="bottom"/>
            <w:hideMark/>
          </w:tcPr>
          <w:p w14:paraId="4A5B93AA"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29.997</w:t>
            </w:r>
          </w:p>
        </w:tc>
        <w:tc>
          <w:tcPr>
            <w:tcW w:w="4335" w:type="dxa"/>
            <w:tcBorders>
              <w:top w:val="nil"/>
              <w:left w:val="nil"/>
              <w:bottom w:val="nil"/>
              <w:right w:val="single" w:sz="4" w:space="0" w:color="auto"/>
            </w:tcBorders>
            <w:shd w:val="clear" w:color="000000" w:fill="FFFFFF"/>
            <w:noWrap/>
            <w:vAlign w:val="bottom"/>
            <w:hideMark/>
          </w:tcPr>
          <w:p w14:paraId="363CC7A3" w14:textId="77777777" w:rsidR="004D2F09" w:rsidRPr="004D2F09" w:rsidRDefault="004D2F09" w:rsidP="004D2F09">
            <w:pPr>
              <w:spacing w:after="0" w:line="240" w:lineRule="auto"/>
              <w:rPr>
                <w:rFonts w:eastAsia="Times New Roman" w:cs="Calibri"/>
                <w:color w:val="000000"/>
                <w:sz w:val="24"/>
                <w:szCs w:val="24"/>
                <w:lang w:eastAsia="en-GB"/>
              </w:rPr>
            </w:pPr>
            <w:r w:rsidRPr="004D2F09">
              <w:rPr>
                <w:rFonts w:eastAsia="Times New Roman" w:cs="Calibri"/>
                <w:color w:val="000000"/>
                <w:sz w:val="24"/>
                <w:szCs w:val="24"/>
                <w:lang w:eastAsia="en-GB"/>
              </w:rPr>
              <w:t>Police Staff</w:t>
            </w:r>
          </w:p>
        </w:tc>
        <w:tc>
          <w:tcPr>
            <w:tcW w:w="653" w:type="dxa"/>
            <w:tcBorders>
              <w:top w:val="nil"/>
              <w:left w:val="nil"/>
              <w:bottom w:val="nil"/>
              <w:right w:val="single" w:sz="4" w:space="0" w:color="auto"/>
            </w:tcBorders>
            <w:shd w:val="clear" w:color="000000" w:fill="DDEBF7"/>
            <w:noWrap/>
            <w:vAlign w:val="bottom"/>
            <w:hideMark/>
          </w:tcPr>
          <w:p w14:paraId="54C37AC0"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32.072</w:t>
            </w:r>
          </w:p>
        </w:tc>
      </w:tr>
      <w:tr w:rsidR="004D2F09" w:rsidRPr="004D2F09" w14:paraId="54F52C10" w14:textId="77777777" w:rsidTr="001D0E11">
        <w:trPr>
          <w:trHeight w:val="315"/>
        </w:trPr>
        <w:tc>
          <w:tcPr>
            <w:tcW w:w="1052" w:type="dxa"/>
            <w:tcBorders>
              <w:top w:val="nil"/>
              <w:left w:val="single" w:sz="4" w:space="0" w:color="auto"/>
              <w:bottom w:val="nil"/>
              <w:right w:val="single" w:sz="4" w:space="0" w:color="auto"/>
            </w:tcBorders>
            <w:shd w:val="clear" w:color="000000" w:fill="FFFFFF"/>
            <w:noWrap/>
            <w:vAlign w:val="bottom"/>
            <w:hideMark/>
          </w:tcPr>
          <w:p w14:paraId="0D1DEBE0"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3.978</w:t>
            </w:r>
          </w:p>
        </w:tc>
        <w:tc>
          <w:tcPr>
            <w:tcW w:w="4335" w:type="dxa"/>
            <w:tcBorders>
              <w:top w:val="nil"/>
              <w:left w:val="nil"/>
              <w:bottom w:val="nil"/>
              <w:right w:val="single" w:sz="4" w:space="0" w:color="auto"/>
            </w:tcBorders>
            <w:shd w:val="clear" w:color="000000" w:fill="FFFFFF"/>
            <w:noWrap/>
            <w:vAlign w:val="bottom"/>
            <w:hideMark/>
          </w:tcPr>
          <w:p w14:paraId="4FEE96D0" w14:textId="77777777" w:rsidR="004D2F09" w:rsidRPr="004D2F09" w:rsidRDefault="004D2F09" w:rsidP="004D2F09">
            <w:pPr>
              <w:spacing w:after="0" w:line="240" w:lineRule="auto"/>
              <w:rPr>
                <w:rFonts w:eastAsia="Times New Roman" w:cs="Calibri"/>
                <w:color w:val="000000"/>
                <w:sz w:val="24"/>
                <w:szCs w:val="24"/>
                <w:lang w:eastAsia="en-GB"/>
              </w:rPr>
            </w:pPr>
            <w:r w:rsidRPr="004D2F09">
              <w:rPr>
                <w:rFonts w:eastAsia="Times New Roman" w:cs="Calibri"/>
                <w:color w:val="000000"/>
                <w:sz w:val="24"/>
                <w:szCs w:val="24"/>
                <w:lang w:eastAsia="en-GB"/>
              </w:rPr>
              <w:t>PCSOs</w:t>
            </w:r>
          </w:p>
        </w:tc>
        <w:tc>
          <w:tcPr>
            <w:tcW w:w="653" w:type="dxa"/>
            <w:tcBorders>
              <w:top w:val="nil"/>
              <w:left w:val="nil"/>
              <w:bottom w:val="nil"/>
              <w:right w:val="single" w:sz="4" w:space="0" w:color="auto"/>
            </w:tcBorders>
            <w:shd w:val="clear" w:color="000000" w:fill="DDEBF7"/>
            <w:noWrap/>
            <w:vAlign w:val="bottom"/>
            <w:hideMark/>
          </w:tcPr>
          <w:p w14:paraId="0F1C8A60"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3.973</w:t>
            </w:r>
          </w:p>
        </w:tc>
      </w:tr>
      <w:tr w:rsidR="004D2F09" w:rsidRPr="004D2F09" w14:paraId="0F698DAA" w14:textId="77777777" w:rsidTr="001D0E11">
        <w:trPr>
          <w:trHeight w:val="315"/>
        </w:trPr>
        <w:tc>
          <w:tcPr>
            <w:tcW w:w="1052" w:type="dxa"/>
            <w:tcBorders>
              <w:top w:val="nil"/>
              <w:left w:val="single" w:sz="4" w:space="0" w:color="auto"/>
              <w:bottom w:val="nil"/>
              <w:right w:val="single" w:sz="4" w:space="0" w:color="auto"/>
            </w:tcBorders>
            <w:shd w:val="clear" w:color="000000" w:fill="FFFFFF"/>
            <w:noWrap/>
            <w:vAlign w:val="bottom"/>
            <w:hideMark/>
          </w:tcPr>
          <w:p w14:paraId="5CA83B93"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1.049</w:t>
            </w:r>
          </w:p>
        </w:tc>
        <w:tc>
          <w:tcPr>
            <w:tcW w:w="4335" w:type="dxa"/>
            <w:tcBorders>
              <w:top w:val="nil"/>
              <w:left w:val="nil"/>
              <w:bottom w:val="nil"/>
              <w:right w:val="single" w:sz="4" w:space="0" w:color="auto"/>
            </w:tcBorders>
            <w:shd w:val="clear" w:color="000000" w:fill="FFFFFF"/>
            <w:noWrap/>
            <w:vAlign w:val="bottom"/>
            <w:hideMark/>
          </w:tcPr>
          <w:p w14:paraId="3D026778" w14:textId="77777777" w:rsidR="004D2F09" w:rsidRPr="004D2F09" w:rsidRDefault="004D2F09" w:rsidP="004D2F09">
            <w:pPr>
              <w:spacing w:after="0" w:line="240" w:lineRule="auto"/>
              <w:rPr>
                <w:rFonts w:eastAsia="Times New Roman" w:cs="Calibri"/>
                <w:color w:val="000000"/>
                <w:sz w:val="24"/>
                <w:szCs w:val="24"/>
                <w:lang w:eastAsia="en-GB"/>
              </w:rPr>
            </w:pPr>
            <w:r w:rsidRPr="004D2F09">
              <w:rPr>
                <w:rFonts w:eastAsia="Times New Roman" w:cs="Calibri"/>
                <w:color w:val="000000"/>
                <w:sz w:val="24"/>
                <w:szCs w:val="24"/>
                <w:lang w:eastAsia="en-GB"/>
              </w:rPr>
              <w:t>Other Pension Costs</w:t>
            </w:r>
          </w:p>
        </w:tc>
        <w:tc>
          <w:tcPr>
            <w:tcW w:w="653" w:type="dxa"/>
            <w:tcBorders>
              <w:top w:val="nil"/>
              <w:left w:val="nil"/>
              <w:bottom w:val="nil"/>
              <w:right w:val="single" w:sz="4" w:space="0" w:color="auto"/>
            </w:tcBorders>
            <w:shd w:val="clear" w:color="000000" w:fill="DDEBF7"/>
            <w:noWrap/>
            <w:vAlign w:val="bottom"/>
            <w:hideMark/>
          </w:tcPr>
          <w:p w14:paraId="2048441B"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1.235</w:t>
            </w:r>
          </w:p>
        </w:tc>
      </w:tr>
      <w:tr w:rsidR="004D2F09" w:rsidRPr="004D2F09" w14:paraId="2595EE2F" w14:textId="77777777" w:rsidTr="001D0E11">
        <w:trPr>
          <w:trHeight w:val="315"/>
        </w:trPr>
        <w:tc>
          <w:tcPr>
            <w:tcW w:w="1052" w:type="dxa"/>
            <w:tcBorders>
              <w:top w:val="nil"/>
              <w:left w:val="single" w:sz="4" w:space="0" w:color="auto"/>
              <w:bottom w:val="nil"/>
              <w:right w:val="single" w:sz="4" w:space="0" w:color="auto"/>
            </w:tcBorders>
            <w:shd w:val="clear" w:color="000000" w:fill="FFFFFF"/>
            <w:noWrap/>
            <w:vAlign w:val="bottom"/>
            <w:hideMark/>
          </w:tcPr>
          <w:p w14:paraId="5F6C5BAB"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0.665</w:t>
            </w:r>
          </w:p>
        </w:tc>
        <w:tc>
          <w:tcPr>
            <w:tcW w:w="4335" w:type="dxa"/>
            <w:tcBorders>
              <w:top w:val="nil"/>
              <w:left w:val="nil"/>
              <w:bottom w:val="nil"/>
              <w:right w:val="single" w:sz="4" w:space="0" w:color="auto"/>
            </w:tcBorders>
            <w:shd w:val="clear" w:color="000000" w:fill="FFFFFF"/>
            <w:noWrap/>
            <w:vAlign w:val="bottom"/>
            <w:hideMark/>
          </w:tcPr>
          <w:p w14:paraId="5B058FB4" w14:textId="77777777" w:rsidR="004D2F09" w:rsidRPr="004D2F09" w:rsidRDefault="004D2F09" w:rsidP="004D2F09">
            <w:pPr>
              <w:spacing w:after="0" w:line="240" w:lineRule="auto"/>
              <w:rPr>
                <w:rFonts w:eastAsia="Times New Roman" w:cs="Calibri"/>
                <w:color w:val="000000"/>
                <w:sz w:val="24"/>
                <w:szCs w:val="24"/>
                <w:lang w:eastAsia="en-GB"/>
              </w:rPr>
            </w:pPr>
            <w:r w:rsidRPr="004D2F09">
              <w:rPr>
                <w:rFonts w:eastAsia="Times New Roman" w:cs="Calibri"/>
                <w:color w:val="000000"/>
                <w:sz w:val="24"/>
                <w:szCs w:val="24"/>
                <w:lang w:eastAsia="en-GB"/>
              </w:rPr>
              <w:t>Other Employee Expenses</w:t>
            </w:r>
          </w:p>
        </w:tc>
        <w:tc>
          <w:tcPr>
            <w:tcW w:w="653" w:type="dxa"/>
            <w:tcBorders>
              <w:top w:val="nil"/>
              <w:left w:val="nil"/>
              <w:bottom w:val="nil"/>
              <w:right w:val="single" w:sz="4" w:space="0" w:color="auto"/>
            </w:tcBorders>
            <w:shd w:val="clear" w:color="000000" w:fill="DDEBF7"/>
            <w:noWrap/>
            <w:vAlign w:val="bottom"/>
            <w:hideMark/>
          </w:tcPr>
          <w:p w14:paraId="7F66CB65"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0.616</w:t>
            </w:r>
          </w:p>
        </w:tc>
      </w:tr>
      <w:tr w:rsidR="004D2F09" w:rsidRPr="004D2F09" w14:paraId="070B2660" w14:textId="77777777" w:rsidTr="001D0E11">
        <w:trPr>
          <w:trHeight w:val="315"/>
        </w:trPr>
        <w:tc>
          <w:tcPr>
            <w:tcW w:w="1052" w:type="dxa"/>
            <w:tcBorders>
              <w:top w:val="nil"/>
              <w:left w:val="single" w:sz="4" w:space="0" w:color="auto"/>
              <w:bottom w:val="nil"/>
              <w:right w:val="single" w:sz="4" w:space="0" w:color="auto"/>
            </w:tcBorders>
            <w:shd w:val="clear" w:color="000000" w:fill="FFFFFF"/>
            <w:noWrap/>
            <w:vAlign w:val="bottom"/>
            <w:hideMark/>
          </w:tcPr>
          <w:p w14:paraId="03DF4ABC"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1.513</w:t>
            </w:r>
          </w:p>
        </w:tc>
        <w:tc>
          <w:tcPr>
            <w:tcW w:w="4335" w:type="dxa"/>
            <w:tcBorders>
              <w:top w:val="nil"/>
              <w:left w:val="nil"/>
              <w:bottom w:val="nil"/>
              <w:right w:val="single" w:sz="4" w:space="0" w:color="auto"/>
            </w:tcBorders>
            <w:shd w:val="clear" w:color="000000" w:fill="FFFFFF"/>
            <w:noWrap/>
            <w:vAlign w:val="bottom"/>
            <w:hideMark/>
          </w:tcPr>
          <w:p w14:paraId="2842B09E" w14:textId="77777777" w:rsidR="004D2F09" w:rsidRPr="004D2F09" w:rsidRDefault="004D2F09" w:rsidP="004D2F09">
            <w:pPr>
              <w:spacing w:after="0" w:line="240" w:lineRule="auto"/>
              <w:rPr>
                <w:rFonts w:eastAsia="Times New Roman" w:cs="Calibri"/>
                <w:color w:val="000000"/>
                <w:sz w:val="24"/>
                <w:szCs w:val="24"/>
                <w:lang w:eastAsia="en-GB"/>
              </w:rPr>
            </w:pPr>
            <w:r w:rsidRPr="004D2F09">
              <w:rPr>
                <w:rFonts w:eastAsia="Times New Roman" w:cs="Calibri"/>
                <w:color w:val="000000"/>
                <w:sz w:val="24"/>
                <w:szCs w:val="24"/>
                <w:lang w:eastAsia="en-GB"/>
              </w:rPr>
              <w:t>National ICT Charges (inc. PNC)</w:t>
            </w:r>
          </w:p>
        </w:tc>
        <w:tc>
          <w:tcPr>
            <w:tcW w:w="653" w:type="dxa"/>
            <w:tcBorders>
              <w:top w:val="nil"/>
              <w:left w:val="nil"/>
              <w:bottom w:val="nil"/>
              <w:right w:val="single" w:sz="4" w:space="0" w:color="auto"/>
            </w:tcBorders>
            <w:shd w:val="clear" w:color="000000" w:fill="DDEBF7"/>
            <w:noWrap/>
            <w:vAlign w:val="bottom"/>
            <w:hideMark/>
          </w:tcPr>
          <w:p w14:paraId="217E5838"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1.814</w:t>
            </w:r>
          </w:p>
        </w:tc>
      </w:tr>
      <w:tr w:rsidR="004D2F09" w:rsidRPr="004D2F09" w14:paraId="3216F136" w14:textId="77777777" w:rsidTr="001D0E11">
        <w:trPr>
          <w:trHeight w:val="315"/>
        </w:trPr>
        <w:tc>
          <w:tcPr>
            <w:tcW w:w="1052" w:type="dxa"/>
            <w:tcBorders>
              <w:top w:val="nil"/>
              <w:left w:val="single" w:sz="4" w:space="0" w:color="auto"/>
              <w:bottom w:val="nil"/>
              <w:right w:val="single" w:sz="4" w:space="0" w:color="auto"/>
            </w:tcBorders>
            <w:shd w:val="clear" w:color="000000" w:fill="FFFFFF"/>
            <w:noWrap/>
            <w:vAlign w:val="bottom"/>
            <w:hideMark/>
          </w:tcPr>
          <w:p w14:paraId="51CBF608"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9.353</w:t>
            </w:r>
          </w:p>
        </w:tc>
        <w:tc>
          <w:tcPr>
            <w:tcW w:w="4335" w:type="dxa"/>
            <w:tcBorders>
              <w:top w:val="nil"/>
              <w:left w:val="nil"/>
              <w:bottom w:val="nil"/>
              <w:right w:val="single" w:sz="4" w:space="0" w:color="auto"/>
            </w:tcBorders>
            <w:shd w:val="clear" w:color="000000" w:fill="FFFFFF"/>
            <w:noWrap/>
            <w:vAlign w:val="bottom"/>
            <w:hideMark/>
          </w:tcPr>
          <w:p w14:paraId="18AA83D9" w14:textId="77777777" w:rsidR="004D2F09" w:rsidRPr="004D2F09" w:rsidRDefault="004D2F09" w:rsidP="004D2F09">
            <w:pPr>
              <w:spacing w:after="0" w:line="240" w:lineRule="auto"/>
              <w:rPr>
                <w:rFonts w:eastAsia="Times New Roman" w:cs="Calibri"/>
                <w:color w:val="000000"/>
                <w:sz w:val="24"/>
                <w:szCs w:val="24"/>
                <w:lang w:eastAsia="en-GB"/>
              </w:rPr>
            </w:pPr>
            <w:r w:rsidRPr="004D2F09">
              <w:rPr>
                <w:rFonts w:eastAsia="Times New Roman" w:cs="Calibri"/>
                <w:color w:val="000000"/>
                <w:sz w:val="24"/>
                <w:szCs w:val="24"/>
                <w:lang w:eastAsia="en-GB"/>
              </w:rPr>
              <w:t>Third Party/Collaborative Arrangements</w:t>
            </w:r>
          </w:p>
        </w:tc>
        <w:tc>
          <w:tcPr>
            <w:tcW w:w="653" w:type="dxa"/>
            <w:tcBorders>
              <w:top w:val="nil"/>
              <w:left w:val="nil"/>
              <w:bottom w:val="nil"/>
              <w:right w:val="single" w:sz="4" w:space="0" w:color="auto"/>
            </w:tcBorders>
            <w:shd w:val="clear" w:color="000000" w:fill="DDEBF7"/>
            <w:noWrap/>
            <w:vAlign w:val="bottom"/>
            <w:hideMark/>
          </w:tcPr>
          <w:p w14:paraId="6090E7BC"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10.361</w:t>
            </w:r>
          </w:p>
        </w:tc>
      </w:tr>
      <w:tr w:rsidR="004D2F09" w:rsidRPr="004D2F09" w14:paraId="449518A4" w14:textId="77777777" w:rsidTr="001D0E11">
        <w:trPr>
          <w:trHeight w:val="315"/>
        </w:trPr>
        <w:tc>
          <w:tcPr>
            <w:tcW w:w="1052" w:type="dxa"/>
            <w:tcBorders>
              <w:top w:val="nil"/>
              <w:left w:val="single" w:sz="4" w:space="0" w:color="auto"/>
              <w:bottom w:val="nil"/>
              <w:right w:val="single" w:sz="4" w:space="0" w:color="auto"/>
            </w:tcBorders>
            <w:shd w:val="clear" w:color="000000" w:fill="FFFFFF"/>
            <w:noWrap/>
            <w:vAlign w:val="bottom"/>
            <w:hideMark/>
          </w:tcPr>
          <w:p w14:paraId="35307D42"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7.972</w:t>
            </w:r>
          </w:p>
        </w:tc>
        <w:tc>
          <w:tcPr>
            <w:tcW w:w="4335" w:type="dxa"/>
            <w:tcBorders>
              <w:top w:val="nil"/>
              <w:left w:val="nil"/>
              <w:bottom w:val="nil"/>
              <w:right w:val="single" w:sz="4" w:space="0" w:color="auto"/>
            </w:tcBorders>
            <w:shd w:val="clear" w:color="000000" w:fill="FFFFFF"/>
            <w:noWrap/>
            <w:vAlign w:val="bottom"/>
            <w:hideMark/>
          </w:tcPr>
          <w:p w14:paraId="2042223F" w14:textId="77777777" w:rsidR="004D2F09" w:rsidRPr="004D2F09" w:rsidRDefault="004D2F09" w:rsidP="004D2F09">
            <w:pPr>
              <w:spacing w:after="0" w:line="240" w:lineRule="auto"/>
              <w:rPr>
                <w:rFonts w:eastAsia="Times New Roman" w:cs="Calibri"/>
                <w:color w:val="000000"/>
                <w:sz w:val="24"/>
                <w:szCs w:val="24"/>
                <w:lang w:eastAsia="en-GB"/>
              </w:rPr>
            </w:pPr>
            <w:r w:rsidRPr="004D2F09">
              <w:rPr>
                <w:rFonts w:eastAsia="Times New Roman" w:cs="Calibri"/>
                <w:color w:val="000000"/>
                <w:sz w:val="24"/>
                <w:szCs w:val="24"/>
                <w:lang w:eastAsia="en-GB"/>
              </w:rPr>
              <w:t>Other Non-Pay (excl. Enabling Services)</w:t>
            </w:r>
          </w:p>
        </w:tc>
        <w:tc>
          <w:tcPr>
            <w:tcW w:w="653" w:type="dxa"/>
            <w:tcBorders>
              <w:top w:val="nil"/>
              <w:left w:val="nil"/>
              <w:bottom w:val="nil"/>
              <w:right w:val="single" w:sz="4" w:space="0" w:color="auto"/>
            </w:tcBorders>
            <w:shd w:val="clear" w:color="000000" w:fill="DDEBF7"/>
            <w:noWrap/>
            <w:vAlign w:val="bottom"/>
            <w:hideMark/>
          </w:tcPr>
          <w:p w14:paraId="2428997D"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7.485</w:t>
            </w:r>
          </w:p>
        </w:tc>
      </w:tr>
      <w:tr w:rsidR="004D2F09" w:rsidRPr="004D2F09" w14:paraId="7475D93B" w14:textId="77777777" w:rsidTr="001D0E11">
        <w:trPr>
          <w:trHeight w:val="315"/>
        </w:trPr>
        <w:tc>
          <w:tcPr>
            <w:tcW w:w="1052" w:type="dxa"/>
            <w:tcBorders>
              <w:top w:val="nil"/>
              <w:left w:val="single" w:sz="4" w:space="0" w:color="auto"/>
              <w:bottom w:val="nil"/>
              <w:right w:val="single" w:sz="4" w:space="0" w:color="auto"/>
            </w:tcBorders>
            <w:shd w:val="clear" w:color="000000" w:fill="FFFFFF"/>
            <w:noWrap/>
            <w:vAlign w:val="bottom"/>
            <w:hideMark/>
          </w:tcPr>
          <w:p w14:paraId="26DF2951"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(7.753)</w:t>
            </w:r>
          </w:p>
        </w:tc>
        <w:tc>
          <w:tcPr>
            <w:tcW w:w="4335" w:type="dxa"/>
            <w:tcBorders>
              <w:top w:val="nil"/>
              <w:left w:val="nil"/>
              <w:bottom w:val="nil"/>
              <w:right w:val="single" w:sz="4" w:space="0" w:color="auto"/>
            </w:tcBorders>
            <w:shd w:val="clear" w:color="000000" w:fill="FFFFFF"/>
            <w:noWrap/>
            <w:vAlign w:val="bottom"/>
            <w:hideMark/>
          </w:tcPr>
          <w:p w14:paraId="5A40C4D1" w14:textId="77777777" w:rsidR="004D2F09" w:rsidRPr="004D2F09" w:rsidRDefault="004D2F09" w:rsidP="004D2F09">
            <w:pPr>
              <w:spacing w:after="0" w:line="240" w:lineRule="auto"/>
              <w:rPr>
                <w:rFonts w:eastAsia="Times New Roman" w:cs="Calibri"/>
                <w:color w:val="000000"/>
                <w:sz w:val="24"/>
                <w:szCs w:val="24"/>
                <w:lang w:eastAsia="en-GB"/>
              </w:rPr>
            </w:pPr>
            <w:r w:rsidRPr="004D2F09">
              <w:rPr>
                <w:rFonts w:eastAsia="Times New Roman" w:cs="Calibri"/>
                <w:color w:val="000000"/>
                <w:sz w:val="24"/>
                <w:szCs w:val="24"/>
                <w:lang w:eastAsia="en-GB"/>
              </w:rPr>
              <w:t>Income</w:t>
            </w:r>
          </w:p>
        </w:tc>
        <w:tc>
          <w:tcPr>
            <w:tcW w:w="653" w:type="dxa"/>
            <w:tcBorders>
              <w:top w:val="nil"/>
              <w:left w:val="nil"/>
              <w:bottom w:val="nil"/>
              <w:right w:val="single" w:sz="4" w:space="0" w:color="auto"/>
            </w:tcBorders>
            <w:shd w:val="clear" w:color="000000" w:fill="DDEBF7"/>
            <w:noWrap/>
            <w:vAlign w:val="bottom"/>
            <w:hideMark/>
          </w:tcPr>
          <w:p w14:paraId="01CB6F34"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(10.622)</w:t>
            </w:r>
          </w:p>
        </w:tc>
      </w:tr>
      <w:tr w:rsidR="004D2F09" w:rsidRPr="004D2F09" w14:paraId="3CEA609E" w14:textId="77777777" w:rsidTr="001D0E11">
        <w:trPr>
          <w:trHeight w:val="315"/>
        </w:trPr>
        <w:tc>
          <w:tcPr>
            <w:tcW w:w="1052" w:type="dxa"/>
            <w:tcBorders>
              <w:top w:val="single" w:sz="4" w:space="0" w:color="auto"/>
              <w:left w:val="single" w:sz="4" w:space="0" w:color="auto"/>
              <w:bottom w:val="nil"/>
              <w:right w:val="single" w:sz="4" w:space="0" w:color="auto"/>
            </w:tcBorders>
            <w:shd w:val="clear" w:color="000000" w:fill="FFFFFF"/>
            <w:noWrap/>
            <w:vAlign w:val="bottom"/>
            <w:hideMark/>
          </w:tcPr>
          <w:p w14:paraId="681BA73E" w14:textId="77777777" w:rsidR="004D2F09" w:rsidRPr="004D2F09" w:rsidRDefault="004D2F09" w:rsidP="004D2F09">
            <w:pPr>
              <w:spacing w:after="0" w:line="240" w:lineRule="auto"/>
              <w:jc w:val="right"/>
              <w:rPr>
                <w:rFonts w:eastAsia="Times New Roman" w:cs="Calibri"/>
                <w:b/>
                <w:bCs/>
                <w:color w:val="000000"/>
                <w:sz w:val="24"/>
                <w:szCs w:val="24"/>
                <w:lang w:eastAsia="en-GB"/>
              </w:rPr>
            </w:pPr>
            <w:r w:rsidRPr="004D2F09">
              <w:rPr>
                <w:rFonts w:eastAsia="Times New Roman" w:cs="Calibri"/>
                <w:b/>
                <w:bCs/>
                <w:color w:val="000000"/>
                <w:sz w:val="24"/>
                <w:szCs w:val="24"/>
                <w:lang w:eastAsia="en-GB"/>
              </w:rPr>
              <w:t>133.344</w:t>
            </w:r>
          </w:p>
        </w:tc>
        <w:tc>
          <w:tcPr>
            <w:tcW w:w="4335" w:type="dxa"/>
            <w:tcBorders>
              <w:top w:val="single" w:sz="4" w:space="0" w:color="auto"/>
              <w:left w:val="nil"/>
              <w:bottom w:val="nil"/>
              <w:right w:val="single" w:sz="4" w:space="0" w:color="auto"/>
            </w:tcBorders>
            <w:shd w:val="clear" w:color="000000" w:fill="FFFFFF"/>
            <w:noWrap/>
            <w:vAlign w:val="bottom"/>
            <w:hideMark/>
          </w:tcPr>
          <w:p w14:paraId="07EBDB34" w14:textId="77777777" w:rsidR="004D2F09" w:rsidRPr="004D2F09" w:rsidRDefault="004D2F09" w:rsidP="004D2F09">
            <w:pPr>
              <w:spacing w:after="0" w:line="240" w:lineRule="auto"/>
              <w:rPr>
                <w:rFonts w:eastAsia="Times New Roman" w:cs="Calibri"/>
                <w:b/>
                <w:bCs/>
                <w:color w:val="000000"/>
                <w:sz w:val="24"/>
                <w:szCs w:val="24"/>
                <w:lang w:eastAsia="en-GB"/>
              </w:rPr>
            </w:pPr>
            <w:r w:rsidRPr="004D2F09">
              <w:rPr>
                <w:rFonts w:eastAsia="Times New Roman" w:cs="Calibri"/>
                <w:b/>
                <w:bCs/>
                <w:color w:val="000000"/>
                <w:sz w:val="24"/>
                <w:szCs w:val="24"/>
                <w:lang w:eastAsia="en-GB"/>
              </w:rPr>
              <w:t> </w:t>
            </w:r>
          </w:p>
        </w:tc>
        <w:tc>
          <w:tcPr>
            <w:tcW w:w="653" w:type="dxa"/>
            <w:tcBorders>
              <w:top w:val="single" w:sz="4" w:space="0" w:color="auto"/>
              <w:left w:val="nil"/>
              <w:bottom w:val="nil"/>
              <w:right w:val="single" w:sz="4" w:space="0" w:color="auto"/>
            </w:tcBorders>
            <w:shd w:val="clear" w:color="000000" w:fill="DDEBF7"/>
            <w:noWrap/>
            <w:vAlign w:val="bottom"/>
            <w:hideMark/>
          </w:tcPr>
          <w:p w14:paraId="7E452005" w14:textId="77777777" w:rsidR="004D2F09" w:rsidRPr="004D2F09" w:rsidRDefault="004D2F09" w:rsidP="004D2F09">
            <w:pPr>
              <w:spacing w:after="0" w:line="240" w:lineRule="auto"/>
              <w:jc w:val="right"/>
              <w:rPr>
                <w:rFonts w:eastAsia="Times New Roman" w:cs="Calibri"/>
                <w:b/>
                <w:bCs/>
                <w:color w:val="000000"/>
                <w:sz w:val="24"/>
                <w:szCs w:val="24"/>
                <w:lang w:eastAsia="en-GB"/>
              </w:rPr>
            </w:pPr>
            <w:r w:rsidRPr="004D2F09">
              <w:rPr>
                <w:rFonts w:eastAsia="Times New Roman" w:cs="Calibri"/>
                <w:b/>
                <w:bCs/>
                <w:color w:val="000000"/>
                <w:sz w:val="24"/>
                <w:szCs w:val="24"/>
                <w:lang w:eastAsia="en-GB"/>
              </w:rPr>
              <w:t>144.471</w:t>
            </w:r>
          </w:p>
        </w:tc>
      </w:tr>
      <w:tr w:rsidR="004D2F09" w:rsidRPr="004D2F09" w14:paraId="5BC1C0EF" w14:textId="77777777" w:rsidTr="001D0E11">
        <w:trPr>
          <w:trHeight w:val="315"/>
        </w:trPr>
        <w:tc>
          <w:tcPr>
            <w:tcW w:w="1052" w:type="dxa"/>
            <w:tcBorders>
              <w:top w:val="nil"/>
              <w:left w:val="single" w:sz="4" w:space="0" w:color="auto"/>
              <w:bottom w:val="nil"/>
              <w:right w:val="single" w:sz="4" w:space="0" w:color="auto"/>
            </w:tcBorders>
            <w:shd w:val="clear" w:color="000000" w:fill="FFFFFF"/>
            <w:noWrap/>
            <w:vAlign w:val="bottom"/>
            <w:hideMark/>
          </w:tcPr>
          <w:p w14:paraId="06897088" w14:textId="77777777" w:rsidR="004D2F09" w:rsidRPr="004D2F09" w:rsidRDefault="004D2F09" w:rsidP="004D2F09">
            <w:pPr>
              <w:spacing w:after="0" w:line="240" w:lineRule="auto"/>
              <w:rPr>
                <w:rFonts w:eastAsia="Times New Roman" w:cs="Calibri"/>
                <w:color w:val="000000"/>
                <w:sz w:val="24"/>
                <w:szCs w:val="24"/>
                <w:lang w:eastAsia="en-GB"/>
              </w:rPr>
            </w:pPr>
            <w:r w:rsidRPr="004D2F09">
              <w:rPr>
                <w:rFonts w:eastAsia="Times New Roman" w:cs="Calibri"/>
                <w:color w:val="000000"/>
                <w:sz w:val="24"/>
                <w:szCs w:val="24"/>
                <w:lang w:eastAsia="en-GB"/>
              </w:rPr>
              <w:t> </w:t>
            </w:r>
          </w:p>
        </w:tc>
        <w:tc>
          <w:tcPr>
            <w:tcW w:w="4335" w:type="dxa"/>
            <w:tcBorders>
              <w:top w:val="nil"/>
              <w:left w:val="nil"/>
              <w:bottom w:val="nil"/>
              <w:right w:val="single" w:sz="4" w:space="0" w:color="auto"/>
            </w:tcBorders>
            <w:shd w:val="clear" w:color="000000" w:fill="FFFFFF"/>
            <w:noWrap/>
            <w:vAlign w:val="bottom"/>
            <w:hideMark/>
          </w:tcPr>
          <w:p w14:paraId="61AED0CB" w14:textId="77777777" w:rsidR="004D2F09" w:rsidRPr="004D2F09" w:rsidRDefault="004D2F09" w:rsidP="004D2F09">
            <w:pPr>
              <w:spacing w:after="0" w:line="240" w:lineRule="auto"/>
              <w:rPr>
                <w:rFonts w:eastAsia="Times New Roman" w:cs="Calibri"/>
                <w:color w:val="000000"/>
                <w:sz w:val="24"/>
                <w:szCs w:val="24"/>
                <w:lang w:eastAsia="en-GB"/>
              </w:rPr>
            </w:pPr>
            <w:r w:rsidRPr="004D2F09">
              <w:rPr>
                <w:rFonts w:eastAsia="Times New Roman" w:cs="Calibri"/>
                <w:color w:val="000000"/>
                <w:sz w:val="24"/>
                <w:szCs w:val="24"/>
                <w:lang w:eastAsia="en-GB"/>
              </w:rPr>
              <w:t> </w:t>
            </w:r>
          </w:p>
        </w:tc>
        <w:tc>
          <w:tcPr>
            <w:tcW w:w="653" w:type="dxa"/>
            <w:tcBorders>
              <w:top w:val="nil"/>
              <w:left w:val="nil"/>
              <w:bottom w:val="nil"/>
              <w:right w:val="single" w:sz="4" w:space="0" w:color="auto"/>
            </w:tcBorders>
            <w:shd w:val="clear" w:color="000000" w:fill="DDEBF7"/>
            <w:noWrap/>
            <w:vAlign w:val="bottom"/>
            <w:hideMark/>
          </w:tcPr>
          <w:p w14:paraId="0A8CEF37" w14:textId="77777777" w:rsidR="004D2F09" w:rsidRPr="004D2F09" w:rsidRDefault="004D2F09" w:rsidP="004D2F09">
            <w:pPr>
              <w:spacing w:after="0" w:line="240" w:lineRule="auto"/>
              <w:rPr>
                <w:rFonts w:eastAsia="Times New Roman" w:cs="Calibri"/>
                <w:color w:val="000000"/>
                <w:sz w:val="24"/>
                <w:szCs w:val="24"/>
                <w:lang w:eastAsia="en-GB"/>
              </w:rPr>
            </w:pPr>
            <w:r w:rsidRPr="004D2F09">
              <w:rPr>
                <w:rFonts w:eastAsia="Times New Roman" w:cs="Calibri"/>
                <w:color w:val="000000"/>
                <w:sz w:val="24"/>
                <w:szCs w:val="24"/>
                <w:lang w:eastAsia="en-GB"/>
              </w:rPr>
              <w:t> </w:t>
            </w:r>
          </w:p>
        </w:tc>
      </w:tr>
      <w:tr w:rsidR="004D2F09" w:rsidRPr="004D2F09" w14:paraId="09293AE1" w14:textId="77777777" w:rsidTr="001D0E11">
        <w:trPr>
          <w:trHeight w:val="315"/>
        </w:trPr>
        <w:tc>
          <w:tcPr>
            <w:tcW w:w="1052" w:type="dxa"/>
            <w:tcBorders>
              <w:top w:val="nil"/>
              <w:left w:val="single" w:sz="4" w:space="0" w:color="auto"/>
              <w:bottom w:val="nil"/>
              <w:right w:val="single" w:sz="4" w:space="0" w:color="auto"/>
            </w:tcBorders>
            <w:shd w:val="clear" w:color="000000" w:fill="FFFFFF"/>
            <w:noWrap/>
            <w:vAlign w:val="bottom"/>
            <w:hideMark/>
          </w:tcPr>
          <w:p w14:paraId="33137441"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27.245</w:t>
            </w:r>
          </w:p>
        </w:tc>
        <w:tc>
          <w:tcPr>
            <w:tcW w:w="4335" w:type="dxa"/>
            <w:tcBorders>
              <w:top w:val="nil"/>
              <w:left w:val="nil"/>
              <w:bottom w:val="nil"/>
              <w:right w:val="single" w:sz="4" w:space="0" w:color="auto"/>
            </w:tcBorders>
            <w:shd w:val="clear" w:color="000000" w:fill="FFFFFF"/>
            <w:noWrap/>
            <w:vAlign w:val="bottom"/>
            <w:hideMark/>
          </w:tcPr>
          <w:p w14:paraId="0C5FBCE1" w14:textId="77777777" w:rsidR="004D2F09" w:rsidRPr="004D2F09" w:rsidRDefault="004D2F09" w:rsidP="004D2F09">
            <w:pPr>
              <w:spacing w:after="0" w:line="240" w:lineRule="auto"/>
              <w:rPr>
                <w:rFonts w:eastAsia="Times New Roman" w:cs="Calibri"/>
                <w:color w:val="000000"/>
                <w:sz w:val="24"/>
                <w:szCs w:val="24"/>
                <w:lang w:eastAsia="en-GB"/>
              </w:rPr>
            </w:pPr>
            <w:r w:rsidRPr="004D2F09">
              <w:rPr>
                <w:rFonts w:eastAsia="Times New Roman" w:cs="Calibri"/>
                <w:color w:val="000000"/>
                <w:sz w:val="24"/>
                <w:szCs w:val="24"/>
                <w:lang w:eastAsia="en-GB"/>
              </w:rPr>
              <w:t>Enabling Services</w:t>
            </w:r>
          </w:p>
        </w:tc>
        <w:tc>
          <w:tcPr>
            <w:tcW w:w="653" w:type="dxa"/>
            <w:tcBorders>
              <w:top w:val="nil"/>
              <w:left w:val="nil"/>
              <w:bottom w:val="nil"/>
              <w:right w:val="single" w:sz="4" w:space="0" w:color="auto"/>
            </w:tcBorders>
            <w:shd w:val="clear" w:color="000000" w:fill="DDEBF7"/>
            <w:noWrap/>
            <w:vAlign w:val="bottom"/>
            <w:hideMark/>
          </w:tcPr>
          <w:p w14:paraId="4FDDC05B" w14:textId="77777777" w:rsidR="004D2F09" w:rsidRPr="004D2F09" w:rsidRDefault="004D2F09" w:rsidP="004D2F09">
            <w:pPr>
              <w:spacing w:after="0" w:line="240" w:lineRule="auto"/>
              <w:jc w:val="right"/>
              <w:rPr>
                <w:rFonts w:eastAsia="Times New Roman" w:cs="Calibri"/>
                <w:color w:val="000000"/>
                <w:sz w:val="24"/>
                <w:szCs w:val="24"/>
                <w:lang w:eastAsia="en-GB"/>
              </w:rPr>
            </w:pPr>
            <w:r w:rsidRPr="004D2F09">
              <w:rPr>
                <w:rFonts w:eastAsia="Times New Roman" w:cs="Calibri"/>
                <w:color w:val="000000"/>
                <w:sz w:val="24"/>
                <w:szCs w:val="24"/>
                <w:lang w:eastAsia="en-GB"/>
              </w:rPr>
              <w:t>31.799</w:t>
            </w:r>
          </w:p>
        </w:tc>
      </w:tr>
      <w:tr w:rsidR="004D2F09" w:rsidRPr="004D2F09" w14:paraId="1F48D983" w14:textId="77777777" w:rsidTr="001D0E11">
        <w:trPr>
          <w:trHeight w:val="315"/>
        </w:trPr>
        <w:tc>
          <w:tcPr>
            <w:tcW w:w="10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C478B9" w14:textId="77777777" w:rsidR="004D2F09" w:rsidRPr="004D2F09" w:rsidRDefault="004D2F09" w:rsidP="004D2F09">
            <w:pPr>
              <w:spacing w:after="0" w:line="240" w:lineRule="auto"/>
              <w:jc w:val="right"/>
              <w:rPr>
                <w:rFonts w:eastAsia="Times New Roman" w:cs="Calibri"/>
                <w:b/>
                <w:bCs/>
                <w:color w:val="000000"/>
                <w:sz w:val="24"/>
                <w:szCs w:val="24"/>
                <w:lang w:eastAsia="en-GB"/>
              </w:rPr>
            </w:pPr>
            <w:r w:rsidRPr="004D2F09">
              <w:rPr>
                <w:rFonts w:eastAsia="Times New Roman" w:cs="Calibri"/>
                <w:b/>
                <w:bCs/>
                <w:color w:val="000000"/>
                <w:sz w:val="24"/>
                <w:szCs w:val="24"/>
                <w:lang w:eastAsia="en-GB"/>
              </w:rPr>
              <w:t>160.589</w:t>
            </w:r>
          </w:p>
        </w:tc>
        <w:tc>
          <w:tcPr>
            <w:tcW w:w="4335" w:type="dxa"/>
            <w:tcBorders>
              <w:top w:val="single" w:sz="4" w:space="0" w:color="auto"/>
              <w:left w:val="nil"/>
              <w:bottom w:val="single" w:sz="4" w:space="0" w:color="auto"/>
              <w:right w:val="single" w:sz="4" w:space="0" w:color="auto"/>
            </w:tcBorders>
            <w:shd w:val="clear" w:color="000000" w:fill="FFFFFF"/>
            <w:noWrap/>
            <w:vAlign w:val="bottom"/>
            <w:hideMark/>
          </w:tcPr>
          <w:p w14:paraId="45580069" w14:textId="77777777" w:rsidR="004D2F09" w:rsidRPr="004D2F09" w:rsidRDefault="004D2F09" w:rsidP="004D2F09">
            <w:pPr>
              <w:spacing w:after="0" w:line="240" w:lineRule="auto"/>
              <w:rPr>
                <w:rFonts w:eastAsia="Times New Roman" w:cs="Calibri"/>
                <w:b/>
                <w:bCs/>
                <w:color w:val="000000"/>
                <w:sz w:val="24"/>
                <w:szCs w:val="24"/>
                <w:lang w:eastAsia="en-GB"/>
              </w:rPr>
            </w:pPr>
            <w:r w:rsidRPr="004D2F09">
              <w:rPr>
                <w:rFonts w:eastAsia="Times New Roman" w:cs="Calibri"/>
                <w:b/>
                <w:bCs/>
                <w:color w:val="000000"/>
                <w:sz w:val="24"/>
                <w:szCs w:val="24"/>
                <w:lang w:eastAsia="en-GB"/>
              </w:rPr>
              <w:t>TOTAL BUDGET</w:t>
            </w:r>
          </w:p>
        </w:tc>
        <w:tc>
          <w:tcPr>
            <w:tcW w:w="653" w:type="dxa"/>
            <w:tcBorders>
              <w:top w:val="single" w:sz="4" w:space="0" w:color="auto"/>
              <w:left w:val="nil"/>
              <w:bottom w:val="single" w:sz="4" w:space="0" w:color="auto"/>
              <w:right w:val="single" w:sz="4" w:space="0" w:color="auto"/>
            </w:tcBorders>
            <w:shd w:val="clear" w:color="000000" w:fill="DDEBF7"/>
            <w:noWrap/>
            <w:vAlign w:val="bottom"/>
            <w:hideMark/>
          </w:tcPr>
          <w:p w14:paraId="5C14A69E" w14:textId="77777777" w:rsidR="004D2F09" w:rsidRPr="004D2F09" w:rsidRDefault="004D2F09" w:rsidP="004D2F09">
            <w:pPr>
              <w:spacing w:after="0" w:line="240" w:lineRule="auto"/>
              <w:jc w:val="right"/>
              <w:rPr>
                <w:rFonts w:eastAsia="Times New Roman" w:cs="Calibri"/>
                <w:b/>
                <w:bCs/>
                <w:color w:val="000000"/>
                <w:sz w:val="24"/>
                <w:szCs w:val="24"/>
                <w:lang w:eastAsia="en-GB"/>
              </w:rPr>
            </w:pPr>
            <w:r w:rsidRPr="004D2F09">
              <w:rPr>
                <w:rFonts w:eastAsia="Times New Roman" w:cs="Calibri"/>
                <w:b/>
                <w:bCs/>
                <w:color w:val="000000"/>
                <w:sz w:val="24"/>
                <w:szCs w:val="24"/>
                <w:lang w:eastAsia="en-GB"/>
              </w:rPr>
              <w:t>176.270</w:t>
            </w:r>
          </w:p>
        </w:tc>
      </w:tr>
    </w:tbl>
    <w:p w14:paraId="3B4C9A56" w14:textId="04C9B1DC" w:rsidR="00DC7955" w:rsidRPr="004D2F09" w:rsidRDefault="00DC7955" w:rsidP="004D2F09">
      <w:pPr>
        <w:spacing w:after="0" w:line="240" w:lineRule="auto"/>
        <w:rPr>
          <w:rFonts w:ascii="Arial" w:hAnsi="Arial" w:cs="Arial"/>
        </w:rPr>
      </w:pPr>
    </w:p>
    <w:p w14:paraId="3229F0DA" w14:textId="48B3990B" w:rsidR="005B7A16" w:rsidRDefault="005B7A16" w:rsidP="004D2F09">
      <w:pPr>
        <w:pStyle w:val="PanelPara"/>
      </w:pPr>
      <w:r w:rsidRPr="004D2F09">
        <w:t xml:space="preserve">Key </w:t>
      </w:r>
      <w:r w:rsidR="00656A64" w:rsidRPr="004D2F09">
        <w:t xml:space="preserve">headlines </w:t>
      </w:r>
      <w:r w:rsidRPr="004D2F09">
        <w:t>are as follows:</w:t>
      </w:r>
    </w:p>
    <w:p w14:paraId="4C998AD6" w14:textId="34086051" w:rsidR="00DC3D4F" w:rsidRPr="00DC3D4F" w:rsidRDefault="005B7A16" w:rsidP="00DC3D4F">
      <w:pPr>
        <w:pStyle w:val="PanelPara"/>
        <w:numPr>
          <w:ilvl w:val="1"/>
          <w:numId w:val="31"/>
        </w:numPr>
      </w:pPr>
      <w:r w:rsidRPr="00DC3D4F">
        <w:rPr>
          <w:kern w:val="36"/>
        </w:rPr>
        <w:t>The budget for 202</w:t>
      </w:r>
      <w:r w:rsidR="004D2F09" w:rsidRPr="00DC3D4F">
        <w:rPr>
          <w:kern w:val="36"/>
        </w:rPr>
        <w:t>4</w:t>
      </w:r>
      <w:r w:rsidRPr="00DC3D4F">
        <w:rPr>
          <w:kern w:val="36"/>
        </w:rPr>
        <w:t>/2</w:t>
      </w:r>
      <w:r w:rsidR="004D2F09" w:rsidRPr="00DC3D4F">
        <w:rPr>
          <w:kern w:val="36"/>
        </w:rPr>
        <w:t>5</w:t>
      </w:r>
      <w:r w:rsidRPr="00DC3D4F">
        <w:rPr>
          <w:kern w:val="36"/>
        </w:rPr>
        <w:t xml:space="preserve"> </w:t>
      </w:r>
      <w:r w:rsidR="004D2F09" w:rsidRPr="00DC3D4F">
        <w:rPr>
          <w:kern w:val="36"/>
        </w:rPr>
        <w:t>provides for maintenance of</w:t>
      </w:r>
      <w:r w:rsidR="00131E14" w:rsidRPr="00DC3D4F">
        <w:rPr>
          <w:kern w:val="36"/>
        </w:rPr>
        <w:t xml:space="preserve"> </w:t>
      </w:r>
      <w:r w:rsidRPr="00DC3D4F">
        <w:rPr>
          <w:kern w:val="36"/>
        </w:rPr>
        <w:t>police officer</w:t>
      </w:r>
      <w:r w:rsidR="00DC3D4F" w:rsidRPr="00DC3D4F">
        <w:rPr>
          <w:kern w:val="36"/>
        </w:rPr>
        <w:t xml:space="preserve"> numbers</w:t>
      </w:r>
      <w:r w:rsidRPr="00DC3D4F">
        <w:rPr>
          <w:kern w:val="36"/>
        </w:rPr>
        <w:t xml:space="preserve"> </w:t>
      </w:r>
      <w:r w:rsidR="00DC3D4F" w:rsidRPr="00DC3D4F">
        <w:rPr>
          <w:kern w:val="36"/>
        </w:rPr>
        <w:t>at</w:t>
      </w:r>
      <w:r w:rsidRPr="00DC3D4F">
        <w:rPr>
          <w:kern w:val="36"/>
        </w:rPr>
        <w:t xml:space="preserve"> establishment of 1</w:t>
      </w:r>
      <w:r w:rsidR="001D0E11">
        <w:rPr>
          <w:kern w:val="36"/>
        </w:rPr>
        <w:t>,</w:t>
      </w:r>
      <w:r w:rsidRPr="00DC3D4F">
        <w:rPr>
          <w:kern w:val="36"/>
        </w:rPr>
        <w:t>50</w:t>
      </w:r>
      <w:r w:rsidR="00DC3D4F" w:rsidRPr="00DC3D4F">
        <w:rPr>
          <w:kern w:val="36"/>
        </w:rPr>
        <w:t>1</w:t>
      </w:r>
      <w:r w:rsidRPr="00DC3D4F">
        <w:rPr>
          <w:kern w:val="36"/>
        </w:rPr>
        <w:t>.</w:t>
      </w:r>
    </w:p>
    <w:p w14:paraId="161B5BDC" w14:textId="77777777" w:rsidR="00DC3D4F" w:rsidRPr="00DC3D4F" w:rsidRDefault="005B7A16" w:rsidP="00DC3D4F">
      <w:pPr>
        <w:pStyle w:val="PanelPara"/>
        <w:numPr>
          <w:ilvl w:val="1"/>
          <w:numId w:val="31"/>
        </w:numPr>
      </w:pPr>
      <w:r w:rsidRPr="00DC3D4F">
        <w:rPr>
          <w:kern w:val="36"/>
        </w:rPr>
        <w:t xml:space="preserve">The police officer budget requested by the Chief Constable follows a </w:t>
      </w:r>
      <w:r w:rsidR="00A86088" w:rsidRPr="00DC3D4F">
        <w:rPr>
          <w:kern w:val="36"/>
        </w:rPr>
        <w:t>zero-based</w:t>
      </w:r>
      <w:r w:rsidRPr="00DC3D4F">
        <w:rPr>
          <w:kern w:val="36"/>
        </w:rPr>
        <w:t xml:space="preserve"> review and reflects the planned retirement and recruitment profile</w:t>
      </w:r>
      <w:r w:rsidR="00DC3D4F" w:rsidRPr="00DC3D4F">
        <w:rPr>
          <w:kern w:val="36"/>
        </w:rPr>
        <w:t>.</w:t>
      </w:r>
    </w:p>
    <w:p w14:paraId="7E8D99E7" w14:textId="15362D52" w:rsidR="00DC3D4F" w:rsidRPr="00DC3D4F" w:rsidRDefault="005B7A16" w:rsidP="00DC3D4F">
      <w:pPr>
        <w:pStyle w:val="PanelPara"/>
        <w:numPr>
          <w:ilvl w:val="1"/>
          <w:numId w:val="31"/>
        </w:numPr>
      </w:pPr>
      <w:r w:rsidRPr="00DC3D4F">
        <w:rPr>
          <w:kern w:val="36"/>
        </w:rPr>
        <w:t>Other non-</w:t>
      </w:r>
      <w:r w:rsidR="001D0E11">
        <w:rPr>
          <w:kern w:val="36"/>
        </w:rPr>
        <w:t>p</w:t>
      </w:r>
      <w:r w:rsidRPr="00DC3D4F">
        <w:rPr>
          <w:kern w:val="36"/>
        </w:rPr>
        <w:t xml:space="preserve">ay costs cover equipment, uniforms and forensic and pathology costs. </w:t>
      </w:r>
    </w:p>
    <w:p w14:paraId="717BF732" w14:textId="56EE2AC3" w:rsidR="001165F5" w:rsidRPr="00DC3D4F" w:rsidRDefault="00131E14" w:rsidP="00DC3D4F">
      <w:pPr>
        <w:pStyle w:val="PanelPara"/>
        <w:numPr>
          <w:ilvl w:val="1"/>
          <w:numId w:val="31"/>
        </w:numPr>
      </w:pPr>
      <w:r w:rsidRPr="00DC3D4F">
        <w:rPr>
          <w:kern w:val="36"/>
        </w:rPr>
        <w:t xml:space="preserve">Enabling services include the costs of joint shared teams with Fire and </w:t>
      </w:r>
      <w:r w:rsidR="00DC3D4F" w:rsidRPr="00DC3D4F">
        <w:rPr>
          <w:kern w:val="36"/>
        </w:rPr>
        <w:t>reviewed</w:t>
      </w:r>
      <w:r w:rsidRPr="00DC3D4F">
        <w:rPr>
          <w:kern w:val="36"/>
        </w:rPr>
        <w:t xml:space="preserve"> </w:t>
      </w:r>
      <w:r w:rsidR="00DC3D4F" w:rsidRPr="00DC3D4F">
        <w:rPr>
          <w:kern w:val="36"/>
        </w:rPr>
        <w:t>inflationary pressures</w:t>
      </w:r>
      <w:r w:rsidRPr="00DC3D4F">
        <w:rPr>
          <w:kern w:val="36"/>
        </w:rPr>
        <w:t xml:space="preserve"> for 202</w:t>
      </w:r>
      <w:r w:rsidR="00DC3D4F" w:rsidRPr="00DC3D4F">
        <w:rPr>
          <w:kern w:val="36"/>
        </w:rPr>
        <w:t>4</w:t>
      </w:r>
      <w:r w:rsidRPr="00DC3D4F">
        <w:rPr>
          <w:kern w:val="36"/>
        </w:rPr>
        <w:t>/2</w:t>
      </w:r>
      <w:r w:rsidR="00DC3D4F" w:rsidRPr="00DC3D4F">
        <w:rPr>
          <w:kern w:val="36"/>
        </w:rPr>
        <w:t>5</w:t>
      </w:r>
      <w:r w:rsidRPr="00DC3D4F">
        <w:rPr>
          <w:kern w:val="36"/>
        </w:rPr>
        <w:t xml:space="preserve"> includ</w:t>
      </w:r>
      <w:r w:rsidR="00DC3D4F" w:rsidRPr="00DC3D4F">
        <w:rPr>
          <w:kern w:val="36"/>
        </w:rPr>
        <w:t>ing</w:t>
      </w:r>
      <w:r w:rsidRPr="00DC3D4F">
        <w:rPr>
          <w:kern w:val="36"/>
        </w:rPr>
        <w:t xml:space="preserve"> utilities, fuel and insurance costs.</w:t>
      </w:r>
    </w:p>
    <w:p w14:paraId="467D00D3" w14:textId="7B4052A9" w:rsidR="005B7A16" w:rsidRPr="0074315C" w:rsidRDefault="001D0E11" w:rsidP="00AE5591">
      <w:pPr>
        <w:pStyle w:val="PanelPara"/>
      </w:pPr>
      <w:r>
        <w:t>T</w:t>
      </w:r>
      <w:r w:rsidR="005B7A16" w:rsidRPr="0074315C">
        <w:t xml:space="preserve">he </w:t>
      </w:r>
      <w:r w:rsidR="002E221A" w:rsidRPr="0074315C">
        <w:t>Chief Constable</w:t>
      </w:r>
      <w:r w:rsidR="005B7A16" w:rsidRPr="0074315C">
        <w:t xml:space="preserve"> will also continue to embed the investments made in previous years </w:t>
      </w:r>
      <w:r>
        <w:t xml:space="preserve">and invest in further areas </w:t>
      </w:r>
      <w:r w:rsidR="005B7A16" w:rsidRPr="0074315C">
        <w:t>which include (but are not limited to):</w:t>
      </w:r>
    </w:p>
    <w:p w14:paraId="44957139" w14:textId="7259DE85" w:rsidR="005B7A16" w:rsidRPr="0074315C" w:rsidRDefault="005B7A16" w:rsidP="00AE5591">
      <w:pPr>
        <w:pStyle w:val="PanelBullet"/>
      </w:pPr>
      <w:r w:rsidRPr="0074315C">
        <w:t>Vetting</w:t>
      </w:r>
      <w:r w:rsidR="00AE5591" w:rsidRPr="0074315C">
        <w:t xml:space="preserve">, </w:t>
      </w:r>
      <w:r w:rsidRPr="0074315C">
        <w:t>professional standards and records management</w:t>
      </w:r>
    </w:p>
    <w:p w14:paraId="34258374" w14:textId="77777777" w:rsidR="005B7A16" w:rsidRPr="0074315C" w:rsidRDefault="005B7A16" w:rsidP="00AE5591">
      <w:pPr>
        <w:pStyle w:val="PanelBullet"/>
      </w:pPr>
      <w:r w:rsidRPr="0074315C">
        <w:t>Establishment of the roads policing team</w:t>
      </w:r>
    </w:p>
    <w:p w14:paraId="1E30DAA0" w14:textId="77777777" w:rsidR="005B7A16" w:rsidRPr="0074315C" w:rsidRDefault="005B7A16" w:rsidP="00AE5591">
      <w:pPr>
        <w:pStyle w:val="PanelBullet"/>
      </w:pPr>
      <w:r w:rsidRPr="0074315C">
        <w:t>Prioritising investigation of residential burglaries</w:t>
      </w:r>
    </w:p>
    <w:p w14:paraId="533FEBAA" w14:textId="4A2C6419" w:rsidR="005B7A16" w:rsidRPr="0074315C" w:rsidRDefault="0074315C" w:rsidP="00AE5591">
      <w:pPr>
        <w:pStyle w:val="PanelBullet"/>
      </w:pPr>
      <w:r w:rsidRPr="0074315C">
        <w:t xml:space="preserve">Occupational Health and Wellbeing including clinical </w:t>
      </w:r>
      <w:proofErr w:type="gramStart"/>
      <w:r w:rsidRPr="0074315C">
        <w:t>supervision</w:t>
      </w:r>
      <w:proofErr w:type="gramEnd"/>
    </w:p>
    <w:p w14:paraId="2408F038" w14:textId="4E428713" w:rsidR="0074315C" w:rsidRPr="0074315C" w:rsidRDefault="0074315C" w:rsidP="00AE5591">
      <w:pPr>
        <w:pStyle w:val="PanelBullet"/>
      </w:pPr>
      <w:r w:rsidRPr="0074315C">
        <w:t xml:space="preserve">Additional resources in Protecting Vulnerable People (PVP) </w:t>
      </w:r>
      <w:proofErr w:type="gramStart"/>
      <w:r w:rsidRPr="0074315C">
        <w:t>teams</w:t>
      </w:r>
      <w:proofErr w:type="gramEnd"/>
    </w:p>
    <w:p w14:paraId="6944D052" w14:textId="47AC47D6" w:rsidR="0074315C" w:rsidRPr="0074315C" w:rsidRDefault="0074315C" w:rsidP="00AE5591">
      <w:pPr>
        <w:pStyle w:val="PanelBullet"/>
      </w:pPr>
      <w:r w:rsidRPr="0074315C">
        <w:t>Investment in drone capability</w:t>
      </w:r>
    </w:p>
    <w:p w14:paraId="374CC711" w14:textId="5409638E" w:rsidR="0074315C" w:rsidRPr="0074315C" w:rsidRDefault="0074315C" w:rsidP="00AE5591">
      <w:pPr>
        <w:pStyle w:val="PanelBullet"/>
      </w:pPr>
      <w:r w:rsidRPr="0074315C">
        <w:t>Innovation and research</w:t>
      </w:r>
    </w:p>
    <w:p w14:paraId="073D229E" w14:textId="5AE387D2" w:rsidR="0074315C" w:rsidRDefault="0074315C" w:rsidP="00AE5591">
      <w:pPr>
        <w:pStyle w:val="PanelBullet"/>
      </w:pPr>
      <w:r w:rsidRPr="0074315C">
        <w:t>Investment in Control Room technology and people</w:t>
      </w:r>
      <w:r w:rsidR="001D0E11">
        <w:t>, growing the establishment of call handling staff by at least 16.</w:t>
      </w:r>
    </w:p>
    <w:p w14:paraId="65DE63F2" w14:textId="2A3EDA0A" w:rsidR="001D0E11" w:rsidRPr="0074315C" w:rsidRDefault="001D0E11" w:rsidP="00AE5591">
      <w:pPr>
        <w:pStyle w:val="PanelBullet"/>
      </w:pPr>
      <w:r>
        <w:t>Investment in a software solution to handle social media accounts and interact with the public as effectively as possible.</w:t>
      </w:r>
    </w:p>
    <w:p w14:paraId="6ED3DCE5" w14:textId="77777777" w:rsidR="0074315C" w:rsidRDefault="0074315C" w:rsidP="00DC3D4F">
      <w:pPr>
        <w:pStyle w:val="PanelHeading"/>
      </w:pPr>
    </w:p>
    <w:p w14:paraId="750D13C5" w14:textId="5B733C0E" w:rsidR="002B58F7" w:rsidRPr="00DC3D4F" w:rsidRDefault="00220144" w:rsidP="00DC3D4F">
      <w:pPr>
        <w:pStyle w:val="PanelHeading"/>
      </w:pPr>
      <w:r w:rsidRPr="00DC3D4F">
        <w:t>202</w:t>
      </w:r>
      <w:r w:rsidR="00DC3D4F">
        <w:t>4</w:t>
      </w:r>
      <w:r w:rsidRPr="00DC3D4F">
        <w:t>/2</w:t>
      </w:r>
      <w:r w:rsidR="00DC3D4F">
        <w:t>5</w:t>
      </w:r>
      <w:r w:rsidR="002307C3" w:rsidRPr="00DC3D4F">
        <w:t xml:space="preserve"> </w:t>
      </w:r>
      <w:r w:rsidR="008C2267" w:rsidRPr="00DC3D4F">
        <w:t>Police</w:t>
      </w:r>
      <w:r w:rsidR="00DD0E23" w:rsidRPr="00DC3D4F">
        <w:t>, Fire</w:t>
      </w:r>
      <w:r w:rsidR="008C2267" w:rsidRPr="00DC3D4F">
        <w:t xml:space="preserve"> and Crime Commissioner</w:t>
      </w:r>
      <w:r w:rsidR="0047296C" w:rsidRPr="00DC3D4F">
        <w:t xml:space="preserve"> </w:t>
      </w:r>
      <w:r w:rsidR="00E80055" w:rsidRPr="00DC3D4F">
        <w:t>–</w:t>
      </w:r>
      <w:r w:rsidR="0047296C" w:rsidRPr="00DC3D4F">
        <w:t xml:space="preserve"> </w:t>
      </w:r>
      <w:r w:rsidR="00E80055" w:rsidRPr="00DC3D4F">
        <w:t>Office Budget</w:t>
      </w:r>
    </w:p>
    <w:p w14:paraId="3DE821F9" w14:textId="77777777" w:rsidR="00DC3D4F" w:rsidRPr="00DC3D4F" w:rsidRDefault="00444B26" w:rsidP="00DC3D4F">
      <w:pPr>
        <w:pStyle w:val="PanelPara"/>
      </w:pPr>
      <w:r w:rsidRPr="00DC3D4F">
        <w:t>The PFCC manages t</w:t>
      </w:r>
      <w:r w:rsidR="00FA3B68" w:rsidRPr="00DC3D4F">
        <w:t>w</w:t>
      </w:r>
      <w:r w:rsidRPr="00DC3D4F">
        <w:t xml:space="preserve">o </w:t>
      </w:r>
      <w:r w:rsidR="00035F03" w:rsidRPr="00DC3D4F">
        <w:t>separate budget areas</w:t>
      </w:r>
      <w:r w:rsidR="00461F30" w:rsidRPr="00DC3D4F">
        <w:t>:</w:t>
      </w:r>
    </w:p>
    <w:p w14:paraId="3AD924FD" w14:textId="77777777" w:rsidR="00DC3D4F" w:rsidRPr="00DC3D4F" w:rsidRDefault="00461F30" w:rsidP="00DC3D4F">
      <w:pPr>
        <w:pStyle w:val="PanelPara"/>
        <w:numPr>
          <w:ilvl w:val="1"/>
          <w:numId w:val="31"/>
        </w:numPr>
      </w:pPr>
      <w:r w:rsidRPr="00DC3D4F">
        <w:t>The cost of running his office</w:t>
      </w:r>
      <w:r w:rsidR="00997B4B" w:rsidRPr="00DC3D4F">
        <w:t xml:space="preserve">, </w:t>
      </w:r>
      <w:r w:rsidRPr="00DC3D4F">
        <w:t>t</w:t>
      </w:r>
      <w:r w:rsidR="00444B26" w:rsidRPr="00DC3D4F">
        <w:t>he OPFCC</w:t>
      </w:r>
      <w:r w:rsidR="00997B4B" w:rsidRPr="00DC3D4F">
        <w:t>,</w:t>
      </w:r>
      <w:r w:rsidR="00444B26" w:rsidRPr="00DC3D4F">
        <w:t xml:space="preserve"> and  </w:t>
      </w:r>
    </w:p>
    <w:p w14:paraId="2A62AE9E" w14:textId="43A57E25" w:rsidR="001D2374" w:rsidRPr="00DC3D4F" w:rsidRDefault="00444B26" w:rsidP="00DC3D4F">
      <w:pPr>
        <w:pStyle w:val="PanelPara"/>
        <w:numPr>
          <w:ilvl w:val="1"/>
          <w:numId w:val="31"/>
        </w:numPr>
      </w:pPr>
      <w:r w:rsidRPr="00DC3D4F">
        <w:t xml:space="preserve">Commissioning and Delivery areas </w:t>
      </w:r>
      <w:r w:rsidR="00461F30" w:rsidRPr="00DC3D4F">
        <w:t xml:space="preserve">- </w:t>
      </w:r>
      <w:r w:rsidRPr="00DC3D4F">
        <w:t>which directly provide services to Northamptonshire residents and/or with other services.</w:t>
      </w:r>
    </w:p>
    <w:p w14:paraId="53F67C94" w14:textId="05022848" w:rsidR="001D2374" w:rsidRPr="000952E6" w:rsidRDefault="00444B26" w:rsidP="00DC3D4F">
      <w:pPr>
        <w:pStyle w:val="PanelPara"/>
      </w:pPr>
      <w:r w:rsidRPr="000952E6">
        <w:t xml:space="preserve">The office budget for </w:t>
      </w:r>
      <w:r w:rsidR="00220144" w:rsidRPr="000952E6">
        <w:t>202</w:t>
      </w:r>
      <w:r w:rsidR="00DC3D4F" w:rsidRPr="000952E6">
        <w:t>4</w:t>
      </w:r>
      <w:r w:rsidR="00220144" w:rsidRPr="000952E6">
        <w:t>/2</w:t>
      </w:r>
      <w:r w:rsidR="00DC3D4F" w:rsidRPr="000952E6">
        <w:t>5</w:t>
      </w:r>
      <w:r w:rsidRPr="000952E6">
        <w:t xml:space="preserve"> </w:t>
      </w:r>
      <w:r w:rsidR="00A1250A" w:rsidRPr="000952E6">
        <w:t xml:space="preserve">has </w:t>
      </w:r>
      <w:r w:rsidR="001D2374" w:rsidRPr="000952E6">
        <w:t>an increase of £</w:t>
      </w:r>
      <w:r w:rsidR="000952E6" w:rsidRPr="000952E6">
        <w:t>29</w:t>
      </w:r>
      <w:r w:rsidR="007C7571" w:rsidRPr="000952E6">
        <w:t>k, of which £</w:t>
      </w:r>
      <w:r w:rsidR="000952E6" w:rsidRPr="000952E6">
        <w:t>63</w:t>
      </w:r>
      <w:r w:rsidR="007C7571" w:rsidRPr="000952E6">
        <w:t xml:space="preserve">k relates to </w:t>
      </w:r>
      <w:r w:rsidR="000952E6" w:rsidRPr="000952E6">
        <w:t xml:space="preserve">staff </w:t>
      </w:r>
      <w:r w:rsidR="007C7571" w:rsidRPr="000952E6">
        <w:t xml:space="preserve">pay inflation </w:t>
      </w:r>
      <w:r w:rsidR="000952E6" w:rsidRPr="000952E6">
        <w:t>offset by miscellaneous non-pay budget reductions of £34k</w:t>
      </w:r>
      <w:r w:rsidR="007C7571" w:rsidRPr="000952E6">
        <w:t xml:space="preserve">.  </w:t>
      </w:r>
    </w:p>
    <w:tbl>
      <w:tblPr>
        <w:tblW w:w="4960" w:type="dxa"/>
        <w:tblInd w:w="562" w:type="dxa"/>
        <w:tblLook w:val="04A0" w:firstRow="1" w:lastRow="0" w:firstColumn="1" w:lastColumn="0" w:noHBand="0" w:noVBand="1"/>
      </w:tblPr>
      <w:tblGrid>
        <w:gridCol w:w="1080"/>
        <w:gridCol w:w="2800"/>
        <w:gridCol w:w="1080"/>
      </w:tblGrid>
      <w:tr w:rsidR="000952E6" w:rsidRPr="000952E6" w14:paraId="1FFA22D9" w14:textId="77777777" w:rsidTr="000952E6">
        <w:trPr>
          <w:trHeight w:val="630"/>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1CF532" w14:textId="77777777" w:rsidR="000952E6" w:rsidRPr="000952E6" w:rsidRDefault="000952E6" w:rsidP="000952E6">
            <w:pPr>
              <w:spacing w:after="0" w:line="240" w:lineRule="auto"/>
              <w:jc w:val="center"/>
              <w:rPr>
                <w:rFonts w:eastAsia="Times New Roman" w:cs="Calibri"/>
                <w:b/>
                <w:bCs/>
                <w:color w:val="000000"/>
                <w:sz w:val="24"/>
                <w:szCs w:val="24"/>
                <w:lang w:eastAsia="en-GB"/>
              </w:rPr>
            </w:pPr>
            <w:r w:rsidRPr="000952E6">
              <w:rPr>
                <w:rFonts w:eastAsia="Times New Roman" w:cs="Calibri"/>
                <w:b/>
                <w:bCs/>
                <w:color w:val="000000"/>
                <w:sz w:val="24"/>
                <w:szCs w:val="24"/>
                <w:lang w:eastAsia="en-GB"/>
              </w:rPr>
              <w:t>2023/24</w:t>
            </w:r>
            <w:r w:rsidRPr="000952E6">
              <w:rPr>
                <w:rFonts w:eastAsia="Times New Roman" w:cs="Calibri"/>
                <w:b/>
                <w:bCs/>
                <w:color w:val="000000"/>
                <w:sz w:val="24"/>
                <w:szCs w:val="24"/>
                <w:lang w:eastAsia="en-GB"/>
              </w:rPr>
              <w:br/>
              <w:t>£m</w:t>
            </w:r>
          </w:p>
        </w:tc>
        <w:tc>
          <w:tcPr>
            <w:tcW w:w="2800" w:type="dxa"/>
            <w:tcBorders>
              <w:top w:val="single" w:sz="4" w:space="0" w:color="auto"/>
              <w:left w:val="nil"/>
              <w:bottom w:val="single" w:sz="4" w:space="0" w:color="auto"/>
              <w:right w:val="single" w:sz="4" w:space="0" w:color="auto"/>
            </w:tcBorders>
            <w:shd w:val="clear" w:color="000000" w:fill="FFFFFF"/>
            <w:noWrap/>
            <w:vAlign w:val="center"/>
            <w:hideMark/>
          </w:tcPr>
          <w:p w14:paraId="71F74286" w14:textId="77777777" w:rsidR="000952E6" w:rsidRPr="000952E6" w:rsidRDefault="000952E6" w:rsidP="000952E6">
            <w:pPr>
              <w:spacing w:after="0" w:line="240" w:lineRule="auto"/>
              <w:jc w:val="center"/>
              <w:rPr>
                <w:rFonts w:eastAsia="Times New Roman" w:cs="Calibri"/>
                <w:b/>
                <w:bCs/>
                <w:color w:val="000000"/>
                <w:sz w:val="24"/>
                <w:szCs w:val="24"/>
                <w:lang w:eastAsia="en-GB"/>
              </w:rPr>
            </w:pPr>
            <w:r w:rsidRPr="000952E6">
              <w:rPr>
                <w:rFonts w:eastAsia="Times New Roman" w:cs="Calibri"/>
                <w:b/>
                <w:bCs/>
                <w:color w:val="000000"/>
                <w:sz w:val="24"/>
                <w:szCs w:val="24"/>
                <w:lang w:eastAsia="en-GB"/>
              </w:rPr>
              <w:t>Budget Breakdown</w:t>
            </w:r>
          </w:p>
        </w:tc>
        <w:tc>
          <w:tcPr>
            <w:tcW w:w="1080" w:type="dxa"/>
            <w:tcBorders>
              <w:top w:val="single" w:sz="4" w:space="0" w:color="auto"/>
              <w:left w:val="nil"/>
              <w:bottom w:val="single" w:sz="4" w:space="0" w:color="auto"/>
              <w:right w:val="single" w:sz="4" w:space="0" w:color="auto"/>
            </w:tcBorders>
            <w:shd w:val="clear" w:color="000000" w:fill="D9D9D9"/>
            <w:vAlign w:val="center"/>
            <w:hideMark/>
          </w:tcPr>
          <w:p w14:paraId="35BFF3D6" w14:textId="77777777" w:rsidR="000952E6" w:rsidRPr="000952E6" w:rsidRDefault="000952E6" w:rsidP="000952E6">
            <w:pPr>
              <w:spacing w:after="0" w:line="240" w:lineRule="auto"/>
              <w:jc w:val="center"/>
              <w:rPr>
                <w:rFonts w:eastAsia="Times New Roman" w:cs="Calibri"/>
                <w:b/>
                <w:bCs/>
                <w:color w:val="000000"/>
                <w:sz w:val="24"/>
                <w:szCs w:val="24"/>
                <w:lang w:eastAsia="en-GB"/>
              </w:rPr>
            </w:pPr>
            <w:r w:rsidRPr="000952E6">
              <w:rPr>
                <w:rFonts w:eastAsia="Times New Roman" w:cs="Calibri"/>
                <w:b/>
                <w:bCs/>
                <w:color w:val="000000"/>
                <w:sz w:val="24"/>
                <w:szCs w:val="24"/>
                <w:lang w:eastAsia="en-GB"/>
              </w:rPr>
              <w:t>2024/25</w:t>
            </w:r>
            <w:r w:rsidRPr="000952E6">
              <w:rPr>
                <w:rFonts w:eastAsia="Times New Roman" w:cs="Calibri"/>
                <w:b/>
                <w:bCs/>
                <w:color w:val="000000"/>
                <w:sz w:val="24"/>
                <w:szCs w:val="24"/>
                <w:lang w:eastAsia="en-GB"/>
              </w:rPr>
              <w:br/>
              <w:t>£m</w:t>
            </w:r>
          </w:p>
        </w:tc>
      </w:tr>
      <w:tr w:rsidR="000952E6" w:rsidRPr="000952E6" w14:paraId="0B20E1DB" w14:textId="77777777" w:rsidTr="000952E6">
        <w:trPr>
          <w:trHeight w:val="315"/>
        </w:trPr>
        <w:tc>
          <w:tcPr>
            <w:tcW w:w="1080" w:type="dxa"/>
            <w:tcBorders>
              <w:top w:val="nil"/>
              <w:left w:val="single" w:sz="4" w:space="0" w:color="auto"/>
              <w:bottom w:val="nil"/>
              <w:right w:val="single" w:sz="4" w:space="0" w:color="auto"/>
            </w:tcBorders>
            <w:shd w:val="clear" w:color="000000" w:fill="FFFFFF"/>
            <w:noWrap/>
            <w:vAlign w:val="bottom"/>
            <w:hideMark/>
          </w:tcPr>
          <w:p w14:paraId="5A17AAF5" w14:textId="77777777" w:rsidR="000952E6" w:rsidRPr="000952E6" w:rsidRDefault="000952E6" w:rsidP="000952E6">
            <w:pPr>
              <w:spacing w:after="0" w:line="240" w:lineRule="auto"/>
              <w:jc w:val="right"/>
              <w:rPr>
                <w:rFonts w:eastAsia="Times New Roman" w:cs="Calibri"/>
                <w:color w:val="000000"/>
                <w:sz w:val="24"/>
                <w:szCs w:val="24"/>
                <w:lang w:eastAsia="en-GB"/>
              </w:rPr>
            </w:pPr>
            <w:r w:rsidRPr="000952E6">
              <w:rPr>
                <w:rFonts w:eastAsia="Times New Roman" w:cs="Calibri"/>
                <w:color w:val="000000"/>
                <w:sz w:val="24"/>
                <w:szCs w:val="24"/>
                <w:lang w:eastAsia="en-GB"/>
              </w:rPr>
              <w:t>0.961</w:t>
            </w:r>
          </w:p>
        </w:tc>
        <w:tc>
          <w:tcPr>
            <w:tcW w:w="2800" w:type="dxa"/>
            <w:tcBorders>
              <w:top w:val="nil"/>
              <w:left w:val="nil"/>
              <w:bottom w:val="nil"/>
              <w:right w:val="single" w:sz="4" w:space="0" w:color="auto"/>
            </w:tcBorders>
            <w:shd w:val="clear" w:color="000000" w:fill="FFFFFF"/>
            <w:noWrap/>
            <w:vAlign w:val="bottom"/>
            <w:hideMark/>
          </w:tcPr>
          <w:p w14:paraId="590667D2" w14:textId="77777777" w:rsidR="000952E6" w:rsidRPr="000952E6" w:rsidRDefault="000952E6" w:rsidP="000952E6">
            <w:pPr>
              <w:spacing w:after="0" w:line="240" w:lineRule="auto"/>
              <w:rPr>
                <w:rFonts w:eastAsia="Times New Roman" w:cs="Calibri"/>
                <w:color w:val="000000"/>
                <w:sz w:val="24"/>
                <w:szCs w:val="24"/>
                <w:lang w:eastAsia="en-GB"/>
              </w:rPr>
            </w:pPr>
            <w:r w:rsidRPr="000952E6">
              <w:rPr>
                <w:rFonts w:eastAsia="Times New Roman" w:cs="Calibri"/>
                <w:color w:val="000000"/>
                <w:sz w:val="24"/>
                <w:szCs w:val="24"/>
                <w:lang w:eastAsia="en-GB"/>
              </w:rPr>
              <w:t>Staff Costs</w:t>
            </w:r>
          </w:p>
        </w:tc>
        <w:tc>
          <w:tcPr>
            <w:tcW w:w="1080" w:type="dxa"/>
            <w:tcBorders>
              <w:top w:val="nil"/>
              <w:left w:val="nil"/>
              <w:bottom w:val="nil"/>
              <w:right w:val="single" w:sz="4" w:space="0" w:color="auto"/>
            </w:tcBorders>
            <w:shd w:val="clear" w:color="000000" w:fill="D9D9D9"/>
            <w:noWrap/>
            <w:vAlign w:val="bottom"/>
            <w:hideMark/>
          </w:tcPr>
          <w:p w14:paraId="65C9D5ED" w14:textId="77777777" w:rsidR="000952E6" w:rsidRPr="000952E6" w:rsidRDefault="000952E6" w:rsidP="000952E6">
            <w:pPr>
              <w:spacing w:after="0" w:line="240" w:lineRule="auto"/>
              <w:jc w:val="right"/>
              <w:rPr>
                <w:rFonts w:eastAsia="Times New Roman" w:cs="Calibri"/>
                <w:color w:val="000000"/>
                <w:sz w:val="24"/>
                <w:szCs w:val="24"/>
                <w:lang w:eastAsia="en-GB"/>
              </w:rPr>
            </w:pPr>
            <w:r w:rsidRPr="000952E6">
              <w:rPr>
                <w:rFonts w:eastAsia="Times New Roman" w:cs="Calibri"/>
                <w:color w:val="000000"/>
                <w:sz w:val="24"/>
                <w:szCs w:val="24"/>
                <w:lang w:eastAsia="en-GB"/>
              </w:rPr>
              <w:t>1.024</w:t>
            </w:r>
          </w:p>
        </w:tc>
      </w:tr>
      <w:tr w:rsidR="000952E6" w:rsidRPr="000952E6" w14:paraId="49AACA96" w14:textId="77777777" w:rsidTr="000952E6">
        <w:trPr>
          <w:trHeight w:val="315"/>
        </w:trPr>
        <w:tc>
          <w:tcPr>
            <w:tcW w:w="1080" w:type="dxa"/>
            <w:tcBorders>
              <w:top w:val="nil"/>
              <w:left w:val="single" w:sz="4" w:space="0" w:color="auto"/>
              <w:bottom w:val="nil"/>
              <w:right w:val="single" w:sz="4" w:space="0" w:color="auto"/>
            </w:tcBorders>
            <w:shd w:val="clear" w:color="000000" w:fill="FFFFFF"/>
            <w:noWrap/>
            <w:vAlign w:val="bottom"/>
            <w:hideMark/>
          </w:tcPr>
          <w:p w14:paraId="07855299" w14:textId="77777777" w:rsidR="000952E6" w:rsidRPr="000952E6" w:rsidRDefault="000952E6" w:rsidP="000952E6">
            <w:pPr>
              <w:spacing w:after="0" w:line="240" w:lineRule="auto"/>
              <w:jc w:val="right"/>
              <w:rPr>
                <w:rFonts w:eastAsia="Times New Roman" w:cs="Calibri"/>
                <w:color w:val="000000"/>
                <w:sz w:val="24"/>
                <w:szCs w:val="24"/>
                <w:lang w:eastAsia="en-GB"/>
              </w:rPr>
            </w:pPr>
            <w:r w:rsidRPr="000952E6">
              <w:rPr>
                <w:rFonts w:eastAsia="Times New Roman" w:cs="Calibri"/>
                <w:color w:val="000000"/>
                <w:sz w:val="24"/>
                <w:szCs w:val="24"/>
                <w:lang w:eastAsia="en-GB"/>
              </w:rPr>
              <w:t>0.327</w:t>
            </w:r>
          </w:p>
        </w:tc>
        <w:tc>
          <w:tcPr>
            <w:tcW w:w="2800" w:type="dxa"/>
            <w:tcBorders>
              <w:top w:val="nil"/>
              <w:left w:val="nil"/>
              <w:bottom w:val="nil"/>
              <w:right w:val="single" w:sz="4" w:space="0" w:color="auto"/>
            </w:tcBorders>
            <w:shd w:val="clear" w:color="000000" w:fill="FFFFFF"/>
            <w:noWrap/>
            <w:vAlign w:val="bottom"/>
            <w:hideMark/>
          </w:tcPr>
          <w:p w14:paraId="20BE685D" w14:textId="77777777" w:rsidR="000952E6" w:rsidRPr="000952E6" w:rsidRDefault="000952E6" w:rsidP="000952E6">
            <w:pPr>
              <w:spacing w:after="0" w:line="240" w:lineRule="auto"/>
              <w:rPr>
                <w:rFonts w:eastAsia="Times New Roman" w:cs="Calibri"/>
                <w:color w:val="000000"/>
                <w:sz w:val="24"/>
                <w:szCs w:val="24"/>
                <w:lang w:eastAsia="en-GB"/>
              </w:rPr>
            </w:pPr>
            <w:r w:rsidRPr="000952E6">
              <w:rPr>
                <w:rFonts w:eastAsia="Times New Roman" w:cs="Calibri"/>
                <w:color w:val="000000"/>
                <w:sz w:val="24"/>
                <w:szCs w:val="24"/>
                <w:lang w:eastAsia="en-GB"/>
              </w:rPr>
              <w:t>Other Office Costs</w:t>
            </w:r>
          </w:p>
        </w:tc>
        <w:tc>
          <w:tcPr>
            <w:tcW w:w="1080" w:type="dxa"/>
            <w:tcBorders>
              <w:top w:val="nil"/>
              <w:left w:val="nil"/>
              <w:bottom w:val="nil"/>
              <w:right w:val="single" w:sz="4" w:space="0" w:color="auto"/>
            </w:tcBorders>
            <w:shd w:val="clear" w:color="000000" w:fill="D9D9D9"/>
            <w:noWrap/>
            <w:vAlign w:val="bottom"/>
            <w:hideMark/>
          </w:tcPr>
          <w:p w14:paraId="43B674C7" w14:textId="77777777" w:rsidR="000952E6" w:rsidRPr="000952E6" w:rsidRDefault="000952E6" w:rsidP="000952E6">
            <w:pPr>
              <w:spacing w:after="0" w:line="240" w:lineRule="auto"/>
              <w:jc w:val="right"/>
              <w:rPr>
                <w:rFonts w:eastAsia="Times New Roman" w:cs="Calibri"/>
                <w:color w:val="000000"/>
                <w:sz w:val="24"/>
                <w:szCs w:val="24"/>
                <w:lang w:eastAsia="en-GB"/>
              </w:rPr>
            </w:pPr>
            <w:r w:rsidRPr="000952E6">
              <w:rPr>
                <w:rFonts w:eastAsia="Times New Roman" w:cs="Calibri"/>
                <w:color w:val="000000"/>
                <w:sz w:val="24"/>
                <w:szCs w:val="24"/>
                <w:lang w:eastAsia="en-GB"/>
              </w:rPr>
              <w:t>0.293</w:t>
            </w:r>
          </w:p>
        </w:tc>
      </w:tr>
      <w:tr w:rsidR="000952E6" w:rsidRPr="000952E6" w14:paraId="5947A726" w14:textId="77777777" w:rsidTr="000952E6">
        <w:trPr>
          <w:trHeight w:val="315"/>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2AC398" w14:textId="77777777" w:rsidR="000952E6" w:rsidRPr="000952E6" w:rsidRDefault="000952E6" w:rsidP="000952E6">
            <w:pPr>
              <w:spacing w:after="0" w:line="240" w:lineRule="auto"/>
              <w:jc w:val="right"/>
              <w:rPr>
                <w:rFonts w:eastAsia="Times New Roman" w:cs="Calibri"/>
                <w:b/>
                <w:bCs/>
                <w:color w:val="000000"/>
                <w:sz w:val="24"/>
                <w:szCs w:val="24"/>
                <w:lang w:eastAsia="en-GB"/>
              </w:rPr>
            </w:pPr>
            <w:r w:rsidRPr="000952E6">
              <w:rPr>
                <w:rFonts w:eastAsia="Times New Roman" w:cs="Calibri"/>
                <w:b/>
                <w:bCs/>
                <w:color w:val="000000"/>
                <w:sz w:val="24"/>
                <w:szCs w:val="24"/>
                <w:lang w:eastAsia="en-GB"/>
              </w:rPr>
              <w:t>1.288</w:t>
            </w:r>
          </w:p>
        </w:tc>
        <w:tc>
          <w:tcPr>
            <w:tcW w:w="2800" w:type="dxa"/>
            <w:tcBorders>
              <w:top w:val="single" w:sz="4" w:space="0" w:color="auto"/>
              <w:left w:val="nil"/>
              <w:bottom w:val="single" w:sz="4" w:space="0" w:color="auto"/>
              <w:right w:val="single" w:sz="4" w:space="0" w:color="auto"/>
            </w:tcBorders>
            <w:shd w:val="clear" w:color="000000" w:fill="FFFFFF"/>
            <w:noWrap/>
            <w:vAlign w:val="bottom"/>
            <w:hideMark/>
          </w:tcPr>
          <w:p w14:paraId="5B9E75A9" w14:textId="77777777" w:rsidR="000952E6" w:rsidRPr="000952E6" w:rsidRDefault="000952E6" w:rsidP="000952E6">
            <w:pPr>
              <w:spacing w:after="0" w:line="240" w:lineRule="auto"/>
              <w:rPr>
                <w:rFonts w:eastAsia="Times New Roman" w:cs="Calibri"/>
                <w:b/>
                <w:bCs/>
                <w:color w:val="000000"/>
                <w:sz w:val="24"/>
                <w:szCs w:val="24"/>
                <w:lang w:eastAsia="en-GB"/>
              </w:rPr>
            </w:pPr>
            <w:r w:rsidRPr="000952E6">
              <w:rPr>
                <w:rFonts w:eastAsia="Times New Roman" w:cs="Calibri"/>
                <w:b/>
                <w:bCs/>
                <w:color w:val="000000"/>
                <w:sz w:val="24"/>
                <w:szCs w:val="24"/>
                <w:lang w:eastAsia="en-GB"/>
              </w:rPr>
              <w:t>Indicative Police Budget</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14:paraId="6914AD42" w14:textId="77777777" w:rsidR="000952E6" w:rsidRPr="000952E6" w:rsidRDefault="000952E6" w:rsidP="000952E6">
            <w:pPr>
              <w:spacing w:after="0" w:line="240" w:lineRule="auto"/>
              <w:jc w:val="right"/>
              <w:rPr>
                <w:rFonts w:eastAsia="Times New Roman" w:cs="Calibri"/>
                <w:b/>
                <w:bCs/>
                <w:color w:val="000000"/>
                <w:sz w:val="24"/>
                <w:szCs w:val="24"/>
                <w:lang w:eastAsia="en-GB"/>
              </w:rPr>
            </w:pPr>
            <w:r w:rsidRPr="000952E6">
              <w:rPr>
                <w:rFonts w:eastAsia="Times New Roman" w:cs="Calibri"/>
                <w:b/>
                <w:bCs/>
                <w:color w:val="000000"/>
                <w:sz w:val="24"/>
                <w:szCs w:val="24"/>
                <w:lang w:eastAsia="en-GB"/>
              </w:rPr>
              <w:t>1.317</w:t>
            </w:r>
          </w:p>
        </w:tc>
      </w:tr>
    </w:tbl>
    <w:p w14:paraId="1101E092" w14:textId="77777777" w:rsidR="0074315C" w:rsidRDefault="0074315C" w:rsidP="0074315C">
      <w:pPr>
        <w:pStyle w:val="NoSpacing"/>
      </w:pPr>
    </w:p>
    <w:p w14:paraId="66F1BE26" w14:textId="0E132F15" w:rsidR="001E64A9" w:rsidRPr="00FE5CC0" w:rsidRDefault="00A1250A" w:rsidP="00FE5CC0">
      <w:pPr>
        <w:pStyle w:val="PanelPara"/>
      </w:pPr>
      <w:r w:rsidRPr="00FE5CC0">
        <w:t xml:space="preserve">The PFCC has always endeavoured to ensure that the cost of staffing his office is less than 1% of the </w:t>
      </w:r>
      <w:r w:rsidR="005A78E0" w:rsidRPr="00FE5CC0">
        <w:t xml:space="preserve">police </w:t>
      </w:r>
      <w:r w:rsidRPr="00FE5CC0">
        <w:t xml:space="preserve">budget. </w:t>
      </w:r>
      <w:r w:rsidR="00FE5CC0" w:rsidRPr="00FE5CC0">
        <w:t xml:space="preserve"> </w:t>
      </w:r>
      <w:r w:rsidR="001E64A9" w:rsidRPr="00FE5CC0">
        <w:t xml:space="preserve">His </w:t>
      </w:r>
      <w:r w:rsidR="00220144" w:rsidRPr="00FE5CC0">
        <w:t>202</w:t>
      </w:r>
      <w:r w:rsidR="00FE5CC0" w:rsidRPr="00FE5CC0">
        <w:t>4</w:t>
      </w:r>
      <w:r w:rsidR="00220144" w:rsidRPr="00FE5CC0">
        <w:t>/2</w:t>
      </w:r>
      <w:r w:rsidR="00FE5CC0" w:rsidRPr="00FE5CC0">
        <w:t>5</w:t>
      </w:r>
      <w:r w:rsidR="001E64A9" w:rsidRPr="00FE5CC0">
        <w:t xml:space="preserve"> budget </w:t>
      </w:r>
      <w:r w:rsidRPr="00FE5CC0">
        <w:t>continues with that commitment and OPFCC staffing equates to approximately 0.</w:t>
      </w:r>
      <w:r w:rsidR="00FE5CC0" w:rsidRPr="00FE5CC0">
        <w:t>7</w:t>
      </w:r>
      <w:r w:rsidRPr="00FE5CC0">
        <w:t xml:space="preserve">% of the total </w:t>
      </w:r>
      <w:r w:rsidR="009E47D7" w:rsidRPr="00FE5CC0">
        <w:t>police</w:t>
      </w:r>
      <w:r w:rsidRPr="00FE5CC0">
        <w:t xml:space="preserve"> budget.</w:t>
      </w:r>
    </w:p>
    <w:p w14:paraId="4907506E" w14:textId="771D3225" w:rsidR="001D0E11" w:rsidRPr="00FE5CC0" w:rsidRDefault="001E64A9" w:rsidP="0035748F">
      <w:pPr>
        <w:pStyle w:val="PanelPara"/>
      </w:pPr>
      <w:r w:rsidRPr="00FE5CC0">
        <w:t>The OPFCC provides statutory governance services to NCFRA</w:t>
      </w:r>
      <w:r w:rsidR="00FE5CC0" w:rsidRPr="00FE5CC0">
        <w:t xml:space="preserve"> and has a costing methodology in place to ensure NCFRA contributes an appropriate amount</w:t>
      </w:r>
      <w:r w:rsidRPr="00FE5CC0">
        <w:t xml:space="preserve">. </w:t>
      </w:r>
      <w:r w:rsidR="00FE5CC0" w:rsidRPr="00FE5CC0">
        <w:t xml:space="preserve"> </w:t>
      </w:r>
      <w:r w:rsidRPr="00FE5CC0">
        <w:t>In</w:t>
      </w:r>
      <w:r w:rsidR="00FE5CC0" w:rsidRPr="00FE5CC0">
        <w:t>-</w:t>
      </w:r>
      <w:r w:rsidRPr="00FE5CC0">
        <w:t>keeping with the updated Home Office Financial Management Code of Practice; where Fire costs can be reasonably estimated, they have been</w:t>
      </w:r>
      <w:r w:rsidR="00B02BB4" w:rsidRPr="00FE5CC0">
        <w:t xml:space="preserve">. </w:t>
      </w:r>
      <w:r w:rsidR="00FE5CC0" w:rsidRPr="00FE5CC0">
        <w:t xml:space="preserve"> </w:t>
      </w:r>
      <w:r w:rsidR="00B02BB4" w:rsidRPr="00FE5CC0">
        <w:t>O</w:t>
      </w:r>
      <w:r w:rsidRPr="00FE5CC0">
        <w:t xml:space="preserve">therwise, a pro-rata funding allocation has been used, to ensure integrity and transparency of both </w:t>
      </w:r>
      <w:r w:rsidR="002E221A" w:rsidRPr="00FE5CC0">
        <w:t>f</w:t>
      </w:r>
      <w:r w:rsidRPr="00FE5CC0">
        <w:t>ire and policing funds in line with the Treasury’s “Managing Public Money” requirements.</w:t>
      </w:r>
    </w:p>
    <w:p w14:paraId="5EC38C46" w14:textId="3ECFF885" w:rsidR="000E5161" w:rsidRPr="000952E6" w:rsidRDefault="00220144" w:rsidP="000952E6">
      <w:pPr>
        <w:pStyle w:val="PanelHeading"/>
      </w:pPr>
      <w:r w:rsidRPr="00FE5CC0">
        <w:t>202</w:t>
      </w:r>
      <w:r w:rsidR="00FE5CC0">
        <w:t>4</w:t>
      </w:r>
      <w:r w:rsidRPr="00FE5CC0">
        <w:t>/2</w:t>
      </w:r>
      <w:r w:rsidR="00FE5CC0">
        <w:t>5</w:t>
      </w:r>
      <w:r w:rsidR="001E64A9" w:rsidRPr="00FE5CC0">
        <w:t xml:space="preserve"> Police, </w:t>
      </w:r>
      <w:r w:rsidR="000E5161" w:rsidRPr="00FE5CC0">
        <w:t>F</w:t>
      </w:r>
      <w:r w:rsidR="001E64A9" w:rsidRPr="00FE5CC0">
        <w:t>ire and Crime Commissioner – Commissioning and Delivery Budgets</w:t>
      </w:r>
    </w:p>
    <w:p w14:paraId="10533B07" w14:textId="77777777" w:rsidR="000952E6" w:rsidRPr="0074315C" w:rsidRDefault="000E5161" w:rsidP="0074315C">
      <w:pPr>
        <w:pStyle w:val="PanelPara"/>
      </w:pPr>
      <w:r w:rsidRPr="0074315C">
        <w:t xml:space="preserve">The OPFCC undertake a wide range of delivery activities, providing services directly to residents of Northamptonshire. </w:t>
      </w:r>
      <w:r w:rsidR="000952E6" w:rsidRPr="0074315C">
        <w:t xml:space="preserve"> </w:t>
      </w:r>
      <w:r w:rsidRPr="0074315C">
        <w:t>Furthermore, the OPFCC commission</w:t>
      </w:r>
      <w:r w:rsidR="000952E6" w:rsidRPr="0074315C">
        <w:t>s</w:t>
      </w:r>
      <w:r w:rsidRPr="0074315C">
        <w:t xml:space="preserve"> services from partners and other organisations.</w:t>
      </w:r>
    </w:p>
    <w:p w14:paraId="7CF1080D" w14:textId="5EE65E11" w:rsidR="000E5161" w:rsidRPr="0074315C" w:rsidRDefault="000E5161" w:rsidP="0074315C">
      <w:pPr>
        <w:pStyle w:val="PanelPara"/>
      </w:pPr>
      <w:r w:rsidRPr="0074315C">
        <w:t xml:space="preserve">Commissioning and Delivery budgets </w:t>
      </w:r>
      <w:r w:rsidR="002075A2" w:rsidRPr="0074315C">
        <w:t xml:space="preserve">are set out below and the sum of £330k </w:t>
      </w:r>
      <w:r w:rsidR="00045427" w:rsidRPr="0074315C">
        <w:t xml:space="preserve">will be drawn down from the PFCC initiatives reserve to meet </w:t>
      </w:r>
      <w:r w:rsidR="00B02BB4" w:rsidRPr="0074315C">
        <w:t>one-year</w:t>
      </w:r>
      <w:r w:rsidR="00131E14" w:rsidRPr="0074315C">
        <w:t xml:space="preserve"> </w:t>
      </w:r>
      <w:r w:rsidR="00045427" w:rsidRPr="0074315C">
        <w:t>initiatives</w:t>
      </w:r>
      <w:r w:rsidR="002075A2" w:rsidRPr="0074315C">
        <w:t>.</w:t>
      </w:r>
    </w:p>
    <w:tbl>
      <w:tblPr>
        <w:tblW w:w="9362" w:type="dxa"/>
        <w:tblLayout w:type="fixed"/>
        <w:tblLook w:val="04A0" w:firstRow="1" w:lastRow="0" w:firstColumn="1" w:lastColumn="0" w:noHBand="0" w:noVBand="1"/>
      </w:tblPr>
      <w:tblGrid>
        <w:gridCol w:w="880"/>
        <w:gridCol w:w="880"/>
        <w:gridCol w:w="881"/>
        <w:gridCol w:w="4080"/>
        <w:gridCol w:w="880"/>
        <w:gridCol w:w="880"/>
        <w:gridCol w:w="881"/>
      </w:tblGrid>
      <w:tr w:rsidR="002A32A6" w:rsidRPr="002A32A6" w14:paraId="463B149E" w14:textId="77777777" w:rsidTr="002A32A6">
        <w:trPr>
          <w:trHeight w:val="300"/>
        </w:trPr>
        <w:tc>
          <w:tcPr>
            <w:tcW w:w="2641" w:type="dxa"/>
            <w:gridSpan w:val="3"/>
            <w:tcBorders>
              <w:top w:val="single" w:sz="4" w:space="0" w:color="auto"/>
              <w:left w:val="single" w:sz="4" w:space="0" w:color="auto"/>
              <w:bottom w:val="nil"/>
              <w:right w:val="nil"/>
            </w:tcBorders>
            <w:shd w:val="clear" w:color="000000" w:fill="FFFFFF"/>
            <w:noWrap/>
            <w:vAlign w:val="bottom"/>
            <w:hideMark/>
          </w:tcPr>
          <w:p w14:paraId="3A19D03A" w14:textId="77777777" w:rsidR="002A32A6" w:rsidRPr="002A32A6" w:rsidRDefault="002A32A6" w:rsidP="002A32A6">
            <w:pPr>
              <w:spacing w:after="0" w:line="240" w:lineRule="auto"/>
              <w:jc w:val="center"/>
              <w:rPr>
                <w:rFonts w:eastAsia="Times New Roman" w:cs="Calibri"/>
                <w:b/>
                <w:bCs/>
                <w:color w:val="000000"/>
                <w:sz w:val="20"/>
                <w:szCs w:val="20"/>
                <w:lang w:eastAsia="en-GB"/>
              </w:rPr>
            </w:pPr>
            <w:bookmarkStart w:id="12" w:name="_Hlk93920243"/>
            <w:r w:rsidRPr="002A32A6">
              <w:rPr>
                <w:rFonts w:eastAsia="Times New Roman" w:cs="Calibri"/>
                <w:b/>
                <w:bCs/>
                <w:color w:val="000000"/>
                <w:sz w:val="20"/>
                <w:szCs w:val="20"/>
                <w:lang w:eastAsia="en-GB"/>
              </w:rPr>
              <w:t>2023/24</w:t>
            </w:r>
          </w:p>
        </w:tc>
        <w:tc>
          <w:tcPr>
            <w:tcW w:w="4080" w:type="dxa"/>
            <w:tcBorders>
              <w:top w:val="single" w:sz="4" w:space="0" w:color="auto"/>
              <w:left w:val="single" w:sz="4" w:space="0" w:color="auto"/>
              <w:bottom w:val="nil"/>
              <w:right w:val="single" w:sz="4" w:space="0" w:color="auto"/>
            </w:tcBorders>
            <w:shd w:val="clear" w:color="000000" w:fill="FFFFFF"/>
            <w:noWrap/>
            <w:vAlign w:val="bottom"/>
            <w:hideMark/>
          </w:tcPr>
          <w:p w14:paraId="0B56093B" w14:textId="77777777" w:rsidR="002A32A6" w:rsidRPr="002A32A6" w:rsidRDefault="002A32A6" w:rsidP="002A32A6">
            <w:pPr>
              <w:spacing w:after="0" w:line="240" w:lineRule="auto"/>
              <w:jc w:val="center"/>
              <w:rPr>
                <w:rFonts w:eastAsia="Times New Roman" w:cs="Calibri"/>
                <w:b/>
                <w:bCs/>
                <w:color w:val="000000"/>
                <w:sz w:val="20"/>
                <w:szCs w:val="20"/>
                <w:lang w:eastAsia="en-GB"/>
              </w:rPr>
            </w:pPr>
            <w:r w:rsidRPr="002A32A6">
              <w:rPr>
                <w:rFonts w:eastAsia="Times New Roman" w:cs="Calibri"/>
                <w:b/>
                <w:bCs/>
                <w:color w:val="000000"/>
                <w:sz w:val="20"/>
                <w:szCs w:val="20"/>
                <w:lang w:eastAsia="en-GB"/>
              </w:rPr>
              <w:t>Delivery and Commissioning Budgets</w:t>
            </w:r>
          </w:p>
        </w:tc>
        <w:tc>
          <w:tcPr>
            <w:tcW w:w="2641" w:type="dxa"/>
            <w:gridSpan w:val="3"/>
            <w:tcBorders>
              <w:top w:val="single" w:sz="4" w:space="0" w:color="auto"/>
              <w:left w:val="nil"/>
              <w:bottom w:val="nil"/>
              <w:right w:val="single" w:sz="4" w:space="0" w:color="000000"/>
            </w:tcBorders>
            <w:shd w:val="clear" w:color="000000" w:fill="D9D9D9"/>
            <w:noWrap/>
            <w:vAlign w:val="bottom"/>
            <w:hideMark/>
          </w:tcPr>
          <w:p w14:paraId="7EACCCD5" w14:textId="77777777" w:rsidR="002A32A6" w:rsidRPr="002A32A6" w:rsidRDefault="002A32A6" w:rsidP="002A32A6">
            <w:pPr>
              <w:spacing w:after="0" w:line="240" w:lineRule="auto"/>
              <w:jc w:val="center"/>
              <w:rPr>
                <w:rFonts w:eastAsia="Times New Roman" w:cs="Calibri"/>
                <w:b/>
                <w:bCs/>
                <w:color w:val="000000"/>
                <w:sz w:val="20"/>
                <w:szCs w:val="20"/>
                <w:lang w:eastAsia="en-GB"/>
              </w:rPr>
            </w:pPr>
            <w:r w:rsidRPr="002A32A6">
              <w:rPr>
                <w:rFonts w:eastAsia="Times New Roman" w:cs="Calibri"/>
                <w:b/>
                <w:bCs/>
                <w:color w:val="000000"/>
                <w:sz w:val="20"/>
                <w:szCs w:val="20"/>
                <w:lang w:eastAsia="en-GB"/>
              </w:rPr>
              <w:t>2024/25</w:t>
            </w:r>
          </w:p>
        </w:tc>
      </w:tr>
      <w:tr w:rsidR="002A32A6" w:rsidRPr="002A32A6" w14:paraId="5DDA68A3" w14:textId="77777777" w:rsidTr="002A32A6">
        <w:trPr>
          <w:trHeight w:val="525"/>
        </w:trPr>
        <w:tc>
          <w:tcPr>
            <w:tcW w:w="880" w:type="dxa"/>
            <w:tcBorders>
              <w:top w:val="single" w:sz="4" w:space="0" w:color="auto"/>
              <w:left w:val="single" w:sz="4" w:space="0" w:color="auto"/>
              <w:bottom w:val="nil"/>
              <w:right w:val="nil"/>
            </w:tcBorders>
            <w:shd w:val="clear" w:color="000000" w:fill="FFFFFF"/>
            <w:noWrap/>
            <w:vAlign w:val="bottom"/>
            <w:hideMark/>
          </w:tcPr>
          <w:p w14:paraId="6392DA5F" w14:textId="77777777" w:rsidR="002A32A6" w:rsidRPr="002A32A6" w:rsidRDefault="002A32A6" w:rsidP="002A32A6">
            <w:pPr>
              <w:spacing w:after="0" w:line="240" w:lineRule="auto"/>
              <w:jc w:val="center"/>
              <w:rPr>
                <w:rFonts w:eastAsia="Times New Roman" w:cs="Calibri"/>
                <w:b/>
                <w:bCs/>
                <w:color w:val="000000"/>
                <w:sz w:val="20"/>
                <w:szCs w:val="20"/>
                <w:lang w:eastAsia="en-GB"/>
              </w:rPr>
            </w:pPr>
            <w:r w:rsidRPr="002A32A6">
              <w:rPr>
                <w:rFonts w:eastAsia="Times New Roman" w:cs="Calibri"/>
                <w:b/>
                <w:bCs/>
                <w:color w:val="000000"/>
                <w:sz w:val="20"/>
                <w:szCs w:val="20"/>
                <w:lang w:eastAsia="en-GB"/>
              </w:rPr>
              <w:t>Budget</w:t>
            </w:r>
          </w:p>
        </w:tc>
        <w:tc>
          <w:tcPr>
            <w:tcW w:w="880" w:type="dxa"/>
            <w:tcBorders>
              <w:top w:val="single" w:sz="4" w:space="0" w:color="auto"/>
              <w:left w:val="single" w:sz="4" w:space="0" w:color="auto"/>
              <w:bottom w:val="nil"/>
              <w:right w:val="single" w:sz="4" w:space="0" w:color="auto"/>
            </w:tcBorders>
            <w:shd w:val="clear" w:color="000000" w:fill="FFFFFF"/>
            <w:vAlign w:val="bottom"/>
            <w:hideMark/>
          </w:tcPr>
          <w:p w14:paraId="13D05AB6" w14:textId="77777777" w:rsidR="002A32A6" w:rsidRPr="002A32A6" w:rsidRDefault="002A32A6" w:rsidP="002A32A6">
            <w:pPr>
              <w:spacing w:after="0" w:line="240" w:lineRule="auto"/>
              <w:jc w:val="center"/>
              <w:rPr>
                <w:rFonts w:eastAsia="Times New Roman" w:cs="Calibri"/>
                <w:b/>
                <w:bCs/>
                <w:color w:val="000000"/>
                <w:sz w:val="20"/>
                <w:szCs w:val="20"/>
                <w:lang w:eastAsia="en-GB"/>
              </w:rPr>
            </w:pPr>
            <w:r w:rsidRPr="002A32A6">
              <w:rPr>
                <w:rFonts w:eastAsia="Times New Roman" w:cs="Calibri"/>
                <w:b/>
                <w:bCs/>
                <w:color w:val="000000"/>
                <w:sz w:val="20"/>
                <w:szCs w:val="20"/>
                <w:lang w:eastAsia="en-GB"/>
              </w:rPr>
              <w:t>Grants/ Income</w:t>
            </w:r>
          </w:p>
        </w:tc>
        <w:tc>
          <w:tcPr>
            <w:tcW w:w="881" w:type="dxa"/>
            <w:tcBorders>
              <w:top w:val="single" w:sz="4" w:space="0" w:color="auto"/>
              <w:left w:val="nil"/>
              <w:bottom w:val="nil"/>
              <w:right w:val="nil"/>
            </w:tcBorders>
            <w:shd w:val="clear" w:color="000000" w:fill="FFFFFF"/>
            <w:noWrap/>
            <w:vAlign w:val="bottom"/>
            <w:hideMark/>
          </w:tcPr>
          <w:p w14:paraId="3B34B6AF" w14:textId="77777777" w:rsidR="002A32A6" w:rsidRPr="002A32A6" w:rsidRDefault="002A32A6" w:rsidP="002A32A6">
            <w:pPr>
              <w:spacing w:after="0" w:line="240" w:lineRule="auto"/>
              <w:jc w:val="center"/>
              <w:rPr>
                <w:rFonts w:eastAsia="Times New Roman" w:cs="Calibri"/>
                <w:b/>
                <w:bCs/>
                <w:color w:val="000000"/>
                <w:sz w:val="20"/>
                <w:szCs w:val="20"/>
                <w:lang w:eastAsia="en-GB"/>
              </w:rPr>
            </w:pPr>
            <w:r w:rsidRPr="002A32A6">
              <w:rPr>
                <w:rFonts w:eastAsia="Times New Roman" w:cs="Calibri"/>
                <w:b/>
                <w:bCs/>
                <w:color w:val="000000"/>
                <w:sz w:val="20"/>
                <w:szCs w:val="20"/>
                <w:lang w:eastAsia="en-GB"/>
              </w:rPr>
              <w:t>Net</w:t>
            </w:r>
          </w:p>
        </w:tc>
        <w:tc>
          <w:tcPr>
            <w:tcW w:w="4080" w:type="dxa"/>
            <w:tcBorders>
              <w:top w:val="nil"/>
              <w:left w:val="single" w:sz="4" w:space="0" w:color="auto"/>
              <w:bottom w:val="nil"/>
              <w:right w:val="single" w:sz="4" w:space="0" w:color="auto"/>
            </w:tcBorders>
            <w:shd w:val="clear" w:color="000000" w:fill="FFFFFF"/>
            <w:noWrap/>
            <w:vAlign w:val="bottom"/>
            <w:hideMark/>
          </w:tcPr>
          <w:p w14:paraId="705124BF" w14:textId="77777777" w:rsidR="002A32A6" w:rsidRPr="002A32A6" w:rsidRDefault="002A32A6" w:rsidP="002A32A6">
            <w:pPr>
              <w:spacing w:after="0" w:line="240" w:lineRule="auto"/>
              <w:jc w:val="center"/>
              <w:rPr>
                <w:rFonts w:eastAsia="Times New Roman" w:cs="Calibri"/>
                <w:b/>
                <w:bCs/>
                <w:color w:val="000000"/>
                <w:sz w:val="20"/>
                <w:szCs w:val="20"/>
                <w:lang w:eastAsia="en-GB"/>
              </w:rPr>
            </w:pPr>
            <w:r w:rsidRPr="002A32A6">
              <w:rPr>
                <w:rFonts w:eastAsia="Times New Roman" w:cs="Calibri"/>
                <w:b/>
                <w:bCs/>
                <w:color w:val="000000"/>
                <w:sz w:val="20"/>
                <w:szCs w:val="20"/>
                <w:lang w:eastAsia="en-GB"/>
              </w:rPr>
              <w:t> </w:t>
            </w:r>
          </w:p>
        </w:tc>
        <w:tc>
          <w:tcPr>
            <w:tcW w:w="880" w:type="dxa"/>
            <w:tcBorders>
              <w:top w:val="single" w:sz="4" w:space="0" w:color="auto"/>
              <w:left w:val="nil"/>
              <w:bottom w:val="nil"/>
              <w:right w:val="nil"/>
            </w:tcBorders>
            <w:shd w:val="clear" w:color="000000" w:fill="D9D9D9"/>
            <w:noWrap/>
            <w:vAlign w:val="bottom"/>
            <w:hideMark/>
          </w:tcPr>
          <w:p w14:paraId="73FBB708" w14:textId="77777777" w:rsidR="002A32A6" w:rsidRPr="002A32A6" w:rsidRDefault="002A32A6" w:rsidP="002A32A6">
            <w:pPr>
              <w:spacing w:after="0" w:line="240" w:lineRule="auto"/>
              <w:jc w:val="center"/>
              <w:rPr>
                <w:rFonts w:eastAsia="Times New Roman" w:cs="Calibri"/>
                <w:b/>
                <w:bCs/>
                <w:color w:val="000000"/>
                <w:sz w:val="20"/>
                <w:szCs w:val="20"/>
                <w:lang w:eastAsia="en-GB"/>
              </w:rPr>
            </w:pPr>
            <w:r w:rsidRPr="002A32A6">
              <w:rPr>
                <w:rFonts w:eastAsia="Times New Roman" w:cs="Calibri"/>
                <w:b/>
                <w:bCs/>
                <w:color w:val="000000"/>
                <w:sz w:val="20"/>
                <w:szCs w:val="20"/>
                <w:lang w:eastAsia="en-GB"/>
              </w:rPr>
              <w:t>Budget</w:t>
            </w:r>
          </w:p>
        </w:tc>
        <w:tc>
          <w:tcPr>
            <w:tcW w:w="880" w:type="dxa"/>
            <w:tcBorders>
              <w:top w:val="single" w:sz="4" w:space="0" w:color="auto"/>
              <w:left w:val="single" w:sz="4" w:space="0" w:color="auto"/>
              <w:bottom w:val="nil"/>
              <w:right w:val="single" w:sz="4" w:space="0" w:color="auto"/>
            </w:tcBorders>
            <w:shd w:val="clear" w:color="000000" w:fill="D9D9D9"/>
            <w:vAlign w:val="bottom"/>
            <w:hideMark/>
          </w:tcPr>
          <w:p w14:paraId="1AA9B3A8" w14:textId="77777777" w:rsidR="002A32A6" w:rsidRPr="002A32A6" w:rsidRDefault="002A32A6" w:rsidP="002A32A6">
            <w:pPr>
              <w:spacing w:after="0" w:line="240" w:lineRule="auto"/>
              <w:jc w:val="center"/>
              <w:rPr>
                <w:rFonts w:eastAsia="Times New Roman" w:cs="Calibri"/>
                <w:b/>
                <w:bCs/>
                <w:color w:val="000000"/>
                <w:sz w:val="20"/>
                <w:szCs w:val="20"/>
                <w:lang w:eastAsia="en-GB"/>
              </w:rPr>
            </w:pPr>
            <w:r w:rsidRPr="002A32A6">
              <w:rPr>
                <w:rFonts w:eastAsia="Times New Roman" w:cs="Calibri"/>
                <w:b/>
                <w:bCs/>
                <w:color w:val="000000"/>
                <w:sz w:val="20"/>
                <w:szCs w:val="20"/>
                <w:lang w:eastAsia="en-GB"/>
              </w:rPr>
              <w:t>Grants/ Income</w:t>
            </w:r>
          </w:p>
        </w:tc>
        <w:tc>
          <w:tcPr>
            <w:tcW w:w="881" w:type="dxa"/>
            <w:tcBorders>
              <w:top w:val="single" w:sz="4" w:space="0" w:color="auto"/>
              <w:left w:val="nil"/>
              <w:bottom w:val="nil"/>
              <w:right w:val="single" w:sz="4" w:space="0" w:color="auto"/>
            </w:tcBorders>
            <w:shd w:val="clear" w:color="000000" w:fill="D9D9D9"/>
            <w:noWrap/>
            <w:vAlign w:val="bottom"/>
            <w:hideMark/>
          </w:tcPr>
          <w:p w14:paraId="7B5DF058" w14:textId="77777777" w:rsidR="002A32A6" w:rsidRPr="002A32A6" w:rsidRDefault="002A32A6" w:rsidP="002A32A6">
            <w:pPr>
              <w:spacing w:after="0" w:line="240" w:lineRule="auto"/>
              <w:jc w:val="center"/>
              <w:rPr>
                <w:rFonts w:eastAsia="Times New Roman" w:cs="Calibri"/>
                <w:b/>
                <w:bCs/>
                <w:color w:val="000000"/>
                <w:sz w:val="20"/>
                <w:szCs w:val="20"/>
                <w:lang w:eastAsia="en-GB"/>
              </w:rPr>
            </w:pPr>
            <w:r w:rsidRPr="002A32A6">
              <w:rPr>
                <w:rFonts w:eastAsia="Times New Roman" w:cs="Calibri"/>
                <w:b/>
                <w:bCs/>
                <w:color w:val="000000"/>
                <w:sz w:val="20"/>
                <w:szCs w:val="20"/>
                <w:lang w:eastAsia="en-GB"/>
              </w:rPr>
              <w:t>Net</w:t>
            </w:r>
          </w:p>
        </w:tc>
      </w:tr>
      <w:tr w:rsidR="002A32A6" w:rsidRPr="002A32A6" w14:paraId="39D3CF40" w14:textId="77777777" w:rsidTr="002A32A6">
        <w:trPr>
          <w:trHeight w:val="300"/>
        </w:trPr>
        <w:tc>
          <w:tcPr>
            <w:tcW w:w="880" w:type="dxa"/>
            <w:tcBorders>
              <w:top w:val="nil"/>
              <w:left w:val="single" w:sz="4" w:space="0" w:color="auto"/>
              <w:bottom w:val="single" w:sz="4" w:space="0" w:color="auto"/>
              <w:right w:val="nil"/>
            </w:tcBorders>
            <w:shd w:val="clear" w:color="000000" w:fill="FFFFFF"/>
            <w:noWrap/>
            <w:vAlign w:val="bottom"/>
            <w:hideMark/>
          </w:tcPr>
          <w:p w14:paraId="1EED1B0B" w14:textId="77777777" w:rsidR="002A32A6" w:rsidRPr="002A32A6" w:rsidRDefault="002A32A6" w:rsidP="002A32A6">
            <w:pPr>
              <w:spacing w:after="0" w:line="240" w:lineRule="auto"/>
              <w:jc w:val="center"/>
              <w:rPr>
                <w:rFonts w:eastAsia="Times New Roman" w:cs="Calibri"/>
                <w:b/>
                <w:bCs/>
                <w:color w:val="000000"/>
                <w:sz w:val="20"/>
                <w:szCs w:val="20"/>
                <w:lang w:eastAsia="en-GB"/>
              </w:rPr>
            </w:pPr>
            <w:r w:rsidRPr="002A32A6">
              <w:rPr>
                <w:rFonts w:eastAsia="Times New Roman" w:cs="Calibri"/>
                <w:b/>
                <w:bCs/>
                <w:color w:val="000000"/>
                <w:sz w:val="20"/>
                <w:szCs w:val="20"/>
                <w:lang w:eastAsia="en-GB"/>
              </w:rPr>
              <w:t>£m</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09334912" w14:textId="77777777" w:rsidR="002A32A6" w:rsidRPr="002A32A6" w:rsidRDefault="002A32A6" w:rsidP="002A32A6">
            <w:pPr>
              <w:spacing w:after="0" w:line="240" w:lineRule="auto"/>
              <w:jc w:val="center"/>
              <w:rPr>
                <w:rFonts w:eastAsia="Times New Roman" w:cs="Calibri"/>
                <w:b/>
                <w:bCs/>
                <w:color w:val="000000"/>
                <w:sz w:val="20"/>
                <w:szCs w:val="20"/>
                <w:lang w:eastAsia="en-GB"/>
              </w:rPr>
            </w:pPr>
            <w:r w:rsidRPr="002A32A6">
              <w:rPr>
                <w:rFonts w:eastAsia="Times New Roman" w:cs="Calibri"/>
                <w:b/>
                <w:bCs/>
                <w:color w:val="000000"/>
                <w:sz w:val="20"/>
                <w:szCs w:val="20"/>
                <w:lang w:eastAsia="en-GB"/>
              </w:rPr>
              <w:t>£m</w:t>
            </w:r>
          </w:p>
        </w:tc>
        <w:tc>
          <w:tcPr>
            <w:tcW w:w="881" w:type="dxa"/>
            <w:tcBorders>
              <w:top w:val="nil"/>
              <w:left w:val="nil"/>
              <w:bottom w:val="single" w:sz="4" w:space="0" w:color="auto"/>
              <w:right w:val="nil"/>
            </w:tcBorders>
            <w:shd w:val="clear" w:color="000000" w:fill="FFFFFF"/>
            <w:noWrap/>
            <w:vAlign w:val="bottom"/>
            <w:hideMark/>
          </w:tcPr>
          <w:p w14:paraId="0F86E360" w14:textId="77777777" w:rsidR="002A32A6" w:rsidRPr="002A32A6" w:rsidRDefault="002A32A6" w:rsidP="002A32A6">
            <w:pPr>
              <w:spacing w:after="0" w:line="240" w:lineRule="auto"/>
              <w:jc w:val="center"/>
              <w:rPr>
                <w:rFonts w:eastAsia="Times New Roman" w:cs="Calibri"/>
                <w:b/>
                <w:bCs/>
                <w:color w:val="000000"/>
                <w:sz w:val="20"/>
                <w:szCs w:val="20"/>
                <w:lang w:eastAsia="en-GB"/>
              </w:rPr>
            </w:pPr>
            <w:r w:rsidRPr="002A32A6">
              <w:rPr>
                <w:rFonts w:eastAsia="Times New Roman" w:cs="Calibri"/>
                <w:b/>
                <w:bCs/>
                <w:color w:val="000000"/>
                <w:sz w:val="20"/>
                <w:szCs w:val="20"/>
                <w:lang w:eastAsia="en-GB"/>
              </w:rPr>
              <w:t>£m</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14:paraId="44CD9751" w14:textId="77777777" w:rsidR="002A32A6" w:rsidRPr="002A32A6" w:rsidRDefault="002A32A6" w:rsidP="002A32A6">
            <w:pPr>
              <w:spacing w:after="0" w:line="240" w:lineRule="auto"/>
              <w:jc w:val="center"/>
              <w:rPr>
                <w:rFonts w:eastAsia="Times New Roman" w:cs="Calibri"/>
                <w:b/>
                <w:bCs/>
                <w:color w:val="000000"/>
                <w:sz w:val="20"/>
                <w:szCs w:val="20"/>
                <w:lang w:eastAsia="en-GB"/>
              </w:rPr>
            </w:pPr>
            <w:r w:rsidRPr="002A32A6">
              <w:rPr>
                <w:rFonts w:eastAsia="Times New Roman" w:cs="Calibri"/>
                <w:b/>
                <w:bCs/>
                <w:color w:val="000000"/>
                <w:sz w:val="20"/>
                <w:szCs w:val="20"/>
                <w:lang w:eastAsia="en-GB"/>
              </w:rPr>
              <w:t> </w:t>
            </w:r>
          </w:p>
        </w:tc>
        <w:tc>
          <w:tcPr>
            <w:tcW w:w="880" w:type="dxa"/>
            <w:tcBorders>
              <w:top w:val="nil"/>
              <w:left w:val="nil"/>
              <w:bottom w:val="single" w:sz="4" w:space="0" w:color="auto"/>
              <w:right w:val="nil"/>
            </w:tcBorders>
            <w:shd w:val="clear" w:color="000000" w:fill="D9D9D9"/>
            <w:noWrap/>
            <w:vAlign w:val="bottom"/>
            <w:hideMark/>
          </w:tcPr>
          <w:p w14:paraId="1E32D62B" w14:textId="77777777" w:rsidR="002A32A6" w:rsidRPr="002A32A6" w:rsidRDefault="002A32A6" w:rsidP="002A32A6">
            <w:pPr>
              <w:spacing w:after="0" w:line="240" w:lineRule="auto"/>
              <w:jc w:val="center"/>
              <w:rPr>
                <w:rFonts w:eastAsia="Times New Roman" w:cs="Calibri"/>
                <w:b/>
                <w:bCs/>
                <w:color w:val="000000"/>
                <w:sz w:val="20"/>
                <w:szCs w:val="20"/>
                <w:lang w:eastAsia="en-GB"/>
              </w:rPr>
            </w:pPr>
            <w:r w:rsidRPr="002A32A6">
              <w:rPr>
                <w:rFonts w:eastAsia="Times New Roman" w:cs="Calibri"/>
                <w:b/>
                <w:bCs/>
                <w:color w:val="000000"/>
                <w:sz w:val="20"/>
                <w:szCs w:val="20"/>
                <w:lang w:eastAsia="en-GB"/>
              </w:rPr>
              <w:t>£m</w:t>
            </w:r>
          </w:p>
        </w:tc>
        <w:tc>
          <w:tcPr>
            <w:tcW w:w="880" w:type="dxa"/>
            <w:tcBorders>
              <w:top w:val="nil"/>
              <w:left w:val="single" w:sz="4" w:space="0" w:color="auto"/>
              <w:bottom w:val="single" w:sz="4" w:space="0" w:color="auto"/>
              <w:right w:val="single" w:sz="4" w:space="0" w:color="auto"/>
            </w:tcBorders>
            <w:shd w:val="clear" w:color="000000" w:fill="D9D9D9"/>
            <w:noWrap/>
            <w:vAlign w:val="bottom"/>
            <w:hideMark/>
          </w:tcPr>
          <w:p w14:paraId="1F4EFE00" w14:textId="77777777" w:rsidR="002A32A6" w:rsidRPr="002A32A6" w:rsidRDefault="002A32A6" w:rsidP="002A32A6">
            <w:pPr>
              <w:spacing w:after="0" w:line="240" w:lineRule="auto"/>
              <w:jc w:val="center"/>
              <w:rPr>
                <w:rFonts w:eastAsia="Times New Roman" w:cs="Calibri"/>
                <w:b/>
                <w:bCs/>
                <w:color w:val="000000"/>
                <w:sz w:val="20"/>
                <w:szCs w:val="20"/>
                <w:lang w:eastAsia="en-GB"/>
              </w:rPr>
            </w:pPr>
            <w:r w:rsidRPr="002A32A6">
              <w:rPr>
                <w:rFonts w:eastAsia="Times New Roman" w:cs="Calibri"/>
                <w:b/>
                <w:bCs/>
                <w:color w:val="000000"/>
                <w:sz w:val="20"/>
                <w:szCs w:val="20"/>
                <w:lang w:eastAsia="en-GB"/>
              </w:rPr>
              <w:t>£m</w:t>
            </w:r>
          </w:p>
        </w:tc>
        <w:tc>
          <w:tcPr>
            <w:tcW w:w="881" w:type="dxa"/>
            <w:tcBorders>
              <w:top w:val="nil"/>
              <w:left w:val="nil"/>
              <w:bottom w:val="single" w:sz="4" w:space="0" w:color="auto"/>
              <w:right w:val="single" w:sz="4" w:space="0" w:color="auto"/>
            </w:tcBorders>
            <w:shd w:val="clear" w:color="000000" w:fill="D9D9D9"/>
            <w:noWrap/>
            <w:vAlign w:val="bottom"/>
            <w:hideMark/>
          </w:tcPr>
          <w:p w14:paraId="3472F954" w14:textId="77777777" w:rsidR="002A32A6" w:rsidRPr="002A32A6" w:rsidRDefault="002A32A6" w:rsidP="002A32A6">
            <w:pPr>
              <w:spacing w:after="0" w:line="240" w:lineRule="auto"/>
              <w:jc w:val="center"/>
              <w:rPr>
                <w:rFonts w:eastAsia="Times New Roman" w:cs="Calibri"/>
                <w:b/>
                <w:bCs/>
                <w:color w:val="000000"/>
                <w:sz w:val="20"/>
                <w:szCs w:val="20"/>
                <w:lang w:eastAsia="en-GB"/>
              </w:rPr>
            </w:pPr>
            <w:r w:rsidRPr="002A32A6">
              <w:rPr>
                <w:rFonts w:eastAsia="Times New Roman" w:cs="Calibri"/>
                <w:b/>
                <w:bCs/>
                <w:color w:val="000000"/>
                <w:sz w:val="20"/>
                <w:szCs w:val="20"/>
                <w:lang w:eastAsia="en-GB"/>
              </w:rPr>
              <w:t>£m</w:t>
            </w:r>
          </w:p>
        </w:tc>
      </w:tr>
      <w:tr w:rsidR="002A32A6" w:rsidRPr="002A32A6" w14:paraId="3545A284" w14:textId="77777777" w:rsidTr="002A32A6">
        <w:trPr>
          <w:trHeight w:val="300"/>
        </w:trPr>
        <w:tc>
          <w:tcPr>
            <w:tcW w:w="880" w:type="dxa"/>
            <w:tcBorders>
              <w:top w:val="nil"/>
              <w:left w:val="single" w:sz="4" w:space="0" w:color="auto"/>
              <w:bottom w:val="nil"/>
              <w:right w:val="nil"/>
            </w:tcBorders>
            <w:shd w:val="clear" w:color="000000" w:fill="FFFFFF"/>
            <w:noWrap/>
            <w:vAlign w:val="bottom"/>
            <w:hideMark/>
          </w:tcPr>
          <w:p w14:paraId="0DC2ABE3"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0.100</w:t>
            </w:r>
          </w:p>
        </w:tc>
        <w:tc>
          <w:tcPr>
            <w:tcW w:w="880" w:type="dxa"/>
            <w:tcBorders>
              <w:top w:val="nil"/>
              <w:left w:val="single" w:sz="4" w:space="0" w:color="auto"/>
              <w:bottom w:val="nil"/>
              <w:right w:val="single" w:sz="4" w:space="0" w:color="auto"/>
            </w:tcBorders>
            <w:shd w:val="clear" w:color="000000" w:fill="FFFFFF"/>
            <w:noWrap/>
            <w:vAlign w:val="bottom"/>
            <w:hideMark/>
          </w:tcPr>
          <w:p w14:paraId="0048CA95"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(0.075)</w:t>
            </w:r>
          </w:p>
        </w:tc>
        <w:tc>
          <w:tcPr>
            <w:tcW w:w="881" w:type="dxa"/>
            <w:tcBorders>
              <w:top w:val="nil"/>
              <w:left w:val="nil"/>
              <w:bottom w:val="nil"/>
              <w:right w:val="nil"/>
            </w:tcBorders>
            <w:shd w:val="clear" w:color="000000" w:fill="FFFFFF"/>
            <w:noWrap/>
            <w:vAlign w:val="bottom"/>
            <w:hideMark/>
          </w:tcPr>
          <w:p w14:paraId="03906291"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0.025</w:t>
            </w:r>
          </w:p>
        </w:tc>
        <w:tc>
          <w:tcPr>
            <w:tcW w:w="4080" w:type="dxa"/>
            <w:tcBorders>
              <w:top w:val="nil"/>
              <w:left w:val="single" w:sz="4" w:space="0" w:color="auto"/>
              <w:bottom w:val="nil"/>
              <w:right w:val="single" w:sz="4" w:space="0" w:color="auto"/>
            </w:tcBorders>
            <w:shd w:val="clear" w:color="000000" w:fill="FFFFFF"/>
            <w:noWrap/>
            <w:vAlign w:val="bottom"/>
            <w:hideMark/>
          </w:tcPr>
          <w:p w14:paraId="5521FD23"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Commissioning</w:t>
            </w:r>
          </w:p>
        </w:tc>
        <w:tc>
          <w:tcPr>
            <w:tcW w:w="880" w:type="dxa"/>
            <w:tcBorders>
              <w:top w:val="nil"/>
              <w:left w:val="nil"/>
              <w:bottom w:val="nil"/>
              <w:right w:val="nil"/>
            </w:tcBorders>
            <w:shd w:val="clear" w:color="000000" w:fill="D9D9D9"/>
            <w:noWrap/>
            <w:vAlign w:val="bottom"/>
            <w:hideMark/>
          </w:tcPr>
          <w:p w14:paraId="13F9133A"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0.100</w:t>
            </w:r>
          </w:p>
        </w:tc>
        <w:tc>
          <w:tcPr>
            <w:tcW w:w="880" w:type="dxa"/>
            <w:tcBorders>
              <w:top w:val="nil"/>
              <w:left w:val="single" w:sz="4" w:space="0" w:color="auto"/>
              <w:bottom w:val="nil"/>
              <w:right w:val="single" w:sz="4" w:space="0" w:color="auto"/>
            </w:tcBorders>
            <w:shd w:val="clear" w:color="000000" w:fill="D9D9D9"/>
            <w:noWrap/>
            <w:vAlign w:val="bottom"/>
            <w:hideMark/>
          </w:tcPr>
          <w:p w14:paraId="55634DCB"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(0.100)</w:t>
            </w:r>
          </w:p>
        </w:tc>
        <w:tc>
          <w:tcPr>
            <w:tcW w:w="881" w:type="dxa"/>
            <w:tcBorders>
              <w:top w:val="nil"/>
              <w:left w:val="nil"/>
              <w:bottom w:val="nil"/>
              <w:right w:val="single" w:sz="4" w:space="0" w:color="auto"/>
            </w:tcBorders>
            <w:shd w:val="clear" w:color="000000" w:fill="D9D9D9"/>
            <w:noWrap/>
            <w:vAlign w:val="bottom"/>
            <w:hideMark/>
          </w:tcPr>
          <w:p w14:paraId="5DAC47A6"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0.000</w:t>
            </w:r>
          </w:p>
        </w:tc>
      </w:tr>
      <w:tr w:rsidR="002A32A6" w:rsidRPr="002A32A6" w14:paraId="06C74D2C" w14:textId="77777777" w:rsidTr="002A32A6">
        <w:trPr>
          <w:trHeight w:val="300"/>
        </w:trPr>
        <w:tc>
          <w:tcPr>
            <w:tcW w:w="880" w:type="dxa"/>
            <w:tcBorders>
              <w:top w:val="nil"/>
              <w:left w:val="single" w:sz="4" w:space="0" w:color="auto"/>
              <w:bottom w:val="nil"/>
              <w:right w:val="nil"/>
            </w:tcBorders>
            <w:shd w:val="clear" w:color="000000" w:fill="FFFFFF"/>
            <w:noWrap/>
            <w:vAlign w:val="bottom"/>
            <w:hideMark/>
          </w:tcPr>
          <w:p w14:paraId="4B787B6B"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2.233</w:t>
            </w:r>
          </w:p>
        </w:tc>
        <w:tc>
          <w:tcPr>
            <w:tcW w:w="880" w:type="dxa"/>
            <w:tcBorders>
              <w:top w:val="nil"/>
              <w:left w:val="single" w:sz="4" w:space="0" w:color="auto"/>
              <w:bottom w:val="nil"/>
              <w:right w:val="single" w:sz="4" w:space="0" w:color="auto"/>
            </w:tcBorders>
            <w:shd w:val="clear" w:color="000000" w:fill="FFFFFF"/>
            <w:noWrap/>
            <w:vAlign w:val="bottom"/>
            <w:hideMark/>
          </w:tcPr>
          <w:p w14:paraId="68238D10"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(1.321)</w:t>
            </w:r>
          </w:p>
        </w:tc>
        <w:tc>
          <w:tcPr>
            <w:tcW w:w="881" w:type="dxa"/>
            <w:tcBorders>
              <w:top w:val="nil"/>
              <w:left w:val="nil"/>
              <w:bottom w:val="nil"/>
              <w:right w:val="nil"/>
            </w:tcBorders>
            <w:shd w:val="clear" w:color="000000" w:fill="FFFFFF"/>
            <w:noWrap/>
            <w:vAlign w:val="bottom"/>
            <w:hideMark/>
          </w:tcPr>
          <w:p w14:paraId="36E78CCF"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0.912</w:t>
            </w:r>
          </w:p>
        </w:tc>
        <w:tc>
          <w:tcPr>
            <w:tcW w:w="4080" w:type="dxa"/>
            <w:tcBorders>
              <w:top w:val="nil"/>
              <w:left w:val="single" w:sz="4" w:space="0" w:color="auto"/>
              <w:bottom w:val="nil"/>
              <w:right w:val="single" w:sz="4" w:space="0" w:color="auto"/>
            </w:tcBorders>
            <w:shd w:val="clear" w:color="000000" w:fill="FFFFFF"/>
            <w:noWrap/>
            <w:vAlign w:val="bottom"/>
            <w:hideMark/>
          </w:tcPr>
          <w:p w14:paraId="6C11AD8C"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Victims, Witnesses, DV Support &amp; Vulnerability</w:t>
            </w:r>
          </w:p>
        </w:tc>
        <w:tc>
          <w:tcPr>
            <w:tcW w:w="880" w:type="dxa"/>
            <w:tcBorders>
              <w:top w:val="nil"/>
              <w:left w:val="nil"/>
              <w:bottom w:val="nil"/>
              <w:right w:val="nil"/>
            </w:tcBorders>
            <w:shd w:val="clear" w:color="000000" w:fill="D9D9D9"/>
            <w:noWrap/>
            <w:vAlign w:val="bottom"/>
            <w:hideMark/>
          </w:tcPr>
          <w:p w14:paraId="7D3BD794"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3.050</w:t>
            </w:r>
          </w:p>
        </w:tc>
        <w:tc>
          <w:tcPr>
            <w:tcW w:w="880" w:type="dxa"/>
            <w:tcBorders>
              <w:top w:val="nil"/>
              <w:left w:val="single" w:sz="4" w:space="0" w:color="auto"/>
              <w:bottom w:val="nil"/>
              <w:right w:val="single" w:sz="4" w:space="0" w:color="auto"/>
            </w:tcBorders>
            <w:shd w:val="clear" w:color="000000" w:fill="D9D9D9"/>
            <w:noWrap/>
            <w:vAlign w:val="bottom"/>
            <w:hideMark/>
          </w:tcPr>
          <w:p w14:paraId="7BCA558D"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(1.440)</w:t>
            </w:r>
          </w:p>
        </w:tc>
        <w:tc>
          <w:tcPr>
            <w:tcW w:w="881" w:type="dxa"/>
            <w:tcBorders>
              <w:top w:val="nil"/>
              <w:left w:val="nil"/>
              <w:bottom w:val="nil"/>
              <w:right w:val="single" w:sz="4" w:space="0" w:color="auto"/>
            </w:tcBorders>
            <w:shd w:val="clear" w:color="000000" w:fill="D9D9D9"/>
            <w:noWrap/>
            <w:vAlign w:val="bottom"/>
            <w:hideMark/>
          </w:tcPr>
          <w:p w14:paraId="1C410E1E"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1.610</w:t>
            </w:r>
          </w:p>
        </w:tc>
      </w:tr>
      <w:tr w:rsidR="002A32A6" w:rsidRPr="002A32A6" w14:paraId="3709BBDC" w14:textId="77777777" w:rsidTr="002A32A6">
        <w:trPr>
          <w:trHeight w:val="300"/>
        </w:trPr>
        <w:tc>
          <w:tcPr>
            <w:tcW w:w="880" w:type="dxa"/>
            <w:tcBorders>
              <w:top w:val="nil"/>
              <w:left w:val="single" w:sz="4" w:space="0" w:color="auto"/>
              <w:bottom w:val="nil"/>
              <w:right w:val="nil"/>
            </w:tcBorders>
            <w:shd w:val="clear" w:color="000000" w:fill="FFFFFF"/>
            <w:noWrap/>
            <w:vAlign w:val="bottom"/>
            <w:hideMark/>
          </w:tcPr>
          <w:p w14:paraId="26E85446"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0.133</w:t>
            </w:r>
          </w:p>
        </w:tc>
        <w:tc>
          <w:tcPr>
            <w:tcW w:w="880" w:type="dxa"/>
            <w:tcBorders>
              <w:top w:val="nil"/>
              <w:left w:val="single" w:sz="4" w:space="0" w:color="auto"/>
              <w:bottom w:val="nil"/>
              <w:right w:val="single" w:sz="4" w:space="0" w:color="auto"/>
            </w:tcBorders>
            <w:shd w:val="clear" w:color="000000" w:fill="FFFFFF"/>
            <w:noWrap/>
            <w:vAlign w:val="bottom"/>
            <w:hideMark/>
          </w:tcPr>
          <w:p w14:paraId="39F5B941"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 </w:t>
            </w:r>
          </w:p>
        </w:tc>
        <w:tc>
          <w:tcPr>
            <w:tcW w:w="881" w:type="dxa"/>
            <w:tcBorders>
              <w:top w:val="nil"/>
              <w:left w:val="nil"/>
              <w:bottom w:val="nil"/>
              <w:right w:val="nil"/>
            </w:tcBorders>
            <w:shd w:val="clear" w:color="000000" w:fill="FFFFFF"/>
            <w:noWrap/>
            <w:vAlign w:val="bottom"/>
            <w:hideMark/>
          </w:tcPr>
          <w:p w14:paraId="22D0B274"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0.133</w:t>
            </w:r>
          </w:p>
        </w:tc>
        <w:tc>
          <w:tcPr>
            <w:tcW w:w="4080" w:type="dxa"/>
            <w:tcBorders>
              <w:top w:val="nil"/>
              <w:left w:val="single" w:sz="4" w:space="0" w:color="auto"/>
              <w:bottom w:val="nil"/>
              <w:right w:val="single" w:sz="4" w:space="0" w:color="auto"/>
            </w:tcBorders>
            <w:shd w:val="clear" w:color="000000" w:fill="FFFFFF"/>
            <w:noWrap/>
            <w:vAlign w:val="bottom"/>
            <w:hideMark/>
          </w:tcPr>
          <w:p w14:paraId="3B5ADCB0"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Joint Communications Team with Fire</w:t>
            </w:r>
          </w:p>
        </w:tc>
        <w:tc>
          <w:tcPr>
            <w:tcW w:w="880" w:type="dxa"/>
            <w:tcBorders>
              <w:top w:val="nil"/>
              <w:left w:val="nil"/>
              <w:bottom w:val="nil"/>
              <w:right w:val="nil"/>
            </w:tcBorders>
            <w:shd w:val="clear" w:color="000000" w:fill="D9D9D9"/>
            <w:noWrap/>
            <w:vAlign w:val="bottom"/>
            <w:hideMark/>
          </w:tcPr>
          <w:p w14:paraId="27D12FE5"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0.099</w:t>
            </w:r>
          </w:p>
        </w:tc>
        <w:tc>
          <w:tcPr>
            <w:tcW w:w="880" w:type="dxa"/>
            <w:tcBorders>
              <w:top w:val="nil"/>
              <w:left w:val="single" w:sz="4" w:space="0" w:color="auto"/>
              <w:bottom w:val="nil"/>
              <w:right w:val="single" w:sz="4" w:space="0" w:color="auto"/>
            </w:tcBorders>
            <w:shd w:val="clear" w:color="000000" w:fill="D9D9D9"/>
            <w:noWrap/>
            <w:vAlign w:val="bottom"/>
            <w:hideMark/>
          </w:tcPr>
          <w:p w14:paraId="1F272382"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 </w:t>
            </w:r>
          </w:p>
        </w:tc>
        <w:tc>
          <w:tcPr>
            <w:tcW w:w="881" w:type="dxa"/>
            <w:tcBorders>
              <w:top w:val="nil"/>
              <w:left w:val="nil"/>
              <w:bottom w:val="nil"/>
              <w:right w:val="single" w:sz="4" w:space="0" w:color="auto"/>
            </w:tcBorders>
            <w:shd w:val="clear" w:color="000000" w:fill="D9D9D9"/>
            <w:noWrap/>
            <w:vAlign w:val="bottom"/>
            <w:hideMark/>
          </w:tcPr>
          <w:p w14:paraId="3B89F85C"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0.099</w:t>
            </w:r>
          </w:p>
        </w:tc>
      </w:tr>
      <w:tr w:rsidR="002A32A6" w:rsidRPr="002A32A6" w14:paraId="3D154E20" w14:textId="77777777" w:rsidTr="002A32A6">
        <w:trPr>
          <w:trHeight w:val="300"/>
        </w:trPr>
        <w:tc>
          <w:tcPr>
            <w:tcW w:w="880" w:type="dxa"/>
            <w:tcBorders>
              <w:top w:val="nil"/>
              <w:left w:val="single" w:sz="4" w:space="0" w:color="auto"/>
              <w:bottom w:val="nil"/>
              <w:right w:val="nil"/>
            </w:tcBorders>
            <w:shd w:val="clear" w:color="000000" w:fill="FFFFFF"/>
            <w:noWrap/>
            <w:vAlign w:val="bottom"/>
            <w:hideMark/>
          </w:tcPr>
          <w:p w14:paraId="0B78C9FB"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2.455</w:t>
            </w:r>
          </w:p>
        </w:tc>
        <w:tc>
          <w:tcPr>
            <w:tcW w:w="880" w:type="dxa"/>
            <w:tcBorders>
              <w:top w:val="nil"/>
              <w:left w:val="single" w:sz="4" w:space="0" w:color="auto"/>
              <w:bottom w:val="nil"/>
              <w:right w:val="single" w:sz="4" w:space="0" w:color="auto"/>
            </w:tcBorders>
            <w:shd w:val="clear" w:color="000000" w:fill="FFFFFF"/>
            <w:noWrap/>
            <w:vAlign w:val="bottom"/>
            <w:hideMark/>
          </w:tcPr>
          <w:p w14:paraId="33E95A9B"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 </w:t>
            </w:r>
          </w:p>
        </w:tc>
        <w:tc>
          <w:tcPr>
            <w:tcW w:w="881" w:type="dxa"/>
            <w:tcBorders>
              <w:top w:val="nil"/>
              <w:left w:val="nil"/>
              <w:bottom w:val="nil"/>
              <w:right w:val="nil"/>
            </w:tcBorders>
            <w:shd w:val="clear" w:color="000000" w:fill="FFFFFF"/>
            <w:noWrap/>
            <w:vAlign w:val="bottom"/>
            <w:hideMark/>
          </w:tcPr>
          <w:p w14:paraId="1A45BD89"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2.455</w:t>
            </w:r>
          </w:p>
        </w:tc>
        <w:tc>
          <w:tcPr>
            <w:tcW w:w="4080" w:type="dxa"/>
            <w:tcBorders>
              <w:top w:val="nil"/>
              <w:left w:val="single" w:sz="4" w:space="0" w:color="auto"/>
              <w:bottom w:val="nil"/>
              <w:right w:val="single" w:sz="4" w:space="0" w:color="auto"/>
            </w:tcBorders>
            <w:shd w:val="clear" w:color="000000" w:fill="FFFFFF"/>
            <w:noWrap/>
            <w:vAlign w:val="bottom"/>
            <w:hideMark/>
          </w:tcPr>
          <w:p w14:paraId="0084E05A"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Early Intervention and Youth</w:t>
            </w:r>
          </w:p>
        </w:tc>
        <w:tc>
          <w:tcPr>
            <w:tcW w:w="880" w:type="dxa"/>
            <w:tcBorders>
              <w:top w:val="nil"/>
              <w:left w:val="nil"/>
              <w:bottom w:val="nil"/>
              <w:right w:val="nil"/>
            </w:tcBorders>
            <w:shd w:val="clear" w:color="000000" w:fill="D9D9D9"/>
            <w:noWrap/>
            <w:vAlign w:val="bottom"/>
            <w:hideMark/>
          </w:tcPr>
          <w:p w14:paraId="049F9D4A"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2.426</w:t>
            </w:r>
          </w:p>
        </w:tc>
        <w:tc>
          <w:tcPr>
            <w:tcW w:w="880" w:type="dxa"/>
            <w:tcBorders>
              <w:top w:val="nil"/>
              <w:left w:val="single" w:sz="4" w:space="0" w:color="auto"/>
              <w:bottom w:val="nil"/>
              <w:right w:val="single" w:sz="4" w:space="0" w:color="auto"/>
            </w:tcBorders>
            <w:shd w:val="clear" w:color="000000" w:fill="D9D9D9"/>
            <w:noWrap/>
            <w:vAlign w:val="bottom"/>
            <w:hideMark/>
          </w:tcPr>
          <w:p w14:paraId="7A61C306"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 </w:t>
            </w:r>
          </w:p>
        </w:tc>
        <w:tc>
          <w:tcPr>
            <w:tcW w:w="881" w:type="dxa"/>
            <w:tcBorders>
              <w:top w:val="nil"/>
              <w:left w:val="nil"/>
              <w:bottom w:val="nil"/>
              <w:right w:val="single" w:sz="4" w:space="0" w:color="auto"/>
            </w:tcBorders>
            <w:shd w:val="clear" w:color="000000" w:fill="D9D9D9"/>
            <w:noWrap/>
            <w:vAlign w:val="bottom"/>
            <w:hideMark/>
          </w:tcPr>
          <w:p w14:paraId="1383A9C9"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2.426</w:t>
            </w:r>
          </w:p>
        </w:tc>
      </w:tr>
      <w:tr w:rsidR="002A32A6" w:rsidRPr="002A32A6" w14:paraId="5487D84C" w14:textId="77777777" w:rsidTr="002A32A6">
        <w:trPr>
          <w:trHeight w:val="300"/>
        </w:trPr>
        <w:tc>
          <w:tcPr>
            <w:tcW w:w="880" w:type="dxa"/>
            <w:tcBorders>
              <w:top w:val="nil"/>
              <w:left w:val="single" w:sz="4" w:space="0" w:color="auto"/>
              <w:bottom w:val="nil"/>
              <w:right w:val="nil"/>
            </w:tcBorders>
            <w:shd w:val="clear" w:color="000000" w:fill="FFFFFF"/>
            <w:noWrap/>
            <w:vAlign w:val="bottom"/>
            <w:hideMark/>
          </w:tcPr>
          <w:p w14:paraId="7562EDC0"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0.716</w:t>
            </w:r>
          </w:p>
        </w:tc>
        <w:tc>
          <w:tcPr>
            <w:tcW w:w="880" w:type="dxa"/>
            <w:tcBorders>
              <w:top w:val="nil"/>
              <w:left w:val="single" w:sz="4" w:space="0" w:color="auto"/>
              <w:bottom w:val="nil"/>
              <w:right w:val="single" w:sz="4" w:space="0" w:color="auto"/>
            </w:tcBorders>
            <w:shd w:val="clear" w:color="000000" w:fill="FFFFFF"/>
            <w:noWrap/>
            <w:vAlign w:val="bottom"/>
            <w:hideMark/>
          </w:tcPr>
          <w:p w14:paraId="6F47CD91"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 </w:t>
            </w:r>
          </w:p>
        </w:tc>
        <w:tc>
          <w:tcPr>
            <w:tcW w:w="881" w:type="dxa"/>
            <w:tcBorders>
              <w:top w:val="nil"/>
              <w:left w:val="nil"/>
              <w:bottom w:val="nil"/>
              <w:right w:val="nil"/>
            </w:tcBorders>
            <w:shd w:val="clear" w:color="000000" w:fill="FFFFFF"/>
            <w:noWrap/>
            <w:vAlign w:val="bottom"/>
            <w:hideMark/>
          </w:tcPr>
          <w:p w14:paraId="30A62664"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0.716</w:t>
            </w:r>
          </w:p>
        </w:tc>
        <w:tc>
          <w:tcPr>
            <w:tcW w:w="4080" w:type="dxa"/>
            <w:tcBorders>
              <w:top w:val="nil"/>
              <w:left w:val="single" w:sz="4" w:space="0" w:color="auto"/>
              <w:bottom w:val="nil"/>
              <w:right w:val="single" w:sz="4" w:space="0" w:color="auto"/>
            </w:tcBorders>
            <w:shd w:val="clear" w:color="000000" w:fill="FFFFFF"/>
            <w:noWrap/>
            <w:vAlign w:val="bottom"/>
            <w:hideMark/>
          </w:tcPr>
          <w:p w14:paraId="711BA7C3"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Reducing Reoffending</w:t>
            </w:r>
          </w:p>
        </w:tc>
        <w:tc>
          <w:tcPr>
            <w:tcW w:w="880" w:type="dxa"/>
            <w:tcBorders>
              <w:top w:val="nil"/>
              <w:left w:val="nil"/>
              <w:bottom w:val="nil"/>
              <w:right w:val="nil"/>
            </w:tcBorders>
            <w:shd w:val="clear" w:color="000000" w:fill="D9D9D9"/>
            <w:noWrap/>
            <w:vAlign w:val="bottom"/>
            <w:hideMark/>
          </w:tcPr>
          <w:p w14:paraId="4CFFD116"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0.432</w:t>
            </w:r>
          </w:p>
        </w:tc>
        <w:tc>
          <w:tcPr>
            <w:tcW w:w="880" w:type="dxa"/>
            <w:tcBorders>
              <w:top w:val="nil"/>
              <w:left w:val="single" w:sz="4" w:space="0" w:color="auto"/>
              <w:bottom w:val="nil"/>
              <w:right w:val="single" w:sz="4" w:space="0" w:color="auto"/>
            </w:tcBorders>
            <w:shd w:val="clear" w:color="000000" w:fill="D9D9D9"/>
            <w:noWrap/>
            <w:vAlign w:val="bottom"/>
            <w:hideMark/>
          </w:tcPr>
          <w:p w14:paraId="0D050C8A"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 </w:t>
            </w:r>
          </w:p>
        </w:tc>
        <w:tc>
          <w:tcPr>
            <w:tcW w:w="881" w:type="dxa"/>
            <w:tcBorders>
              <w:top w:val="nil"/>
              <w:left w:val="nil"/>
              <w:bottom w:val="nil"/>
              <w:right w:val="single" w:sz="4" w:space="0" w:color="auto"/>
            </w:tcBorders>
            <w:shd w:val="clear" w:color="000000" w:fill="D9D9D9"/>
            <w:noWrap/>
            <w:vAlign w:val="bottom"/>
            <w:hideMark/>
          </w:tcPr>
          <w:p w14:paraId="15BED1EB"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0.432</w:t>
            </w:r>
          </w:p>
        </w:tc>
      </w:tr>
      <w:tr w:rsidR="002A32A6" w:rsidRPr="002A32A6" w14:paraId="619D4197" w14:textId="77777777" w:rsidTr="002A32A6">
        <w:trPr>
          <w:trHeight w:val="300"/>
        </w:trPr>
        <w:tc>
          <w:tcPr>
            <w:tcW w:w="880" w:type="dxa"/>
            <w:tcBorders>
              <w:top w:val="nil"/>
              <w:left w:val="single" w:sz="4" w:space="0" w:color="auto"/>
              <w:bottom w:val="nil"/>
              <w:right w:val="nil"/>
            </w:tcBorders>
            <w:shd w:val="clear" w:color="000000" w:fill="FFFFFF"/>
            <w:noWrap/>
            <w:vAlign w:val="bottom"/>
            <w:hideMark/>
          </w:tcPr>
          <w:p w14:paraId="7A81B0BA"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0.086</w:t>
            </w:r>
          </w:p>
        </w:tc>
        <w:tc>
          <w:tcPr>
            <w:tcW w:w="880" w:type="dxa"/>
            <w:tcBorders>
              <w:top w:val="nil"/>
              <w:left w:val="single" w:sz="4" w:space="0" w:color="auto"/>
              <w:bottom w:val="nil"/>
              <w:right w:val="single" w:sz="4" w:space="0" w:color="auto"/>
            </w:tcBorders>
            <w:shd w:val="clear" w:color="000000" w:fill="FFFFFF"/>
            <w:noWrap/>
            <w:vAlign w:val="bottom"/>
            <w:hideMark/>
          </w:tcPr>
          <w:p w14:paraId="5C65B698"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 </w:t>
            </w:r>
          </w:p>
        </w:tc>
        <w:tc>
          <w:tcPr>
            <w:tcW w:w="881" w:type="dxa"/>
            <w:tcBorders>
              <w:top w:val="nil"/>
              <w:left w:val="nil"/>
              <w:bottom w:val="nil"/>
              <w:right w:val="nil"/>
            </w:tcBorders>
            <w:shd w:val="clear" w:color="000000" w:fill="FFFFFF"/>
            <w:noWrap/>
            <w:vAlign w:val="bottom"/>
            <w:hideMark/>
          </w:tcPr>
          <w:p w14:paraId="451ADC21"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0.086</w:t>
            </w:r>
          </w:p>
        </w:tc>
        <w:tc>
          <w:tcPr>
            <w:tcW w:w="4080" w:type="dxa"/>
            <w:tcBorders>
              <w:top w:val="nil"/>
              <w:left w:val="single" w:sz="4" w:space="0" w:color="auto"/>
              <w:bottom w:val="nil"/>
              <w:right w:val="single" w:sz="4" w:space="0" w:color="auto"/>
            </w:tcBorders>
            <w:shd w:val="clear" w:color="000000" w:fill="FFFFFF"/>
            <w:noWrap/>
            <w:vAlign w:val="bottom"/>
            <w:hideMark/>
          </w:tcPr>
          <w:p w14:paraId="327BC1F2"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Delivery and Accountability</w:t>
            </w:r>
          </w:p>
        </w:tc>
        <w:tc>
          <w:tcPr>
            <w:tcW w:w="880" w:type="dxa"/>
            <w:tcBorders>
              <w:top w:val="nil"/>
              <w:left w:val="nil"/>
              <w:bottom w:val="nil"/>
              <w:right w:val="nil"/>
            </w:tcBorders>
            <w:shd w:val="clear" w:color="000000" w:fill="D9D9D9"/>
            <w:noWrap/>
            <w:vAlign w:val="bottom"/>
            <w:hideMark/>
          </w:tcPr>
          <w:p w14:paraId="50CC203A"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0.089</w:t>
            </w:r>
          </w:p>
        </w:tc>
        <w:tc>
          <w:tcPr>
            <w:tcW w:w="880" w:type="dxa"/>
            <w:tcBorders>
              <w:top w:val="nil"/>
              <w:left w:val="single" w:sz="4" w:space="0" w:color="auto"/>
              <w:bottom w:val="nil"/>
              <w:right w:val="single" w:sz="4" w:space="0" w:color="auto"/>
            </w:tcBorders>
            <w:shd w:val="clear" w:color="000000" w:fill="D9D9D9"/>
            <w:noWrap/>
            <w:vAlign w:val="bottom"/>
            <w:hideMark/>
          </w:tcPr>
          <w:p w14:paraId="41FD3D91"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 </w:t>
            </w:r>
          </w:p>
        </w:tc>
        <w:tc>
          <w:tcPr>
            <w:tcW w:w="881" w:type="dxa"/>
            <w:tcBorders>
              <w:top w:val="nil"/>
              <w:left w:val="nil"/>
              <w:bottom w:val="nil"/>
              <w:right w:val="single" w:sz="4" w:space="0" w:color="auto"/>
            </w:tcBorders>
            <w:shd w:val="clear" w:color="000000" w:fill="D9D9D9"/>
            <w:noWrap/>
            <w:vAlign w:val="bottom"/>
            <w:hideMark/>
          </w:tcPr>
          <w:p w14:paraId="2B2FBE1E"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0.089</w:t>
            </w:r>
          </w:p>
        </w:tc>
      </w:tr>
      <w:tr w:rsidR="002A32A6" w:rsidRPr="002A32A6" w14:paraId="4AAC4D15" w14:textId="77777777" w:rsidTr="002A32A6">
        <w:trPr>
          <w:trHeight w:val="300"/>
        </w:trPr>
        <w:tc>
          <w:tcPr>
            <w:tcW w:w="880" w:type="dxa"/>
            <w:tcBorders>
              <w:top w:val="nil"/>
              <w:left w:val="single" w:sz="4" w:space="0" w:color="auto"/>
              <w:bottom w:val="nil"/>
              <w:right w:val="nil"/>
            </w:tcBorders>
            <w:shd w:val="clear" w:color="000000" w:fill="FFFFFF"/>
            <w:noWrap/>
            <w:vAlign w:val="bottom"/>
            <w:hideMark/>
          </w:tcPr>
          <w:p w14:paraId="68EA1CA3"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0.260</w:t>
            </w:r>
          </w:p>
        </w:tc>
        <w:tc>
          <w:tcPr>
            <w:tcW w:w="880" w:type="dxa"/>
            <w:tcBorders>
              <w:top w:val="nil"/>
              <w:left w:val="single" w:sz="4" w:space="0" w:color="auto"/>
              <w:bottom w:val="nil"/>
              <w:right w:val="single" w:sz="4" w:space="0" w:color="auto"/>
            </w:tcBorders>
            <w:shd w:val="clear" w:color="000000" w:fill="FFFFFF"/>
            <w:noWrap/>
            <w:vAlign w:val="bottom"/>
            <w:hideMark/>
          </w:tcPr>
          <w:p w14:paraId="785990CC"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 </w:t>
            </w:r>
          </w:p>
        </w:tc>
        <w:tc>
          <w:tcPr>
            <w:tcW w:w="881" w:type="dxa"/>
            <w:tcBorders>
              <w:top w:val="nil"/>
              <w:left w:val="nil"/>
              <w:bottom w:val="nil"/>
              <w:right w:val="nil"/>
            </w:tcBorders>
            <w:shd w:val="clear" w:color="000000" w:fill="FFFFFF"/>
            <w:noWrap/>
            <w:vAlign w:val="bottom"/>
            <w:hideMark/>
          </w:tcPr>
          <w:p w14:paraId="1F14DE6B"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0.260</w:t>
            </w:r>
          </w:p>
        </w:tc>
        <w:tc>
          <w:tcPr>
            <w:tcW w:w="4080" w:type="dxa"/>
            <w:tcBorders>
              <w:top w:val="nil"/>
              <w:left w:val="single" w:sz="4" w:space="0" w:color="auto"/>
              <w:bottom w:val="nil"/>
              <w:right w:val="single" w:sz="4" w:space="0" w:color="auto"/>
            </w:tcBorders>
            <w:shd w:val="clear" w:color="000000" w:fill="FFFFFF"/>
            <w:noWrap/>
            <w:vAlign w:val="bottom"/>
            <w:hideMark/>
          </w:tcPr>
          <w:p w14:paraId="7EA56F88"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 xml:space="preserve">Crime Prevention </w:t>
            </w:r>
          </w:p>
        </w:tc>
        <w:tc>
          <w:tcPr>
            <w:tcW w:w="880" w:type="dxa"/>
            <w:tcBorders>
              <w:top w:val="nil"/>
              <w:left w:val="nil"/>
              <w:bottom w:val="nil"/>
              <w:right w:val="nil"/>
            </w:tcBorders>
            <w:shd w:val="clear" w:color="000000" w:fill="D9D9D9"/>
            <w:noWrap/>
            <w:vAlign w:val="bottom"/>
            <w:hideMark/>
          </w:tcPr>
          <w:p w14:paraId="2BB4AB3E"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0.255</w:t>
            </w:r>
          </w:p>
        </w:tc>
        <w:tc>
          <w:tcPr>
            <w:tcW w:w="880" w:type="dxa"/>
            <w:tcBorders>
              <w:top w:val="nil"/>
              <w:left w:val="single" w:sz="4" w:space="0" w:color="auto"/>
              <w:bottom w:val="nil"/>
              <w:right w:val="single" w:sz="4" w:space="0" w:color="auto"/>
            </w:tcBorders>
            <w:shd w:val="clear" w:color="000000" w:fill="D9D9D9"/>
            <w:noWrap/>
            <w:vAlign w:val="bottom"/>
            <w:hideMark/>
          </w:tcPr>
          <w:p w14:paraId="4D1A46A9"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 </w:t>
            </w:r>
          </w:p>
        </w:tc>
        <w:tc>
          <w:tcPr>
            <w:tcW w:w="881" w:type="dxa"/>
            <w:tcBorders>
              <w:top w:val="nil"/>
              <w:left w:val="nil"/>
              <w:bottom w:val="nil"/>
              <w:right w:val="single" w:sz="4" w:space="0" w:color="auto"/>
            </w:tcBorders>
            <w:shd w:val="clear" w:color="000000" w:fill="D9D9D9"/>
            <w:noWrap/>
            <w:vAlign w:val="bottom"/>
            <w:hideMark/>
          </w:tcPr>
          <w:p w14:paraId="041592C5"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0.255</w:t>
            </w:r>
          </w:p>
        </w:tc>
      </w:tr>
      <w:tr w:rsidR="002A32A6" w:rsidRPr="002A32A6" w14:paraId="21657F67" w14:textId="77777777" w:rsidTr="002A32A6">
        <w:trPr>
          <w:trHeight w:val="300"/>
        </w:trPr>
        <w:tc>
          <w:tcPr>
            <w:tcW w:w="880" w:type="dxa"/>
            <w:tcBorders>
              <w:top w:val="nil"/>
              <w:left w:val="single" w:sz="4" w:space="0" w:color="auto"/>
              <w:bottom w:val="nil"/>
              <w:right w:val="nil"/>
            </w:tcBorders>
            <w:shd w:val="clear" w:color="000000" w:fill="FFFFFF"/>
            <w:noWrap/>
            <w:vAlign w:val="bottom"/>
            <w:hideMark/>
          </w:tcPr>
          <w:p w14:paraId="4F15FD56"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0.181</w:t>
            </w:r>
          </w:p>
        </w:tc>
        <w:tc>
          <w:tcPr>
            <w:tcW w:w="880" w:type="dxa"/>
            <w:tcBorders>
              <w:top w:val="nil"/>
              <w:left w:val="single" w:sz="4" w:space="0" w:color="auto"/>
              <w:bottom w:val="nil"/>
              <w:right w:val="single" w:sz="4" w:space="0" w:color="auto"/>
            </w:tcBorders>
            <w:shd w:val="clear" w:color="000000" w:fill="FFFFFF"/>
            <w:noWrap/>
            <w:vAlign w:val="bottom"/>
            <w:hideMark/>
          </w:tcPr>
          <w:p w14:paraId="19A4BCDD"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 </w:t>
            </w:r>
          </w:p>
        </w:tc>
        <w:tc>
          <w:tcPr>
            <w:tcW w:w="881" w:type="dxa"/>
            <w:tcBorders>
              <w:top w:val="nil"/>
              <w:left w:val="nil"/>
              <w:bottom w:val="nil"/>
              <w:right w:val="nil"/>
            </w:tcBorders>
            <w:shd w:val="clear" w:color="000000" w:fill="FFFFFF"/>
            <w:noWrap/>
            <w:vAlign w:val="bottom"/>
            <w:hideMark/>
          </w:tcPr>
          <w:p w14:paraId="5FEE1DFC"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0.181</w:t>
            </w:r>
          </w:p>
        </w:tc>
        <w:tc>
          <w:tcPr>
            <w:tcW w:w="4080" w:type="dxa"/>
            <w:tcBorders>
              <w:top w:val="nil"/>
              <w:left w:val="single" w:sz="4" w:space="0" w:color="auto"/>
              <w:bottom w:val="nil"/>
              <w:right w:val="single" w:sz="4" w:space="0" w:color="auto"/>
            </w:tcBorders>
            <w:shd w:val="clear" w:color="000000" w:fill="FFFFFF"/>
            <w:noWrap/>
            <w:vAlign w:val="bottom"/>
            <w:hideMark/>
          </w:tcPr>
          <w:p w14:paraId="4D013320"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Customer Services - Complaints</w:t>
            </w:r>
          </w:p>
        </w:tc>
        <w:tc>
          <w:tcPr>
            <w:tcW w:w="880" w:type="dxa"/>
            <w:tcBorders>
              <w:top w:val="nil"/>
              <w:left w:val="nil"/>
              <w:bottom w:val="nil"/>
              <w:right w:val="nil"/>
            </w:tcBorders>
            <w:shd w:val="clear" w:color="000000" w:fill="D9D9D9"/>
            <w:noWrap/>
            <w:vAlign w:val="bottom"/>
            <w:hideMark/>
          </w:tcPr>
          <w:p w14:paraId="42131FA7"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0.192</w:t>
            </w:r>
          </w:p>
        </w:tc>
        <w:tc>
          <w:tcPr>
            <w:tcW w:w="880" w:type="dxa"/>
            <w:tcBorders>
              <w:top w:val="nil"/>
              <w:left w:val="single" w:sz="4" w:space="0" w:color="auto"/>
              <w:bottom w:val="nil"/>
              <w:right w:val="single" w:sz="4" w:space="0" w:color="auto"/>
            </w:tcBorders>
            <w:shd w:val="clear" w:color="000000" w:fill="D9D9D9"/>
            <w:noWrap/>
            <w:vAlign w:val="bottom"/>
            <w:hideMark/>
          </w:tcPr>
          <w:p w14:paraId="72B21904"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 </w:t>
            </w:r>
          </w:p>
        </w:tc>
        <w:tc>
          <w:tcPr>
            <w:tcW w:w="881" w:type="dxa"/>
            <w:tcBorders>
              <w:top w:val="nil"/>
              <w:left w:val="nil"/>
              <w:bottom w:val="nil"/>
              <w:right w:val="single" w:sz="4" w:space="0" w:color="auto"/>
            </w:tcBorders>
            <w:shd w:val="clear" w:color="000000" w:fill="D9D9D9"/>
            <w:noWrap/>
            <w:vAlign w:val="bottom"/>
            <w:hideMark/>
          </w:tcPr>
          <w:p w14:paraId="35769601"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0.192</w:t>
            </w:r>
          </w:p>
        </w:tc>
      </w:tr>
      <w:tr w:rsidR="002A32A6" w:rsidRPr="002A32A6" w14:paraId="4689B018" w14:textId="77777777" w:rsidTr="002A32A6">
        <w:trPr>
          <w:trHeight w:val="300"/>
        </w:trPr>
        <w:tc>
          <w:tcPr>
            <w:tcW w:w="880" w:type="dxa"/>
            <w:tcBorders>
              <w:top w:val="nil"/>
              <w:left w:val="single" w:sz="4" w:space="0" w:color="auto"/>
              <w:bottom w:val="nil"/>
              <w:right w:val="nil"/>
            </w:tcBorders>
            <w:shd w:val="clear" w:color="000000" w:fill="FFFFFF"/>
            <w:noWrap/>
            <w:vAlign w:val="bottom"/>
            <w:hideMark/>
          </w:tcPr>
          <w:p w14:paraId="4DD5607E"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0.250</w:t>
            </w:r>
          </w:p>
        </w:tc>
        <w:tc>
          <w:tcPr>
            <w:tcW w:w="880" w:type="dxa"/>
            <w:tcBorders>
              <w:top w:val="nil"/>
              <w:left w:val="single" w:sz="4" w:space="0" w:color="auto"/>
              <w:bottom w:val="nil"/>
              <w:right w:val="single" w:sz="4" w:space="0" w:color="auto"/>
            </w:tcBorders>
            <w:shd w:val="clear" w:color="000000" w:fill="FFFFFF"/>
            <w:noWrap/>
            <w:vAlign w:val="bottom"/>
            <w:hideMark/>
          </w:tcPr>
          <w:p w14:paraId="0DE3A5F5"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 </w:t>
            </w:r>
          </w:p>
        </w:tc>
        <w:tc>
          <w:tcPr>
            <w:tcW w:w="881" w:type="dxa"/>
            <w:tcBorders>
              <w:top w:val="nil"/>
              <w:left w:val="nil"/>
              <w:bottom w:val="nil"/>
              <w:right w:val="nil"/>
            </w:tcBorders>
            <w:shd w:val="clear" w:color="000000" w:fill="FFFFFF"/>
            <w:noWrap/>
            <w:vAlign w:val="bottom"/>
            <w:hideMark/>
          </w:tcPr>
          <w:p w14:paraId="716255DB"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0.250</w:t>
            </w:r>
          </w:p>
        </w:tc>
        <w:tc>
          <w:tcPr>
            <w:tcW w:w="4080" w:type="dxa"/>
            <w:tcBorders>
              <w:top w:val="nil"/>
              <w:left w:val="single" w:sz="4" w:space="0" w:color="auto"/>
              <w:bottom w:val="nil"/>
              <w:right w:val="single" w:sz="4" w:space="0" w:color="auto"/>
            </w:tcBorders>
            <w:shd w:val="clear" w:color="000000" w:fill="FFFFFF"/>
            <w:noWrap/>
            <w:vAlign w:val="bottom"/>
            <w:hideMark/>
          </w:tcPr>
          <w:p w14:paraId="6484B90E"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Police, Fire and Crime Plan Delivery Fund</w:t>
            </w:r>
          </w:p>
        </w:tc>
        <w:tc>
          <w:tcPr>
            <w:tcW w:w="880" w:type="dxa"/>
            <w:tcBorders>
              <w:top w:val="nil"/>
              <w:left w:val="nil"/>
              <w:bottom w:val="nil"/>
              <w:right w:val="nil"/>
            </w:tcBorders>
            <w:shd w:val="clear" w:color="000000" w:fill="D9D9D9"/>
            <w:noWrap/>
            <w:vAlign w:val="bottom"/>
            <w:hideMark/>
          </w:tcPr>
          <w:p w14:paraId="52BC29B9"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0.250</w:t>
            </w:r>
          </w:p>
        </w:tc>
        <w:tc>
          <w:tcPr>
            <w:tcW w:w="880" w:type="dxa"/>
            <w:tcBorders>
              <w:top w:val="nil"/>
              <w:left w:val="single" w:sz="4" w:space="0" w:color="auto"/>
              <w:bottom w:val="nil"/>
              <w:right w:val="single" w:sz="4" w:space="0" w:color="auto"/>
            </w:tcBorders>
            <w:shd w:val="clear" w:color="000000" w:fill="D9D9D9"/>
            <w:noWrap/>
            <w:vAlign w:val="bottom"/>
            <w:hideMark/>
          </w:tcPr>
          <w:p w14:paraId="17997DAB" w14:textId="77777777" w:rsidR="002A32A6" w:rsidRPr="002A32A6" w:rsidRDefault="002A32A6" w:rsidP="002A32A6">
            <w:pPr>
              <w:spacing w:after="0" w:line="240" w:lineRule="auto"/>
              <w:rPr>
                <w:rFonts w:eastAsia="Times New Roman" w:cs="Calibri"/>
                <w:color w:val="000000"/>
                <w:sz w:val="20"/>
                <w:szCs w:val="20"/>
                <w:lang w:eastAsia="en-GB"/>
              </w:rPr>
            </w:pPr>
            <w:r w:rsidRPr="002A32A6">
              <w:rPr>
                <w:rFonts w:eastAsia="Times New Roman" w:cs="Calibri"/>
                <w:color w:val="000000"/>
                <w:sz w:val="20"/>
                <w:szCs w:val="20"/>
                <w:lang w:eastAsia="en-GB"/>
              </w:rPr>
              <w:t> </w:t>
            </w:r>
          </w:p>
        </w:tc>
        <w:tc>
          <w:tcPr>
            <w:tcW w:w="881" w:type="dxa"/>
            <w:tcBorders>
              <w:top w:val="nil"/>
              <w:left w:val="nil"/>
              <w:bottom w:val="nil"/>
              <w:right w:val="single" w:sz="4" w:space="0" w:color="auto"/>
            </w:tcBorders>
            <w:shd w:val="clear" w:color="000000" w:fill="D9D9D9"/>
            <w:noWrap/>
            <w:vAlign w:val="bottom"/>
            <w:hideMark/>
          </w:tcPr>
          <w:p w14:paraId="7676CC54" w14:textId="77777777" w:rsidR="002A32A6" w:rsidRPr="002A32A6" w:rsidRDefault="002A32A6" w:rsidP="002A32A6">
            <w:pPr>
              <w:spacing w:after="0" w:line="240" w:lineRule="auto"/>
              <w:jc w:val="right"/>
              <w:rPr>
                <w:rFonts w:eastAsia="Times New Roman" w:cs="Calibri"/>
                <w:color w:val="000000"/>
                <w:sz w:val="20"/>
                <w:szCs w:val="20"/>
                <w:lang w:eastAsia="en-GB"/>
              </w:rPr>
            </w:pPr>
            <w:r w:rsidRPr="002A32A6">
              <w:rPr>
                <w:rFonts w:eastAsia="Times New Roman" w:cs="Calibri"/>
                <w:color w:val="000000"/>
                <w:sz w:val="20"/>
                <w:szCs w:val="20"/>
                <w:lang w:eastAsia="en-GB"/>
              </w:rPr>
              <w:t>0.250</w:t>
            </w:r>
          </w:p>
        </w:tc>
      </w:tr>
      <w:tr w:rsidR="002A32A6" w:rsidRPr="002A32A6" w14:paraId="0EB3FF39" w14:textId="77777777" w:rsidTr="002A32A6">
        <w:trPr>
          <w:trHeight w:val="300"/>
        </w:trPr>
        <w:tc>
          <w:tcPr>
            <w:tcW w:w="880" w:type="dxa"/>
            <w:tcBorders>
              <w:top w:val="single" w:sz="4" w:space="0" w:color="auto"/>
              <w:left w:val="single" w:sz="4" w:space="0" w:color="auto"/>
              <w:bottom w:val="single" w:sz="4" w:space="0" w:color="auto"/>
              <w:right w:val="nil"/>
            </w:tcBorders>
            <w:shd w:val="clear" w:color="000000" w:fill="FFFFFF"/>
            <w:noWrap/>
            <w:vAlign w:val="bottom"/>
            <w:hideMark/>
          </w:tcPr>
          <w:p w14:paraId="2B35730B" w14:textId="77777777" w:rsidR="002A32A6" w:rsidRPr="002A32A6" w:rsidRDefault="002A32A6" w:rsidP="002A32A6">
            <w:pPr>
              <w:spacing w:after="0" w:line="240" w:lineRule="auto"/>
              <w:jc w:val="right"/>
              <w:rPr>
                <w:rFonts w:eastAsia="Times New Roman" w:cs="Calibri"/>
                <w:b/>
                <w:bCs/>
                <w:color w:val="000000"/>
                <w:sz w:val="20"/>
                <w:szCs w:val="20"/>
                <w:lang w:eastAsia="en-GB"/>
              </w:rPr>
            </w:pPr>
            <w:r w:rsidRPr="002A32A6">
              <w:rPr>
                <w:rFonts w:eastAsia="Times New Roman" w:cs="Calibri"/>
                <w:b/>
                <w:bCs/>
                <w:color w:val="000000"/>
                <w:sz w:val="20"/>
                <w:szCs w:val="20"/>
                <w:lang w:eastAsia="en-GB"/>
              </w:rPr>
              <w:t>6.414</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8B3D2B" w14:textId="77777777" w:rsidR="002A32A6" w:rsidRPr="002A32A6" w:rsidRDefault="002A32A6" w:rsidP="002A32A6">
            <w:pPr>
              <w:spacing w:after="0" w:line="240" w:lineRule="auto"/>
              <w:jc w:val="right"/>
              <w:rPr>
                <w:rFonts w:eastAsia="Times New Roman" w:cs="Calibri"/>
                <w:b/>
                <w:bCs/>
                <w:color w:val="000000"/>
                <w:sz w:val="20"/>
                <w:szCs w:val="20"/>
                <w:lang w:eastAsia="en-GB"/>
              </w:rPr>
            </w:pPr>
            <w:r w:rsidRPr="002A32A6">
              <w:rPr>
                <w:rFonts w:eastAsia="Times New Roman" w:cs="Calibri"/>
                <w:b/>
                <w:bCs/>
                <w:color w:val="000000"/>
                <w:sz w:val="20"/>
                <w:szCs w:val="20"/>
                <w:lang w:eastAsia="en-GB"/>
              </w:rPr>
              <w:t>(1.396)</w:t>
            </w:r>
          </w:p>
        </w:tc>
        <w:tc>
          <w:tcPr>
            <w:tcW w:w="881" w:type="dxa"/>
            <w:tcBorders>
              <w:top w:val="single" w:sz="4" w:space="0" w:color="auto"/>
              <w:left w:val="nil"/>
              <w:bottom w:val="single" w:sz="4" w:space="0" w:color="auto"/>
              <w:right w:val="nil"/>
            </w:tcBorders>
            <w:shd w:val="clear" w:color="000000" w:fill="FFFFFF"/>
            <w:noWrap/>
            <w:vAlign w:val="bottom"/>
            <w:hideMark/>
          </w:tcPr>
          <w:p w14:paraId="44B68219" w14:textId="77777777" w:rsidR="002A32A6" w:rsidRPr="002A32A6" w:rsidRDefault="002A32A6" w:rsidP="002A32A6">
            <w:pPr>
              <w:spacing w:after="0" w:line="240" w:lineRule="auto"/>
              <w:jc w:val="right"/>
              <w:rPr>
                <w:rFonts w:eastAsia="Times New Roman" w:cs="Calibri"/>
                <w:b/>
                <w:bCs/>
                <w:color w:val="000000"/>
                <w:sz w:val="20"/>
                <w:szCs w:val="20"/>
                <w:lang w:eastAsia="en-GB"/>
              </w:rPr>
            </w:pPr>
            <w:r w:rsidRPr="002A32A6">
              <w:rPr>
                <w:rFonts w:eastAsia="Times New Roman" w:cs="Calibri"/>
                <w:b/>
                <w:bCs/>
                <w:color w:val="000000"/>
                <w:sz w:val="20"/>
                <w:szCs w:val="20"/>
                <w:lang w:eastAsia="en-GB"/>
              </w:rPr>
              <w:t>5.018</w:t>
            </w:r>
          </w:p>
        </w:tc>
        <w:tc>
          <w:tcPr>
            <w:tcW w:w="4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A9CD01" w14:textId="77777777" w:rsidR="002A32A6" w:rsidRPr="002A32A6" w:rsidRDefault="002A32A6" w:rsidP="002A32A6">
            <w:pPr>
              <w:spacing w:after="0" w:line="240" w:lineRule="auto"/>
              <w:rPr>
                <w:rFonts w:eastAsia="Times New Roman" w:cs="Calibri"/>
                <w:b/>
                <w:bCs/>
                <w:color w:val="000000"/>
                <w:sz w:val="20"/>
                <w:szCs w:val="20"/>
                <w:lang w:eastAsia="en-GB"/>
              </w:rPr>
            </w:pPr>
            <w:r w:rsidRPr="002A32A6">
              <w:rPr>
                <w:rFonts w:eastAsia="Times New Roman" w:cs="Calibri"/>
                <w:b/>
                <w:bCs/>
                <w:color w:val="000000"/>
                <w:sz w:val="20"/>
                <w:szCs w:val="20"/>
                <w:lang w:eastAsia="en-GB"/>
              </w:rPr>
              <w:t>Total Commissioning and Delivery</w:t>
            </w:r>
          </w:p>
        </w:tc>
        <w:tc>
          <w:tcPr>
            <w:tcW w:w="880" w:type="dxa"/>
            <w:tcBorders>
              <w:top w:val="single" w:sz="4" w:space="0" w:color="auto"/>
              <w:left w:val="nil"/>
              <w:bottom w:val="single" w:sz="4" w:space="0" w:color="auto"/>
              <w:right w:val="nil"/>
            </w:tcBorders>
            <w:shd w:val="clear" w:color="000000" w:fill="D9D9D9"/>
            <w:noWrap/>
            <w:vAlign w:val="bottom"/>
            <w:hideMark/>
          </w:tcPr>
          <w:p w14:paraId="152A63A0" w14:textId="77777777" w:rsidR="002A32A6" w:rsidRPr="002A32A6" w:rsidRDefault="002A32A6" w:rsidP="002A32A6">
            <w:pPr>
              <w:spacing w:after="0" w:line="240" w:lineRule="auto"/>
              <w:jc w:val="right"/>
              <w:rPr>
                <w:rFonts w:eastAsia="Times New Roman" w:cs="Calibri"/>
                <w:b/>
                <w:bCs/>
                <w:color w:val="000000"/>
                <w:sz w:val="20"/>
                <w:szCs w:val="20"/>
                <w:lang w:eastAsia="en-GB"/>
              </w:rPr>
            </w:pPr>
            <w:r w:rsidRPr="002A32A6">
              <w:rPr>
                <w:rFonts w:eastAsia="Times New Roman" w:cs="Calibri"/>
                <w:b/>
                <w:bCs/>
                <w:color w:val="000000"/>
                <w:sz w:val="20"/>
                <w:szCs w:val="20"/>
                <w:lang w:eastAsia="en-GB"/>
              </w:rPr>
              <w:t>6.893</w:t>
            </w:r>
          </w:p>
        </w:tc>
        <w:tc>
          <w:tcPr>
            <w:tcW w:w="8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63CB6D0" w14:textId="77777777" w:rsidR="002A32A6" w:rsidRPr="002A32A6" w:rsidRDefault="002A32A6" w:rsidP="002A32A6">
            <w:pPr>
              <w:spacing w:after="0" w:line="240" w:lineRule="auto"/>
              <w:jc w:val="right"/>
              <w:rPr>
                <w:rFonts w:eastAsia="Times New Roman" w:cs="Calibri"/>
                <w:b/>
                <w:bCs/>
                <w:color w:val="000000"/>
                <w:sz w:val="20"/>
                <w:szCs w:val="20"/>
                <w:lang w:eastAsia="en-GB"/>
              </w:rPr>
            </w:pPr>
            <w:r w:rsidRPr="002A32A6">
              <w:rPr>
                <w:rFonts w:eastAsia="Times New Roman" w:cs="Calibri"/>
                <w:b/>
                <w:bCs/>
                <w:color w:val="000000"/>
                <w:sz w:val="20"/>
                <w:szCs w:val="20"/>
                <w:lang w:eastAsia="en-GB"/>
              </w:rPr>
              <w:t>(1.540)</w:t>
            </w:r>
          </w:p>
        </w:tc>
        <w:tc>
          <w:tcPr>
            <w:tcW w:w="881" w:type="dxa"/>
            <w:tcBorders>
              <w:top w:val="single" w:sz="4" w:space="0" w:color="auto"/>
              <w:left w:val="nil"/>
              <w:bottom w:val="single" w:sz="4" w:space="0" w:color="auto"/>
              <w:right w:val="single" w:sz="4" w:space="0" w:color="auto"/>
            </w:tcBorders>
            <w:shd w:val="clear" w:color="000000" w:fill="D9D9D9"/>
            <w:noWrap/>
            <w:vAlign w:val="bottom"/>
            <w:hideMark/>
          </w:tcPr>
          <w:p w14:paraId="323DFA31" w14:textId="77777777" w:rsidR="002A32A6" w:rsidRPr="002A32A6" w:rsidRDefault="002A32A6" w:rsidP="002A32A6">
            <w:pPr>
              <w:spacing w:after="0" w:line="240" w:lineRule="auto"/>
              <w:jc w:val="right"/>
              <w:rPr>
                <w:rFonts w:eastAsia="Times New Roman" w:cs="Calibri"/>
                <w:b/>
                <w:bCs/>
                <w:color w:val="000000"/>
                <w:sz w:val="20"/>
                <w:szCs w:val="20"/>
                <w:lang w:eastAsia="en-GB"/>
              </w:rPr>
            </w:pPr>
            <w:r w:rsidRPr="002A32A6">
              <w:rPr>
                <w:rFonts w:eastAsia="Times New Roman" w:cs="Calibri"/>
                <w:b/>
                <w:bCs/>
                <w:color w:val="000000"/>
                <w:sz w:val="20"/>
                <w:szCs w:val="20"/>
                <w:lang w:eastAsia="en-GB"/>
              </w:rPr>
              <w:t>5.353</w:t>
            </w:r>
          </w:p>
        </w:tc>
      </w:tr>
    </w:tbl>
    <w:p w14:paraId="1F2BABA0" w14:textId="77777777" w:rsidR="00045427" w:rsidRPr="009A6A8E" w:rsidRDefault="00045427" w:rsidP="009A6A8E">
      <w:pPr>
        <w:spacing w:after="0" w:line="240" w:lineRule="auto"/>
        <w:jc w:val="both"/>
        <w:rPr>
          <w:rFonts w:asciiTheme="minorHAnsi" w:hAnsiTheme="minorHAnsi" w:cstheme="minorHAnsi"/>
          <w:sz w:val="24"/>
          <w:szCs w:val="24"/>
          <w:highlight w:val="yellow"/>
        </w:rPr>
      </w:pPr>
    </w:p>
    <w:p w14:paraId="313EAA12" w14:textId="4C0F3FC4" w:rsidR="009A6A8E" w:rsidRPr="00C5409F" w:rsidRDefault="009A6A8E" w:rsidP="009A6A8E">
      <w:pPr>
        <w:pStyle w:val="PanelPara"/>
      </w:pPr>
      <w:r w:rsidRPr="009A6A8E">
        <w:t xml:space="preserve">The PFCC undertook star chambers with OPFCC budget holders to review all budgets and </w:t>
      </w:r>
      <w:r w:rsidRPr="00C5409F">
        <w:t xml:space="preserve">consider them holistically. </w:t>
      </w:r>
    </w:p>
    <w:p w14:paraId="0B36F879" w14:textId="574F06BF" w:rsidR="009925D4" w:rsidRPr="00C5409F" w:rsidRDefault="00F82357" w:rsidP="009A6A8E">
      <w:pPr>
        <w:pStyle w:val="PanelPara"/>
      </w:pPr>
      <w:r w:rsidRPr="00C5409F">
        <w:t>A</w:t>
      </w:r>
      <w:r w:rsidR="00045427" w:rsidRPr="00C5409F">
        <w:t xml:space="preserve">dditional investment </w:t>
      </w:r>
      <w:r w:rsidRPr="00C5409F">
        <w:t xml:space="preserve">built into </w:t>
      </w:r>
      <w:r w:rsidR="00045427" w:rsidRPr="00C5409F">
        <w:t>Youth Work and Early intervention</w:t>
      </w:r>
      <w:r w:rsidRPr="00C5409F">
        <w:t xml:space="preserve"> </w:t>
      </w:r>
      <w:r w:rsidR="009A6A8E" w:rsidRPr="00C5409F">
        <w:t>has been embedded with some savings enabling pay awards to be mainly subsumed.</w:t>
      </w:r>
    </w:p>
    <w:p w14:paraId="40200A4C" w14:textId="38F4D0E4" w:rsidR="00F82357" w:rsidRPr="00C5409F" w:rsidRDefault="00F56758" w:rsidP="009A6A8E">
      <w:pPr>
        <w:pStyle w:val="PanelPara"/>
      </w:pPr>
      <w:r w:rsidRPr="00C5409F">
        <w:t xml:space="preserve">Within the Police, Fire and Crime </w:t>
      </w:r>
      <w:r w:rsidR="00656A64" w:rsidRPr="00C5409F">
        <w:t xml:space="preserve">Plan </w:t>
      </w:r>
      <w:r w:rsidRPr="00C5409F">
        <w:t>Delivery Fund, t</w:t>
      </w:r>
      <w:r w:rsidR="00ED6358" w:rsidRPr="00C5409F">
        <w:t xml:space="preserve">he </w:t>
      </w:r>
      <w:r w:rsidR="005B590E" w:rsidRPr="00C5409F">
        <w:t>PFCC</w:t>
      </w:r>
      <w:r w:rsidR="00ED6358" w:rsidRPr="00C5409F">
        <w:t xml:space="preserve"> support</w:t>
      </w:r>
      <w:r w:rsidRPr="00C5409F">
        <w:t>s</w:t>
      </w:r>
      <w:r w:rsidR="00ED6358" w:rsidRPr="00C5409F">
        <w:t xml:space="preserve"> initiatives which are in the early stages of </w:t>
      </w:r>
      <w:r w:rsidR="00B02BB4" w:rsidRPr="00C5409F">
        <w:t>planning,</w:t>
      </w:r>
      <w:r w:rsidR="00ED6358" w:rsidRPr="00C5409F">
        <w:t xml:space="preserve"> or which arise during the year, which</w:t>
      </w:r>
      <w:r w:rsidR="00417CF8" w:rsidRPr="00C5409F">
        <w:t xml:space="preserve"> have not been</w:t>
      </w:r>
      <w:r w:rsidR="002A32A6" w:rsidRPr="00C5409F">
        <w:t xml:space="preserve"> specifically</w:t>
      </w:r>
      <w:r w:rsidR="00417CF8" w:rsidRPr="00C5409F">
        <w:t xml:space="preserve"> included within</w:t>
      </w:r>
      <w:r w:rsidR="00ED6358" w:rsidRPr="00C5409F">
        <w:t xml:space="preserve"> </w:t>
      </w:r>
      <w:r w:rsidR="00220144" w:rsidRPr="00C5409F">
        <w:t>202</w:t>
      </w:r>
      <w:r w:rsidR="002A32A6" w:rsidRPr="00C5409F">
        <w:t>4</w:t>
      </w:r>
      <w:r w:rsidR="00220144" w:rsidRPr="00C5409F">
        <w:t>/2</w:t>
      </w:r>
      <w:r w:rsidR="002A32A6" w:rsidRPr="00C5409F">
        <w:t>5</w:t>
      </w:r>
      <w:r w:rsidR="00ED6358" w:rsidRPr="00C5409F">
        <w:t xml:space="preserve"> budget</w:t>
      </w:r>
      <w:r w:rsidR="00417CF8" w:rsidRPr="00C5409F">
        <w:t>s</w:t>
      </w:r>
      <w:r w:rsidR="00ED6358" w:rsidRPr="00C5409F">
        <w:t xml:space="preserve">. </w:t>
      </w:r>
      <w:r w:rsidR="002A32A6" w:rsidRPr="00C5409F">
        <w:t xml:space="preserve"> T</w:t>
      </w:r>
      <w:r w:rsidR="00ED6358" w:rsidRPr="00C5409F">
        <w:t xml:space="preserve">he sum of £0.250m </w:t>
      </w:r>
      <w:r w:rsidR="002A32A6" w:rsidRPr="00C5409F">
        <w:t xml:space="preserve">has been ring-fenced </w:t>
      </w:r>
      <w:r w:rsidR="00656A64" w:rsidRPr="00C5409F">
        <w:t xml:space="preserve">along </w:t>
      </w:r>
      <w:r w:rsidR="005073E5" w:rsidRPr="00C5409F">
        <w:t>with</w:t>
      </w:r>
      <w:r w:rsidR="002A32A6" w:rsidRPr="00C5409F">
        <w:t xml:space="preserve"> funding for</w:t>
      </w:r>
      <w:r w:rsidR="005073E5" w:rsidRPr="00C5409F">
        <w:t xml:space="preserve"> the grant schemes </w:t>
      </w:r>
      <w:r w:rsidR="002A32A6" w:rsidRPr="00C5409F">
        <w:t>already</w:t>
      </w:r>
      <w:r w:rsidR="00CF6BC0" w:rsidRPr="00C5409F">
        <w:t xml:space="preserve"> in place.</w:t>
      </w:r>
    </w:p>
    <w:p w14:paraId="22FE8C21" w14:textId="37D90638" w:rsidR="002A32A6" w:rsidRPr="00C5409F" w:rsidRDefault="00C5409F" w:rsidP="009A6A8E">
      <w:pPr>
        <w:pStyle w:val="PanelPara"/>
      </w:pPr>
      <w:r w:rsidRPr="00C5409F">
        <w:t>A f</w:t>
      </w:r>
      <w:r w:rsidR="002A32A6" w:rsidRPr="00C5409F">
        <w:t>urther sum of £0.500m has been ring-fenced for work to look at vulnerability</w:t>
      </w:r>
      <w:r w:rsidRPr="00C5409F">
        <w:t>, serious violence in young people and behavioural change.</w:t>
      </w:r>
    </w:p>
    <w:p w14:paraId="1C6D3FC4" w14:textId="151E0594" w:rsidR="001C762E" w:rsidRPr="00C5409F" w:rsidRDefault="00F82357" w:rsidP="009A6A8E">
      <w:pPr>
        <w:pStyle w:val="PanelPara"/>
      </w:pPr>
      <w:r w:rsidRPr="00C5409F">
        <w:t>The OPFCC Commissioning and Deliver</w:t>
      </w:r>
      <w:r w:rsidR="0035748F">
        <w:t>y</w:t>
      </w:r>
      <w:r w:rsidRPr="00C5409F">
        <w:t xml:space="preserve"> budgets continue </w:t>
      </w:r>
      <w:bookmarkEnd w:id="12"/>
      <w:r w:rsidRPr="00C5409F">
        <w:t xml:space="preserve">to embed the </w:t>
      </w:r>
      <w:r w:rsidR="001C762E" w:rsidRPr="00C5409F">
        <w:t xml:space="preserve">investments made in previous years, which: </w:t>
      </w:r>
    </w:p>
    <w:p w14:paraId="26340710" w14:textId="650A4EBA" w:rsidR="001C762E" w:rsidRPr="00C5409F" w:rsidRDefault="001C762E" w:rsidP="009A6A8E">
      <w:pPr>
        <w:pStyle w:val="PanelBullet"/>
      </w:pPr>
      <w:r w:rsidRPr="00C5409F">
        <w:t>Prioritise work to support victims and the vulnerable</w:t>
      </w:r>
      <w:r w:rsidR="005A78E0" w:rsidRPr="00C5409F">
        <w:t>.</w:t>
      </w:r>
      <w:r w:rsidRPr="00C5409F">
        <w:t xml:space="preserve"> </w:t>
      </w:r>
    </w:p>
    <w:p w14:paraId="34FFC7E1" w14:textId="577B2117" w:rsidR="001C762E" w:rsidRPr="00C5409F" w:rsidRDefault="001C762E" w:rsidP="009A6A8E">
      <w:pPr>
        <w:pStyle w:val="PanelBullet"/>
      </w:pPr>
      <w:r w:rsidRPr="00C5409F">
        <w:t>Take forward initiatives to reduce domestic violence</w:t>
      </w:r>
      <w:r w:rsidR="005A78E0" w:rsidRPr="00C5409F">
        <w:t>.</w:t>
      </w:r>
    </w:p>
    <w:p w14:paraId="53A3DF20" w14:textId="29B1624C" w:rsidR="001C762E" w:rsidRPr="00C5409F" w:rsidRDefault="001C762E" w:rsidP="009A6A8E">
      <w:pPr>
        <w:pStyle w:val="PanelBullet"/>
      </w:pPr>
      <w:r w:rsidRPr="00C5409F">
        <w:t>Work with partners to take forward initiatives to reduce re-offending</w:t>
      </w:r>
      <w:r w:rsidR="005A78E0" w:rsidRPr="00C5409F">
        <w:t>.</w:t>
      </w:r>
      <w:r w:rsidRPr="00C5409F">
        <w:t xml:space="preserve"> </w:t>
      </w:r>
    </w:p>
    <w:p w14:paraId="50B3A70A" w14:textId="24E5AD81" w:rsidR="001C762E" w:rsidRPr="00C5409F" w:rsidRDefault="005A78E0" w:rsidP="009A6A8E">
      <w:pPr>
        <w:pStyle w:val="PanelBullet"/>
      </w:pPr>
      <w:r w:rsidRPr="00C5409F">
        <w:t>P</w:t>
      </w:r>
      <w:r w:rsidR="001C762E" w:rsidRPr="00C5409F">
        <w:t xml:space="preserve">rioritise </w:t>
      </w:r>
      <w:r w:rsidR="00B02BB4" w:rsidRPr="00C5409F">
        <w:t xml:space="preserve">early intervention </w:t>
      </w:r>
      <w:r w:rsidR="001C762E" w:rsidRPr="00C5409F">
        <w:t>and engagement work</w:t>
      </w:r>
      <w:r w:rsidRPr="00C5409F">
        <w:t>.</w:t>
      </w:r>
    </w:p>
    <w:p w14:paraId="171C115D" w14:textId="38BD41DF" w:rsidR="001C762E" w:rsidRPr="00C5409F" w:rsidRDefault="005A78E0" w:rsidP="009A6A8E">
      <w:pPr>
        <w:pStyle w:val="PanelBullet"/>
      </w:pPr>
      <w:r w:rsidRPr="00C5409F">
        <w:t>P</w:t>
      </w:r>
      <w:r w:rsidR="001C762E" w:rsidRPr="00C5409F">
        <w:t xml:space="preserve">rioritise targeted </w:t>
      </w:r>
      <w:r w:rsidR="00B02BB4" w:rsidRPr="00C5409F">
        <w:t>youth i</w:t>
      </w:r>
      <w:r w:rsidR="001C762E" w:rsidRPr="00C5409F">
        <w:t>ntervention and engagement work</w:t>
      </w:r>
      <w:r w:rsidRPr="00C5409F">
        <w:t>.</w:t>
      </w:r>
      <w:r w:rsidR="001C762E" w:rsidRPr="00C5409F">
        <w:t xml:space="preserve"> </w:t>
      </w:r>
    </w:p>
    <w:p w14:paraId="2AD2D163" w14:textId="1EFD7521" w:rsidR="001C762E" w:rsidRPr="00C5409F" w:rsidRDefault="001C762E" w:rsidP="009A6A8E">
      <w:pPr>
        <w:pStyle w:val="PanelBullet"/>
      </w:pPr>
      <w:r w:rsidRPr="00C5409F">
        <w:t>Continue to take forward work on crime prevention</w:t>
      </w:r>
      <w:r w:rsidR="005A78E0" w:rsidRPr="00C5409F">
        <w:t>.</w:t>
      </w:r>
    </w:p>
    <w:p w14:paraId="7C832D6E" w14:textId="61E30C74" w:rsidR="005A78E0" w:rsidRPr="00C5409F" w:rsidRDefault="005A78E0" w:rsidP="009A6A8E">
      <w:pPr>
        <w:pStyle w:val="PanelBullet"/>
      </w:pPr>
      <w:r w:rsidRPr="00C5409F">
        <w:t xml:space="preserve">Continue to embed the investments made in Automatic Number Plate Recognition (ANPR) and CCTV. </w:t>
      </w:r>
    </w:p>
    <w:p w14:paraId="74B78A12" w14:textId="4F94E5BF" w:rsidR="001C762E" w:rsidRPr="00C5409F" w:rsidRDefault="001C762E" w:rsidP="009A6A8E">
      <w:pPr>
        <w:pStyle w:val="PanelBullet"/>
      </w:pPr>
      <w:r w:rsidRPr="00C5409F">
        <w:t>Continue to take forward work with the Road Safety Alliance</w:t>
      </w:r>
      <w:r w:rsidR="005A78E0" w:rsidRPr="00C5409F">
        <w:t>.</w:t>
      </w:r>
    </w:p>
    <w:p w14:paraId="5AACB802" w14:textId="1121AF5C" w:rsidR="00211AF5" w:rsidRPr="0074575D" w:rsidRDefault="00211AF5" w:rsidP="004364E9">
      <w:pPr>
        <w:spacing w:after="0" w:line="240" w:lineRule="auto"/>
        <w:ind w:left="567" w:hanging="567"/>
        <w:jc w:val="both"/>
        <w:rPr>
          <w:rFonts w:asciiTheme="minorHAnsi" w:hAnsiTheme="minorHAnsi" w:cstheme="minorHAnsi"/>
          <w:sz w:val="24"/>
          <w:szCs w:val="24"/>
          <w:highlight w:val="yellow"/>
          <w:u w:val="single"/>
        </w:rPr>
      </w:pPr>
    </w:p>
    <w:p w14:paraId="5FDC7407" w14:textId="25F9623D" w:rsidR="00211AF5" w:rsidRPr="00C6649D" w:rsidRDefault="00876802" w:rsidP="00C6649D">
      <w:pPr>
        <w:pStyle w:val="PanelHeading"/>
      </w:pPr>
      <w:r w:rsidRPr="000F44B6">
        <w:t>Medium Term Financial Plan</w:t>
      </w:r>
      <w:r w:rsidR="00273010" w:rsidRPr="000F44B6">
        <w:t xml:space="preserve"> (</w:t>
      </w:r>
      <w:r w:rsidRPr="000F44B6">
        <w:t>MTFP</w:t>
      </w:r>
      <w:r w:rsidR="00273010" w:rsidRPr="000F44B6">
        <w:t>)</w:t>
      </w:r>
    </w:p>
    <w:p w14:paraId="4AE06E3B" w14:textId="62C18304" w:rsidR="003E5914" w:rsidRPr="00C6649D" w:rsidRDefault="003E5914" w:rsidP="00C6649D">
      <w:pPr>
        <w:pStyle w:val="PanelPara"/>
      </w:pPr>
      <w:r w:rsidRPr="00C6649D">
        <w:t xml:space="preserve">The current MTFP covers a </w:t>
      </w:r>
      <w:r w:rsidR="00B02BB4" w:rsidRPr="00C6649D">
        <w:t>five-year</w:t>
      </w:r>
      <w:r w:rsidRPr="00C6649D">
        <w:t xml:space="preserve"> period</w:t>
      </w:r>
      <w:r w:rsidR="00C6649D" w:rsidRPr="00C6649D">
        <w:t xml:space="preserve"> and is included in more detail at Appendix B.  </w:t>
      </w:r>
    </w:p>
    <w:p w14:paraId="369146C7" w14:textId="3161E79A" w:rsidR="003E5914" w:rsidRPr="00C6649D" w:rsidRDefault="003E5914" w:rsidP="00C6649D">
      <w:pPr>
        <w:pStyle w:val="PanelPara"/>
      </w:pPr>
      <w:r w:rsidRPr="00C6649D">
        <w:t xml:space="preserve">The impact of high inflation during 2022/23 affected the costs in the </w:t>
      </w:r>
      <w:r w:rsidR="00390F04">
        <w:t>MTFP</w:t>
      </w:r>
      <w:r w:rsidRPr="00C6649D">
        <w:t xml:space="preserve"> </w:t>
      </w:r>
      <w:r w:rsidR="00C6649D" w:rsidRPr="00C6649D">
        <w:t xml:space="preserve">at this point last year and we continue to use </w:t>
      </w:r>
      <w:r w:rsidRPr="00C6649D">
        <w:t xml:space="preserve">prudent forecasts </w:t>
      </w:r>
      <w:r w:rsidR="00C6649D" w:rsidRPr="00C6649D">
        <w:t xml:space="preserve">with no guarantee </w:t>
      </w:r>
      <w:r w:rsidRPr="00C6649D">
        <w:t>of future funding to meet those increases.</w:t>
      </w:r>
    </w:p>
    <w:p w14:paraId="1F0F7C19" w14:textId="6576832C" w:rsidR="003E5914" w:rsidRPr="00C6649D" w:rsidRDefault="003E5914" w:rsidP="00C6649D">
      <w:pPr>
        <w:pStyle w:val="PanelPara"/>
      </w:pPr>
      <w:r w:rsidRPr="00C6649D">
        <w:t xml:space="preserve">Whilst the MTFP does include </w:t>
      </w:r>
      <w:r w:rsidR="00C6649D" w:rsidRPr="00C6649D">
        <w:t>0.5</w:t>
      </w:r>
      <w:r w:rsidRPr="00C6649D">
        <w:t xml:space="preserve">% </w:t>
      </w:r>
      <w:r w:rsidR="00C6649D" w:rsidRPr="00C6649D">
        <w:t xml:space="preserve">cashable </w:t>
      </w:r>
      <w:r w:rsidRPr="00C6649D">
        <w:t xml:space="preserve">efficiency savings </w:t>
      </w:r>
      <w:r w:rsidR="00C6649D" w:rsidRPr="00C6649D">
        <w:t>each year</w:t>
      </w:r>
      <w:r w:rsidRPr="00C6649D">
        <w:t xml:space="preserve">, these will not be sufficient to meet the shortfalls identified. </w:t>
      </w:r>
      <w:r w:rsidR="00C6649D" w:rsidRPr="00C6649D">
        <w:t xml:space="preserve"> </w:t>
      </w:r>
      <w:r w:rsidRPr="00C6649D">
        <w:t xml:space="preserve">Efficiencies will continue to be sought from sharing buildings, robust and shared procurement practices and sharing of </w:t>
      </w:r>
      <w:r w:rsidR="00C6649D" w:rsidRPr="00C6649D">
        <w:t>resources/assets</w:t>
      </w:r>
      <w:r w:rsidRPr="00C6649D">
        <w:t xml:space="preserve"> where it makes sense to do so.</w:t>
      </w:r>
      <w:r w:rsidR="00C6649D" w:rsidRPr="00C6649D">
        <w:t xml:space="preserve"> </w:t>
      </w:r>
      <w:r w:rsidRPr="00C6649D">
        <w:t xml:space="preserve"> The Chief Constable is </w:t>
      </w:r>
      <w:r w:rsidR="00B02BB4" w:rsidRPr="00C6649D">
        <w:t xml:space="preserve">conscious </w:t>
      </w:r>
      <w:r w:rsidRPr="00C6649D">
        <w:t xml:space="preserve">to this challenge and has already started work to look at </w:t>
      </w:r>
      <w:r w:rsidR="00C6649D" w:rsidRPr="00C6649D">
        <w:t>a comprehensive savings plan</w:t>
      </w:r>
      <w:r w:rsidRPr="00C6649D">
        <w:t xml:space="preserve">. </w:t>
      </w:r>
    </w:p>
    <w:p w14:paraId="3A5F5BB8" w14:textId="3F457AD7" w:rsidR="003E5914" w:rsidRPr="00B57606" w:rsidRDefault="00B57606" w:rsidP="00C6649D">
      <w:pPr>
        <w:pStyle w:val="PanelPara"/>
      </w:pPr>
      <w:r w:rsidRPr="00B57606">
        <w:t>Whilst reserves are being used as expected in 2024/25 to maintain police officer strength, these are one-off funds and there have been no assumptions that similar monies will be available in future years</w:t>
      </w:r>
      <w:r w:rsidR="003E5914" w:rsidRPr="00B57606">
        <w:t>.</w:t>
      </w:r>
      <w:r w:rsidRPr="00B57606">
        <w:t xml:space="preserve">  If the force is successful in bidding for any additional uplift funding, the PFCC is committing to using this to maintain officer numbers for as long as is affordable.</w:t>
      </w:r>
    </w:p>
    <w:p w14:paraId="19F9EE18" w14:textId="680F3EDC" w:rsidR="003E5914" w:rsidRPr="00C6649D" w:rsidRDefault="003E5914" w:rsidP="00C6649D">
      <w:pPr>
        <w:pStyle w:val="PanelPara"/>
      </w:pPr>
      <w:r w:rsidRPr="00B57606">
        <w:t>Despite future shortfalls forecast in the MTFP, in the unlikely e</w:t>
      </w:r>
      <w:r w:rsidRPr="00C6649D">
        <w:t>vent that further efficiencies could not be found, the budget can be balanced in the short term by the use of reserves</w:t>
      </w:r>
      <w:r w:rsidR="00C6649D" w:rsidRPr="00C6649D">
        <w:t>.</w:t>
      </w:r>
      <w:r w:rsidRPr="00C6649D">
        <w:t xml:space="preserve"> </w:t>
      </w:r>
      <w:r w:rsidR="00C6649D" w:rsidRPr="00C6649D">
        <w:t xml:space="preserve"> </w:t>
      </w:r>
      <w:r w:rsidRPr="00C6649D">
        <w:t>However, the use of reserves is not a permanent solution, and the PFCC and Chief Constable will continue to seek efficiencies to ensure the budgets are balanced.</w:t>
      </w:r>
    </w:p>
    <w:p w14:paraId="31DEA533" w14:textId="77777777" w:rsidR="00C6649D" w:rsidRPr="0004646B" w:rsidRDefault="001B5AD6" w:rsidP="00C6649D">
      <w:pPr>
        <w:pStyle w:val="PanelPara"/>
      </w:pPr>
      <w:r w:rsidRPr="0004646B">
        <w:t xml:space="preserve">The </w:t>
      </w:r>
      <w:r w:rsidR="00C6649D" w:rsidRPr="0004646B">
        <w:t>k</w:t>
      </w:r>
      <w:r w:rsidR="00273010" w:rsidRPr="0004646B">
        <w:t xml:space="preserve">ey assumptions </w:t>
      </w:r>
      <w:r w:rsidR="00F139DF" w:rsidRPr="0004646B">
        <w:t xml:space="preserve">that </w:t>
      </w:r>
      <w:r w:rsidR="00964490" w:rsidRPr="0004646B">
        <w:t xml:space="preserve">have been </w:t>
      </w:r>
      <w:r w:rsidR="00C6649D" w:rsidRPr="0004646B">
        <w:t>used to estimate</w:t>
      </w:r>
      <w:r w:rsidR="00273010" w:rsidRPr="0004646B">
        <w:t xml:space="preserve"> the financial challenge for the medium term are:</w:t>
      </w:r>
    </w:p>
    <w:p w14:paraId="0364AFE7" w14:textId="77777777" w:rsidR="00C6649D" w:rsidRPr="0004646B" w:rsidRDefault="004364E9" w:rsidP="00C6649D">
      <w:pPr>
        <w:pStyle w:val="PanelPara"/>
        <w:numPr>
          <w:ilvl w:val="1"/>
          <w:numId w:val="31"/>
        </w:numPr>
      </w:pPr>
      <w:r w:rsidRPr="0004646B">
        <w:t xml:space="preserve">Precept will increase by </w:t>
      </w:r>
      <w:r w:rsidR="00045427" w:rsidRPr="0004646B">
        <w:t>£1</w:t>
      </w:r>
      <w:r w:rsidR="00C6649D" w:rsidRPr="0004646B">
        <w:t>3</w:t>
      </w:r>
      <w:r w:rsidR="00045427" w:rsidRPr="0004646B">
        <w:t xml:space="preserve"> in 202</w:t>
      </w:r>
      <w:r w:rsidR="00C6649D" w:rsidRPr="0004646B">
        <w:t>4</w:t>
      </w:r>
      <w:r w:rsidR="00045427" w:rsidRPr="0004646B">
        <w:t>/2</w:t>
      </w:r>
      <w:r w:rsidR="00C6649D" w:rsidRPr="0004646B">
        <w:t>5</w:t>
      </w:r>
      <w:r w:rsidR="00045427" w:rsidRPr="0004646B">
        <w:t>,</w:t>
      </w:r>
      <w:r w:rsidRPr="0004646B">
        <w:t xml:space="preserve"> and 1.99% </w:t>
      </w:r>
      <w:r w:rsidR="00C6649D" w:rsidRPr="0004646B">
        <w:t>each year</w:t>
      </w:r>
      <w:r w:rsidRPr="0004646B">
        <w:t xml:space="preserve"> thereafter. </w:t>
      </w:r>
      <w:r w:rsidR="00C6649D" w:rsidRPr="0004646B">
        <w:t xml:space="preserve"> No information is yet available about referendum limits beyond 2024/25.</w:t>
      </w:r>
    </w:p>
    <w:p w14:paraId="5A6883DF" w14:textId="77777777" w:rsidR="0004646B" w:rsidRPr="0004646B" w:rsidRDefault="004364E9" w:rsidP="0004646B">
      <w:pPr>
        <w:pStyle w:val="PanelPara"/>
        <w:numPr>
          <w:ilvl w:val="1"/>
          <w:numId w:val="31"/>
        </w:numPr>
      </w:pPr>
      <w:r w:rsidRPr="0004646B">
        <w:t>Prudent funding assumptions have been made in respect of government funding, taxbase levels, and council tax deficits (source: professional assumptions).</w:t>
      </w:r>
    </w:p>
    <w:p w14:paraId="4F4F5E4E" w14:textId="58004E65" w:rsidR="0004646B" w:rsidRPr="0004646B" w:rsidRDefault="004364E9" w:rsidP="0004646B">
      <w:pPr>
        <w:pStyle w:val="PanelPara"/>
        <w:numPr>
          <w:ilvl w:val="1"/>
          <w:numId w:val="31"/>
        </w:numPr>
      </w:pPr>
      <w:r w:rsidRPr="0004646B">
        <w:t xml:space="preserve">Prudent </w:t>
      </w:r>
      <w:r w:rsidR="0035748F">
        <w:t>p</w:t>
      </w:r>
      <w:r w:rsidRPr="0004646B">
        <w:t xml:space="preserve">ay increase estimates are assumed at </w:t>
      </w:r>
      <w:r w:rsidR="007D18FC">
        <w:t xml:space="preserve">2.5% in 2024/25 and </w:t>
      </w:r>
      <w:r w:rsidRPr="0004646B">
        <w:t>an average of 2%</w:t>
      </w:r>
      <w:r w:rsidR="007D18FC">
        <w:t xml:space="preserve"> per year thereafter</w:t>
      </w:r>
      <w:r w:rsidR="0004646B" w:rsidRPr="0004646B">
        <w:t>.  As part of the Ministers statement, he stated verbally an intention that any police pay award above 2.5% could be met by additional grant funding (as was the case in 2023/24).  However, this is not guaranteed and merely an indication at this stage.</w:t>
      </w:r>
    </w:p>
    <w:p w14:paraId="597A0E7B" w14:textId="60271AFB" w:rsidR="0004646B" w:rsidRPr="0004646B" w:rsidRDefault="004364E9" w:rsidP="0004646B">
      <w:pPr>
        <w:pStyle w:val="PanelPara"/>
        <w:numPr>
          <w:ilvl w:val="1"/>
          <w:numId w:val="31"/>
        </w:numPr>
      </w:pPr>
      <w:r w:rsidRPr="0004646B">
        <w:t>Investment requirements can be prioritised and met from within the revenue budget or capital programme.</w:t>
      </w:r>
      <w:r w:rsidR="0004646B" w:rsidRPr="0004646B">
        <w:t xml:space="preserve">  </w:t>
      </w:r>
      <w:r w:rsidR="00E7205D">
        <w:t xml:space="preserve">Where appropriate, the PFCC will use reserves to pump prime investment initiatives.  </w:t>
      </w:r>
      <w:r w:rsidR="0004646B" w:rsidRPr="0004646B">
        <w:t xml:space="preserve">Any multi-year investments will be subject to review each year and may require additional savings to embed </w:t>
      </w:r>
      <w:r w:rsidR="00E7205D">
        <w:t xml:space="preserve">in the base budget </w:t>
      </w:r>
      <w:r w:rsidR="0004646B" w:rsidRPr="0004646B">
        <w:t>longer term.</w:t>
      </w:r>
    </w:p>
    <w:p w14:paraId="73ACDF1D" w14:textId="77777777" w:rsidR="0004646B" w:rsidRDefault="004364E9" w:rsidP="0004646B">
      <w:pPr>
        <w:pStyle w:val="PanelPara"/>
        <w:numPr>
          <w:ilvl w:val="1"/>
          <w:numId w:val="31"/>
        </w:numPr>
      </w:pPr>
      <w:r w:rsidRPr="0004646B">
        <w:t>Further borrowing beyond the capital programme is not required.</w:t>
      </w:r>
    </w:p>
    <w:p w14:paraId="69480590" w14:textId="76BAE0DC" w:rsidR="003E5914" w:rsidRPr="0004646B" w:rsidRDefault="004364E9" w:rsidP="0004646B">
      <w:pPr>
        <w:pStyle w:val="PanelPara"/>
        <w:numPr>
          <w:ilvl w:val="1"/>
          <w:numId w:val="31"/>
        </w:numPr>
      </w:pPr>
      <w:r w:rsidRPr="0004646B">
        <w:t>Funding for regional collaborations will remain consistent</w:t>
      </w:r>
      <w:r w:rsidR="0004646B" w:rsidRPr="0004646B">
        <w:t>, allowing for a reasonable level of general inflation.</w:t>
      </w:r>
    </w:p>
    <w:p w14:paraId="4B127E3C" w14:textId="77777777" w:rsidR="0004646B" w:rsidRPr="0004646B" w:rsidRDefault="003E5914" w:rsidP="0004646B">
      <w:pPr>
        <w:pStyle w:val="PanelPara"/>
      </w:pPr>
      <w:r w:rsidRPr="0004646B">
        <w:t xml:space="preserve">It is assumed that no additional unfunded priorities or responsibilities </w:t>
      </w:r>
      <w:r w:rsidR="00B02BB4" w:rsidRPr="0004646B">
        <w:t xml:space="preserve">will be </w:t>
      </w:r>
      <w:r w:rsidRPr="0004646B">
        <w:t xml:space="preserve">given to the PFCC and Chief </w:t>
      </w:r>
      <w:r w:rsidR="00D04A86" w:rsidRPr="0004646B">
        <w:t>Constable</w:t>
      </w:r>
      <w:r w:rsidR="00B02BB4" w:rsidRPr="0004646B">
        <w:t xml:space="preserve"> to deliver</w:t>
      </w:r>
      <w:r w:rsidRPr="0004646B">
        <w:t>.</w:t>
      </w:r>
    </w:p>
    <w:p w14:paraId="61EFB995" w14:textId="198F81E4" w:rsidR="004364E9" w:rsidRPr="00117B24" w:rsidRDefault="004364E9" w:rsidP="0004646B">
      <w:pPr>
        <w:pStyle w:val="PanelPara"/>
      </w:pPr>
      <w:r w:rsidRPr="00117B24">
        <w:t>The MTFP based on key assumptions detailed below, is attached at Appendix B and summarised as follows:</w:t>
      </w:r>
    </w:p>
    <w:tbl>
      <w:tblPr>
        <w:tblW w:w="9740" w:type="dxa"/>
        <w:tblLook w:val="04A0" w:firstRow="1" w:lastRow="0" w:firstColumn="1" w:lastColumn="0" w:noHBand="0" w:noVBand="1"/>
      </w:tblPr>
      <w:tblGrid>
        <w:gridCol w:w="1152"/>
        <w:gridCol w:w="2900"/>
        <w:gridCol w:w="1152"/>
        <w:gridCol w:w="1152"/>
        <w:gridCol w:w="1152"/>
        <w:gridCol w:w="1152"/>
        <w:gridCol w:w="1152"/>
      </w:tblGrid>
      <w:tr w:rsidR="00117B24" w:rsidRPr="00117B24" w14:paraId="7D9E5476" w14:textId="77777777" w:rsidTr="00117B24">
        <w:trPr>
          <w:trHeight w:val="630"/>
        </w:trPr>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3F5BF6" w14:textId="77777777" w:rsidR="00117B24" w:rsidRPr="00117B24" w:rsidRDefault="00117B24" w:rsidP="00117B24">
            <w:pPr>
              <w:spacing w:after="0" w:line="240" w:lineRule="auto"/>
              <w:jc w:val="center"/>
              <w:rPr>
                <w:rFonts w:eastAsia="Times New Roman" w:cs="Calibri"/>
                <w:b/>
                <w:bCs/>
                <w:color w:val="000000"/>
                <w:sz w:val="24"/>
                <w:szCs w:val="24"/>
                <w:lang w:eastAsia="en-GB"/>
              </w:rPr>
            </w:pPr>
            <w:r w:rsidRPr="00117B24">
              <w:rPr>
                <w:rFonts w:eastAsia="Times New Roman" w:cs="Calibri"/>
                <w:b/>
                <w:bCs/>
                <w:color w:val="000000"/>
                <w:sz w:val="24"/>
                <w:szCs w:val="24"/>
                <w:lang w:eastAsia="en-GB"/>
              </w:rPr>
              <w:t>2023/24</w:t>
            </w:r>
            <w:r w:rsidRPr="00117B24">
              <w:rPr>
                <w:rFonts w:eastAsia="Times New Roman" w:cs="Calibri"/>
                <w:b/>
                <w:bCs/>
                <w:color w:val="000000"/>
                <w:sz w:val="24"/>
                <w:szCs w:val="24"/>
                <w:lang w:eastAsia="en-GB"/>
              </w:rPr>
              <w:br/>
              <w:t>£m</w:t>
            </w:r>
          </w:p>
        </w:tc>
        <w:tc>
          <w:tcPr>
            <w:tcW w:w="2900" w:type="dxa"/>
            <w:tcBorders>
              <w:top w:val="single" w:sz="4" w:space="0" w:color="auto"/>
              <w:left w:val="nil"/>
              <w:bottom w:val="single" w:sz="4" w:space="0" w:color="auto"/>
              <w:right w:val="single" w:sz="4" w:space="0" w:color="auto"/>
            </w:tcBorders>
            <w:shd w:val="clear" w:color="000000" w:fill="FFFFFF"/>
            <w:noWrap/>
            <w:vAlign w:val="center"/>
            <w:hideMark/>
          </w:tcPr>
          <w:p w14:paraId="61B7CB13" w14:textId="77777777" w:rsidR="00117B24" w:rsidRPr="00117B24" w:rsidRDefault="00117B24" w:rsidP="00117B24">
            <w:pPr>
              <w:spacing w:after="0" w:line="240" w:lineRule="auto"/>
              <w:jc w:val="center"/>
              <w:rPr>
                <w:rFonts w:eastAsia="Times New Roman" w:cs="Calibri"/>
                <w:b/>
                <w:bCs/>
                <w:color w:val="000000"/>
                <w:sz w:val="24"/>
                <w:szCs w:val="24"/>
                <w:lang w:eastAsia="en-GB"/>
              </w:rPr>
            </w:pPr>
            <w:r w:rsidRPr="00117B24">
              <w:rPr>
                <w:rFonts w:eastAsia="Times New Roman" w:cs="Calibri"/>
                <w:b/>
                <w:bCs/>
                <w:color w:val="000000"/>
                <w:sz w:val="24"/>
                <w:szCs w:val="24"/>
                <w:lang w:eastAsia="en-GB"/>
              </w:rPr>
              <w:t> </w:t>
            </w:r>
          </w:p>
        </w:tc>
        <w:tc>
          <w:tcPr>
            <w:tcW w:w="1140" w:type="dxa"/>
            <w:tcBorders>
              <w:top w:val="single" w:sz="4" w:space="0" w:color="auto"/>
              <w:left w:val="nil"/>
              <w:bottom w:val="single" w:sz="4" w:space="0" w:color="auto"/>
              <w:right w:val="single" w:sz="4" w:space="0" w:color="auto"/>
            </w:tcBorders>
            <w:shd w:val="clear" w:color="000000" w:fill="DDEBF7"/>
            <w:vAlign w:val="center"/>
            <w:hideMark/>
          </w:tcPr>
          <w:p w14:paraId="62F68885" w14:textId="77777777" w:rsidR="00117B24" w:rsidRPr="00117B24" w:rsidRDefault="00117B24" w:rsidP="00117B24">
            <w:pPr>
              <w:spacing w:after="0" w:line="240" w:lineRule="auto"/>
              <w:jc w:val="center"/>
              <w:rPr>
                <w:rFonts w:eastAsia="Times New Roman" w:cs="Calibri"/>
                <w:b/>
                <w:bCs/>
                <w:color w:val="000000"/>
                <w:sz w:val="24"/>
                <w:szCs w:val="24"/>
                <w:lang w:eastAsia="en-GB"/>
              </w:rPr>
            </w:pPr>
            <w:r w:rsidRPr="00117B24">
              <w:rPr>
                <w:rFonts w:eastAsia="Times New Roman" w:cs="Calibri"/>
                <w:b/>
                <w:bCs/>
                <w:color w:val="000000"/>
                <w:sz w:val="24"/>
                <w:szCs w:val="24"/>
                <w:lang w:eastAsia="en-GB"/>
              </w:rPr>
              <w:t>2024/25</w:t>
            </w:r>
            <w:r w:rsidRPr="00117B24">
              <w:rPr>
                <w:rFonts w:eastAsia="Times New Roman" w:cs="Calibri"/>
                <w:b/>
                <w:bCs/>
                <w:color w:val="000000"/>
                <w:sz w:val="24"/>
                <w:szCs w:val="24"/>
                <w:lang w:eastAsia="en-GB"/>
              </w:rPr>
              <w:br/>
              <w:t>£m</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14:paraId="26E03062" w14:textId="77777777" w:rsidR="00117B24" w:rsidRPr="00117B24" w:rsidRDefault="00117B24" w:rsidP="00117B24">
            <w:pPr>
              <w:spacing w:after="0" w:line="240" w:lineRule="auto"/>
              <w:jc w:val="center"/>
              <w:rPr>
                <w:rFonts w:eastAsia="Times New Roman" w:cs="Calibri"/>
                <w:b/>
                <w:bCs/>
                <w:color w:val="000000"/>
                <w:sz w:val="24"/>
                <w:szCs w:val="24"/>
                <w:lang w:eastAsia="en-GB"/>
              </w:rPr>
            </w:pPr>
            <w:r w:rsidRPr="00117B24">
              <w:rPr>
                <w:rFonts w:eastAsia="Times New Roman" w:cs="Calibri"/>
                <w:b/>
                <w:bCs/>
                <w:color w:val="000000"/>
                <w:sz w:val="24"/>
                <w:szCs w:val="24"/>
                <w:lang w:eastAsia="en-GB"/>
              </w:rPr>
              <w:t>2025/26</w:t>
            </w:r>
            <w:r w:rsidRPr="00117B24">
              <w:rPr>
                <w:rFonts w:eastAsia="Times New Roman" w:cs="Calibri"/>
                <w:b/>
                <w:bCs/>
                <w:color w:val="000000"/>
                <w:sz w:val="24"/>
                <w:szCs w:val="24"/>
                <w:lang w:eastAsia="en-GB"/>
              </w:rPr>
              <w:br/>
              <w:t>£m</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14:paraId="01ACDFD2" w14:textId="77777777" w:rsidR="00117B24" w:rsidRPr="00117B24" w:rsidRDefault="00117B24" w:rsidP="00117B24">
            <w:pPr>
              <w:spacing w:after="0" w:line="240" w:lineRule="auto"/>
              <w:jc w:val="center"/>
              <w:rPr>
                <w:rFonts w:eastAsia="Times New Roman" w:cs="Calibri"/>
                <w:b/>
                <w:bCs/>
                <w:color w:val="000000"/>
                <w:sz w:val="24"/>
                <w:szCs w:val="24"/>
                <w:lang w:eastAsia="en-GB"/>
              </w:rPr>
            </w:pPr>
            <w:r w:rsidRPr="00117B24">
              <w:rPr>
                <w:rFonts w:eastAsia="Times New Roman" w:cs="Calibri"/>
                <w:b/>
                <w:bCs/>
                <w:color w:val="000000"/>
                <w:sz w:val="24"/>
                <w:szCs w:val="24"/>
                <w:lang w:eastAsia="en-GB"/>
              </w:rPr>
              <w:t>2026/27</w:t>
            </w:r>
            <w:r w:rsidRPr="00117B24">
              <w:rPr>
                <w:rFonts w:eastAsia="Times New Roman" w:cs="Calibri"/>
                <w:b/>
                <w:bCs/>
                <w:color w:val="000000"/>
                <w:sz w:val="24"/>
                <w:szCs w:val="24"/>
                <w:lang w:eastAsia="en-GB"/>
              </w:rPr>
              <w:br/>
              <w:t>£m</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14:paraId="601321F3" w14:textId="77777777" w:rsidR="00117B24" w:rsidRPr="00117B24" w:rsidRDefault="00117B24" w:rsidP="00117B24">
            <w:pPr>
              <w:spacing w:after="0" w:line="240" w:lineRule="auto"/>
              <w:jc w:val="center"/>
              <w:rPr>
                <w:rFonts w:eastAsia="Times New Roman" w:cs="Calibri"/>
                <w:b/>
                <w:bCs/>
                <w:color w:val="000000"/>
                <w:sz w:val="24"/>
                <w:szCs w:val="24"/>
                <w:lang w:eastAsia="en-GB"/>
              </w:rPr>
            </w:pPr>
            <w:r w:rsidRPr="00117B24">
              <w:rPr>
                <w:rFonts w:eastAsia="Times New Roman" w:cs="Calibri"/>
                <w:b/>
                <w:bCs/>
                <w:color w:val="000000"/>
                <w:sz w:val="24"/>
                <w:szCs w:val="24"/>
                <w:lang w:eastAsia="en-GB"/>
              </w:rPr>
              <w:t>2027/28</w:t>
            </w:r>
            <w:r w:rsidRPr="00117B24">
              <w:rPr>
                <w:rFonts w:eastAsia="Times New Roman" w:cs="Calibri"/>
                <w:b/>
                <w:bCs/>
                <w:color w:val="000000"/>
                <w:sz w:val="24"/>
                <w:szCs w:val="24"/>
                <w:lang w:eastAsia="en-GB"/>
              </w:rPr>
              <w:br/>
              <w:t>£m</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14:paraId="590A5CFE" w14:textId="77777777" w:rsidR="00117B24" w:rsidRPr="00117B24" w:rsidRDefault="00117B24" w:rsidP="00117B24">
            <w:pPr>
              <w:spacing w:after="0" w:line="240" w:lineRule="auto"/>
              <w:jc w:val="center"/>
              <w:rPr>
                <w:rFonts w:eastAsia="Times New Roman" w:cs="Calibri"/>
                <w:b/>
                <w:bCs/>
                <w:color w:val="000000"/>
                <w:sz w:val="24"/>
                <w:szCs w:val="24"/>
                <w:lang w:eastAsia="en-GB"/>
              </w:rPr>
            </w:pPr>
            <w:r w:rsidRPr="00117B24">
              <w:rPr>
                <w:rFonts w:eastAsia="Times New Roman" w:cs="Calibri"/>
                <w:b/>
                <w:bCs/>
                <w:color w:val="000000"/>
                <w:sz w:val="24"/>
                <w:szCs w:val="24"/>
                <w:lang w:eastAsia="en-GB"/>
              </w:rPr>
              <w:t>2028/29</w:t>
            </w:r>
            <w:r w:rsidRPr="00117B24">
              <w:rPr>
                <w:rFonts w:eastAsia="Times New Roman" w:cs="Calibri"/>
                <w:b/>
                <w:bCs/>
                <w:color w:val="000000"/>
                <w:sz w:val="24"/>
                <w:szCs w:val="24"/>
                <w:lang w:eastAsia="en-GB"/>
              </w:rPr>
              <w:br/>
              <w:t>£m</w:t>
            </w:r>
          </w:p>
        </w:tc>
      </w:tr>
      <w:tr w:rsidR="00117B24" w:rsidRPr="00117B24" w14:paraId="6260A51C" w14:textId="77777777" w:rsidTr="00117B24">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3E1B2B0D"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169.078</w:t>
            </w:r>
          </w:p>
        </w:tc>
        <w:tc>
          <w:tcPr>
            <w:tcW w:w="2900" w:type="dxa"/>
            <w:tcBorders>
              <w:top w:val="nil"/>
              <w:left w:val="nil"/>
              <w:bottom w:val="nil"/>
              <w:right w:val="single" w:sz="4" w:space="0" w:color="auto"/>
            </w:tcBorders>
            <w:shd w:val="clear" w:color="000000" w:fill="FFFFFF"/>
            <w:noWrap/>
            <w:vAlign w:val="bottom"/>
            <w:hideMark/>
          </w:tcPr>
          <w:p w14:paraId="334F790D" w14:textId="77777777" w:rsidR="00117B24" w:rsidRPr="00117B24" w:rsidRDefault="00117B24" w:rsidP="00117B24">
            <w:pPr>
              <w:spacing w:after="0" w:line="240" w:lineRule="auto"/>
              <w:rPr>
                <w:rFonts w:eastAsia="Times New Roman" w:cs="Calibri"/>
                <w:color w:val="000000"/>
                <w:sz w:val="24"/>
                <w:szCs w:val="24"/>
                <w:lang w:eastAsia="en-GB"/>
              </w:rPr>
            </w:pPr>
            <w:r w:rsidRPr="00117B24">
              <w:rPr>
                <w:rFonts w:eastAsia="Times New Roman" w:cs="Calibri"/>
                <w:color w:val="000000"/>
                <w:sz w:val="24"/>
                <w:szCs w:val="24"/>
                <w:lang w:eastAsia="en-GB"/>
              </w:rPr>
              <w:t>Expenditure</w:t>
            </w:r>
          </w:p>
        </w:tc>
        <w:tc>
          <w:tcPr>
            <w:tcW w:w="1140" w:type="dxa"/>
            <w:tcBorders>
              <w:top w:val="nil"/>
              <w:left w:val="nil"/>
              <w:bottom w:val="nil"/>
              <w:right w:val="single" w:sz="4" w:space="0" w:color="auto"/>
            </w:tcBorders>
            <w:shd w:val="clear" w:color="000000" w:fill="DDEBF7"/>
            <w:noWrap/>
            <w:vAlign w:val="bottom"/>
            <w:hideMark/>
          </w:tcPr>
          <w:p w14:paraId="0AE3ADB6"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183.771</w:t>
            </w:r>
          </w:p>
        </w:tc>
        <w:tc>
          <w:tcPr>
            <w:tcW w:w="1140" w:type="dxa"/>
            <w:tcBorders>
              <w:top w:val="nil"/>
              <w:left w:val="nil"/>
              <w:bottom w:val="nil"/>
              <w:right w:val="single" w:sz="4" w:space="0" w:color="auto"/>
            </w:tcBorders>
            <w:shd w:val="clear" w:color="000000" w:fill="FFFFFF"/>
            <w:noWrap/>
            <w:vAlign w:val="bottom"/>
            <w:hideMark/>
          </w:tcPr>
          <w:p w14:paraId="5B8BC541"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194.738</w:t>
            </w:r>
          </w:p>
        </w:tc>
        <w:tc>
          <w:tcPr>
            <w:tcW w:w="1140" w:type="dxa"/>
            <w:tcBorders>
              <w:top w:val="nil"/>
              <w:left w:val="nil"/>
              <w:bottom w:val="nil"/>
              <w:right w:val="single" w:sz="4" w:space="0" w:color="auto"/>
            </w:tcBorders>
            <w:shd w:val="clear" w:color="000000" w:fill="FFFFFF"/>
            <w:noWrap/>
            <w:vAlign w:val="bottom"/>
            <w:hideMark/>
          </w:tcPr>
          <w:p w14:paraId="1C1B39EA"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198.645</w:t>
            </w:r>
          </w:p>
        </w:tc>
        <w:tc>
          <w:tcPr>
            <w:tcW w:w="1140" w:type="dxa"/>
            <w:tcBorders>
              <w:top w:val="nil"/>
              <w:left w:val="nil"/>
              <w:bottom w:val="nil"/>
              <w:right w:val="single" w:sz="4" w:space="0" w:color="auto"/>
            </w:tcBorders>
            <w:shd w:val="clear" w:color="000000" w:fill="FFFFFF"/>
            <w:noWrap/>
            <w:vAlign w:val="bottom"/>
            <w:hideMark/>
          </w:tcPr>
          <w:p w14:paraId="5B897DAE"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203.032</w:t>
            </w:r>
          </w:p>
        </w:tc>
        <w:tc>
          <w:tcPr>
            <w:tcW w:w="1140" w:type="dxa"/>
            <w:tcBorders>
              <w:top w:val="nil"/>
              <w:left w:val="nil"/>
              <w:bottom w:val="nil"/>
              <w:right w:val="single" w:sz="4" w:space="0" w:color="auto"/>
            </w:tcBorders>
            <w:shd w:val="clear" w:color="000000" w:fill="FFFFFF"/>
            <w:noWrap/>
            <w:vAlign w:val="bottom"/>
            <w:hideMark/>
          </w:tcPr>
          <w:p w14:paraId="44A7547A"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207.196</w:t>
            </w:r>
          </w:p>
        </w:tc>
      </w:tr>
      <w:tr w:rsidR="00117B24" w:rsidRPr="00117B24" w14:paraId="427E9B3E" w14:textId="77777777" w:rsidTr="00117B24">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30AB0661"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(0.500)</w:t>
            </w:r>
          </w:p>
        </w:tc>
        <w:tc>
          <w:tcPr>
            <w:tcW w:w="2900" w:type="dxa"/>
            <w:tcBorders>
              <w:top w:val="nil"/>
              <w:left w:val="nil"/>
              <w:bottom w:val="nil"/>
              <w:right w:val="single" w:sz="4" w:space="0" w:color="auto"/>
            </w:tcBorders>
            <w:shd w:val="clear" w:color="000000" w:fill="FFFFFF"/>
            <w:noWrap/>
            <w:vAlign w:val="bottom"/>
            <w:hideMark/>
          </w:tcPr>
          <w:p w14:paraId="2C207D99" w14:textId="77777777" w:rsidR="00117B24" w:rsidRPr="00117B24" w:rsidRDefault="00117B24" w:rsidP="00117B24">
            <w:pPr>
              <w:spacing w:after="0" w:line="240" w:lineRule="auto"/>
              <w:rPr>
                <w:rFonts w:eastAsia="Times New Roman" w:cs="Calibri"/>
                <w:color w:val="000000"/>
                <w:sz w:val="24"/>
                <w:szCs w:val="24"/>
                <w:lang w:eastAsia="en-GB"/>
              </w:rPr>
            </w:pPr>
            <w:r w:rsidRPr="00117B24">
              <w:rPr>
                <w:rFonts w:eastAsia="Times New Roman" w:cs="Calibri"/>
                <w:color w:val="000000"/>
                <w:sz w:val="24"/>
                <w:szCs w:val="24"/>
                <w:lang w:eastAsia="en-GB"/>
              </w:rPr>
              <w:t>Efficiencies agreed</w:t>
            </w:r>
          </w:p>
        </w:tc>
        <w:tc>
          <w:tcPr>
            <w:tcW w:w="1140" w:type="dxa"/>
            <w:tcBorders>
              <w:top w:val="nil"/>
              <w:left w:val="nil"/>
              <w:bottom w:val="nil"/>
              <w:right w:val="single" w:sz="4" w:space="0" w:color="auto"/>
            </w:tcBorders>
            <w:shd w:val="clear" w:color="000000" w:fill="DDEBF7"/>
            <w:noWrap/>
            <w:vAlign w:val="bottom"/>
            <w:hideMark/>
          </w:tcPr>
          <w:p w14:paraId="757F1F8F"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(0.803)</w:t>
            </w:r>
          </w:p>
        </w:tc>
        <w:tc>
          <w:tcPr>
            <w:tcW w:w="1140" w:type="dxa"/>
            <w:tcBorders>
              <w:top w:val="nil"/>
              <w:left w:val="nil"/>
              <w:bottom w:val="nil"/>
              <w:right w:val="single" w:sz="4" w:space="0" w:color="auto"/>
            </w:tcBorders>
            <w:shd w:val="clear" w:color="000000" w:fill="FFFFFF"/>
            <w:noWrap/>
            <w:vAlign w:val="bottom"/>
            <w:hideMark/>
          </w:tcPr>
          <w:p w14:paraId="28EAAE02"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(1.684)</w:t>
            </w:r>
          </w:p>
        </w:tc>
        <w:tc>
          <w:tcPr>
            <w:tcW w:w="1140" w:type="dxa"/>
            <w:tcBorders>
              <w:top w:val="nil"/>
              <w:left w:val="nil"/>
              <w:bottom w:val="nil"/>
              <w:right w:val="single" w:sz="4" w:space="0" w:color="auto"/>
            </w:tcBorders>
            <w:shd w:val="clear" w:color="000000" w:fill="FFFFFF"/>
            <w:noWrap/>
            <w:vAlign w:val="bottom"/>
            <w:hideMark/>
          </w:tcPr>
          <w:p w14:paraId="4E223C59"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(2.591)</w:t>
            </w:r>
          </w:p>
        </w:tc>
        <w:tc>
          <w:tcPr>
            <w:tcW w:w="1140" w:type="dxa"/>
            <w:tcBorders>
              <w:top w:val="nil"/>
              <w:left w:val="nil"/>
              <w:bottom w:val="nil"/>
              <w:right w:val="single" w:sz="4" w:space="0" w:color="auto"/>
            </w:tcBorders>
            <w:shd w:val="clear" w:color="000000" w:fill="FFFFFF"/>
            <w:noWrap/>
            <w:vAlign w:val="bottom"/>
            <w:hideMark/>
          </w:tcPr>
          <w:p w14:paraId="1271EFF6"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(3.513)</w:t>
            </w:r>
          </w:p>
        </w:tc>
        <w:tc>
          <w:tcPr>
            <w:tcW w:w="1140" w:type="dxa"/>
            <w:tcBorders>
              <w:top w:val="nil"/>
              <w:left w:val="nil"/>
              <w:bottom w:val="nil"/>
              <w:right w:val="single" w:sz="4" w:space="0" w:color="auto"/>
            </w:tcBorders>
            <w:shd w:val="clear" w:color="000000" w:fill="FFFFFF"/>
            <w:noWrap/>
            <w:vAlign w:val="bottom"/>
            <w:hideMark/>
          </w:tcPr>
          <w:p w14:paraId="380F6ABD"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(4.455)</w:t>
            </w:r>
          </w:p>
        </w:tc>
      </w:tr>
      <w:tr w:rsidR="00117B24" w:rsidRPr="00117B24" w14:paraId="582FD0E2" w14:textId="77777777" w:rsidTr="00117B24">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0E167769"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w:t>
            </w:r>
          </w:p>
        </w:tc>
        <w:tc>
          <w:tcPr>
            <w:tcW w:w="2900" w:type="dxa"/>
            <w:tcBorders>
              <w:top w:val="nil"/>
              <w:left w:val="nil"/>
              <w:bottom w:val="nil"/>
              <w:right w:val="single" w:sz="4" w:space="0" w:color="auto"/>
            </w:tcBorders>
            <w:shd w:val="clear" w:color="000000" w:fill="FFFFFF"/>
            <w:noWrap/>
            <w:vAlign w:val="bottom"/>
            <w:hideMark/>
          </w:tcPr>
          <w:p w14:paraId="0EEFC17A" w14:textId="77777777" w:rsidR="00117B24" w:rsidRPr="00117B24" w:rsidRDefault="00117B24" w:rsidP="00117B24">
            <w:pPr>
              <w:spacing w:after="0" w:line="240" w:lineRule="auto"/>
              <w:rPr>
                <w:rFonts w:eastAsia="Times New Roman" w:cs="Calibri"/>
                <w:color w:val="000000"/>
                <w:sz w:val="24"/>
                <w:szCs w:val="24"/>
                <w:lang w:eastAsia="en-GB"/>
              </w:rPr>
            </w:pPr>
            <w:r w:rsidRPr="00117B24">
              <w:rPr>
                <w:rFonts w:eastAsia="Times New Roman" w:cs="Calibri"/>
                <w:color w:val="000000"/>
                <w:sz w:val="24"/>
                <w:szCs w:val="24"/>
                <w:lang w:eastAsia="en-GB"/>
              </w:rPr>
              <w:t>Efficiencies to be identified</w:t>
            </w:r>
          </w:p>
        </w:tc>
        <w:tc>
          <w:tcPr>
            <w:tcW w:w="1140" w:type="dxa"/>
            <w:tcBorders>
              <w:top w:val="nil"/>
              <w:left w:val="nil"/>
              <w:bottom w:val="nil"/>
              <w:right w:val="single" w:sz="4" w:space="0" w:color="auto"/>
            </w:tcBorders>
            <w:shd w:val="clear" w:color="000000" w:fill="DDEBF7"/>
            <w:noWrap/>
            <w:vAlign w:val="bottom"/>
            <w:hideMark/>
          </w:tcPr>
          <w:p w14:paraId="1EDE1FFE"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w:t>
            </w:r>
          </w:p>
        </w:tc>
        <w:tc>
          <w:tcPr>
            <w:tcW w:w="1140" w:type="dxa"/>
            <w:tcBorders>
              <w:top w:val="nil"/>
              <w:left w:val="nil"/>
              <w:bottom w:val="nil"/>
              <w:right w:val="single" w:sz="4" w:space="0" w:color="auto"/>
            </w:tcBorders>
            <w:shd w:val="clear" w:color="000000" w:fill="FFFFFF"/>
            <w:noWrap/>
            <w:vAlign w:val="bottom"/>
            <w:hideMark/>
          </w:tcPr>
          <w:p w14:paraId="4A7E0F5E"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(1.678)</w:t>
            </w:r>
          </w:p>
        </w:tc>
        <w:tc>
          <w:tcPr>
            <w:tcW w:w="1140" w:type="dxa"/>
            <w:tcBorders>
              <w:top w:val="nil"/>
              <w:left w:val="nil"/>
              <w:bottom w:val="nil"/>
              <w:right w:val="single" w:sz="4" w:space="0" w:color="auto"/>
            </w:tcBorders>
            <w:shd w:val="clear" w:color="000000" w:fill="FFFFFF"/>
            <w:noWrap/>
            <w:vAlign w:val="bottom"/>
            <w:hideMark/>
          </w:tcPr>
          <w:p w14:paraId="6120568C"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(1.678)</w:t>
            </w:r>
          </w:p>
        </w:tc>
        <w:tc>
          <w:tcPr>
            <w:tcW w:w="1140" w:type="dxa"/>
            <w:tcBorders>
              <w:top w:val="nil"/>
              <w:left w:val="nil"/>
              <w:bottom w:val="nil"/>
              <w:right w:val="single" w:sz="4" w:space="0" w:color="auto"/>
            </w:tcBorders>
            <w:shd w:val="clear" w:color="000000" w:fill="FFFFFF"/>
            <w:noWrap/>
            <w:vAlign w:val="bottom"/>
            <w:hideMark/>
          </w:tcPr>
          <w:p w14:paraId="30A52B0D"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(1.678)</w:t>
            </w:r>
          </w:p>
        </w:tc>
        <w:tc>
          <w:tcPr>
            <w:tcW w:w="1140" w:type="dxa"/>
            <w:tcBorders>
              <w:top w:val="nil"/>
              <w:left w:val="nil"/>
              <w:bottom w:val="nil"/>
              <w:right w:val="single" w:sz="4" w:space="0" w:color="auto"/>
            </w:tcBorders>
            <w:shd w:val="clear" w:color="000000" w:fill="FFFFFF"/>
            <w:noWrap/>
            <w:vAlign w:val="bottom"/>
            <w:hideMark/>
          </w:tcPr>
          <w:p w14:paraId="4B7164AB"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(1.088)</w:t>
            </w:r>
          </w:p>
        </w:tc>
      </w:tr>
      <w:tr w:rsidR="00117B24" w:rsidRPr="00117B24" w14:paraId="548FDE40" w14:textId="77777777" w:rsidTr="00117B24">
        <w:trPr>
          <w:trHeight w:val="315"/>
        </w:trPr>
        <w:tc>
          <w:tcPr>
            <w:tcW w:w="1140" w:type="dxa"/>
            <w:tcBorders>
              <w:top w:val="single" w:sz="4" w:space="0" w:color="auto"/>
              <w:left w:val="single" w:sz="4" w:space="0" w:color="auto"/>
              <w:bottom w:val="nil"/>
              <w:right w:val="single" w:sz="4" w:space="0" w:color="auto"/>
            </w:tcBorders>
            <w:shd w:val="clear" w:color="000000" w:fill="FFFFFF"/>
            <w:noWrap/>
            <w:vAlign w:val="bottom"/>
            <w:hideMark/>
          </w:tcPr>
          <w:p w14:paraId="3D6D42FF" w14:textId="77777777" w:rsidR="00117B24" w:rsidRPr="00117B24" w:rsidRDefault="00117B24" w:rsidP="00117B24">
            <w:pPr>
              <w:spacing w:after="0" w:line="240" w:lineRule="auto"/>
              <w:jc w:val="right"/>
              <w:rPr>
                <w:rFonts w:eastAsia="Times New Roman" w:cs="Calibri"/>
                <w:b/>
                <w:bCs/>
                <w:color w:val="000000"/>
                <w:sz w:val="24"/>
                <w:szCs w:val="24"/>
                <w:lang w:eastAsia="en-GB"/>
              </w:rPr>
            </w:pPr>
            <w:r w:rsidRPr="00117B24">
              <w:rPr>
                <w:rFonts w:eastAsia="Times New Roman" w:cs="Calibri"/>
                <w:b/>
                <w:bCs/>
                <w:color w:val="000000"/>
                <w:sz w:val="24"/>
                <w:szCs w:val="24"/>
                <w:lang w:eastAsia="en-GB"/>
              </w:rPr>
              <w:t>168.578</w:t>
            </w:r>
          </w:p>
        </w:tc>
        <w:tc>
          <w:tcPr>
            <w:tcW w:w="2900" w:type="dxa"/>
            <w:tcBorders>
              <w:top w:val="nil"/>
              <w:left w:val="nil"/>
              <w:bottom w:val="nil"/>
              <w:right w:val="single" w:sz="4" w:space="0" w:color="auto"/>
            </w:tcBorders>
            <w:shd w:val="clear" w:color="000000" w:fill="FFFFFF"/>
            <w:noWrap/>
            <w:vAlign w:val="bottom"/>
            <w:hideMark/>
          </w:tcPr>
          <w:p w14:paraId="23B002C3" w14:textId="77777777" w:rsidR="00117B24" w:rsidRPr="00117B24" w:rsidRDefault="00117B24" w:rsidP="00117B24">
            <w:pPr>
              <w:spacing w:after="0" w:line="240" w:lineRule="auto"/>
              <w:rPr>
                <w:rFonts w:eastAsia="Times New Roman" w:cs="Calibri"/>
                <w:b/>
                <w:bCs/>
                <w:color w:val="000000"/>
                <w:sz w:val="24"/>
                <w:szCs w:val="24"/>
                <w:lang w:eastAsia="en-GB"/>
              </w:rPr>
            </w:pPr>
            <w:r w:rsidRPr="00117B24">
              <w:rPr>
                <w:rFonts w:eastAsia="Times New Roman" w:cs="Calibri"/>
                <w:b/>
                <w:bCs/>
                <w:color w:val="000000"/>
                <w:sz w:val="24"/>
                <w:szCs w:val="24"/>
                <w:lang w:eastAsia="en-GB"/>
              </w:rPr>
              <w:t> </w:t>
            </w:r>
          </w:p>
        </w:tc>
        <w:tc>
          <w:tcPr>
            <w:tcW w:w="1140" w:type="dxa"/>
            <w:tcBorders>
              <w:top w:val="single" w:sz="4" w:space="0" w:color="auto"/>
              <w:left w:val="nil"/>
              <w:bottom w:val="nil"/>
              <w:right w:val="single" w:sz="4" w:space="0" w:color="auto"/>
            </w:tcBorders>
            <w:shd w:val="clear" w:color="000000" w:fill="DDEBF7"/>
            <w:noWrap/>
            <w:vAlign w:val="bottom"/>
            <w:hideMark/>
          </w:tcPr>
          <w:p w14:paraId="3266A950" w14:textId="77777777" w:rsidR="00117B24" w:rsidRPr="00117B24" w:rsidRDefault="00117B24" w:rsidP="00117B24">
            <w:pPr>
              <w:spacing w:after="0" w:line="240" w:lineRule="auto"/>
              <w:jc w:val="right"/>
              <w:rPr>
                <w:rFonts w:eastAsia="Times New Roman" w:cs="Calibri"/>
                <w:b/>
                <w:bCs/>
                <w:color w:val="000000"/>
                <w:sz w:val="24"/>
                <w:szCs w:val="24"/>
                <w:lang w:eastAsia="en-GB"/>
              </w:rPr>
            </w:pPr>
            <w:r w:rsidRPr="00117B24">
              <w:rPr>
                <w:rFonts w:eastAsia="Times New Roman" w:cs="Calibri"/>
                <w:b/>
                <w:bCs/>
                <w:color w:val="000000"/>
                <w:sz w:val="24"/>
                <w:szCs w:val="24"/>
                <w:lang w:eastAsia="en-GB"/>
              </w:rPr>
              <w:t>182.968</w:t>
            </w:r>
          </w:p>
        </w:tc>
        <w:tc>
          <w:tcPr>
            <w:tcW w:w="1140" w:type="dxa"/>
            <w:tcBorders>
              <w:top w:val="single" w:sz="4" w:space="0" w:color="auto"/>
              <w:left w:val="nil"/>
              <w:bottom w:val="nil"/>
              <w:right w:val="single" w:sz="4" w:space="0" w:color="auto"/>
            </w:tcBorders>
            <w:shd w:val="clear" w:color="000000" w:fill="FFFFFF"/>
            <w:noWrap/>
            <w:vAlign w:val="bottom"/>
            <w:hideMark/>
          </w:tcPr>
          <w:p w14:paraId="277A3DED" w14:textId="77777777" w:rsidR="00117B24" w:rsidRPr="00117B24" w:rsidRDefault="00117B24" w:rsidP="00117B24">
            <w:pPr>
              <w:spacing w:after="0" w:line="240" w:lineRule="auto"/>
              <w:jc w:val="right"/>
              <w:rPr>
                <w:rFonts w:eastAsia="Times New Roman" w:cs="Calibri"/>
                <w:b/>
                <w:bCs/>
                <w:color w:val="000000"/>
                <w:sz w:val="24"/>
                <w:szCs w:val="24"/>
                <w:lang w:eastAsia="en-GB"/>
              </w:rPr>
            </w:pPr>
            <w:r w:rsidRPr="00117B24">
              <w:rPr>
                <w:rFonts w:eastAsia="Times New Roman" w:cs="Calibri"/>
                <w:b/>
                <w:bCs/>
                <w:color w:val="000000"/>
                <w:sz w:val="24"/>
                <w:szCs w:val="24"/>
                <w:lang w:eastAsia="en-GB"/>
              </w:rPr>
              <w:t>191.376</w:t>
            </w:r>
          </w:p>
        </w:tc>
        <w:tc>
          <w:tcPr>
            <w:tcW w:w="1140" w:type="dxa"/>
            <w:tcBorders>
              <w:top w:val="single" w:sz="4" w:space="0" w:color="auto"/>
              <w:left w:val="nil"/>
              <w:bottom w:val="nil"/>
              <w:right w:val="single" w:sz="4" w:space="0" w:color="auto"/>
            </w:tcBorders>
            <w:shd w:val="clear" w:color="000000" w:fill="FFFFFF"/>
            <w:noWrap/>
            <w:vAlign w:val="bottom"/>
            <w:hideMark/>
          </w:tcPr>
          <w:p w14:paraId="17A67B1A" w14:textId="77777777" w:rsidR="00117B24" w:rsidRPr="00117B24" w:rsidRDefault="00117B24" w:rsidP="00117B24">
            <w:pPr>
              <w:spacing w:after="0" w:line="240" w:lineRule="auto"/>
              <w:jc w:val="right"/>
              <w:rPr>
                <w:rFonts w:eastAsia="Times New Roman" w:cs="Calibri"/>
                <w:b/>
                <w:bCs/>
                <w:color w:val="000000"/>
                <w:sz w:val="24"/>
                <w:szCs w:val="24"/>
                <w:lang w:eastAsia="en-GB"/>
              </w:rPr>
            </w:pPr>
            <w:r w:rsidRPr="00117B24">
              <w:rPr>
                <w:rFonts w:eastAsia="Times New Roman" w:cs="Calibri"/>
                <w:b/>
                <w:bCs/>
                <w:color w:val="000000"/>
                <w:sz w:val="24"/>
                <w:szCs w:val="24"/>
                <w:lang w:eastAsia="en-GB"/>
              </w:rPr>
              <w:t>194.376</w:t>
            </w:r>
          </w:p>
        </w:tc>
        <w:tc>
          <w:tcPr>
            <w:tcW w:w="1140" w:type="dxa"/>
            <w:tcBorders>
              <w:top w:val="single" w:sz="4" w:space="0" w:color="auto"/>
              <w:left w:val="nil"/>
              <w:bottom w:val="nil"/>
              <w:right w:val="single" w:sz="4" w:space="0" w:color="auto"/>
            </w:tcBorders>
            <w:shd w:val="clear" w:color="000000" w:fill="FFFFFF"/>
            <w:noWrap/>
            <w:vAlign w:val="bottom"/>
            <w:hideMark/>
          </w:tcPr>
          <w:p w14:paraId="68CD4B4A" w14:textId="77777777" w:rsidR="00117B24" w:rsidRPr="00117B24" w:rsidRDefault="00117B24" w:rsidP="00117B24">
            <w:pPr>
              <w:spacing w:after="0" w:line="240" w:lineRule="auto"/>
              <w:jc w:val="right"/>
              <w:rPr>
                <w:rFonts w:eastAsia="Times New Roman" w:cs="Calibri"/>
                <w:b/>
                <w:bCs/>
                <w:color w:val="000000"/>
                <w:sz w:val="24"/>
                <w:szCs w:val="24"/>
                <w:lang w:eastAsia="en-GB"/>
              </w:rPr>
            </w:pPr>
            <w:r w:rsidRPr="00117B24">
              <w:rPr>
                <w:rFonts w:eastAsia="Times New Roman" w:cs="Calibri"/>
                <w:b/>
                <w:bCs/>
                <w:color w:val="000000"/>
                <w:sz w:val="24"/>
                <w:szCs w:val="24"/>
                <w:lang w:eastAsia="en-GB"/>
              </w:rPr>
              <w:t>197.841</w:t>
            </w:r>
          </w:p>
        </w:tc>
        <w:tc>
          <w:tcPr>
            <w:tcW w:w="1140" w:type="dxa"/>
            <w:tcBorders>
              <w:top w:val="single" w:sz="4" w:space="0" w:color="auto"/>
              <w:left w:val="nil"/>
              <w:bottom w:val="nil"/>
              <w:right w:val="single" w:sz="4" w:space="0" w:color="auto"/>
            </w:tcBorders>
            <w:shd w:val="clear" w:color="000000" w:fill="FFFFFF"/>
            <w:noWrap/>
            <w:vAlign w:val="bottom"/>
            <w:hideMark/>
          </w:tcPr>
          <w:p w14:paraId="26CE5497" w14:textId="77777777" w:rsidR="00117B24" w:rsidRPr="00117B24" w:rsidRDefault="00117B24" w:rsidP="00117B24">
            <w:pPr>
              <w:spacing w:after="0" w:line="240" w:lineRule="auto"/>
              <w:jc w:val="right"/>
              <w:rPr>
                <w:rFonts w:eastAsia="Times New Roman" w:cs="Calibri"/>
                <w:b/>
                <w:bCs/>
                <w:color w:val="000000"/>
                <w:sz w:val="24"/>
                <w:szCs w:val="24"/>
                <w:lang w:eastAsia="en-GB"/>
              </w:rPr>
            </w:pPr>
            <w:r w:rsidRPr="00117B24">
              <w:rPr>
                <w:rFonts w:eastAsia="Times New Roman" w:cs="Calibri"/>
                <w:b/>
                <w:bCs/>
                <w:color w:val="000000"/>
                <w:sz w:val="24"/>
                <w:szCs w:val="24"/>
                <w:lang w:eastAsia="en-GB"/>
              </w:rPr>
              <w:t>201.653</w:t>
            </w:r>
          </w:p>
        </w:tc>
      </w:tr>
      <w:tr w:rsidR="00117B24" w:rsidRPr="00117B24" w14:paraId="004173EA" w14:textId="77777777" w:rsidTr="00117B24">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2E4E1C56" w14:textId="77777777" w:rsidR="00117B24" w:rsidRPr="00117B24" w:rsidRDefault="00117B24" w:rsidP="00117B24">
            <w:pPr>
              <w:spacing w:after="0" w:line="240" w:lineRule="auto"/>
              <w:rPr>
                <w:rFonts w:eastAsia="Times New Roman" w:cs="Calibri"/>
                <w:color w:val="000000"/>
                <w:sz w:val="24"/>
                <w:szCs w:val="24"/>
                <w:lang w:eastAsia="en-GB"/>
              </w:rPr>
            </w:pPr>
            <w:r w:rsidRPr="00117B24">
              <w:rPr>
                <w:rFonts w:eastAsia="Times New Roman" w:cs="Calibri"/>
                <w:color w:val="000000"/>
                <w:sz w:val="24"/>
                <w:szCs w:val="24"/>
                <w:lang w:eastAsia="en-GB"/>
              </w:rPr>
              <w:t> </w:t>
            </w:r>
          </w:p>
        </w:tc>
        <w:tc>
          <w:tcPr>
            <w:tcW w:w="2900" w:type="dxa"/>
            <w:tcBorders>
              <w:top w:val="nil"/>
              <w:left w:val="nil"/>
              <w:bottom w:val="nil"/>
              <w:right w:val="single" w:sz="4" w:space="0" w:color="auto"/>
            </w:tcBorders>
            <w:shd w:val="clear" w:color="000000" w:fill="FFFFFF"/>
            <w:noWrap/>
            <w:vAlign w:val="bottom"/>
            <w:hideMark/>
          </w:tcPr>
          <w:p w14:paraId="05A1D5FA" w14:textId="77777777" w:rsidR="00117B24" w:rsidRPr="00117B24" w:rsidRDefault="00117B24" w:rsidP="00117B24">
            <w:pPr>
              <w:spacing w:after="0" w:line="240" w:lineRule="auto"/>
              <w:rPr>
                <w:rFonts w:eastAsia="Times New Roman" w:cs="Calibri"/>
                <w:color w:val="000000"/>
                <w:sz w:val="24"/>
                <w:szCs w:val="24"/>
                <w:lang w:eastAsia="en-GB"/>
              </w:rPr>
            </w:pPr>
            <w:r w:rsidRPr="00117B24">
              <w:rPr>
                <w:rFonts w:eastAsia="Times New Roman" w:cs="Calibri"/>
                <w:color w:val="000000"/>
                <w:sz w:val="24"/>
                <w:szCs w:val="24"/>
                <w:lang w:eastAsia="en-GB"/>
              </w:rPr>
              <w:t> </w:t>
            </w:r>
          </w:p>
        </w:tc>
        <w:tc>
          <w:tcPr>
            <w:tcW w:w="1140" w:type="dxa"/>
            <w:tcBorders>
              <w:top w:val="nil"/>
              <w:left w:val="nil"/>
              <w:bottom w:val="nil"/>
              <w:right w:val="single" w:sz="4" w:space="0" w:color="auto"/>
            </w:tcBorders>
            <w:shd w:val="clear" w:color="000000" w:fill="DDEBF7"/>
            <w:noWrap/>
            <w:vAlign w:val="bottom"/>
            <w:hideMark/>
          </w:tcPr>
          <w:p w14:paraId="2C9A9D48" w14:textId="77777777" w:rsidR="00117B24" w:rsidRPr="00117B24" w:rsidRDefault="00117B24" w:rsidP="00117B24">
            <w:pPr>
              <w:spacing w:after="0" w:line="240" w:lineRule="auto"/>
              <w:rPr>
                <w:rFonts w:eastAsia="Times New Roman" w:cs="Calibri"/>
                <w:color w:val="000000"/>
                <w:sz w:val="24"/>
                <w:szCs w:val="24"/>
                <w:lang w:eastAsia="en-GB"/>
              </w:rPr>
            </w:pPr>
            <w:r w:rsidRPr="00117B24">
              <w:rPr>
                <w:rFonts w:eastAsia="Times New Roman" w:cs="Calibri"/>
                <w:color w:val="000000"/>
                <w:sz w:val="24"/>
                <w:szCs w:val="24"/>
                <w:lang w:eastAsia="en-GB"/>
              </w:rPr>
              <w:t> </w:t>
            </w:r>
          </w:p>
        </w:tc>
        <w:tc>
          <w:tcPr>
            <w:tcW w:w="1140" w:type="dxa"/>
            <w:tcBorders>
              <w:top w:val="nil"/>
              <w:left w:val="nil"/>
              <w:bottom w:val="nil"/>
              <w:right w:val="single" w:sz="4" w:space="0" w:color="auto"/>
            </w:tcBorders>
            <w:shd w:val="clear" w:color="000000" w:fill="FFFFFF"/>
            <w:noWrap/>
            <w:vAlign w:val="bottom"/>
            <w:hideMark/>
          </w:tcPr>
          <w:p w14:paraId="4290953E" w14:textId="77777777" w:rsidR="00117B24" w:rsidRPr="00117B24" w:rsidRDefault="00117B24" w:rsidP="00117B24">
            <w:pPr>
              <w:spacing w:after="0" w:line="240" w:lineRule="auto"/>
              <w:rPr>
                <w:rFonts w:eastAsia="Times New Roman" w:cs="Calibri"/>
                <w:color w:val="000000"/>
                <w:sz w:val="24"/>
                <w:szCs w:val="24"/>
                <w:lang w:eastAsia="en-GB"/>
              </w:rPr>
            </w:pPr>
            <w:r w:rsidRPr="00117B24">
              <w:rPr>
                <w:rFonts w:eastAsia="Times New Roman" w:cs="Calibri"/>
                <w:color w:val="000000"/>
                <w:sz w:val="24"/>
                <w:szCs w:val="24"/>
                <w:lang w:eastAsia="en-GB"/>
              </w:rPr>
              <w:t> </w:t>
            </w:r>
          </w:p>
        </w:tc>
        <w:tc>
          <w:tcPr>
            <w:tcW w:w="1140" w:type="dxa"/>
            <w:tcBorders>
              <w:top w:val="nil"/>
              <w:left w:val="nil"/>
              <w:bottom w:val="nil"/>
              <w:right w:val="single" w:sz="4" w:space="0" w:color="auto"/>
            </w:tcBorders>
            <w:shd w:val="clear" w:color="000000" w:fill="FFFFFF"/>
            <w:noWrap/>
            <w:vAlign w:val="bottom"/>
            <w:hideMark/>
          </w:tcPr>
          <w:p w14:paraId="3FBA4D4E" w14:textId="77777777" w:rsidR="00117B24" w:rsidRPr="00117B24" w:rsidRDefault="00117B24" w:rsidP="00117B24">
            <w:pPr>
              <w:spacing w:after="0" w:line="240" w:lineRule="auto"/>
              <w:rPr>
                <w:rFonts w:eastAsia="Times New Roman" w:cs="Calibri"/>
                <w:color w:val="000000"/>
                <w:sz w:val="24"/>
                <w:szCs w:val="24"/>
                <w:lang w:eastAsia="en-GB"/>
              </w:rPr>
            </w:pPr>
            <w:r w:rsidRPr="00117B24">
              <w:rPr>
                <w:rFonts w:eastAsia="Times New Roman" w:cs="Calibri"/>
                <w:color w:val="000000"/>
                <w:sz w:val="24"/>
                <w:szCs w:val="24"/>
                <w:lang w:eastAsia="en-GB"/>
              </w:rPr>
              <w:t> </w:t>
            </w:r>
          </w:p>
        </w:tc>
        <w:tc>
          <w:tcPr>
            <w:tcW w:w="1140" w:type="dxa"/>
            <w:tcBorders>
              <w:top w:val="nil"/>
              <w:left w:val="nil"/>
              <w:bottom w:val="nil"/>
              <w:right w:val="single" w:sz="4" w:space="0" w:color="auto"/>
            </w:tcBorders>
            <w:shd w:val="clear" w:color="000000" w:fill="FFFFFF"/>
            <w:noWrap/>
            <w:vAlign w:val="bottom"/>
            <w:hideMark/>
          </w:tcPr>
          <w:p w14:paraId="693484BF" w14:textId="77777777" w:rsidR="00117B24" w:rsidRPr="00117B24" w:rsidRDefault="00117B24" w:rsidP="00117B24">
            <w:pPr>
              <w:spacing w:after="0" w:line="240" w:lineRule="auto"/>
              <w:rPr>
                <w:rFonts w:eastAsia="Times New Roman" w:cs="Calibri"/>
                <w:color w:val="000000"/>
                <w:sz w:val="24"/>
                <w:szCs w:val="24"/>
                <w:lang w:eastAsia="en-GB"/>
              </w:rPr>
            </w:pPr>
            <w:r w:rsidRPr="00117B24">
              <w:rPr>
                <w:rFonts w:eastAsia="Times New Roman" w:cs="Calibri"/>
                <w:color w:val="000000"/>
                <w:sz w:val="24"/>
                <w:szCs w:val="24"/>
                <w:lang w:eastAsia="en-GB"/>
              </w:rPr>
              <w:t> </w:t>
            </w:r>
          </w:p>
        </w:tc>
        <w:tc>
          <w:tcPr>
            <w:tcW w:w="1140" w:type="dxa"/>
            <w:tcBorders>
              <w:top w:val="nil"/>
              <w:left w:val="nil"/>
              <w:bottom w:val="nil"/>
              <w:right w:val="single" w:sz="4" w:space="0" w:color="auto"/>
            </w:tcBorders>
            <w:shd w:val="clear" w:color="000000" w:fill="FFFFFF"/>
            <w:noWrap/>
            <w:vAlign w:val="bottom"/>
            <w:hideMark/>
          </w:tcPr>
          <w:p w14:paraId="1ED5844E" w14:textId="77777777" w:rsidR="00117B24" w:rsidRPr="00117B24" w:rsidRDefault="00117B24" w:rsidP="00117B24">
            <w:pPr>
              <w:spacing w:after="0" w:line="240" w:lineRule="auto"/>
              <w:rPr>
                <w:rFonts w:eastAsia="Times New Roman" w:cs="Calibri"/>
                <w:color w:val="000000"/>
                <w:sz w:val="24"/>
                <w:szCs w:val="24"/>
                <w:lang w:eastAsia="en-GB"/>
              </w:rPr>
            </w:pPr>
            <w:r w:rsidRPr="00117B24">
              <w:rPr>
                <w:rFonts w:eastAsia="Times New Roman" w:cs="Calibri"/>
                <w:color w:val="000000"/>
                <w:sz w:val="24"/>
                <w:szCs w:val="24"/>
                <w:lang w:eastAsia="en-GB"/>
              </w:rPr>
              <w:t> </w:t>
            </w:r>
          </w:p>
        </w:tc>
      </w:tr>
      <w:tr w:rsidR="00117B24" w:rsidRPr="00117B24" w14:paraId="6D514A88" w14:textId="77777777" w:rsidTr="00117B24">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6A0887BC"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(168.578)</w:t>
            </w:r>
          </w:p>
        </w:tc>
        <w:tc>
          <w:tcPr>
            <w:tcW w:w="2900" w:type="dxa"/>
            <w:tcBorders>
              <w:top w:val="nil"/>
              <w:left w:val="nil"/>
              <w:bottom w:val="nil"/>
              <w:right w:val="single" w:sz="4" w:space="0" w:color="auto"/>
            </w:tcBorders>
            <w:shd w:val="clear" w:color="000000" w:fill="FFFFFF"/>
            <w:noWrap/>
            <w:vAlign w:val="bottom"/>
            <w:hideMark/>
          </w:tcPr>
          <w:p w14:paraId="644C2C2F" w14:textId="77777777" w:rsidR="00117B24" w:rsidRPr="00117B24" w:rsidRDefault="00117B24" w:rsidP="00117B24">
            <w:pPr>
              <w:spacing w:after="0" w:line="240" w:lineRule="auto"/>
              <w:rPr>
                <w:rFonts w:eastAsia="Times New Roman" w:cs="Calibri"/>
                <w:color w:val="000000"/>
                <w:sz w:val="24"/>
                <w:szCs w:val="24"/>
                <w:lang w:eastAsia="en-GB"/>
              </w:rPr>
            </w:pPr>
            <w:r w:rsidRPr="00117B24">
              <w:rPr>
                <w:rFonts w:eastAsia="Times New Roman" w:cs="Calibri"/>
                <w:color w:val="000000"/>
                <w:sz w:val="24"/>
                <w:szCs w:val="24"/>
                <w:lang w:eastAsia="en-GB"/>
              </w:rPr>
              <w:t>Funding</w:t>
            </w:r>
          </w:p>
        </w:tc>
        <w:tc>
          <w:tcPr>
            <w:tcW w:w="1140" w:type="dxa"/>
            <w:tcBorders>
              <w:top w:val="nil"/>
              <w:left w:val="nil"/>
              <w:bottom w:val="nil"/>
              <w:right w:val="single" w:sz="4" w:space="0" w:color="auto"/>
            </w:tcBorders>
            <w:shd w:val="clear" w:color="000000" w:fill="DDEBF7"/>
            <w:noWrap/>
            <w:vAlign w:val="bottom"/>
            <w:hideMark/>
          </w:tcPr>
          <w:p w14:paraId="5947FD16"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(182.968)</w:t>
            </w:r>
          </w:p>
        </w:tc>
        <w:tc>
          <w:tcPr>
            <w:tcW w:w="1140" w:type="dxa"/>
            <w:tcBorders>
              <w:top w:val="nil"/>
              <w:left w:val="nil"/>
              <w:bottom w:val="nil"/>
              <w:right w:val="single" w:sz="4" w:space="0" w:color="auto"/>
            </w:tcBorders>
            <w:shd w:val="clear" w:color="000000" w:fill="FFFFFF"/>
            <w:noWrap/>
            <w:vAlign w:val="bottom"/>
            <w:hideMark/>
          </w:tcPr>
          <w:p w14:paraId="39C5120E"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(185.033)</w:t>
            </w:r>
          </w:p>
        </w:tc>
        <w:tc>
          <w:tcPr>
            <w:tcW w:w="1140" w:type="dxa"/>
            <w:tcBorders>
              <w:top w:val="nil"/>
              <w:left w:val="nil"/>
              <w:bottom w:val="nil"/>
              <w:right w:val="single" w:sz="4" w:space="0" w:color="auto"/>
            </w:tcBorders>
            <w:shd w:val="clear" w:color="000000" w:fill="FFFFFF"/>
            <w:noWrap/>
            <w:vAlign w:val="bottom"/>
            <w:hideMark/>
          </w:tcPr>
          <w:p w14:paraId="58526D7D"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(189.298)</w:t>
            </w:r>
          </w:p>
        </w:tc>
        <w:tc>
          <w:tcPr>
            <w:tcW w:w="1140" w:type="dxa"/>
            <w:tcBorders>
              <w:top w:val="nil"/>
              <w:left w:val="nil"/>
              <w:bottom w:val="nil"/>
              <w:right w:val="single" w:sz="4" w:space="0" w:color="auto"/>
            </w:tcBorders>
            <w:shd w:val="clear" w:color="000000" w:fill="FFFFFF"/>
            <w:noWrap/>
            <w:vAlign w:val="bottom"/>
            <w:hideMark/>
          </w:tcPr>
          <w:p w14:paraId="6D3F3C68"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(193.686)</w:t>
            </w:r>
          </w:p>
        </w:tc>
        <w:tc>
          <w:tcPr>
            <w:tcW w:w="1140" w:type="dxa"/>
            <w:tcBorders>
              <w:top w:val="nil"/>
              <w:left w:val="nil"/>
              <w:bottom w:val="nil"/>
              <w:right w:val="single" w:sz="4" w:space="0" w:color="auto"/>
            </w:tcBorders>
            <w:shd w:val="clear" w:color="000000" w:fill="FFFFFF"/>
            <w:noWrap/>
            <w:vAlign w:val="bottom"/>
            <w:hideMark/>
          </w:tcPr>
          <w:p w14:paraId="2DFD667B" w14:textId="77777777" w:rsidR="00117B24" w:rsidRPr="00117B24" w:rsidRDefault="00117B24" w:rsidP="00117B24">
            <w:pPr>
              <w:spacing w:after="0" w:line="240" w:lineRule="auto"/>
              <w:jc w:val="right"/>
              <w:rPr>
                <w:rFonts w:eastAsia="Times New Roman" w:cs="Calibri"/>
                <w:color w:val="000000"/>
                <w:sz w:val="24"/>
                <w:szCs w:val="24"/>
                <w:lang w:eastAsia="en-GB"/>
              </w:rPr>
            </w:pPr>
            <w:r w:rsidRPr="00117B24">
              <w:rPr>
                <w:rFonts w:eastAsia="Times New Roman" w:cs="Calibri"/>
                <w:color w:val="000000"/>
                <w:sz w:val="24"/>
                <w:szCs w:val="24"/>
                <w:lang w:eastAsia="en-GB"/>
              </w:rPr>
              <w:t>(198.199)</w:t>
            </w:r>
          </w:p>
        </w:tc>
      </w:tr>
      <w:tr w:rsidR="00117B24" w:rsidRPr="00117B24" w14:paraId="43B1A1E0" w14:textId="77777777" w:rsidTr="00117B24">
        <w:trPr>
          <w:trHeight w:val="315"/>
        </w:trPr>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A5390B" w14:textId="77777777" w:rsidR="00117B24" w:rsidRPr="00117B24" w:rsidRDefault="00117B24" w:rsidP="00117B24">
            <w:pPr>
              <w:spacing w:after="0" w:line="240" w:lineRule="auto"/>
              <w:jc w:val="right"/>
              <w:rPr>
                <w:rFonts w:eastAsia="Times New Roman" w:cs="Calibri"/>
                <w:b/>
                <w:bCs/>
                <w:color w:val="000000"/>
                <w:sz w:val="24"/>
                <w:szCs w:val="24"/>
                <w:lang w:eastAsia="en-GB"/>
              </w:rPr>
            </w:pPr>
            <w:r w:rsidRPr="00117B24">
              <w:rPr>
                <w:rFonts w:eastAsia="Times New Roman" w:cs="Calibri"/>
                <w:b/>
                <w:bCs/>
                <w:color w:val="000000"/>
                <w:sz w:val="24"/>
                <w:szCs w:val="24"/>
                <w:lang w:eastAsia="en-GB"/>
              </w:rPr>
              <w:t>-</w:t>
            </w:r>
          </w:p>
        </w:tc>
        <w:tc>
          <w:tcPr>
            <w:tcW w:w="2900" w:type="dxa"/>
            <w:tcBorders>
              <w:top w:val="single" w:sz="4" w:space="0" w:color="auto"/>
              <w:left w:val="nil"/>
              <w:bottom w:val="single" w:sz="4" w:space="0" w:color="auto"/>
              <w:right w:val="single" w:sz="4" w:space="0" w:color="auto"/>
            </w:tcBorders>
            <w:shd w:val="clear" w:color="000000" w:fill="FFFFFF"/>
            <w:noWrap/>
            <w:vAlign w:val="bottom"/>
            <w:hideMark/>
          </w:tcPr>
          <w:p w14:paraId="778A3BBA" w14:textId="77777777" w:rsidR="00117B24" w:rsidRPr="00117B24" w:rsidRDefault="00117B24" w:rsidP="00117B24">
            <w:pPr>
              <w:spacing w:after="0" w:line="240" w:lineRule="auto"/>
              <w:rPr>
                <w:rFonts w:eastAsia="Times New Roman" w:cs="Calibri"/>
                <w:b/>
                <w:bCs/>
                <w:color w:val="000000"/>
                <w:sz w:val="24"/>
                <w:szCs w:val="24"/>
                <w:lang w:eastAsia="en-GB"/>
              </w:rPr>
            </w:pPr>
            <w:r w:rsidRPr="00117B24">
              <w:rPr>
                <w:rFonts w:eastAsia="Times New Roman" w:cs="Calibri"/>
                <w:b/>
                <w:bCs/>
                <w:color w:val="000000"/>
                <w:sz w:val="24"/>
                <w:szCs w:val="24"/>
                <w:lang w:eastAsia="en-GB"/>
              </w:rPr>
              <w:t>Shortfall</w:t>
            </w:r>
          </w:p>
        </w:tc>
        <w:tc>
          <w:tcPr>
            <w:tcW w:w="1140" w:type="dxa"/>
            <w:tcBorders>
              <w:top w:val="single" w:sz="4" w:space="0" w:color="auto"/>
              <w:left w:val="nil"/>
              <w:bottom w:val="single" w:sz="4" w:space="0" w:color="auto"/>
              <w:right w:val="single" w:sz="4" w:space="0" w:color="auto"/>
            </w:tcBorders>
            <w:shd w:val="clear" w:color="000000" w:fill="DDEBF7"/>
            <w:noWrap/>
            <w:vAlign w:val="bottom"/>
            <w:hideMark/>
          </w:tcPr>
          <w:p w14:paraId="0D223B85" w14:textId="77777777" w:rsidR="00117B24" w:rsidRPr="00117B24" w:rsidRDefault="00117B24" w:rsidP="00117B24">
            <w:pPr>
              <w:spacing w:after="0" w:line="240" w:lineRule="auto"/>
              <w:jc w:val="right"/>
              <w:rPr>
                <w:rFonts w:eastAsia="Times New Roman" w:cs="Calibri"/>
                <w:b/>
                <w:bCs/>
                <w:color w:val="000000"/>
                <w:sz w:val="24"/>
                <w:szCs w:val="24"/>
                <w:lang w:eastAsia="en-GB"/>
              </w:rPr>
            </w:pPr>
            <w:r w:rsidRPr="00117B24">
              <w:rPr>
                <w:rFonts w:eastAsia="Times New Roman" w:cs="Calibri"/>
                <w:b/>
                <w:bCs/>
                <w:color w:val="000000"/>
                <w:sz w:val="24"/>
                <w:szCs w:val="24"/>
                <w:lang w:eastAsia="en-GB"/>
              </w:rPr>
              <w:t>-</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755214FC" w14:textId="77777777" w:rsidR="00117B24" w:rsidRPr="00117B24" w:rsidRDefault="00117B24" w:rsidP="00117B24">
            <w:pPr>
              <w:spacing w:after="0" w:line="240" w:lineRule="auto"/>
              <w:jc w:val="right"/>
              <w:rPr>
                <w:rFonts w:eastAsia="Times New Roman" w:cs="Calibri"/>
                <w:b/>
                <w:bCs/>
                <w:color w:val="000000"/>
                <w:sz w:val="24"/>
                <w:szCs w:val="24"/>
                <w:lang w:eastAsia="en-GB"/>
              </w:rPr>
            </w:pPr>
            <w:r w:rsidRPr="00117B24">
              <w:rPr>
                <w:rFonts w:eastAsia="Times New Roman" w:cs="Calibri"/>
                <w:b/>
                <w:bCs/>
                <w:color w:val="000000"/>
                <w:sz w:val="24"/>
                <w:szCs w:val="24"/>
                <w:lang w:eastAsia="en-GB"/>
              </w:rPr>
              <w:t>6.343</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68FC062C" w14:textId="77777777" w:rsidR="00117B24" w:rsidRPr="00117B24" w:rsidRDefault="00117B24" w:rsidP="00117B24">
            <w:pPr>
              <w:spacing w:after="0" w:line="240" w:lineRule="auto"/>
              <w:jc w:val="right"/>
              <w:rPr>
                <w:rFonts w:eastAsia="Times New Roman" w:cs="Calibri"/>
                <w:b/>
                <w:bCs/>
                <w:color w:val="000000"/>
                <w:sz w:val="24"/>
                <w:szCs w:val="24"/>
                <w:lang w:eastAsia="en-GB"/>
              </w:rPr>
            </w:pPr>
            <w:r w:rsidRPr="00117B24">
              <w:rPr>
                <w:rFonts w:eastAsia="Times New Roman" w:cs="Calibri"/>
                <w:b/>
                <w:bCs/>
                <w:color w:val="000000"/>
                <w:sz w:val="24"/>
                <w:szCs w:val="24"/>
                <w:lang w:eastAsia="en-GB"/>
              </w:rPr>
              <w:t>5.079</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2785C54A" w14:textId="77777777" w:rsidR="00117B24" w:rsidRPr="00117B24" w:rsidRDefault="00117B24" w:rsidP="00117B24">
            <w:pPr>
              <w:spacing w:after="0" w:line="240" w:lineRule="auto"/>
              <w:jc w:val="right"/>
              <w:rPr>
                <w:rFonts w:eastAsia="Times New Roman" w:cs="Calibri"/>
                <w:b/>
                <w:bCs/>
                <w:color w:val="000000"/>
                <w:sz w:val="24"/>
                <w:szCs w:val="24"/>
                <w:lang w:eastAsia="en-GB"/>
              </w:rPr>
            </w:pPr>
            <w:r w:rsidRPr="00117B24">
              <w:rPr>
                <w:rFonts w:eastAsia="Times New Roman" w:cs="Calibri"/>
                <w:b/>
                <w:bCs/>
                <w:color w:val="000000"/>
                <w:sz w:val="24"/>
                <w:szCs w:val="24"/>
                <w:lang w:eastAsia="en-GB"/>
              </w:rPr>
              <w:t>4.155</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51EE72A9" w14:textId="77777777" w:rsidR="00117B24" w:rsidRPr="00117B24" w:rsidRDefault="00117B24" w:rsidP="00117B24">
            <w:pPr>
              <w:spacing w:after="0" w:line="240" w:lineRule="auto"/>
              <w:jc w:val="right"/>
              <w:rPr>
                <w:rFonts w:eastAsia="Times New Roman" w:cs="Calibri"/>
                <w:b/>
                <w:bCs/>
                <w:color w:val="000000"/>
                <w:sz w:val="24"/>
                <w:szCs w:val="24"/>
                <w:lang w:eastAsia="en-GB"/>
              </w:rPr>
            </w:pPr>
            <w:r w:rsidRPr="00117B24">
              <w:rPr>
                <w:rFonts w:eastAsia="Times New Roman" w:cs="Calibri"/>
                <w:b/>
                <w:bCs/>
                <w:color w:val="000000"/>
                <w:sz w:val="24"/>
                <w:szCs w:val="24"/>
                <w:lang w:eastAsia="en-GB"/>
              </w:rPr>
              <w:t>3.454</w:t>
            </w:r>
          </w:p>
        </w:tc>
      </w:tr>
    </w:tbl>
    <w:p w14:paraId="04E82890" w14:textId="77777777" w:rsidR="00117B24" w:rsidRPr="0074575D" w:rsidRDefault="00117B24" w:rsidP="00425585">
      <w:pPr>
        <w:spacing w:after="0" w:line="240" w:lineRule="auto"/>
        <w:rPr>
          <w:rFonts w:ascii="Arial" w:hAnsi="Arial" w:cs="Arial"/>
          <w:highlight w:val="yellow"/>
        </w:rPr>
      </w:pPr>
    </w:p>
    <w:p w14:paraId="4C60BA6E" w14:textId="56C268F3" w:rsidR="001C1326" w:rsidRPr="006770A5" w:rsidRDefault="002D4D15" w:rsidP="006770A5">
      <w:pPr>
        <w:pStyle w:val="PanelHeading"/>
      </w:pPr>
      <w:r w:rsidRPr="006770A5">
        <w:t>Capital Programme</w:t>
      </w:r>
    </w:p>
    <w:p w14:paraId="7B35BCB5" w14:textId="79872104" w:rsidR="006770A5" w:rsidRPr="007375CA" w:rsidRDefault="00E26588" w:rsidP="006770A5">
      <w:pPr>
        <w:pStyle w:val="PanelPara"/>
      </w:pPr>
      <w:r w:rsidRPr="007375CA">
        <w:t xml:space="preserve">A </w:t>
      </w:r>
      <w:r w:rsidR="00EE4050" w:rsidRPr="007375CA">
        <w:t>C</w:t>
      </w:r>
      <w:r w:rsidRPr="007375CA">
        <w:t xml:space="preserve">apital </w:t>
      </w:r>
      <w:r w:rsidR="00EE4050" w:rsidRPr="007375CA">
        <w:t>P</w:t>
      </w:r>
      <w:r w:rsidRPr="007375CA">
        <w:t>rogramme has been approved as part of the budget setting process, which identifie</w:t>
      </w:r>
      <w:r w:rsidR="006770A5" w:rsidRPr="007375CA">
        <w:t>s</w:t>
      </w:r>
      <w:r w:rsidR="007375CA" w:rsidRPr="007375CA">
        <w:t xml:space="preserve"> the</w:t>
      </w:r>
      <w:r w:rsidRPr="007375CA">
        <w:t xml:space="preserve"> requirements across </w:t>
      </w:r>
      <w:r w:rsidR="00DF18AF" w:rsidRPr="007375CA">
        <w:t>fleet</w:t>
      </w:r>
      <w:r w:rsidRPr="007375CA">
        <w:t xml:space="preserve">, </w:t>
      </w:r>
      <w:r w:rsidR="00DF18AF" w:rsidRPr="007375CA">
        <w:t>estates</w:t>
      </w:r>
      <w:r w:rsidRPr="007375CA">
        <w:t xml:space="preserve">, ICT and </w:t>
      </w:r>
      <w:r w:rsidR="00DF18AF" w:rsidRPr="007375CA">
        <w:t xml:space="preserve">operational </w:t>
      </w:r>
      <w:r w:rsidRPr="007375CA">
        <w:t>equipment.</w:t>
      </w:r>
    </w:p>
    <w:p w14:paraId="7BE40AE3" w14:textId="274650CA" w:rsidR="002D7500" w:rsidRPr="007375CA" w:rsidRDefault="00E26588" w:rsidP="006770A5">
      <w:pPr>
        <w:pStyle w:val="PanelPara"/>
      </w:pPr>
      <w:r w:rsidRPr="007375CA">
        <w:t xml:space="preserve">The approved </w:t>
      </w:r>
      <w:r w:rsidR="00EE4050" w:rsidRPr="007375CA">
        <w:t>C</w:t>
      </w:r>
      <w:r w:rsidRPr="007375CA">
        <w:t xml:space="preserve">apital </w:t>
      </w:r>
      <w:r w:rsidR="00EE4050" w:rsidRPr="007375CA">
        <w:t>P</w:t>
      </w:r>
      <w:r w:rsidRPr="007375CA">
        <w:t>rogramme is as follows:</w:t>
      </w:r>
    </w:p>
    <w:tbl>
      <w:tblPr>
        <w:tblW w:w="8985" w:type="dxa"/>
        <w:tblInd w:w="-5" w:type="dxa"/>
        <w:tblLook w:val="04A0" w:firstRow="1" w:lastRow="0" w:firstColumn="1" w:lastColumn="0" w:noHBand="0" w:noVBand="1"/>
      </w:tblPr>
      <w:tblGrid>
        <w:gridCol w:w="3740"/>
        <w:gridCol w:w="1049"/>
        <w:gridCol w:w="1049"/>
        <w:gridCol w:w="1049"/>
        <w:gridCol w:w="1049"/>
        <w:gridCol w:w="1049"/>
      </w:tblGrid>
      <w:tr w:rsidR="006770A5" w:rsidRPr="006770A5" w14:paraId="37C44E0E" w14:textId="77777777" w:rsidTr="00117B24">
        <w:trPr>
          <w:trHeight w:val="630"/>
        </w:trPr>
        <w:tc>
          <w:tcPr>
            <w:tcW w:w="3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ABFC06" w14:textId="77777777" w:rsidR="006770A5" w:rsidRPr="006770A5" w:rsidRDefault="006770A5" w:rsidP="006770A5">
            <w:pPr>
              <w:spacing w:after="0" w:line="240" w:lineRule="auto"/>
              <w:jc w:val="center"/>
              <w:rPr>
                <w:rFonts w:eastAsia="Times New Roman" w:cs="Calibri"/>
                <w:b/>
                <w:bCs/>
                <w:color w:val="000000"/>
                <w:sz w:val="24"/>
                <w:szCs w:val="24"/>
                <w:lang w:eastAsia="en-GB"/>
              </w:rPr>
            </w:pPr>
            <w:r w:rsidRPr="006770A5">
              <w:rPr>
                <w:rFonts w:eastAsia="Times New Roman" w:cs="Calibri"/>
                <w:b/>
                <w:bCs/>
                <w:color w:val="000000"/>
                <w:sz w:val="24"/>
                <w:szCs w:val="24"/>
                <w:lang w:eastAsia="en-GB"/>
              </w:rPr>
              <w:t>Programme</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14:paraId="79F064AB" w14:textId="77777777" w:rsidR="006770A5" w:rsidRPr="006770A5" w:rsidRDefault="006770A5" w:rsidP="006770A5">
            <w:pPr>
              <w:spacing w:after="0" w:line="240" w:lineRule="auto"/>
              <w:jc w:val="center"/>
              <w:rPr>
                <w:rFonts w:eastAsia="Times New Roman" w:cs="Calibri"/>
                <w:b/>
                <w:bCs/>
                <w:color w:val="000000"/>
                <w:sz w:val="24"/>
                <w:szCs w:val="24"/>
                <w:lang w:eastAsia="en-GB"/>
              </w:rPr>
            </w:pPr>
            <w:r w:rsidRPr="006770A5">
              <w:rPr>
                <w:rFonts w:eastAsia="Times New Roman" w:cs="Calibri"/>
                <w:b/>
                <w:bCs/>
                <w:color w:val="000000"/>
                <w:sz w:val="24"/>
                <w:szCs w:val="24"/>
                <w:lang w:eastAsia="en-GB"/>
              </w:rPr>
              <w:t>2024/25</w:t>
            </w:r>
            <w:r w:rsidRPr="006770A5">
              <w:rPr>
                <w:rFonts w:eastAsia="Times New Roman" w:cs="Calibri"/>
                <w:b/>
                <w:bCs/>
                <w:color w:val="000000"/>
                <w:sz w:val="24"/>
                <w:szCs w:val="24"/>
                <w:lang w:eastAsia="en-GB"/>
              </w:rPr>
              <w:br/>
              <w:t>£m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14:paraId="1652E2F1" w14:textId="77777777" w:rsidR="006770A5" w:rsidRPr="006770A5" w:rsidRDefault="006770A5" w:rsidP="006770A5">
            <w:pPr>
              <w:spacing w:after="0" w:line="240" w:lineRule="auto"/>
              <w:jc w:val="center"/>
              <w:rPr>
                <w:rFonts w:eastAsia="Times New Roman" w:cs="Calibri"/>
                <w:b/>
                <w:bCs/>
                <w:color w:val="000000"/>
                <w:sz w:val="24"/>
                <w:szCs w:val="24"/>
                <w:lang w:eastAsia="en-GB"/>
              </w:rPr>
            </w:pPr>
            <w:r w:rsidRPr="006770A5">
              <w:rPr>
                <w:rFonts w:eastAsia="Times New Roman" w:cs="Calibri"/>
                <w:b/>
                <w:bCs/>
                <w:color w:val="000000"/>
                <w:sz w:val="24"/>
                <w:szCs w:val="24"/>
                <w:lang w:eastAsia="en-GB"/>
              </w:rPr>
              <w:t>2025/26</w:t>
            </w:r>
            <w:r w:rsidRPr="006770A5">
              <w:rPr>
                <w:rFonts w:eastAsia="Times New Roman" w:cs="Calibri"/>
                <w:b/>
                <w:bCs/>
                <w:color w:val="000000"/>
                <w:sz w:val="24"/>
                <w:szCs w:val="24"/>
                <w:lang w:eastAsia="en-GB"/>
              </w:rPr>
              <w:br/>
              <w:t>£m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14:paraId="04D903E8" w14:textId="77777777" w:rsidR="006770A5" w:rsidRPr="006770A5" w:rsidRDefault="006770A5" w:rsidP="006770A5">
            <w:pPr>
              <w:spacing w:after="0" w:line="240" w:lineRule="auto"/>
              <w:jc w:val="center"/>
              <w:rPr>
                <w:rFonts w:eastAsia="Times New Roman" w:cs="Calibri"/>
                <w:b/>
                <w:bCs/>
                <w:color w:val="000000"/>
                <w:sz w:val="24"/>
                <w:szCs w:val="24"/>
                <w:lang w:eastAsia="en-GB"/>
              </w:rPr>
            </w:pPr>
            <w:r w:rsidRPr="006770A5">
              <w:rPr>
                <w:rFonts w:eastAsia="Times New Roman" w:cs="Calibri"/>
                <w:b/>
                <w:bCs/>
                <w:color w:val="000000"/>
                <w:sz w:val="24"/>
                <w:szCs w:val="24"/>
                <w:lang w:eastAsia="en-GB"/>
              </w:rPr>
              <w:t>2026/27</w:t>
            </w:r>
            <w:r w:rsidRPr="006770A5">
              <w:rPr>
                <w:rFonts w:eastAsia="Times New Roman" w:cs="Calibri"/>
                <w:b/>
                <w:bCs/>
                <w:color w:val="000000"/>
                <w:sz w:val="24"/>
                <w:szCs w:val="24"/>
                <w:lang w:eastAsia="en-GB"/>
              </w:rPr>
              <w:br/>
              <w:t>£m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14:paraId="14779248" w14:textId="77777777" w:rsidR="006770A5" w:rsidRPr="006770A5" w:rsidRDefault="006770A5" w:rsidP="006770A5">
            <w:pPr>
              <w:spacing w:after="0" w:line="240" w:lineRule="auto"/>
              <w:jc w:val="center"/>
              <w:rPr>
                <w:rFonts w:eastAsia="Times New Roman" w:cs="Calibri"/>
                <w:b/>
                <w:bCs/>
                <w:color w:val="000000"/>
                <w:sz w:val="24"/>
                <w:szCs w:val="24"/>
                <w:lang w:eastAsia="en-GB"/>
              </w:rPr>
            </w:pPr>
            <w:r w:rsidRPr="006770A5">
              <w:rPr>
                <w:rFonts w:eastAsia="Times New Roman" w:cs="Calibri"/>
                <w:b/>
                <w:bCs/>
                <w:color w:val="000000"/>
                <w:sz w:val="24"/>
                <w:szCs w:val="24"/>
                <w:lang w:eastAsia="en-GB"/>
              </w:rPr>
              <w:t>2027/28</w:t>
            </w:r>
            <w:r w:rsidRPr="006770A5">
              <w:rPr>
                <w:rFonts w:eastAsia="Times New Roman" w:cs="Calibri"/>
                <w:b/>
                <w:bCs/>
                <w:color w:val="000000"/>
                <w:sz w:val="24"/>
                <w:szCs w:val="24"/>
                <w:lang w:eastAsia="en-GB"/>
              </w:rPr>
              <w:br/>
              <w:t>£m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14:paraId="4A339412" w14:textId="77777777" w:rsidR="006770A5" w:rsidRPr="006770A5" w:rsidRDefault="006770A5" w:rsidP="006770A5">
            <w:pPr>
              <w:spacing w:after="0" w:line="240" w:lineRule="auto"/>
              <w:jc w:val="center"/>
              <w:rPr>
                <w:rFonts w:eastAsia="Times New Roman" w:cs="Calibri"/>
                <w:b/>
                <w:bCs/>
                <w:color w:val="000000"/>
                <w:sz w:val="24"/>
                <w:szCs w:val="24"/>
                <w:lang w:eastAsia="en-GB"/>
              </w:rPr>
            </w:pPr>
            <w:r w:rsidRPr="006770A5">
              <w:rPr>
                <w:rFonts w:eastAsia="Times New Roman" w:cs="Calibri"/>
                <w:b/>
                <w:bCs/>
                <w:color w:val="000000"/>
                <w:sz w:val="24"/>
                <w:szCs w:val="24"/>
                <w:lang w:eastAsia="en-GB"/>
              </w:rPr>
              <w:t>2028/29</w:t>
            </w:r>
            <w:r w:rsidRPr="006770A5">
              <w:rPr>
                <w:rFonts w:eastAsia="Times New Roman" w:cs="Calibri"/>
                <w:b/>
                <w:bCs/>
                <w:color w:val="000000"/>
                <w:sz w:val="24"/>
                <w:szCs w:val="24"/>
                <w:lang w:eastAsia="en-GB"/>
              </w:rPr>
              <w:br/>
              <w:t>£m</w:t>
            </w:r>
          </w:p>
        </w:tc>
      </w:tr>
      <w:tr w:rsidR="006770A5" w:rsidRPr="006770A5" w14:paraId="5EB4DADF" w14:textId="77777777" w:rsidTr="00117B24">
        <w:trPr>
          <w:trHeight w:val="315"/>
        </w:trPr>
        <w:tc>
          <w:tcPr>
            <w:tcW w:w="3740" w:type="dxa"/>
            <w:tcBorders>
              <w:top w:val="nil"/>
              <w:left w:val="single" w:sz="4" w:space="0" w:color="auto"/>
              <w:bottom w:val="nil"/>
              <w:right w:val="single" w:sz="4" w:space="0" w:color="auto"/>
            </w:tcBorders>
            <w:shd w:val="clear" w:color="000000" w:fill="FFFFFF"/>
            <w:noWrap/>
            <w:vAlign w:val="bottom"/>
            <w:hideMark/>
          </w:tcPr>
          <w:p w14:paraId="00F34EEC" w14:textId="77777777" w:rsidR="006770A5" w:rsidRPr="006770A5" w:rsidRDefault="006770A5" w:rsidP="006770A5">
            <w:pPr>
              <w:spacing w:after="0" w:line="240" w:lineRule="auto"/>
              <w:rPr>
                <w:rFonts w:eastAsia="Times New Roman" w:cs="Calibri"/>
                <w:color w:val="000000"/>
                <w:sz w:val="24"/>
                <w:szCs w:val="24"/>
                <w:lang w:eastAsia="en-GB"/>
              </w:rPr>
            </w:pPr>
            <w:r w:rsidRPr="006770A5">
              <w:rPr>
                <w:rFonts w:eastAsia="Times New Roman" w:cs="Calibri"/>
                <w:color w:val="000000"/>
                <w:sz w:val="24"/>
                <w:szCs w:val="24"/>
                <w:lang w:eastAsia="en-GB"/>
              </w:rPr>
              <w:t>Estates</w:t>
            </w:r>
          </w:p>
        </w:tc>
        <w:tc>
          <w:tcPr>
            <w:tcW w:w="1049" w:type="dxa"/>
            <w:tcBorders>
              <w:top w:val="nil"/>
              <w:left w:val="nil"/>
              <w:bottom w:val="nil"/>
              <w:right w:val="single" w:sz="4" w:space="0" w:color="auto"/>
            </w:tcBorders>
            <w:shd w:val="clear" w:color="000000" w:fill="DDEBF7"/>
            <w:noWrap/>
            <w:vAlign w:val="bottom"/>
            <w:hideMark/>
          </w:tcPr>
          <w:p w14:paraId="1127736D" w14:textId="77777777" w:rsidR="006770A5" w:rsidRPr="006770A5" w:rsidRDefault="006770A5" w:rsidP="006770A5">
            <w:pPr>
              <w:spacing w:after="0" w:line="240" w:lineRule="auto"/>
              <w:jc w:val="right"/>
              <w:rPr>
                <w:rFonts w:eastAsia="Times New Roman" w:cs="Calibri"/>
                <w:color w:val="000000"/>
                <w:sz w:val="24"/>
                <w:szCs w:val="24"/>
                <w:lang w:eastAsia="en-GB"/>
              </w:rPr>
            </w:pPr>
            <w:r w:rsidRPr="006770A5">
              <w:rPr>
                <w:rFonts w:eastAsia="Times New Roman" w:cs="Calibri"/>
                <w:color w:val="000000"/>
                <w:sz w:val="24"/>
                <w:szCs w:val="24"/>
                <w:lang w:eastAsia="en-GB"/>
              </w:rPr>
              <w:t>6.1</w:t>
            </w:r>
          </w:p>
        </w:tc>
        <w:tc>
          <w:tcPr>
            <w:tcW w:w="1049" w:type="dxa"/>
            <w:tcBorders>
              <w:top w:val="nil"/>
              <w:left w:val="nil"/>
              <w:bottom w:val="nil"/>
              <w:right w:val="single" w:sz="4" w:space="0" w:color="auto"/>
            </w:tcBorders>
            <w:shd w:val="clear" w:color="000000" w:fill="DDEBF7"/>
            <w:noWrap/>
            <w:vAlign w:val="bottom"/>
            <w:hideMark/>
          </w:tcPr>
          <w:p w14:paraId="3183DF36" w14:textId="77777777" w:rsidR="006770A5" w:rsidRPr="006770A5" w:rsidRDefault="006770A5" w:rsidP="006770A5">
            <w:pPr>
              <w:spacing w:after="0" w:line="240" w:lineRule="auto"/>
              <w:jc w:val="right"/>
              <w:rPr>
                <w:rFonts w:eastAsia="Times New Roman" w:cs="Calibri"/>
                <w:color w:val="000000"/>
                <w:sz w:val="24"/>
                <w:szCs w:val="24"/>
                <w:lang w:eastAsia="en-GB"/>
              </w:rPr>
            </w:pPr>
            <w:r w:rsidRPr="006770A5">
              <w:rPr>
                <w:rFonts w:eastAsia="Times New Roman" w:cs="Calibri"/>
                <w:color w:val="000000"/>
                <w:sz w:val="24"/>
                <w:szCs w:val="24"/>
                <w:lang w:eastAsia="en-GB"/>
              </w:rPr>
              <w:t>5.7</w:t>
            </w:r>
          </w:p>
        </w:tc>
        <w:tc>
          <w:tcPr>
            <w:tcW w:w="1049" w:type="dxa"/>
            <w:tcBorders>
              <w:top w:val="nil"/>
              <w:left w:val="nil"/>
              <w:bottom w:val="nil"/>
              <w:right w:val="single" w:sz="4" w:space="0" w:color="auto"/>
            </w:tcBorders>
            <w:shd w:val="clear" w:color="000000" w:fill="DDEBF7"/>
            <w:noWrap/>
            <w:vAlign w:val="bottom"/>
            <w:hideMark/>
          </w:tcPr>
          <w:p w14:paraId="2B16EBF4" w14:textId="77777777" w:rsidR="006770A5" w:rsidRPr="006770A5" w:rsidRDefault="006770A5" w:rsidP="006770A5">
            <w:pPr>
              <w:spacing w:after="0" w:line="240" w:lineRule="auto"/>
              <w:jc w:val="right"/>
              <w:rPr>
                <w:rFonts w:eastAsia="Times New Roman" w:cs="Calibri"/>
                <w:color w:val="000000"/>
                <w:sz w:val="24"/>
                <w:szCs w:val="24"/>
                <w:lang w:eastAsia="en-GB"/>
              </w:rPr>
            </w:pPr>
            <w:r w:rsidRPr="006770A5">
              <w:rPr>
                <w:rFonts w:eastAsia="Times New Roman" w:cs="Calibri"/>
                <w:color w:val="000000"/>
                <w:sz w:val="24"/>
                <w:szCs w:val="24"/>
                <w:lang w:eastAsia="en-GB"/>
              </w:rPr>
              <w:t>4.8</w:t>
            </w:r>
          </w:p>
        </w:tc>
        <w:tc>
          <w:tcPr>
            <w:tcW w:w="1049" w:type="dxa"/>
            <w:tcBorders>
              <w:top w:val="nil"/>
              <w:left w:val="nil"/>
              <w:bottom w:val="nil"/>
              <w:right w:val="single" w:sz="4" w:space="0" w:color="auto"/>
            </w:tcBorders>
            <w:shd w:val="clear" w:color="000000" w:fill="DDEBF7"/>
            <w:noWrap/>
            <w:vAlign w:val="bottom"/>
            <w:hideMark/>
          </w:tcPr>
          <w:p w14:paraId="2966BCDB" w14:textId="77777777" w:rsidR="006770A5" w:rsidRPr="006770A5" w:rsidRDefault="006770A5" w:rsidP="006770A5">
            <w:pPr>
              <w:spacing w:after="0" w:line="240" w:lineRule="auto"/>
              <w:jc w:val="right"/>
              <w:rPr>
                <w:rFonts w:eastAsia="Times New Roman" w:cs="Calibri"/>
                <w:color w:val="000000"/>
                <w:sz w:val="24"/>
                <w:szCs w:val="24"/>
                <w:lang w:eastAsia="en-GB"/>
              </w:rPr>
            </w:pPr>
            <w:r w:rsidRPr="006770A5">
              <w:rPr>
                <w:rFonts w:eastAsia="Times New Roman" w:cs="Calibri"/>
                <w:color w:val="000000"/>
                <w:sz w:val="24"/>
                <w:szCs w:val="24"/>
                <w:lang w:eastAsia="en-GB"/>
              </w:rPr>
              <w:t>4.8</w:t>
            </w:r>
          </w:p>
        </w:tc>
        <w:tc>
          <w:tcPr>
            <w:tcW w:w="1049" w:type="dxa"/>
            <w:tcBorders>
              <w:top w:val="nil"/>
              <w:left w:val="nil"/>
              <w:bottom w:val="nil"/>
              <w:right w:val="single" w:sz="4" w:space="0" w:color="auto"/>
            </w:tcBorders>
            <w:shd w:val="clear" w:color="000000" w:fill="DDEBF7"/>
            <w:noWrap/>
            <w:vAlign w:val="bottom"/>
            <w:hideMark/>
          </w:tcPr>
          <w:p w14:paraId="6567EB25" w14:textId="77777777" w:rsidR="006770A5" w:rsidRPr="006770A5" w:rsidRDefault="006770A5" w:rsidP="006770A5">
            <w:pPr>
              <w:spacing w:after="0" w:line="240" w:lineRule="auto"/>
              <w:jc w:val="right"/>
              <w:rPr>
                <w:rFonts w:eastAsia="Times New Roman" w:cs="Calibri"/>
                <w:color w:val="000000"/>
                <w:sz w:val="24"/>
                <w:szCs w:val="24"/>
                <w:lang w:eastAsia="en-GB"/>
              </w:rPr>
            </w:pPr>
            <w:r w:rsidRPr="006770A5">
              <w:rPr>
                <w:rFonts w:eastAsia="Times New Roman" w:cs="Calibri"/>
                <w:color w:val="000000"/>
                <w:sz w:val="24"/>
                <w:szCs w:val="24"/>
                <w:lang w:eastAsia="en-GB"/>
              </w:rPr>
              <w:t>12.3</w:t>
            </w:r>
          </w:p>
        </w:tc>
      </w:tr>
      <w:tr w:rsidR="006770A5" w:rsidRPr="006770A5" w14:paraId="77D707B4" w14:textId="77777777" w:rsidTr="00117B24">
        <w:trPr>
          <w:trHeight w:val="315"/>
        </w:trPr>
        <w:tc>
          <w:tcPr>
            <w:tcW w:w="3740" w:type="dxa"/>
            <w:tcBorders>
              <w:top w:val="nil"/>
              <w:left w:val="single" w:sz="4" w:space="0" w:color="auto"/>
              <w:bottom w:val="nil"/>
              <w:right w:val="single" w:sz="4" w:space="0" w:color="auto"/>
            </w:tcBorders>
            <w:shd w:val="clear" w:color="000000" w:fill="FFFFFF"/>
            <w:noWrap/>
            <w:vAlign w:val="bottom"/>
            <w:hideMark/>
          </w:tcPr>
          <w:p w14:paraId="5B3D78DF" w14:textId="77777777" w:rsidR="006770A5" w:rsidRPr="006770A5" w:rsidRDefault="006770A5" w:rsidP="006770A5">
            <w:pPr>
              <w:spacing w:after="0" w:line="240" w:lineRule="auto"/>
              <w:rPr>
                <w:rFonts w:eastAsia="Times New Roman" w:cs="Calibri"/>
                <w:color w:val="000000"/>
                <w:sz w:val="24"/>
                <w:szCs w:val="24"/>
                <w:lang w:eastAsia="en-GB"/>
              </w:rPr>
            </w:pPr>
            <w:r w:rsidRPr="006770A5">
              <w:rPr>
                <w:rFonts w:eastAsia="Times New Roman" w:cs="Calibri"/>
                <w:color w:val="000000"/>
                <w:sz w:val="24"/>
                <w:szCs w:val="24"/>
                <w:lang w:eastAsia="en-GB"/>
              </w:rPr>
              <w:t>ICT</w:t>
            </w:r>
          </w:p>
        </w:tc>
        <w:tc>
          <w:tcPr>
            <w:tcW w:w="1049" w:type="dxa"/>
            <w:tcBorders>
              <w:top w:val="nil"/>
              <w:left w:val="nil"/>
              <w:bottom w:val="nil"/>
              <w:right w:val="single" w:sz="4" w:space="0" w:color="auto"/>
            </w:tcBorders>
            <w:shd w:val="clear" w:color="000000" w:fill="DDEBF7"/>
            <w:noWrap/>
            <w:vAlign w:val="bottom"/>
            <w:hideMark/>
          </w:tcPr>
          <w:p w14:paraId="6052F760" w14:textId="77777777" w:rsidR="006770A5" w:rsidRPr="006770A5" w:rsidRDefault="006770A5" w:rsidP="006770A5">
            <w:pPr>
              <w:spacing w:after="0" w:line="240" w:lineRule="auto"/>
              <w:jc w:val="right"/>
              <w:rPr>
                <w:rFonts w:eastAsia="Times New Roman" w:cs="Calibri"/>
                <w:color w:val="000000"/>
                <w:sz w:val="24"/>
                <w:szCs w:val="24"/>
                <w:lang w:eastAsia="en-GB"/>
              </w:rPr>
            </w:pPr>
            <w:r w:rsidRPr="006770A5">
              <w:rPr>
                <w:rFonts w:eastAsia="Times New Roman" w:cs="Calibri"/>
                <w:color w:val="000000"/>
                <w:sz w:val="24"/>
                <w:szCs w:val="24"/>
                <w:lang w:eastAsia="en-GB"/>
              </w:rPr>
              <w:t>6.7</w:t>
            </w:r>
          </w:p>
        </w:tc>
        <w:tc>
          <w:tcPr>
            <w:tcW w:w="1049" w:type="dxa"/>
            <w:tcBorders>
              <w:top w:val="nil"/>
              <w:left w:val="nil"/>
              <w:bottom w:val="nil"/>
              <w:right w:val="single" w:sz="4" w:space="0" w:color="auto"/>
            </w:tcBorders>
            <w:shd w:val="clear" w:color="000000" w:fill="DDEBF7"/>
            <w:noWrap/>
            <w:vAlign w:val="bottom"/>
            <w:hideMark/>
          </w:tcPr>
          <w:p w14:paraId="69E8FB15" w14:textId="77777777" w:rsidR="006770A5" w:rsidRPr="006770A5" w:rsidRDefault="006770A5" w:rsidP="006770A5">
            <w:pPr>
              <w:spacing w:after="0" w:line="240" w:lineRule="auto"/>
              <w:jc w:val="right"/>
              <w:rPr>
                <w:rFonts w:eastAsia="Times New Roman" w:cs="Calibri"/>
                <w:color w:val="000000"/>
                <w:sz w:val="24"/>
                <w:szCs w:val="24"/>
                <w:lang w:eastAsia="en-GB"/>
              </w:rPr>
            </w:pPr>
            <w:r w:rsidRPr="006770A5">
              <w:rPr>
                <w:rFonts w:eastAsia="Times New Roman" w:cs="Calibri"/>
                <w:color w:val="000000"/>
                <w:sz w:val="24"/>
                <w:szCs w:val="24"/>
                <w:lang w:eastAsia="en-GB"/>
              </w:rPr>
              <w:t>3.2</w:t>
            </w:r>
          </w:p>
        </w:tc>
        <w:tc>
          <w:tcPr>
            <w:tcW w:w="1049" w:type="dxa"/>
            <w:tcBorders>
              <w:top w:val="nil"/>
              <w:left w:val="nil"/>
              <w:bottom w:val="nil"/>
              <w:right w:val="single" w:sz="4" w:space="0" w:color="auto"/>
            </w:tcBorders>
            <w:shd w:val="clear" w:color="000000" w:fill="DDEBF7"/>
            <w:noWrap/>
            <w:vAlign w:val="bottom"/>
            <w:hideMark/>
          </w:tcPr>
          <w:p w14:paraId="29F55356" w14:textId="77777777" w:rsidR="006770A5" w:rsidRPr="006770A5" w:rsidRDefault="006770A5" w:rsidP="006770A5">
            <w:pPr>
              <w:spacing w:after="0" w:line="240" w:lineRule="auto"/>
              <w:jc w:val="right"/>
              <w:rPr>
                <w:rFonts w:eastAsia="Times New Roman" w:cs="Calibri"/>
                <w:color w:val="000000"/>
                <w:sz w:val="24"/>
                <w:szCs w:val="24"/>
                <w:lang w:eastAsia="en-GB"/>
              </w:rPr>
            </w:pPr>
            <w:r w:rsidRPr="006770A5">
              <w:rPr>
                <w:rFonts w:eastAsia="Times New Roman" w:cs="Calibri"/>
                <w:color w:val="000000"/>
                <w:sz w:val="24"/>
                <w:szCs w:val="24"/>
                <w:lang w:eastAsia="en-GB"/>
              </w:rPr>
              <w:t>3.3</w:t>
            </w:r>
          </w:p>
        </w:tc>
        <w:tc>
          <w:tcPr>
            <w:tcW w:w="1049" w:type="dxa"/>
            <w:tcBorders>
              <w:top w:val="nil"/>
              <w:left w:val="nil"/>
              <w:bottom w:val="nil"/>
              <w:right w:val="single" w:sz="4" w:space="0" w:color="auto"/>
            </w:tcBorders>
            <w:shd w:val="clear" w:color="000000" w:fill="DDEBF7"/>
            <w:noWrap/>
            <w:vAlign w:val="bottom"/>
            <w:hideMark/>
          </w:tcPr>
          <w:p w14:paraId="438AC3A3" w14:textId="77777777" w:rsidR="006770A5" w:rsidRPr="006770A5" w:rsidRDefault="006770A5" w:rsidP="006770A5">
            <w:pPr>
              <w:spacing w:after="0" w:line="240" w:lineRule="auto"/>
              <w:jc w:val="right"/>
              <w:rPr>
                <w:rFonts w:eastAsia="Times New Roman" w:cs="Calibri"/>
                <w:color w:val="000000"/>
                <w:sz w:val="24"/>
                <w:szCs w:val="24"/>
                <w:lang w:eastAsia="en-GB"/>
              </w:rPr>
            </w:pPr>
            <w:r w:rsidRPr="006770A5">
              <w:rPr>
                <w:rFonts w:eastAsia="Times New Roman" w:cs="Calibri"/>
                <w:color w:val="000000"/>
                <w:sz w:val="24"/>
                <w:szCs w:val="24"/>
                <w:lang w:eastAsia="en-GB"/>
              </w:rPr>
              <w:t>8.6</w:t>
            </w:r>
          </w:p>
        </w:tc>
        <w:tc>
          <w:tcPr>
            <w:tcW w:w="1049" w:type="dxa"/>
            <w:tcBorders>
              <w:top w:val="nil"/>
              <w:left w:val="nil"/>
              <w:bottom w:val="nil"/>
              <w:right w:val="single" w:sz="4" w:space="0" w:color="auto"/>
            </w:tcBorders>
            <w:shd w:val="clear" w:color="000000" w:fill="DDEBF7"/>
            <w:noWrap/>
            <w:vAlign w:val="bottom"/>
            <w:hideMark/>
          </w:tcPr>
          <w:p w14:paraId="3D80234D" w14:textId="77777777" w:rsidR="006770A5" w:rsidRPr="006770A5" w:rsidRDefault="006770A5" w:rsidP="006770A5">
            <w:pPr>
              <w:spacing w:after="0" w:line="240" w:lineRule="auto"/>
              <w:jc w:val="right"/>
              <w:rPr>
                <w:rFonts w:eastAsia="Times New Roman" w:cs="Calibri"/>
                <w:color w:val="000000"/>
                <w:sz w:val="24"/>
                <w:szCs w:val="24"/>
                <w:lang w:eastAsia="en-GB"/>
              </w:rPr>
            </w:pPr>
            <w:r w:rsidRPr="006770A5">
              <w:rPr>
                <w:rFonts w:eastAsia="Times New Roman" w:cs="Calibri"/>
                <w:color w:val="000000"/>
                <w:sz w:val="24"/>
                <w:szCs w:val="24"/>
                <w:lang w:eastAsia="en-GB"/>
              </w:rPr>
              <w:t>4.4</w:t>
            </w:r>
          </w:p>
        </w:tc>
      </w:tr>
      <w:tr w:rsidR="006770A5" w:rsidRPr="006770A5" w14:paraId="523D3463" w14:textId="77777777" w:rsidTr="00117B24">
        <w:trPr>
          <w:trHeight w:val="315"/>
        </w:trPr>
        <w:tc>
          <w:tcPr>
            <w:tcW w:w="3740" w:type="dxa"/>
            <w:tcBorders>
              <w:top w:val="nil"/>
              <w:left w:val="single" w:sz="4" w:space="0" w:color="auto"/>
              <w:bottom w:val="nil"/>
              <w:right w:val="single" w:sz="4" w:space="0" w:color="auto"/>
            </w:tcBorders>
            <w:shd w:val="clear" w:color="000000" w:fill="FFFFFF"/>
            <w:noWrap/>
            <w:vAlign w:val="bottom"/>
            <w:hideMark/>
          </w:tcPr>
          <w:p w14:paraId="0F4F7037" w14:textId="77777777" w:rsidR="006770A5" w:rsidRPr="006770A5" w:rsidRDefault="006770A5" w:rsidP="006770A5">
            <w:pPr>
              <w:spacing w:after="0" w:line="240" w:lineRule="auto"/>
              <w:rPr>
                <w:rFonts w:eastAsia="Times New Roman" w:cs="Calibri"/>
                <w:color w:val="000000"/>
                <w:sz w:val="24"/>
                <w:szCs w:val="24"/>
                <w:lang w:eastAsia="en-GB"/>
              </w:rPr>
            </w:pPr>
            <w:r w:rsidRPr="006770A5">
              <w:rPr>
                <w:rFonts w:eastAsia="Times New Roman" w:cs="Calibri"/>
                <w:color w:val="000000"/>
                <w:sz w:val="24"/>
                <w:szCs w:val="24"/>
                <w:lang w:eastAsia="en-GB"/>
              </w:rPr>
              <w:t>Vehicles &amp; Operational Equipment</w:t>
            </w:r>
          </w:p>
        </w:tc>
        <w:tc>
          <w:tcPr>
            <w:tcW w:w="1049" w:type="dxa"/>
            <w:tcBorders>
              <w:top w:val="nil"/>
              <w:left w:val="nil"/>
              <w:bottom w:val="nil"/>
              <w:right w:val="single" w:sz="4" w:space="0" w:color="auto"/>
            </w:tcBorders>
            <w:shd w:val="clear" w:color="000000" w:fill="DDEBF7"/>
            <w:noWrap/>
            <w:vAlign w:val="bottom"/>
            <w:hideMark/>
          </w:tcPr>
          <w:p w14:paraId="7590B024" w14:textId="77777777" w:rsidR="006770A5" w:rsidRPr="006770A5" w:rsidRDefault="006770A5" w:rsidP="006770A5">
            <w:pPr>
              <w:spacing w:after="0" w:line="240" w:lineRule="auto"/>
              <w:jc w:val="right"/>
              <w:rPr>
                <w:rFonts w:eastAsia="Times New Roman" w:cs="Calibri"/>
                <w:color w:val="000000"/>
                <w:sz w:val="24"/>
                <w:szCs w:val="24"/>
                <w:lang w:eastAsia="en-GB"/>
              </w:rPr>
            </w:pPr>
            <w:r w:rsidRPr="006770A5">
              <w:rPr>
                <w:rFonts w:eastAsia="Times New Roman" w:cs="Calibri"/>
                <w:color w:val="000000"/>
                <w:sz w:val="24"/>
                <w:szCs w:val="24"/>
                <w:lang w:eastAsia="en-GB"/>
              </w:rPr>
              <w:t>1.9</w:t>
            </w:r>
          </w:p>
        </w:tc>
        <w:tc>
          <w:tcPr>
            <w:tcW w:w="1049" w:type="dxa"/>
            <w:tcBorders>
              <w:top w:val="nil"/>
              <w:left w:val="nil"/>
              <w:bottom w:val="nil"/>
              <w:right w:val="single" w:sz="4" w:space="0" w:color="auto"/>
            </w:tcBorders>
            <w:shd w:val="clear" w:color="000000" w:fill="DDEBF7"/>
            <w:noWrap/>
            <w:vAlign w:val="bottom"/>
            <w:hideMark/>
          </w:tcPr>
          <w:p w14:paraId="4AC23DD4" w14:textId="77777777" w:rsidR="006770A5" w:rsidRPr="006770A5" w:rsidRDefault="006770A5" w:rsidP="006770A5">
            <w:pPr>
              <w:spacing w:after="0" w:line="240" w:lineRule="auto"/>
              <w:jc w:val="right"/>
              <w:rPr>
                <w:rFonts w:eastAsia="Times New Roman" w:cs="Calibri"/>
                <w:color w:val="000000"/>
                <w:sz w:val="24"/>
                <w:szCs w:val="24"/>
                <w:lang w:eastAsia="en-GB"/>
              </w:rPr>
            </w:pPr>
            <w:r w:rsidRPr="006770A5">
              <w:rPr>
                <w:rFonts w:eastAsia="Times New Roman" w:cs="Calibri"/>
                <w:color w:val="000000"/>
                <w:sz w:val="24"/>
                <w:szCs w:val="24"/>
                <w:lang w:eastAsia="en-GB"/>
              </w:rPr>
              <w:t>1.3</w:t>
            </w:r>
          </w:p>
        </w:tc>
        <w:tc>
          <w:tcPr>
            <w:tcW w:w="1049" w:type="dxa"/>
            <w:tcBorders>
              <w:top w:val="nil"/>
              <w:left w:val="nil"/>
              <w:bottom w:val="nil"/>
              <w:right w:val="single" w:sz="4" w:space="0" w:color="auto"/>
            </w:tcBorders>
            <w:shd w:val="clear" w:color="000000" w:fill="DDEBF7"/>
            <w:noWrap/>
            <w:vAlign w:val="bottom"/>
            <w:hideMark/>
          </w:tcPr>
          <w:p w14:paraId="18CAC576" w14:textId="77777777" w:rsidR="006770A5" w:rsidRPr="006770A5" w:rsidRDefault="006770A5" w:rsidP="006770A5">
            <w:pPr>
              <w:spacing w:after="0" w:line="240" w:lineRule="auto"/>
              <w:jc w:val="right"/>
              <w:rPr>
                <w:rFonts w:eastAsia="Times New Roman" w:cs="Calibri"/>
                <w:color w:val="000000"/>
                <w:sz w:val="24"/>
                <w:szCs w:val="24"/>
                <w:lang w:eastAsia="en-GB"/>
              </w:rPr>
            </w:pPr>
            <w:r w:rsidRPr="006770A5">
              <w:rPr>
                <w:rFonts w:eastAsia="Times New Roman" w:cs="Calibri"/>
                <w:color w:val="000000"/>
                <w:sz w:val="24"/>
                <w:szCs w:val="24"/>
                <w:lang w:eastAsia="en-GB"/>
              </w:rPr>
              <w:t>1.4</w:t>
            </w:r>
          </w:p>
        </w:tc>
        <w:tc>
          <w:tcPr>
            <w:tcW w:w="1049" w:type="dxa"/>
            <w:tcBorders>
              <w:top w:val="nil"/>
              <w:left w:val="nil"/>
              <w:bottom w:val="nil"/>
              <w:right w:val="single" w:sz="4" w:space="0" w:color="auto"/>
            </w:tcBorders>
            <w:shd w:val="clear" w:color="000000" w:fill="DDEBF7"/>
            <w:noWrap/>
            <w:vAlign w:val="bottom"/>
            <w:hideMark/>
          </w:tcPr>
          <w:p w14:paraId="3605F25F" w14:textId="77777777" w:rsidR="006770A5" w:rsidRPr="006770A5" w:rsidRDefault="006770A5" w:rsidP="006770A5">
            <w:pPr>
              <w:spacing w:after="0" w:line="240" w:lineRule="auto"/>
              <w:jc w:val="right"/>
              <w:rPr>
                <w:rFonts w:eastAsia="Times New Roman" w:cs="Calibri"/>
                <w:color w:val="000000"/>
                <w:sz w:val="24"/>
                <w:szCs w:val="24"/>
                <w:lang w:eastAsia="en-GB"/>
              </w:rPr>
            </w:pPr>
            <w:r w:rsidRPr="006770A5">
              <w:rPr>
                <w:rFonts w:eastAsia="Times New Roman" w:cs="Calibri"/>
                <w:color w:val="000000"/>
                <w:sz w:val="24"/>
                <w:szCs w:val="24"/>
                <w:lang w:eastAsia="en-GB"/>
              </w:rPr>
              <w:t>1.3</w:t>
            </w:r>
          </w:p>
        </w:tc>
        <w:tc>
          <w:tcPr>
            <w:tcW w:w="1049" w:type="dxa"/>
            <w:tcBorders>
              <w:top w:val="nil"/>
              <w:left w:val="nil"/>
              <w:bottom w:val="nil"/>
              <w:right w:val="single" w:sz="4" w:space="0" w:color="auto"/>
            </w:tcBorders>
            <w:shd w:val="clear" w:color="000000" w:fill="DDEBF7"/>
            <w:noWrap/>
            <w:vAlign w:val="bottom"/>
            <w:hideMark/>
          </w:tcPr>
          <w:p w14:paraId="1D2FEA53" w14:textId="77777777" w:rsidR="006770A5" w:rsidRPr="006770A5" w:rsidRDefault="006770A5" w:rsidP="006770A5">
            <w:pPr>
              <w:spacing w:after="0" w:line="240" w:lineRule="auto"/>
              <w:jc w:val="right"/>
              <w:rPr>
                <w:rFonts w:eastAsia="Times New Roman" w:cs="Calibri"/>
                <w:color w:val="000000"/>
                <w:sz w:val="24"/>
                <w:szCs w:val="24"/>
                <w:lang w:eastAsia="en-GB"/>
              </w:rPr>
            </w:pPr>
            <w:r w:rsidRPr="006770A5">
              <w:rPr>
                <w:rFonts w:eastAsia="Times New Roman" w:cs="Calibri"/>
                <w:color w:val="000000"/>
                <w:sz w:val="24"/>
                <w:szCs w:val="24"/>
                <w:lang w:eastAsia="en-GB"/>
              </w:rPr>
              <w:t>1.4</w:t>
            </w:r>
          </w:p>
        </w:tc>
      </w:tr>
      <w:tr w:rsidR="006770A5" w:rsidRPr="006770A5" w14:paraId="54210477" w14:textId="77777777" w:rsidTr="00117B24">
        <w:trPr>
          <w:trHeight w:val="315"/>
        </w:trPr>
        <w:tc>
          <w:tcPr>
            <w:tcW w:w="37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0FA9B0" w14:textId="77777777" w:rsidR="006770A5" w:rsidRPr="006770A5" w:rsidRDefault="006770A5" w:rsidP="006770A5">
            <w:pPr>
              <w:spacing w:after="0" w:line="240" w:lineRule="auto"/>
              <w:rPr>
                <w:rFonts w:eastAsia="Times New Roman" w:cs="Calibri"/>
                <w:b/>
                <w:bCs/>
                <w:color w:val="000000"/>
                <w:sz w:val="24"/>
                <w:szCs w:val="24"/>
                <w:lang w:eastAsia="en-GB"/>
              </w:rPr>
            </w:pPr>
            <w:r w:rsidRPr="006770A5">
              <w:rPr>
                <w:rFonts w:eastAsia="Times New Roman" w:cs="Calibri"/>
                <w:b/>
                <w:bCs/>
                <w:color w:val="000000"/>
                <w:sz w:val="24"/>
                <w:szCs w:val="24"/>
                <w:lang w:eastAsia="en-GB"/>
              </w:rPr>
              <w:t>TOTAL</w:t>
            </w:r>
          </w:p>
        </w:tc>
        <w:tc>
          <w:tcPr>
            <w:tcW w:w="1049" w:type="dxa"/>
            <w:tcBorders>
              <w:top w:val="single" w:sz="4" w:space="0" w:color="auto"/>
              <w:left w:val="nil"/>
              <w:bottom w:val="single" w:sz="4" w:space="0" w:color="auto"/>
              <w:right w:val="single" w:sz="4" w:space="0" w:color="auto"/>
            </w:tcBorders>
            <w:shd w:val="clear" w:color="000000" w:fill="DDEBF7"/>
            <w:noWrap/>
            <w:vAlign w:val="bottom"/>
            <w:hideMark/>
          </w:tcPr>
          <w:p w14:paraId="20ED71BF" w14:textId="77777777" w:rsidR="006770A5" w:rsidRPr="006770A5" w:rsidRDefault="006770A5" w:rsidP="006770A5">
            <w:pPr>
              <w:spacing w:after="0" w:line="240" w:lineRule="auto"/>
              <w:jc w:val="right"/>
              <w:rPr>
                <w:rFonts w:eastAsia="Times New Roman" w:cs="Calibri"/>
                <w:b/>
                <w:bCs/>
                <w:color w:val="000000"/>
                <w:sz w:val="24"/>
                <w:szCs w:val="24"/>
                <w:lang w:eastAsia="en-GB"/>
              </w:rPr>
            </w:pPr>
            <w:r w:rsidRPr="006770A5">
              <w:rPr>
                <w:rFonts w:eastAsia="Times New Roman" w:cs="Calibri"/>
                <w:b/>
                <w:bCs/>
                <w:color w:val="000000"/>
                <w:sz w:val="24"/>
                <w:szCs w:val="24"/>
                <w:lang w:eastAsia="en-GB"/>
              </w:rPr>
              <w:t>14.7</w:t>
            </w:r>
          </w:p>
        </w:tc>
        <w:tc>
          <w:tcPr>
            <w:tcW w:w="1049" w:type="dxa"/>
            <w:tcBorders>
              <w:top w:val="single" w:sz="4" w:space="0" w:color="auto"/>
              <w:left w:val="nil"/>
              <w:bottom w:val="single" w:sz="4" w:space="0" w:color="auto"/>
              <w:right w:val="single" w:sz="4" w:space="0" w:color="auto"/>
            </w:tcBorders>
            <w:shd w:val="clear" w:color="000000" w:fill="DDEBF7"/>
            <w:noWrap/>
            <w:vAlign w:val="bottom"/>
            <w:hideMark/>
          </w:tcPr>
          <w:p w14:paraId="503177B0" w14:textId="77777777" w:rsidR="006770A5" w:rsidRPr="006770A5" w:rsidRDefault="006770A5" w:rsidP="006770A5">
            <w:pPr>
              <w:spacing w:after="0" w:line="240" w:lineRule="auto"/>
              <w:jc w:val="right"/>
              <w:rPr>
                <w:rFonts w:eastAsia="Times New Roman" w:cs="Calibri"/>
                <w:b/>
                <w:bCs/>
                <w:color w:val="000000"/>
                <w:sz w:val="24"/>
                <w:szCs w:val="24"/>
                <w:lang w:eastAsia="en-GB"/>
              </w:rPr>
            </w:pPr>
            <w:r w:rsidRPr="006770A5">
              <w:rPr>
                <w:rFonts w:eastAsia="Times New Roman" w:cs="Calibri"/>
                <w:b/>
                <w:bCs/>
                <w:color w:val="000000"/>
                <w:sz w:val="24"/>
                <w:szCs w:val="24"/>
                <w:lang w:eastAsia="en-GB"/>
              </w:rPr>
              <w:t>10.1</w:t>
            </w:r>
          </w:p>
        </w:tc>
        <w:tc>
          <w:tcPr>
            <w:tcW w:w="1049" w:type="dxa"/>
            <w:tcBorders>
              <w:top w:val="single" w:sz="4" w:space="0" w:color="auto"/>
              <w:left w:val="nil"/>
              <w:bottom w:val="single" w:sz="4" w:space="0" w:color="auto"/>
              <w:right w:val="single" w:sz="4" w:space="0" w:color="auto"/>
            </w:tcBorders>
            <w:shd w:val="clear" w:color="000000" w:fill="DDEBF7"/>
            <w:noWrap/>
            <w:vAlign w:val="bottom"/>
            <w:hideMark/>
          </w:tcPr>
          <w:p w14:paraId="14C989D6" w14:textId="77777777" w:rsidR="006770A5" w:rsidRPr="006770A5" w:rsidRDefault="006770A5" w:rsidP="006770A5">
            <w:pPr>
              <w:spacing w:after="0" w:line="240" w:lineRule="auto"/>
              <w:jc w:val="right"/>
              <w:rPr>
                <w:rFonts w:eastAsia="Times New Roman" w:cs="Calibri"/>
                <w:b/>
                <w:bCs/>
                <w:color w:val="000000"/>
                <w:sz w:val="24"/>
                <w:szCs w:val="24"/>
                <w:lang w:eastAsia="en-GB"/>
              </w:rPr>
            </w:pPr>
            <w:r w:rsidRPr="006770A5">
              <w:rPr>
                <w:rFonts w:eastAsia="Times New Roman" w:cs="Calibri"/>
                <w:b/>
                <w:bCs/>
                <w:color w:val="000000"/>
                <w:sz w:val="24"/>
                <w:szCs w:val="24"/>
                <w:lang w:eastAsia="en-GB"/>
              </w:rPr>
              <w:t>9.6</w:t>
            </w:r>
          </w:p>
        </w:tc>
        <w:tc>
          <w:tcPr>
            <w:tcW w:w="1049" w:type="dxa"/>
            <w:tcBorders>
              <w:top w:val="single" w:sz="4" w:space="0" w:color="auto"/>
              <w:left w:val="nil"/>
              <w:bottom w:val="single" w:sz="4" w:space="0" w:color="auto"/>
              <w:right w:val="single" w:sz="4" w:space="0" w:color="auto"/>
            </w:tcBorders>
            <w:shd w:val="clear" w:color="000000" w:fill="DDEBF7"/>
            <w:noWrap/>
            <w:vAlign w:val="bottom"/>
            <w:hideMark/>
          </w:tcPr>
          <w:p w14:paraId="12B983A1" w14:textId="77777777" w:rsidR="006770A5" w:rsidRPr="006770A5" w:rsidRDefault="006770A5" w:rsidP="006770A5">
            <w:pPr>
              <w:spacing w:after="0" w:line="240" w:lineRule="auto"/>
              <w:jc w:val="right"/>
              <w:rPr>
                <w:rFonts w:eastAsia="Times New Roman" w:cs="Calibri"/>
                <w:b/>
                <w:bCs/>
                <w:color w:val="000000"/>
                <w:sz w:val="24"/>
                <w:szCs w:val="24"/>
                <w:lang w:eastAsia="en-GB"/>
              </w:rPr>
            </w:pPr>
            <w:r w:rsidRPr="006770A5">
              <w:rPr>
                <w:rFonts w:eastAsia="Times New Roman" w:cs="Calibri"/>
                <w:b/>
                <w:bCs/>
                <w:color w:val="000000"/>
                <w:sz w:val="24"/>
                <w:szCs w:val="24"/>
                <w:lang w:eastAsia="en-GB"/>
              </w:rPr>
              <w:t>14.8</w:t>
            </w:r>
          </w:p>
        </w:tc>
        <w:tc>
          <w:tcPr>
            <w:tcW w:w="1049" w:type="dxa"/>
            <w:tcBorders>
              <w:top w:val="single" w:sz="4" w:space="0" w:color="auto"/>
              <w:left w:val="nil"/>
              <w:bottom w:val="single" w:sz="4" w:space="0" w:color="auto"/>
              <w:right w:val="single" w:sz="4" w:space="0" w:color="auto"/>
            </w:tcBorders>
            <w:shd w:val="clear" w:color="000000" w:fill="DDEBF7"/>
            <w:noWrap/>
            <w:vAlign w:val="bottom"/>
            <w:hideMark/>
          </w:tcPr>
          <w:p w14:paraId="71FB6365" w14:textId="77777777" w:rsidR="006770A5" w:rsidRPr="006770A5" w:rsidRDefault="006770A5" w:rsidP="006770A5">
            <w:pPr>
              <w:spacing w:after="0" w:line="240" w:lineRule="auto"/>
              <w:jc w:val="right"/>
              <w:rPr>
                <w:rFonts w:eastAsia="Times New Roman" w:cs="Calibri"/>
                <w:b/>
                <w:bCs/>
                <w:color w:val="000000"/>
                <w:sz w:val="24"/>
                <w:szCs w:val="24"/>
                <w:lang w:eastAsia="en-GB"/>
              </w:rPr>
            </w:pPr>
            <w:r w:rsidRPr="006770A5">
              <w:rPr>
                <w:rFonts w:eastAsia="Times New Roman" w:cs="Calibri"/>
                <w:b/>
                <w:bCs/>
                <w:color w:val="000000"/>
                <w:sz w:val="24"/>
                <w:szCs w:val="24"/>
                <w:lang w:eastAsia="en-GB"/>
              </w:rPr>
              <w:t>18.1</w:t>
            </w:r>
          </w:p>
        </w:tc>
      </w:tr>
    </w:tbl>
    <w:p w14:paraId="418DAB49" w14:textId="403C9F6B" w:rsidR="00E26588" w:rsidRPr="0074575D" w:rsidRDefault="00E26588" w:rsidP="006770A5">
      <w:pPr>
        <w:spacing w:after="0" w:line="240" w:lineRule="auto"/>
        <w:rPr>
          <w:rFonts w:ascii="Arial" w:hAnsi="Arial" w:cs="Arial"/>
          <w:highlight w:val="yellow"/>
        </w:rPr>
      </w:pPr>
    </w:p>
    <w:p w14:paraId="6A7566A7" w14:textId="760C2B0C" w:rsidR="001D2F95" w:rsidRPr="001D2F95" w:rsidRDefault="00196312" w:rsidP="001D2F95">
      <w:pPr>
        <w:pStyle w:val="PanelPara"/>
        <w:rPr>
          <w:rFonts w:cs="Arial"/>
        </w:rPr>
      </w:pPr>
      <w:bookmarkStart w:id="13" w:name="_Hlk156833016"/>
      <w:r w:rsidRPr="001D2F95">
        <w:t xml:space="preserve">The PFCC is currently reviewing the </w:t>
      </w:r>
      <w:r w:rsidR="007375CA" w:rsidRPr="001D2F95">
        <w:t>latest estates</w:t>
      </w:r>
      <w:r w:rsidRPr="001D2F95">
        <w:t xml:space="preserve"> masterplan. </w:t>
      </w:r>
      <w:r w:rsidR="007375CA" w:rsidRPr="001D2F95">
        <w:t xml:space="preserve"> Whilst formal decisions are yet to be made, the latest iterations have been</w:t>
      </w:r>
      <w:r w:rsidRPr="001D2F95">
        <w:t xml:space="preserve"> considered by the Chief Fire Officer and Chief Constable</w:t>
      </w:r>
      <w:r w:rsidR="001D2F95" w:rsidRPr="001D2F95">
        <w:t xml:space="preserve">.  The above capital programme includes an amount for potential capital investment in estate </w:t>
      </w:r>
      <w:r w:rsidR="001D2F95">
        <w:t>and</w:t>
      </w:r>
      <w:r w:rsidR="001D2F95" w:rsidRPr="001D2F95">
        <w:t xml:space="preserve"> will be updated with more accurate projections when the masterplan has been formally approved by the PFCC </w:t>
      </w:r>
      <w:r w:rsidR="001D2F95">
        <w:t>with advice from the S151 and Monitoring Officer.</w:t>
      </w:r>
    </w:p>
    <w:bookmarkEnd w:id="13"/>
    <w:p w14:paraId="5F7A9ABC" w14:textId="25356051" w:rsidR="00196312" w:rsidRPr="001D2F95" w:rsidRDefault="00196312" w:rsidP="001D2F95">
      <w:pPr>
        <w:pStyle w:val="PanelPara"/>
      </w:pPr>
      <w:r w:rsidRPr="001D2F95">
        <w:t>Costs are often occurred ahead of any efficiencies or disposals, therefore, the PFCC will continue to push to ensure that any disposals included in the plans are made in a timely an</w:t>
      </w:r>
      <w:r w:rsidR="001D2F95" w:rsidRPr="001D2F95">
        <w:t>d</w:t>
      </w:r>
      <w:r w:rsidRPr="001D2F95">
        <w:t xml:space="preserve"> efficient manner to ensure the full benefits can be realised.</w:t>
      </w:r>
    </w:p>
    <w:p w14:paraId="6E95DD1C" w14:textId="77777777" w:rsidR="001D2F95" w:rsidRDefault="00196312" w:rsidP="001D2F95">
      <w:pPr>
        <w:pStyle w:val="PanelPara"/>
      </w:pPr>
      <w:bookmarkStart w:id="14" w:name="_Hlk156833226"/>
      <w:r w:rsidRPr="001D2F95">
        <w:t xml:space="preserve">The Commissioner is required to approve a </w:t>
      </w:r>
      <w:r w:rsidR="00DF18AF" w:rsidRPr="001D2F95">
        <w:t>‘</w:t>
      </w:r>
      <w:r w:rsidRPr="001D2F95">
        <w:t>Treasury Management Strategy</w:t>
      </w:r>
      <w:r w:rsidR="00DF18AF" w:rsidRPr="001D2F95">
        <w:t>’</w:t>
      </w:r>
      <w:r w:rsidRPr="001D2F95">
        <w:t xml:space="preserve"> each year, setting out the detail of his policy and approach to managing investments, borrowing and cash management</w:t>
      </w:r>
      <w:r w:rsidR="001D2F95">
        <w:t>.</w:t>
      </w:r>
    </w:p>
    <w:p w14:paraId="3709C974" w14:textId="0D823DFC" w:rsidR="00EE0BF8" w:rsidRPr="00EE0BF8" w:rsidRDefault="00196312" w:rsidP="00EE0BF8">
      <w:pPr>
        <w:pStyle w:val="PanelPara"/>
      </w:pPr>
      <w:r w:rsidRPr="00EE0BF8">
        <w:rPr>
          <w:rFonts w:cs="Arial"/>
        </w:rPr>
        <w:t xml:space="preserve">This is required by the </w:t>
      </w:r>
      <w:r w:rsidR="001D2F95" w:rsidRPr="00EE0BF8">
        <w:rPr>
          <w:rFonts w:cs="Arial"/>
        </w:rPr>
        <w:t xml:space="preserve">Prudential Code and the </w:t>
      </w:r>
      <w:r w:rsidRPr="00EE0BF8">
        <w:rPr>
          <w:rFonts w:cs="Arial"/>
        </w:rPr>
        <w:t>Code</w:t>
      </w:r>
      <w:r w:rsidR="001D2F95" w:rsidRPr="00EE0BF8">
        <w:rPr>
          <w:rFonts w:cs="Arial"/>
        </w:rPr>
        <w:t xml:space="preserve"> </w:t>
      </w:r>
      <w:r w:rsidRPr="00EE0BF8">
        <w:rPr>
          <w:rFonts w:cs="Arial"/>
        </w:rPr>
        <w:t>of Treasury Management published by the Chartered Institute of Public Finance and Accountancy (CIPFA)</w:t>
      </w:r>
      <w:r w:rsidR="00EE0BF8" w:rsidRPr="00EE0BF8">
        <w:rPr>
          <w:rFonts w:cs="Arial"/>
        </w:rPr>
        <w:t xml:space="preserve">.  This </w:t>
      </w:r>
      <w:r w:rsidRPr="00EE0BF8">
        <w:rPr>
          <w:rFonts w:cs="Arial"/>
        </w:rPr>
        <w:t>ensure</w:t>
      </w:r>
      <w:r w:rsidR="00EE0BF8" w:rsidRPr="00EE0BF8">
        <w:rPr>
          <w:rFonts w:cs="Arial"/>
        </w:rPr>
        <w:t>s</w:t>
      </w:r>
      <w:r w:rsidRPr="00EE0BF8">
        <w:rPr>
          <w:rFonts w:cs="Arial"/>
        </w:rPr>
        <w:t>, within a clear framework, that the capital investment plans of local authorities are affordable, prudent and sustainable.  A further key objective is to ensure that treasury management decisions are taken in accordance with good professional practice.</w:t>
      </w:r>
    </w:p>
    <w:p w14:paraId="2328D05F" w14:textId="61846FA0" w:rsidR="00F7094D" w:rsidRPr="00EE0BF8" w:rsidRDefault="00196312" w:rsidP="00EE0BF8">
      <w:pPr>
        <w:pStyle w:val="PanelPara"/>
      </w:pPr>
      <w:r w:rsidRPr="00EE0BF8">
        <w:rPr>
          <w:rFonts w:cs="Arial"/>
        </w:rPr>
        <w:t xml:space="preserve">The Treasury Management Strategy will be considered by the PFCC alongside an updated capital strategy. </w:t>
      </w:r>
      <w:r w:rsidR="00EE0BF8" w:rsidRPr="00EE0BF8">
        <w:rPr>
          <w:rFonts w:cs="Arial"/>
        </w:rPr>
        <w:t xml:space="preserve"> The Joint Independent Audit Committee (JIAC) will consider this key document at their March meeting prior to being placed on the OPFCC website.</w:t>
      </w:r>
    </w:p>
    <w:bookmarkEnd w:id="14"/>
    <w:p w14:paraId="3AECA471" w14:textId="727A19F3" w:rsidR="00641136" w:rsidRPr="00EE0BF8" w:rsidRDefault="00596D6D" w:rsidP="00EE0BF8">
      <w:pPr>
        <w:pStyle w:val="PanelHeading"/>
      </w:pPr>
      <w:r w:rsidRPr="00EE0BF8">
        <w:t xml:space="preserve">Use of Reserves </w:t>
      </w:r>
    </w:p>
    <w:p w14:paraId="66E6717F" w14:textId="77777777" w:rsidR="00EE0BF8" w:rsidRPr="00EE0BF8" w:rsidRDefault="00F7094D" w:rsidP="00EE0BF8">
      <w:pPr>
        <w:pStyle w:val="PanelPara"/>
      </w:pPr>
      <w:bookmarkStart w:id="15" w:name="_Hlk156833283"/>
      <w:r w:rsidRPr="00EE0BF8">
        <w:t>I</w:t>
      </w:r>
      <w:r w:rsidR="00596D6D" w:rsidRPr="00EE0BF8">
        <w:t>n considering the budget, the MTF</w:t>
      </w:r>
      <w:r w:rsidR="00F33F9E" w:rsidRPr="00EE0BF8">
        <w:t>P</w:t>
      </w:r>
      <w:r w:rsidR="00596D6D" w:rsidRPr="00EE0BF8">
        <w:t xml:space="preserve"> and level of precept options, it is important to look closely at the size, level and type of reserves held by the </w:t>
      </w:r>
      <w:r w:rsidR="005B590E" w:rsidRPr="00EE0BF8">
        <w:t>PFCC</w:t>
      </w:r>
      <w:r w:rsidR="00596D6D" w:rsidRPr="00EE0BF8">
        <w:t xml:space="preserve"> to ensure that they are adequate to cover the purposes for which they are held and to provide some safeguards against the future risks identified within the budget.</w:t>
      </w:r>
    </w:p>
    <w:bookmarkEnd w:id="15"/>
    <w:p w14:paraId="1B3101C1" w14:textId="451172B8" w:rsidR="00EE0BF8" w:rsidRPr="00EE0BF8" w:rsidRDefault="00F7094D" w:rsidP="00EE0BF8">
      <w:pPr>
        <w:pStyle w:val="PanelPara"/>
      </w:pPr>
      <w:r w:rsidRPr="00EE0BF8">
        <w:t>T</w:t>
      </w:r>
      <w:r w:rsidR="00596D6D" w:rsidRPr="00EE0BF8">
        <w:t>here is also a need to ensure they are not excessive</w:t>
      </w:r>
      <w:r w:rsidR="00F33F9E" w:rsidRPr="00EE0BF8">
        <w:t xml:space="preserve">. </w:t>
      </w:r>
      <w:r w:rsidR="00EE0BF8" w:rsidRPr="00EE0BF8">
        <w:t xml:space="preserve"> </w:t>
      </w:r>
      <w:r w:rsidR="00F33F9E" w:rsidRPr="00EE0BF8">
        <w:t>I</w:t>
      </w:r>
      <w:r w:rsidR="005432DD" w:rsidRPr="00EE0BF8">
        <w:t xml:space="preserve">n 2018 the Home Office announced the </w:t>
      </w:r>
      <w:r w:rsidR="00596D6D" w:rsidRPr="00EE0BF8">
        <w:t xml:space="preserve">intention to review </w:t>
      </w:r>
      <w:r w:rsidR="002307C3" w:rsidRPr="00EE0BF8">
        <w:t xml:space="preserve">reserves </w:t>
      </w:r>
      <w:r w:rsidR="00596D6D" w:rsidRPr="00EE0BF8">
        <w:t>and provide greater transparency for the public.</w:t>
      </w:r>
      <w:r w:rsidR="00EE0BF8" w:rsidRPr="00EE0BF8">
        <w:t xml:space="preserve"> </w:t>
      </w:r>
      <w:r w:rsidR="005866E2" w:rsidRPr="00EE0BF8">
        <w:t xml:space="preserve"> In </w:t>
      </w:r>
      <w:r w:rsidR="005432DD" w:rsidRPr="00EE0BF8">
        <w:t>meet</w:t>
      </w:r>
      <w:r w:rsidR="00F33F9E" w:rsidRPr="00EE0BF8">
        <w:t>ing</w:t>
      </w:r>
      <w:r w:rsidR="005432DD" w:rsidRPr="00EE0BF8">
        <w:t xml:space="preserve"> this requirement, </w:t>
      </w:r>
      <w:r w:rsidR="005866E2" w:rsidRPr="00EE0BF8">
        <w:t xml:space="preserve">the </w:t>
      </w:r>
      <w:r w:rsidR="002D4D15" w:rsidRPr="00EE0BF8">
        <w:t xml:space="preserve">updated </w:t>
      </w:r>
      <w:r w:rsidR="000C269E">
        <w:t>R</w:t>
      </w:r>
      <w:r w:rsidR="005866E2" w:rsidRPr="00EE0BF8">
        <w:t xml:space="preserve">eserves </w:t>
      </w:r>
      <w:r w:rsidR="000C269E">
        <w:t>S</w:t>
      </w:r>
      <w:r w:rsidR="005866E2" w:rsidRPr="00EE0BF8">
        <w:t xml:space="preserve">trategy is attached at Appendix </w:t>
      </w:r>
      <w:r w:rsidRPr="00EE0BF8">
        <w:t>D</w:t>
      </w:r>
      <w:r w:rsidR="005866E2" w:rsidRPr="00EE0BF8">
        <w:t xml:space="preserve">, and will be published on the </w:t>
      </w:r>
      <w:r w:rsidR="005B590E" w:rsidRPr="00EE0BF8">
        <w:t>PFCC</w:t>
      </w:r>
      <w:r w:rsidR="00BD7FFE" w:rsidRPr="00EE0BF8">
        <w:t>’</w:t>
      </w:r>
      <w:r w:rsidR="005866E2" w:rsidRPr="00EE0BF8">
        <w:t xml:space="preserve">s website </w:t>
      </w:r>
      <w:r w:rsidR="00F33F9E" w:rsidRPr="00EE0BF8">
        <w:t xml:space="preserve">for </w:t>
      </w:r>
      <w:r w:rsidR="005866E2" w:rsidRPr="00EE0BF8">
        <w:t>transparency.</w:t>
      </w:r>
    </w:p>
    <w:p w14:paraId="3EC21D37" w14:textId="48D1D433" w:rsidR="0044465B" w:rsidRPr="00EE0BF8" w:rsidRDefault="00596D6D" w:rsidP="00EE0BF8">
      <w:pPr>
        <w:pStyle w:val="PanelPara"/>
      </w:pPr>
      <w:bookmarkStart w:id="16" w:name="_Hlk156833463"/>
      <w:r w:rsidRPr="00EE0BF8">
        <w:t xml:space="preserve">Two types of </w:t>
      </w:r>
      <w:r w:rsidR="00F57399" w:rsidRPr="00EE0BF8">
        <w:t>r</w:t>
      </w:r>
      <w:r w:rsidRPr="00EE0BF8">
        <w:t>eserve are held</w:t>
      </w:r>
      <w:r w:rsidR="000C269E">
        <w:t>, as follows</w:t>
      </w:r>
      <w:r w:rsidR="00F33F9E" w:rsidRPr="00EE0BF8">
        <w:t>:</w:t>
      </w:r>
    </w:p>
    <w:bookmarkEnd w:id="16"/>
    <w:p w14:paraId="3520881D" w14:textId="5127029E" w:rsidR="00750003" w:rsidRPr="00EE0BF8" w:rsidRDefault="00596D6D" w:rsidP="00EE0BF8">
      <w:pPr>
        <w:pStyle w:val="PanelHeading"/>
      </w:pPr>
      <w:r w:rsidRPr="00EE0BF8">
        <w:t>General Reserve</w:t>
      </w:r>
    </w:p>
    <w:p w14:paraId="3068AA2B" w14:textId="2575B6AB" w:rsidR="00AC1EED" w:rsidRPr="00EE0BF8" w:rsidRDefault="00596D6D" w:rsidP="00EE0BF8">
      <w:pPr>
        <w:pStyle w:val="PanelPara"/>
      </w:pPr>
      <w:r w:rsidRPr="00EE0BF8">
        <w:t xml:space="preserve">There is a </w:t>
      </w:r>
      <w:r w:rsidR="00F57399" w:rsidRPr="00EE0BF8">
        <w:t>g</w:t>
      </w:r>
      <w:r w:rsidRPr="00EE0BF8">
        <w:t xml:space="preserve">eneral </w:t>
      </w:r>
      <w:r w:rsidR="00F57399" w:rsidRPr="00EE0BF8">
        <w:t>reserve</w:t>
      </w:r>
      <w:r w:rsidRPr="00EE0BF8">
        <w:t xml:space="preserve"> </w:t>
      </w:r>
      <w:r w:rsidR="00176A2A" w:rsidRPr="00EE0BF8">
        <w:t>which is estimated at 31</w:t>
      </w:r>
      <w:r w:rsidR="006400EB" w:rsidRPr="006400EB">
        <w:rPr>
          <w:vertAlign w:val="superscript"/>
        </w:rPr>
        <w:t>st</w:t>
      </w:r>
      <w:r w:rsidR="006400EB">
        <w:t xml:space="preserve"> March </w:t>
      </w:r>
      <w:r w:rsidR="00176A2A" w:rsidRPr="00EE0BF8">
        <w:t>2</w:t>
      </w:r>
      <w:r w:rsidR="00EE0BF8" w:rsidRPr="00EE0BF8">
        <w:t>4</w:t>
      </w:r>
      <w:r w:rsidR="00F7094D" w:rsidRPr="00EE0BF8">
        <w:t xml:space="preserve"> at </w:t>
      </w:r>
      <w:r w:rsidR="00F7094D" w:rsidRPr="00EE0BF8">
        <w:rPr>
          <w:b/>
          <w:bCs/>
        </w:rPr>
        <w:t>£</w:t>
      </w:r>
      <w:r w:rsidR="00641136" w:rsidRPr="00EE0BF8">
        <w:rPr>
          <w:b/>
          <w:bCs/>
        </w:rPr>
        <w:t>5</w:t>
      </w:r>
      <w:r w:rsidR="00EE0BF8" w:rsidRPr="00EE0BF8">
        <w:rPr>
          <w:b/>
          <w:bCs/>
        </w:rPr>
        <w:t>.3</w:t>
      </w:r>
      <w:r w:rsidRPr="00EE0BF8">
        <w:rPr>
          <w:b/>
          <w:bCs/>
        </w:rPr>
        <w:t>m</w:t>
      </w:r>
      <w:r w:rsidRPr="00EE0BF8">
        <w:t xml:space="preserve">.  This represents </w:t>
      </w:r>
      <w:r w:rsidR="002E221A" w:rsidRPr="00EE0BF8">
        <w:t>around</w:t>
      </w:r>
      <w:r w:rsidR="00CF10DB" w:rsidRPr="00EE0BF8">
        <w:t xml:space="preserve"> 3% of total funding </w:t>
      </w:r>
      <w:r w:rsidR="00641136" w:rsidRPr="00EE0BF8">
        <w:t xml:space="preserve">for </w:t>
      </w:r>
      <w:r w:rsidR="00220144" w:rsidRPr="00EE0BF8">
        <w:t>202</w:t>
      </w:r>
      <w:r w:rsidR="00EE0BF8" w:rsidRPr="00EE0BF8">
        <w:t>4</w:t>
      </w:r>
      <w:r w:rsidR="00220144" w:rsidRPr="00EE0BF8">
        <w:t>/2</w:t>
      </w:r>
      <w:r w:rsidR="00EE0BF8" w:rsidRPr="00EE0BF8">
        <w:t>5</w:t>
      </w:r>
      <w:r w:rsidR="00641136" w:rsidRPr="00EE0BF8">
        <w:t xml:space="preserve"> and is in keeping with the </w:t>
      </w:r>
      <w:r w:rsidR="00CF10DB" w:rsidRPr="00EE0BF8">
        <w:t>PFCC’s guideline level.</w:t>
      </w:r>
      <w:r w:rsidR="00F33F9E" w:rsidRPr="00EE0BF8">
        <w:t xml:space="preserve"> </w:t>
      </w:r>
      <w:r w:rsidR="00EE0BF8" w:rsidRPr="00EE0BF8">
        <w:t xml:space="preserve"> </w:t>
      </w:r>
      <w:r w:rsidR="001E3237" w:rsidRPr="00EE0BF8">
        <w:t xml:space="preserve">On current forecasts </w:t>
      </w:r>
      <w:r w:rsidR="00F33F9E" w:rsidRPr="00EE0BF8">
        <w:t xml:space="preserve">the </w:t>
      </w:r>
      <w:r w:rsidR="00F57399" w:rsidRPr="00EE0BF8">
        <w:t>g</w:t>
      </w:r>
      <w:r w:rsidR="001E3237" w:rsidRPr="00EE0BF8">
        <w:t xml:space="preserve">eneral </w:t>
      </w:r>
      <w:r w:rsidR="00F57399" w:rsidRPr="00EE0BF8">
        <w:t>reserve</w:t>
      </w:r>
      <w:r w:rsidR="001E3237" w:rsidRPr="00EE0BF8">
        <w:t xml:space="preserve"> will remain within guideline </w:t>
      </w:r>
      <w:r w:rsidR="000C269E">
        <w:t xml:space="preserve">minimum </w:t>
      </w:r>
      <w:r w:rsidR="001E3237" w:rsidRPr="00EE0BF8">
        <w:t xml:space="preserve">levels </w:t>
      </w:r>
      <w:r w:rsidR="00EE0BF8" w:rsidRPr="00EE0BF8">
        <w:t>over the MTFP</w:t>
      </w:r>
      <w:r w:rsidR="00F33F9E" w:rsidRPr="00EE0BF8">
        <w:t xml:space="preserve">. </w:t>
      </w:r>
      <w:r w:rsidR="00EE0BF8" w:rsidRPr="00EE0BF8">
        <w:t xml:space="preserve"> </w:t>
      </w:r>
      <w:r w:rsidRPr="00EE0BF8">
        <w:t xml:space="preserve">It is prudent to have such a reserve at this level to enable the organisation to withstand unexpected events which may have financial implications.  </w:t>
      </w:r>
    </w:p>
    <w:p w14:paraId="5FADDB94" w14:textId="51E1A384" w:rsidR="00F7094D" w:rsidRPr="00EE0BF8" w:rsidRDefault="00596D6D" w:rsidP="00EE0BF8">
      <w:pPr>
        <w:pStyle w:val="PanelHeading"/>
        <w:rPr>
          <w:b w:val="0"/>
        </w:rPr>
      </w:pPr>
      <w:r w:rsidRPr="00EE0BF8">
        <w:t>Earmarked Reserves</w:t>
      </w:r>
    </w:p>
    <w:p w14:paraId="06040E94" w14:textId="0BECB8F2" w:rsidR="00641136" w:rsidRPr="009B0902" w:rsidRDefault="00F93A0D" w:rsidP="00EE0BF8">
      <w:pPr>
        <w:pStyle w:val="PanelPara"/>
      </w:pPr>
      <w:r w:rsidRPr="009B0902">
        <w:t>As at the 31</w:t>
      </w:r>
      <w:r w:rsidR="006400EB" w:rsidRPr="006400EB">
        <w:rPr>
          <w:vertAlign w:val="superscript"/>
        </w:rPr>
        <w:t>st</w:t>
      </w:r>
      <w:r w:rsidR="006400EB">
        <w:t xml:space="preserve"> March </w:t>
      </w:r>
      <w:r w:rsidRPr="009B0902">
        <w:t>202</w:t>
      </w:r>
      <w:r w:rsidR="009B0902" w:rsidRPr="009B0902">
        <w:t>4</w:t>
      </w:r>
      <w:r w:rsidRPr="009B0902">
        <w:t xml:space="preserve"> </w:t>
      </w:r>
      <w:r w:rsidR="00596D6D" w:rsidRPr="009B0902">
        <w:t xml:space="preserve">it </w:t>
      </w:r>
      <w:r w:rsidRPr="009B0902">
        <w:t>i</w:t>
      </w:r>
      <w:r w:rsidR="00596D6D" w:rsidRPr="009B0902">
        <w:t>s estima</w:t>
      </w:r>
      <w:r w:rsidR="00984C55" w:rsidRPr="009B0902">
        <w:t xml:space="preserve">ted that the </w:t>
      </w:r>
      <w:r w:rsidR="005B590E" w:rsidRPr="009B0902">
        <w:t>PFCC</w:t>
      </w:r>
      <w:r w:rsidR="00984C55" w:rsidRPr="009B0902">
        <w:t xml:space="preserve"> will hold </w:t>
      </w:r>
      <w:r w:rsidR="00984C55" w:rsidRPr="009B0902">
        <w:rPr>
          <w:b/>
          <w:bCs/>
        </w:rPr>
        <w:t>£</w:t>
      </w:r>
      <w:r w:rsidRPr="009B0902">
        <w:rPr>
          <w:b/>
          <w:bCs/>
        </w:rPr>
        <w:t>1</w:t>
      </w:r>
      <w:r w:rsidR="009B0902" w:rsidRPr="009B0902">
        <w:rPr>
          <w:b/>
          <w:bCs/>
        </w:rPr>
        <w:t>9</w:t>
      </w:r>
      <w:r w:rsidR="00196312" w:rsidRPr="009B0902">
        <w:rPr>
          <w:b/>
          <w:bCs/>
        </w:rPr>
        <w:t>.</w:t>
      </w:r>
      <w:r w:rsidR="009B0902" w:rsidRPr="009B0902">
        <w:rPr>
          <w:b/>
          <w:bCs/>
        </w:rPr>
        <w:t>1</w:t>
      </w:r>
      <w:r w:rsidR="00F7094D" w:rsidRPr="009B0902">
        <w:rPr>
          <w:b/>
          <w:bCs/>
        </w:rPr>
        <w:t>m</w:t>
      </w:r>
      <w:r w:rsidR="00596D6D" w:rsidRPr="009B0902">
        <w:t xml:space="preserve"> in </w:t>
      </w:r>
      <w:r w:rsidR="00F57399" w:rsidRPr="009B0902">
        <w:t>e</w:t>
      </w:r>
      <w:r w:rsidR="00596D6D" w:rsidRPr="009B0902">
        <w:t xml:space="preserve">armarked </w:t>
      </w:r>
      <w:r w:rsidR="00F57399" w:rsidRPr="009B0902">
        <w:t>r</w:t>
      </w:r>
      <w:r w:rsidR="00596D6D" w:rsidRPr="009B0902">
        <w:t>eserves</w:t>
      </w:r>
      <w:r w:rsidR="00CF10DB" w:rsidRPr="009B0902">
        <w:t>. T</w:t>
      </w:r>
      <w:r w:rsidR="002307C3" w:rsidRPr="009B0902">
        <w:t xml:space="preserve">hese are </w:t>
      </w:r>
      <w:r w:rsidR="00CF10DB" w:rsidRPr="009B0902">
        <w:t xml:space="preserve">detailed </w:t>
      </w:r>
      <w:r w:rsidR="002307C3" w:rsidRPr="009B0902">
        <w:t>in the</w:t>
      </w:r>
      <w:r w:rsidR="00F57399" w:rsidRPr="009B0902">
        <w:t xml:space="preserve"> r</w:t>
      </w:r>
      <w:r w:rsidR="00196312" w:rsidRPr="009B0902">
        <w:t xml:space="preserve">eserves </w:t>
      </w:r>
      <w:r w:rsidR="00F57399" w:rsidRPr="009B0902">
        <w:t>s</w:t>
      </w:r>
      <w:r w:rsidR="002307C3" w:rsidRPr="009B0902">
        <w:t>trategy</w:t>
      </w:r>
      <w:r w:rsidR="00196312" w:rsidRPr="009B0902">
        <w:t xml:space="preserve"> included at Appendix D</w:t>
      </w:r>
      <w:r w:rsidR="00641136" w:rsidRPr="009B0902">
        <w:t>.</w:t>
      </w:r>
    </w:p>
    <w:p w14:paraId="4DA9F753" w14:textId="1A579BC8" w:rsidR="00750003" w:rsidRPr="009B0902" w:rsidRDefault="009B0902" w:rsidP="009B0902">
      <w:pPr>
        <w:pStyle w:val="PanelPara"/>
      </w:pPr>
      <w:r w:rsidRPr="009B0902">
        <w:t>T</w:t>
      </w:r>
      <w:r w:rsidR="00641136" w:rsidRPr="009B0902">
        <w:t>he PFCC</w:t>
      </w:r>
      <w:r w:rsidR="00471038" w:rsidRPr="009B0902">
        <w:t xml:space="preserve"> will continue to </w:t>
      </w:r>
      <w:r w:rsidR="00641136" w:rsidRPr="009B0902">
        <w:t xml:space="preserve">review the reserves held and determine whether </w:t>
      </w:r>
      <w:r w:rsidR="00471038" w:rsidRPr="009B0902">
        <w:t>they are still required</w:t>
      </w:r>
      <w:r w:rsidR="00641136" w:rsidRPr="009B0902">
        <w:t>.</w:t>
      </w:r>
    </w:p>
    <w:p w14:paraId="29D69A68" w14:textId="77777777" w:rsidR="006400EB" w:rsidRDefault="006400EB" w:rsidP="009B0902">
      <w:pPr>
        <w:pStyle w:val="PanelHeading"/>
      </w:pPr>
    </w:p>
    <w:p w14:paraId="595262E5" w14:textId="77777777" w:rsidR="006400EB" w:rsidRDefault="006400EB" w:rsidP="009B0902">
      <w:pPr>
        <w:pStyle w:val="PanelHeading"/>
      </w:pPr>
    </w:p>
    <w:p w14:paraId="73932F9B" w14:textId="28EE4ED1" w:rsidR="00866EDA" w:rsidRPr="009B0902" w:rsidRDefault="005D2DA4" w:rsidP="009B0902">
      <w:pPr>
        <w:pStyle w:val="PanelHeading"/>
      </w:pPr>
      <w:r w:rsidRPr="009B0902">
        <w:t>Precept proposal</w:t>
      </w:r>
    </w:p>
    <w:p w14:paraId="2892D2C1" w14:textId="0ED1AF34" w:rsidR="00F7017D" w:rsidRPr="009B0902" w:rsidRDefault="001E3237" w:rsidP="009B0902">
      <w:pPr>
        <w:pStyle w:val="PanelPara"/>
      </w:pPr>
      <w:r w:rsidRPr="009B0902">
        <w:t xml:space="preserve">After careful consideration of the factors included within this report, the PFCC is proposing a precept increase of </w:t>
      </w:r>
      <w:r w:rsidRPr="009B0902">
        <w:rPr>
          <w:bCs/>
        </w:rPr>
        <w:t>£1</w:t>
      </w:r>
      <w:r w:rsidR="009B0902" w:rsidRPr="009B0902">
        <w:rPr>
          <w:bCs/>
        </w:rPr>
        <w:t>3</w:t>
      </w:r>
      <w:r w:rsidRPr="009B0902">
        <w:rPr>
          <w:bCs/>
        </w:rPr>
        <w:t xml:space="preserve"> (</w:t>
      </w:r>
      <w:r w:rsidR="009B0902" w:rsidRPr="009B0902">
        <w:rPr>
          <w:bCs/>
        </w:rPr>
        <w:t>4.44</w:t>
      </w:r>
      <w:r w:rsidRPr="009B0902">
        <w:rPr>
          <w:bCs/>
        </w:rPr>
        <w:t>%)</w:t>
      </w:r>
      <w:r w:rsidRPr="009B0902">
        <w:t xml:space="preserve"> for the </w:t>
      </w:r>
      <w:r w:rsidR="00220144" w:rsidRPr="009B0902">
        <w:t>202</w:t>
      </w:r>
      <w:r w:rsidR="009B0902" w:rsidRPr="009B0902">
        <w:t>4</w:t>
      </w:r>
      <w:r w:rsidR="00220144" w:rsidRPr="009B0902">
        <w:t>/2</w:t>
      </w:r>
      <w:r w:rsidR="009B0902" w:rsidRPr="009B0902">
        <w:t>5</w:t>
      </w:r>
      <w:r w:rsidRPr="009B0902">
        <w:t xml:space="preserve"> financial year in order to </w:t>
      </w:r>
      <w:r w:rsidR="002A782E" w:rsidRPr="009B0902">
        <w:t xml:space="preserve">continue to </w:t>
      </w:r>
      <w:r w:rsidRPr="009B0902">
        <w:t>invest in police officers, build a sustainable base budget to maintain and safeguard policing services across the force area</w:t>
      </w:r>
      <w:r w:rsidR="00750003" w:rsidRPr="009B0902">
        <w:t xml:space="preserve">, together </w:t>
      </w:r>
      <w:r w:rsidR="00651436" w:rsidRPr="009B0902">
        <w:t xml:space="preserve">with </w:t>
      </w:r>
      <w:r w:rsidRPr="009B0902">
        <w:t xml:space="preserve">additional investment into essential and evolving demand areas </w:t>
      </w:r>
      <w:r w:rsidR="00651436" w:rsidRPr="009B0902">
        <w:t>for policing</w:t>
      </w:r>
      <w:r w:rsidRPr="009B0902">
        <w:t xml:space="preserve">. </w:t>
      </w:r>
    </w:p>
    <w:p w14:paraId="1F86FB7A" w14:textId="7DB91965" w:rsidR="00F7017D" w:rsidRPr="009B0902" w:rsidRDefault="00F7017D" w:rsidP="009B0902">
      <w:pPr>
        <w:pStyle w:val="PanelPara"/>
      </w:pPr>
      <w:r w:rsidRPr="009B0902">
        <w:t>The PFCC appreciates</w:t>
      </w:r>
      <w:r w:rsidR="00F7094D" w:rsidRPr="009B0902">
        <w:t xml:space="preserve"> the impact on </w:t>
      </w:r>
      <w:r w:rsidR="009B0902" w:rsidRPr="009B0902">
        <w:t>the taxpayer</w:t>
      </w:r>
      <w:r w:rsidRPr="009B0902">
        <w:t xml:space="preserve"> at this time. </w:t>
      </w:r>
    </w:p>
    <w:p w14:paraId="09FB99BB" w14:textId="1C1F2DC8" w:rsidR="00F7017D" w:rsidRPr="009B0902" w:rsidRDefault="00F7017D" w:rsidP="009B0902">
      <w:pPr>
        <w:pStyle w:val="PanelPara"/>
      </w:pPr>
      <w:r w:rsidRPr="009B0902">
        <w:t xml:space="preserve">Whilst this is a pressure on households, it </w:t>
      </w:r>
      <w:r w:rsidR="009B0902" w:rsidRPr="009B0902">
        <w:t>reflects</w:t>
      </w:r>
      <w:r w:rsidRPr="009B0902">
        <w:t xml:space="preserve"> current inflation levels and </w:t>
      </w:r>
      <w:r w:rsidR="009B0902" w:rsidRPr="009B0902">
        <w:t>the PFCC</w:t>
      </w:r>
      <w:r w:rsidRPr="009B0902">
        <w:t xml:space="preserve"> needs to </w:t>
      </w:r>
      <w:r w:rsidR="0042074C" w:rsidRPr="009B0902">
        <w:t xml:space="preserve">ensure that Policing has the </w:t>
      </w:r>
      <w:r w:rsidR="00E32160" w:rsidRPr="009B0902">
        <w:t xml:space="preserve">resources </w:t>
      </w:r>
      <w:r w:rsidR="0042074C" w:rsidRPr="009B0902">
        <w:t>it needs to meet the current and future spending challenges</w:t>
      </w:r>
      <w:r w:rsidR="00471038" w:rsidRPr="009B0902">
        <w:t xml:space="preserve">, </w:t>
      </w:r>
      <w:r w:rsidR="0042074C" w:rsidRPr="009B0902">
        <w:t xml:space="preserve">but also reflects the current financial climate and the views of those </w:t>
      </w:r>
      <w:r w:rsidR="00613FA4" w:rsidRPr="009B0902">
        <w:t>who took part in the p</w:t>
      </w:r>
      <w:r w:rsidR="00CC5B0E" w:rsidRPr="009B0902">
        <w:t>recept surveys</w:t>
      </w:r>
      <w:r w:rsidR="0042074C" w:rsidRPr="009B0902">
        <w:t xml:space="preserve">. </w:t>
      </w:r>
    </w:p>
    <w:p w14:paraId="1BB3106B" w14:textId="64C9D575" w:rsidR="00F712E5" w:rsidRPr="009B0902" w:rsidRDefault="00F7017D" w:rsidP="009B0902">
      <w:pPr>
        <w:pStyle w:val="PanelPara"/>
      </w:pPr>
      <w:r w:rsidRPr="009B0902">
        <w:t>T</w:t>
      </w:r>
      <w:r w:rsidR="00471038" w:rsidRPr="009B0902">
        <w:t xml:space="preserve">he PFCC </w:t>
      </w:r>
      <w:r w:rsidR="0042074C" w:rsidRPr="009B0902">
        <w:t xml:space="preserve">is grateful to all those who took part </w:t>
      </w:r>
      <w:r w:rsidR="00471038" w:rsidRPr="009B0902">
        <w:t xml:space="preserve">in the </w:t>
      </w:r>
      <w:r w:rsidR="009B0902" w:rsidRPr="009B0902">
        <w:t>survey</w:t>
      </w:r>
      <w:r w:rsidR="00471038" w:rsidRPr="009B0902">
        <w:t xml:space="preserve"> </w:t>
      </w:r>
      <w:r w:rsidR="0042074C" w:rsidRPr="009B0902">
        <w:t xml:space="preserve">and </w:t>
      </w:r>
      <w:r w:rsidR="00CC5B0E" w:rsidRPr="009B0902">
        <w:t>the</w:t>
      </w:r>
      <w:r w:rsidR="0042074C" w:rsidRPr="009B0902">
        <w:t xml:space="preserve">ir </w:t>
      </w:r>
      <w:r w:rsidR="00CC5B0E" w:rsidRPr="009B0902">
        <w:t>willingness to p</w:t>
      </w:r>
      <w:r w:rsidR="00ED47A2" w:rsidRPr="009B0902">
        <w:t xml:space="preserve">ay more in order to safeguard </w:t>
      </w:r>
      <w:r w:rsidR="00D15A0A" w:rsidRPr="009B0902">
        <w:t xml:space="preserve">and develop </w:t>
      </w:r>
      <w:r w:rsidR="00ED47A2" w:rsidRPr="009B0902">
        <w:t>policing in the</w:t>
      </w:r>
      <w:r w:rsidR="00297A65" w:rsidRPr="009B0902">
        <w:t xml:space="preserve"> county</w:t>
      </w:r>
      <w:r w:rsidR="00471038" w:rsidRPr="009B0902">
        <w:t xml:space="preserve"> and he</w:t>
      </w:r>
      <w:r w:rsidR="00063637" w:rsidRPr="009B0902">
        <w:t xml:space="preserve"> will continue to push the government for a fairer funding position for Northamptonshire.</w:t>
      </w:r>
    </w:p>
    <w:p w14:paraId="35F54946" w14:textId="20EE4977" w:rsidR="00F7017D" w:rsidRPr="009B0902" w:rsidRDefault="00F7017D" w:rsidP="009B0902">
      <w:pPr>
        <w:pStyle w:val="PanelHeading"/>
      </w:pPr>
      <w:r w:rsidRPr="009B0902">
        <w:t>Robustness of the Budget –</w:t>
      </w:r>
      <w:r w:rsidR="008F01E6" w:rsidRPr="009B0902">
        <w:t xml:space="preserve"> </w:t>
      </w:r>
      <w:r w:rsidRPr="009B0902">
        <w:t>Statement of the S151 Chief Finance Officer</w:t>
      </w:r>
    </w:p>
    <w:p w14:paraId="79DCA3F0" w14:textId="77777777" w:rsidR="009B0902" w:rsidRPr="00BE6E4F" w:rsidRDefault="00F7017D" w:rsidP="009B0902">
      <w:pPr>
        <w:pStyle w:val="PanelPara"/>
      </w:pPr>
      <w:r w:rsidRPr="00BE6E4F">
        <w:t>Section 25 of the Local Government Act 2003, places a duty on the S151</w:t>
      </w:r>
      <w:r w:rsidR="009B0902" w:rsidRPr="00BE6E4F">
        <w:t xml:space="preserve"> Officer</w:t>
      </w:r>
      <w:r w:rsidRPr="00BE6E4F">
        <w:t xml:space="preserve"> to make a report to the authority on:</w:t>
      </w:r>
    </w:p>
    <w:p w14:paraId="70E29D1C" w14:textId="40B22951" w:rsidR="009B0902" w:rsidRPr="00BE6E4F" w:rsidRDefault="00F7017D" w:rsidP="009B0902">
      <w:pPr>
        <w:pStyle w:val="PanelPara"/>
        <w:numPr>
          <w:ilvl w:val="1"/>
          <w:numId w:val="31"/>
        </w:numPr>
      </w:pPr>
      <w:r w:rsidRPr="00BE6E4F">
        <w:t>The robustness of the estimates included within the budget</w:t>
      </w:r>
      <w:r w:rsidR="009B0902" w:rsidRPr="00BE6E4F">
        <w:t>.</w:t>
      </w:r>
    </w:p>
    <w:p w14:paraId="05A5C5A1" w14:textId="05496220" w:rsidR="00F7017D" w:rsidRPr="00BE6E4F" w:rsidRDefault="00F7017D" w:rsidP="009B0902">
      <w:pPr>
        <w:pStyle w:val="PanelPara"/>
        <w:numPr>
          <w:ilvl w:val="1"/>
          <w:numId w:val="31"/>
        </w:numPr>
      </w:pPr>
      <w:r w:rsidRPr="00BE6E4F">
        <w:t>The adequacy of the reserves and balances</w:t>
      </w:r>
      <w:r w:rsidR="009B0902" w:rsidRPr="00BE6E4F">
        <w:t>.</w:t>
      </w:r>
    </w:p>
    <w:p w14:paraId="399FFEDF" w14:textId="28296830" w:rsidR="00F7017D" w:rsidRPr="00BE6E4F" w:rsidRDefault="00F7017D" w:rsidP="009B0902">
      <w:pPr>
        <w:pStyle w:val="PanelPara"/>
      </w:pPr>
      <w:r w:rsidRPr="00BE6E4F">
        <w:t>The PFCC must have regard to this when considering the budget and the report must be shared with the Police, Fire and Crime Panel.</w:t>
      </w:r>
    </w:p>
    <w:p w14:paraId="331E23E0" w14:textId="77777777" w:rsidR="00BE6E4F" w:rsidRPr="00BE6E4F" w:rsidRDefault="00F7017D" w:rsidP="00BE6E4F">
      <w:pPr>
        <w:pStyle w:val="PanelPara"/>
      </w:pPr>
      <w:r w:rsidRPr="00BE6E4F">
        <w:t xml:space="preserve">In </w:t>
      </w:r>
      <w:r w:rsidR="009B0902" w:rsidRPr="00BE6E4F">
        <w:t>their</w:t>
      </w:r>
      <w:r w:rsidRPr="00BE6E4F">
        <w:t xml:space="preserve"> considerations, the S151 Officer is mindful of other associated statutory safeguards designed to support the authority:</w:t>
      </w:r>
    </w:p>
    <w:p w14:paraId="6801B3E8" w14:textId="77777777" w:rsidR="00BE6E4F" w:rsidRPr="00BE6E4F" w:rsidRDefault="00F7017D" w:rsidP="00BE6E4F">
      <w:pPr>
        <w:pStyle w:val="PanelPara"/>
        <w:numPr>
          <w:ilvl w:val="1"/>
          <w:numId w:val="31"/>
        </w:numPr>
      </w:pPr>
      <w:r w:rsidRPr="00BE6E4F">
        <w:t xml:space="preserve">Section 151 of the Local Government Act 1972 which requires the authority to make arrangements for the proper administration of its financial affairs and that the </w:t>
      </w:r>
      <w:r w:rsidR="00DF18AF" w:rsidRPr="00BE6E4F">
        <w:t xml:space="preserve">Chief Financial Officer </w:t>
      </w:r>
      <w:r w:rsidRPr="00BE6E4F">
        <w:t>has personal responsibility for such administration.</w:t>
      </w:r>
    </w:p>
    <w:p w14:paraId="1CDAEE45" w14:textId="15F39BBE" w:rsidR="00BE6E4F" w:rsidRPr="00BE6E4F" w:rsidRDefault="00F7017D" w:rsidP="00BE6E4F">
      <w:pPr>
        <w:pStyle w:val="PanelPara"/>
        <w:numPr>
          <w:ilvl w:val="1"/>
          <w:numId w:val="31"/>
        </w:numPr>
      </w:pPr>
      <w:r w:rsidRPr="00BE6E4F">
        <w:t>Sections 32, 43 &amp; 93 of the Local Government Finance Act 1992 which requires the authority to set a balanced budget</w:t>
      </w:r>
      <w:r w:rsidR="00BE6E4F" w:rsidRPr="00BE6E4F">
        <w:t>.</w:t>
      </w:r>
    </w:p>
    <w:p w14:paraId="3351D2FC" w14:textId="77777777" w:rsidR="00BE6E4F" w:rsidRPr="00BE6E4F" w:rsidRDefault="00F7017D" w:rsidP="00BE6E4F">
      <w:pPr>
        <w:pStyle w:val="PanelPara"/>
        <w:numPr>
          <w:ilvl w:val="1"/>
          <w:numId w:val="31"/>
        </w:numPr>
      </w:pPr>
      <w:r w:rsidRPr="00BE6E4F">
        <w:t>The Prudential Code introduced as part of the Local Government Act 2003 which sets out the framework within which the authority must manage its investments, including adequate planning and budget estimates</w:t>
      </w:r>
      <w:r w:rsidR="00BE6E4F" w:rsidRPr="00BE6E4F">
        <w:t>.</w:t>
      </w:r>
    </w:p>
    <w:p w14:paraId="35968E8B" w14:textId="3801ACE0" w:rsidR="00F7017D" w:rsidRPr="00BE6E4F" w:rsidRDefault="00F7017D" w:rsidP="00BE6E4F">
      <w:pPr>
        <w:pStyle w:val="PanelPara"/>
        <w:numPr>
          <w:ilvl w:val="1"/>
          <w:numId w:val="31"/>
        </w:numPr>
      </w:pPr>
      <w:r w:rsidRPr="00BE6E4F">
        <w:t>The external auditor’s duty to assess the adequacy of the authority’s proper arrangements to secure economy, efficiency and effectiveness (‘value for money’)</w:t>
      </w:r>
    </w:p>
    <w:p w14:paraId="2F7DB15B" w14:textId="4E559676" w:rsidR="00F7017D" w:rsidRPr="00117B24" w:rsidRDefault="00F7017D" w:rsidP="00BE6E4F">
      <w:pPr>
        <w:pStyle w:val="PanelPara"/>
      </w:pPr>
      <w:r w:rsidRPr="00117B24">
        <w:t xml:space="preserve">To reinforce these obligations, </w:t>
      </w:r>
      <w:r w:rsidR="000D0F95" w:rsidRPr="00117B24">
        <w:t>S</w:t>
      </w:r>
      <w:r w:rsidRPr="00117B24">
        <w:t>ection 114 of the Local Government Finance Act 1988 requires the S151 Officer to report in consultation with the Monitoring Officer if there is or is likely to be unlawful expenditure or an unbalanced budget.</w:t>
      </w:r>
    </w:p>
    <w:p w14:paraId="06A76D53" w14:textId="2A1CBFAD" w:rsidR="00F7017D" w:rsidRPr="00117B24" w:rsidRDefault="00F7017D" w:rsidP="00BE6E4F">
      <w:pPr>
        <w:pStyle w:val="PanelPara"/>
      </w:pPr>
      <w:r w:rsidRPr="00117B24">
        <w:t xml:space="preserve">This report has set out the </w:t>
      </w:r>
      <w:r w:rsidR="00BE6E4F" w:rsidRPr="00117B24">
        <w:t xml:space="preserve">robust </w:t>
      </w:r>
      <w:r w:rsidRPr="00117B24">
        <w:t>budget setting process that has taken place and the work undertaken to ensure the budget is as realistic, deliverable and achievable as possible.</w:t>
      </w:r>
    </w:p>
    <w:p w14:paraId="57C20E83" w14:textId="6655D925" w:rsidR="00F7017D" w:rsidRPr="00117B24" w:rsidRDefault="00F7017D" w:rsidP="00BE6E4F">
      <w:pPr>
        <w:pStyle w:val="PanelPara"/>
      </w:pPr>
      <w:r w:rsidRPr="00117B24">
        <w:t xml:space="preserve">The Chief Constable’s Section 151 Officer has worked closely with the Chief Constable’s Executive team, budget holders and the finance team to deliver the draft budget and savings plan, ensuring that effective scrutiny and challenge has taken place throughout. </w:t>
      </w:r>
      <w:r w:rsidR="00BE6E4F" w:rsidRPr="00117B24">
        <w:t xml:space="preserve"> </w:t>
      </w:r>
      <w:r w:rsidR="00117B24" w:rsidRPr="00117B24">
        <w:t>The</w:t>
      </w:r>
      <w:r w:rsidR="00BE6E4F" w:rsidRPr="00117B24">
        <w:t xml:space="preserve"> S151 Officers have worked closely</w:t>
      </w:r>
      <w:r w:rsidRPr="00117B24">
        <w:t xml:space="preserve"> throughout</w:t>
      </w:r>
      <w:r w:rsidR="00BE6E4F" w:rsidRPr="00117B24">
        <w:t xml:space="preserve"> the process</w:t>
      </w:r>
      <w:r w:rsidRPr="00117B24">
        <w:t xml:space="preserve">. </w:t>
      </w:r>
      <w:r w:rsidR="00BE6E4F" w:rsidRPr="00117B24">
        <w:t xml:space="preserve"> </w:t>
      </w:r>
      <w:r w:rsidRPr="00117B24">
        <w:t>The PFCC has undertaken scrutiny and strategic review of the proposals on two occasions and has been updated regularly throughout the budget cycle as appropriate.</w:t>
      </w:r>
    </w:p>
    <w:p w14:paraId="65D09B47" w14:textId="35ACB9E1" w:rsidR="00F7017D" w:rsidRPr="00117B24" w:rsidRDefault="00F7017D" w:rsidP="00BE6E4F">
      <w:pPr>
        <w:pStyle w:val="PanelPara"/>
      </w:pPr>
      <w:r w:rsidRPr="00117B24">
        <w:t>The estimates and assumptions are based on the best information available at the time of formulating the budget in line with the fundamental accounting concepts and are reasonable and prudent.</w:t>
      </w:r>
    </w:p>
    <w:p w14:paraId="6BCF68EC" w14:textId="2A9BF011" w:rsidR="00F7017D" w:rsidRPr="00117B24" w:rsidRDefault="00F7017D" w:rsidP="00BE6E4F">
      <w:pPr>
        <w:pStyle w:val="PanelPara"/>
      </w:pPr>
      <w:r w:rsidRPr="00117B24">
        <w:t>The Section 25 Statement of the S151 Chief Finance Officer for Northamptonshire Police, Fire and Crime Commissioner is included at Appendix C.</w:t>
      </w:r>
    </w:p>
    <w:p w14:paraId="3D9567D5" w14:textId="27BD1ACA" w:rsidR="00D04A86" w:rsidRPr="0074575D" w:rsidRDefault="00D04A86" w:rsidP="0044465B">
      <w:pPr>
        <w:spacing w:after="0" w:line="240" w:lineRule="auto"/>
        <w:jc w:val="both"/>
        <w:rPr>
          <w:rFonts w:asciiTheme="minorHAnsi" w:hAnsiTheme="minorHAnsi" w:cstheme="minorHAnsi"/>
          <w:b/>
          <w:sz w:val="24"/>
          <w:szCs w:val="24"/>
          <w:highlight w:val="yellow"/>
        </w:rPr>
      </w:pPr>
    </w:p>
    <w:p w14:paraId="1CB98B01" w14:textId="1516741E" w:rsidR="00D04A86" w:rsidRPr="0074575D" w:rsidRDefault="00D04A86" w:rsidP="0044465B">
      <w:pPr>
        <w:spacing w:after="0" w:line="240" w:lineRule="auto"/>
        <w:jc w:val="both"/>
        <w:rPr>
          <w:rFonts w:asciiTheme="minorHAnsi" w:hAnsiTheme="minorHAnsi" w:cstheme="minorHAnsi"/>
          <w:b/>
          <w:sz w:val="24"/>
          <w:szCs w:val="24"/>
          <w:highlight w:val="yellow"/>
        </w:rPr>
      </w:pPr>
    </w:p>
    <w:p w14:paraId="197152B5" w14:textId="0539BF75" w:rsidR="00744F4E" w:rsidRPr="0074575D" w:rsidRDefault="00744F4E">
      <w:pPr>
        <w:spacing w:after="0" w:line="240" w:lineRule="auto"/>
        <w:rPr>
          <w:rFonts w:asciiTheme="minorHAnsi" w:hAnsiTheme="minorHAnsi" w:cstheme="minorHAnsi"/>
          <w:b/>
          <w:sz w:val="24"/>
          <w:szCs w:val="24"/>
          <w:highlight w:val="yellow"/>
        </w:rPr>
      </w:pPr>
      <w:r w:rsidRPr="0074575D">
        <w:rPr>
          <w:rFonts w:asciiTheme="minorHAnsi" w:hAnsiTheme="minorHAnsi" w:cstheme="minorHAnsi"/>
          <w:b/>
          <w:sz w:val="24"/>
          <w:szCs w:val="24"/>
          <w:highlight w:val="yellow"/>
        </w:rPr>
        <w:br w:type="page"/>
      </w:r>
    </w:p>
    <w:p w14:paraId="32BBF99C" w14:textId="77777777" w:rsidR="00D04A86" w:rsidRPr="0074575D" w:rsidRDefault="00D04A86" w:rsidP="0044465B">
      <w:pPr>
        <w:spacing w:after="0" w:line="240" w:lineRule="auto"/>
        <w:jc w:val="both"/>
        <w:rPr>
          <w:rFonts w:asciiTheme="minorHAnsi" w:hAnsiTheme="minorHAnsi" w:cstheme="minorHAnsi"/>
          <w:b/>
          <w:sz w:val="24"/>
          <w:szCs w:val="24"/>
          <w:highlight w:val="yellow"/>
        </w:rPr>
      </w:pPr>
    </w:p>
    <w:p w14:paraId="02AF3A22" w14:textId="77777777" w:rsidR="00596D6D" w:rsidRPr="00BE6E4F" w:rsidRDefault="00596D6D" w:rsidP="0044465B">
      <w:pPr>
        <w:spacing w:after="0" w:line="240" w:lineRule="auto"/>
        <w:ind w:left="567"/>
        <w:jc w:val="both"/>
        <w:rPr>
          <w:rFonts w:asciiTheme="minorHAnsi" w:hAnsiTheme="minorHAnsi" w:cstheme="minorHAnsi"/>
          <w:i/>
          <w:sz w:val="24"/>
          <w:szCs w:val="24"/>
        </w:rPr>
      </w:pPr>
      <w:bookmarkStart w:id="17" w:name="_Hlk156834115"/>
      <w:r w:rsidRPr="00BE6E4F">
        <w:rPr>
          <w:rFonts w:asciiTheme="minorHAnsi" w:hAnsiTheme="minorHAnsi" w:cstheme="minorHAnsi"/>
          <w:sz w:val="24"/>
          <w:szCs w:val="24"/>
        </w:rPr>
        <w:t>-------------------------------------------------------------------------------------------------------</w:t>
      </w:r>
    </w:p>
    <w:p w14:paraId="25000D4A" w14:textId="77777777" w:rsidR="00A9701F" w:rsidRPr="00BE6E4F" w:rsidRDefault="00A9701F" w:rsidP="00BE6E4F">
      <w:pPr>
        <w:pStyle w:val="Header"/>
        <w:ind w:right="-990"/>
        <w:rPr>
          <w:rFonts w:asciiTheme="minorHAnsi" w:hAnsiTheme="minorHAnsi" w:cstheme="minorHAnsi"/>
          <w:b/>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E6E4F" w:rsidRPr="00BE6E4F" w14:paraId="09594EFC" w14:textId="77777777" w:rsidTr="00BE6E4F">
        <w:tc>
          <w:tcPr>
            <w:tcW w:w="4814" w:type="dxa"/>
          </w:tcPr>
          <w:p w14:paraId="5550EE97" w14:textId="757FC579" w:rsidR="00BE6E4F" w:rsidRPr="00BE6E4F" w:rsidRDefault="00BE6E4F" w:rsidP="0057151C">
            <w:pPr>
              <w:pStyle w:val="Header"/>
              <w:ind w:right="-990"/>
              <w:rPr>
                <w:rFonts w:asciiTheme="minorHAnsi" w:hAnsiTheme="minorHAnsi" w:cstheme="minorHAnsi"/>
                <w:b/>
                <w:sz w:val="24"/>
                <w:szCs w:val="24"/>
                <w:u w:val="single"/>
              </w:rPr>
            </w:pPr>
            <w:r w:rsidRPr="00BE6E4F">
              <w:rPr>
                <w:rFonts w:asciiTheme="minorHAnsi" w:hAnsiTheme="minorHAnsi" w:cstheme="minorHAnsi"/>
                <w:b/>
                <w:sz w:val="24"/>
                <w:szCs w:val="24"/>
              </w:rPr>
              <w:t>EQUALITY, DIVERSITY AND HUMAN RIGHTS IMPLICATIONS</w:t>
            </w:r>
          </w:p>
        </w:tc>
        <w:tc>
          <w:tcPr>
            <w:tcW w:w="4814" w:type="dxa"/>
          </w:tcPr>
          <w:p w14:paraId="7964127E" w14:textId="77777777" w:rsidR="00BE6E4F" w:rsidRPr="00BE6E4F" w:rsidRDefault="00BE6E4F" w:rsidP="00BE6E4F">
            <w:pPr>
              <w:spacing w:after="0" w:line="240" w:lineRule="auto"/>
              <w:jc w:val="both"/>
              <w:rPr>
                <w:rFonts w:asciiTheme="minorHAnsi" w:hAnsiTheme="minorHAnsi" w:cstheme="minorHAnsi"/>
                <w:sz w:val="24"/>
                <w:szCs w:val="24"/>
              </w:rPr>
            </w:pPr>
            <w:r w:rsidRPr="00BE6E4F">
              <w:rPr>
                <w:rFonts w:asciiTheme="minorHAnsi" w:hAnsiTheme="minorHAnsi" w:cstheme="minorHAnsi"/>
                <w:sz w:val="24"/>
                <w:szCs w:val="24"/>
              </w:rPr>
              <w:t>The budget and proposed precept provide the resources for the delivery of the Police, Fire and Crime Plan.  Additionally, the survey is comprised of a representative sample of Northamptonshire residents.</w:t>
            </w:r>
          </w:p>
          <w:p w14:paraId="1CDDF053" w14:textId="77777777" w:rsidR="00BE6E4F" w:rsidRPr="00BE6E4F" w:rsidRDefault="00BE6E4F" w:rsidP="0057151C">
            <w:pPr>
              <w:pStyle w:val="Header"/>
              <w:ind w:right="-990"/>
              <w:rPr>
                <w:rFonts w:asciiTheme="minorHAnsi" w:hAnsiTheme="minorHAnsi" w:cstheme="minorHAnsi"/>
                <w:b/>
                <w:sz w:val="24"/>
                <w:szCs w:val="24"/>
                <w:u w:val="single"/>
              </w:rPr>
            </w:pPr>
          </w:p>
        </w:tc>
      </w:tr>
      <w:tr w:rsidR="00BE6E4F" w:rsidRPr="00BE6E4F" w14:paraId="7B79392B" w14:textId="77777777" w:rsidTr="00BE6E4F">
        <w:tc>
          <w:tcPr>
            <w:tcW w:w="4814" w:type="dxa"/>
          </w:tcPr>
          <w:p w14:paraId="192139DF" w14:textId="77777777" w:rsidR="00BE6E4F" w:rsidRDefault="00BE6E4F" w:rsidP="0057151C">
            <w:pPr>
              <w:pStyle w:val="Header"/>
              <w:ind w:right="-990"/>
              <w:rPr>
                <w:rFonts w:asciiTheme="minorHAnsi" w:hAnsiTheme="minorHAnsi" w:cstheme="minorHAnsi"/>
                <w:b/>
                <w:sz w:val="24"/>
                <w:szCs w:val="24"/>
              </w:rPr>
            </w:pPr>
            <w:r w:rsidRPr="00BE6E4F">
              <w:rPr>
                <w:rFonts w:asciiTheme="minorHAnsi" w:hAnsiTheme="minorHAnsi" w:cstheme="minorHAnsi"/>
                <w:b/>
                <w:sz w:val="24"/>
                <w:szCs w:val="24"/>
              </w:rPr>
              <w:t>HUMAN RESOURCES IMPLICATIONS</w:t>
            </w:r>
          </w:p>
          <w:p w14:paraId="4237E12E" w14:textId="30110CB5" w:rsidR="00BE6E4F" w:rsidRPr="00BE6E4F" w:rsidRDefault="00BE6E4F" w:rsidP="0057151C">
            <w:pPr>
              <w:pStyle w:val="Header"/>
              <w:ind w:right="-990"/>
              <w:rPr>
                <w:rFonts w:asciiTheme="minorHAnsi" w:hAnsiTheme="minorHAnsi" w:cstheme="minorHAnsi"/>
                <w:b/>
                <w:sz w:val="24"/>
                <w:szCs w:val="24"/>
                <w:u w:val="single"/>
              </w:rPr>
            </w:pPr>
          </w:p>
        </w:tc>
        <w:tc>
          <w:tcPr>
            <w:tcW w:w="4814" w:type="dxa"/>
          </w:tcPr>
          <w:p w14:paraId="74C66E0F" w14:textId="57B1A1DE" w:rsidR="00BE6E4F" w:rsidRPr="00BE6E4F" w:rsidRDefault="00BE6E4F" w:rsidP="0057151C">
            <w:pPr>
              <w:pStyle w:val="Header"/>
              <w:ind w:right="-990"/>
              <w:rPr>
                <w:rFonts w:asciiTheme="minorHAnsi" w:hAnsiTheme="minorHAnsi" w:cstheme="minorHAnsi"/>
                <w:b/>
                <w:sz w:val="24"/>
                <w:szCs w:val="24"/>
                <w:u w:val="single"/>
              </w:rPr>
            </w:pPr>
            <w:r w:rsidRPr="00BE6E4F">
              <w:rPr>
                <w:rFonts w:asciiTheme="minorHAnsi" w:hAnsiTheme="minorHAnsi" w:cstheme="minorHAnsi"/>
                <w:sz w:val="24"/>
                <w:szCs w:val="24"/>
              </w:rPr>
              <w:t>None</w:t>
            </w:r>
          </w:p>
        </w:tc>
      </w:tr>
      <w:tr w:rsidR="00BE6E4F" w:rsidRPr="00BE6E4F" w14:paraId="75AD2D1E" w14:textId="77777777" w:rsidTr="00BE6E4F">
        <w:tc>
          <w:tcPr>
            <w:tcW w:w="4814" w:type="dxa"/>
          </w:tcPr>
          <w:p w14:paraId="1FD4EDAD" w14:textId="77777777" w:rsidR="00BE6E4F" w:rsidRDefault="00BE6E4F" w:rsidP="0057151C">
            <w:pPr>
              <w:pStyle w:val="Header"/>
              <w:ind w:right="-990"/>
              <w:rPr>
                <w:rFonts w:asciiTheme="minorHAnsi" w:hAnsiTheme="minorHAnsi" w:cstheme="minorHAnsi"/>
                <w:b/>
                <w:sz w:val="24"/>
                <w:szCs w:val="24"/>
              </w:rPr>
            </w:pPr>
            <w:r w:rsidRPr="00BE6E4F">
              <w:rPr>
                <w:rFonts w:asciiTheme="minorHAnsi" w:hAnsiTheme="minorHAnsi" w:cstheme="minorHAnsi"/>
                <w:b/>
                <w:sz w:val="24"/>
                <w:szCs w:val="24"/>
              </w:rPr>
              <w:t>ENVIRONMENTAL IMPLICATIONS</w:t>
            </w:r>
          </w:p>
          <w:p w14:paraId="74933369" w14:textId="2AB5E9BE" w:rsidR="00BE6E4F" w:rsidRPr="00BE6E4F" w:rsidRDefault="00BE6E4F" w:rsidP="0057151C">
            <w:pPr>
              <w:pStyle w:val="Header"/>
              <w:ind w:right="-990"/>
              <w:rPr>
                <w:rFonts w:asciiTheme="minorHAnsi" w:hAnsiTheme="minorHAnsi" w:cstheme="minorHAnsi"/>
                <w:b/>
                <w:sz w:val="24"/>
                <w:szCs w:val="24"/>
                <w:u w:val="single"/>
              </w:rPr>
            </w:pPr>
          </w:p>
        </w:tc>
        <w:tc>
          <w:tcPr>
            <w:tcW w:w="4814" w:type="dxa"/>
          </w:tcPr>
          <w:p w14:paraId="4E2828AC" w14:textId="27E4D4AA" w:rsidR="00BE6E4F" w:rsidRPr="00BE6E4F" w:rsidRDefault="00BE6E4F" w:rsidP="0057151C">
            <w:pPr>
              <w:pStyle w:val="Header"/>
              <w:ind w:right="-990"/>
              <w:rPr>
                <w:rFonts w:asciiTheme="minorHAnsi" w:hAnsiTheme="minorHAnsi" w:cstheme="minorHAnsi"/>
                <w:b/>
                <w:sz w:val="24"/>
                <w:szCs w:val="24"/>
                <w:u w:val="single"/>
              </w:rPr>
            </w:pPr>
            <w:r w:rsidRPr="00BE6E4F">
              <w:rPr>
                <w:rFonts w:asciiTheme="minorHAnsi" w:hAnsiTheme="minorHAnsi" w:cstheme="minorHAnsi"/>
                <w:sz w:val="24"/>
                <w:szCs w:val="24"/>
              </w:rPr>
              <w:t>None</w:t>
            </w:r>
          </w:p>
        </w:tc>
      </w:tr>
      <w:tr w:rsidR="00BE6E4F" w:rsidRPr="00BE6E4F" w14:paraId="5D92A9F0" w14:textId="77777777" w:rsidTr="00BE6E4F">
        <w:tc>
          <w:tcPr>
            <w:tcW w:w="4814" w:type="dxa"/>
          </w:tcPr>
          <w:p w14:paraId="0FA8C18D" w14:textId="50671EE6" w:rsidR="00BE6E4F" w:rsidRPr="00BE6E4F" w:rsidRDefault="00BE6E4F" w:rsidP="0057151C">
            <w:pPr>
              <w:pStyle w:val="Header"/>
              <w:ind w:right="-990"/>
              <w:rPr>
                <w:rFonts w:asciiTheme="minorHAnsi" w:hAnsiTheme="minorHAnsi" w:cstheme="minorHAnsi"/>
                <w:b/>
                <w:sz w:val="24"/>
                <w:szCs w:val="24"/>
                <w:u w:val="single"/>
              </w:rPr>
            </w:pPr>
            <w:r w:rsidRPr="00BE6E4F">
              <w:rPr>
                <w:rFonts w:asciiTheme="minorHAnsi" w:hAnsiTheme="minorHAnsi" w:cstheme="minorHAnsi"/>
                <w:b/>
                <w:sz w:val="24"/>
                <w:szCs w:val="24"/>
              </w:rPr>
              <w:t>RISK MANAGEMENT IMPLICATIONS</w:t>
            </w:r>
          </w:p>
        </w:tc>
        <w:tc>
          <w:tcPr>
            <w:tcW w:w="4814" w:type="dxa"/>
          </w:tcPr>
          <w:p w14:paraId="38841144" w14:textId="77777777" w:rsidR="00BE6E4F" w:rsidRDefault="00BE6E4F" w:rsidP="00BE6E4F">
            <w:pPr>
              <w:spacing w:after="0" w:line="240" w:lineRule="auto"/>
              <w:jc w:val="both"/>
              <w:rPr>
                <w:rFonts w:asciiTheme="minorHAnsi" w:hAnsiTheme="minorHAnsi" w:cstheme="minorHAnsi"/>
                <w:sz w:val="24"/>
                <w:szCs w:val="24"/>
              </w:rPr>
            </w:pPr>
            <w:r w:rsidRPr="00BE6E4F">
              <w:rPr>
                <w:rFonts w:asciiTheme="minorHAnsi" w:hAnsiTheme="minorHAnsi" w:cstheme="minorHAnsi"/>
                <w:sz w:val="24"/>
                <w:szCs w:val="24"/>
              </w:rPr>
              <w:t>Risks and mitigations have been highlighted in the report.</w:t>
            </w:r>
          </w:p>
          <w:p w14:paraId="5815F631" w14:textId="46AEBC8C" w:rsidR="00BE6E4F" w:rsidRPr="00BE6E4F" w:rsidRDefault="00BE6E4F" w:rsidP="00BE6E4F">
            <w:pPr>
              <w:spacing w:after="0" w:line="240" w:lineRule="auto"/>
              <w:jc w:val="both"/>
              <w:rPr>
                <w:rFonts w:asciiTheme="minorHAnsi" w:hAnsiTheme="minorHAnsi" w:cstheme="minorHAnsi"/>
                <w:b/>
                <w:sz w:val="24"/>
                <w:szCs w:val="24"/>
                <w:u w:val="single"/>
              </w:rPr>
            </w:pPr>
          </w:p>
        </w:tc>
      </w:tr>
      <w:tr w:rsidR="00BE6E4F" w:rsidRPr="00BE6E4F" w14:paraId="441020F9" w14:textId="77777777" w:rsidTr="00BE6E4F">
        <w:tc>
          <w:tcPr>
            <w:tcW w:w="4814" w:type="dxa"/>
          </w:tcPr>
          <w:p w14:paraId="1A47232D" w14:textId="77777777" w:rsidR="00BE6E4F" w:rsidRPr="00BE6E4F" w:rsidRDefault="00BE6E4F" w:rsidP="00BE6E4F">
            <w:pPr>
              <w:pStyle w:val="Header"/>
              <w:ind w:right="-990"/>
              <w:jc w:val="both"/>
              <w:rPr>
                <w:rFonts w:asciiTheme="minorHAnsi" w:hAnsiTheme="minorHAnsi" w:cstheme="minorHAnsi"/>
                <w:b/>
                <w:sz w:val="24"/>
                <w:szCs w:val="24"/>
              </w:rPr>
            </w:pPr>
            <w:r w:rsidRPr="00BE6E4F">
              <w:rPr>
                <w:rFonts w:asciiTheme="minorHAnsi" w:hAnsiTheme="minorHAnsi" w:cstheme="minorHAnsi"/>
                <w:b/>
                <w:sz w:val="24"/>
                <w:szCs w:val="24"/>
              </w:rPr>
              <w:t>LEGAL IMPLICATIONS</w:t>
            </w:r>
          </w:p>
          <w:p w14:paraId="5E8E4ADB" w14:textId="77777777" w:rsidR="00BE6E4F" w:rsidRPr="00BE6E4F" w:rsidRDefault="00BE6E4F" w:rsidP="0057151C">
            <w:pPr>
              <w:pStyle w:val="Header"/>
              <w:ind w:right="-990"/>
              <w:rPr>
                <w:rFonts w:asciiTheme="minorHAnsi" w:hAnsiTheme="minorHAnsi" w:cstheme="minorHAnsi"/>
                <w:b/>
                <w:sz w:val="24"/>
                <w:szCs w:val="24"/>
                <w:u w:val="single"/>
              </w:rPr>
            </w:pPr>
          </w:p>
        </w:tc>
        <w:tc>
          <w:tcPr>
            <w:tcW w:w="4814" w:type="dxa"/>
          </w:tcPr>
          <w:p w14:paraId="13DA9844" w14:textId="6ED69DA3" w:rsidR="00BE6E4F" w:rsidRPr="00BE6E4F" w:rsidRDefault="00BE6E4F" w:rsidP="00BE6E4F">
            <w:pPr>
              <w:spacing w:after="0" w:line="240" w:lineRule="auto"/>
              <w:jc w:val="both"/>
              <w:rPr>
                <w:rFonts w:asciiTheme="minorHAnsi" w:hAnsiTheme="minorHAnsi" w:cstheme="minorHAnsi"/>
                <w:b/>
                <w:sz w:val="24"/>
                <w:szCs w:val="24"/>
                <w:u w:val="single"/>
              </w:rPr>
            </w:pPr>
            <w:r w:rsidRPr="00BE6E4F">
              <w:rPr>
                <w:rFonts w:asciiTheme="minorHAnsi" w:hAnsiTheme="minorHAnsi" w:cstheme="minorHAnsi"/>
                <w:sz w:val="24"/>
                <w:szCs w:val="24"/>
              </w:rPr>
              <w:t>The PFCC is required to notify a precept to the billing authorities by the 1</w:t>
            </w:r>
            <w:r w:rsidRPr="00BE6E4F">
              <w:rPr>
                <w:rFonts w:asciiTheme="minorHAnsi" w:hAnsiTheme="minorHAnsi" w:cstheme="minorHAnsi"/>
                <w:sz w:val="24"/>
                <w:szCs w:val="24"/>
                <w:vertAlign w:val="superscript"/>
              </w:rPr>
              <w:t>st</w:t>
            </w:r>
            <w:r w:rsidRPr="00BE6E4F">
              <w:rPr>
                <w:rFonts w:asciiTheme="minorHAnsi" w:hAnsiTheme="minorHAnsi" w:cstheme="minorHAnsi"/>
                <w:sz w:val="24"/>
                <w:szCs w:val="24"/>
              </w:rPr>
              <w:t xml:space="preserve"> March each year.  In doing so, he must set a realistic revenue budget, informed by the report of the Chief Finance Officer</w:t>
            </w:r>
          </w:p>
        </w:tc>
      </w:tr>
    </w:tbl>
    <w:p w14:paraId="47EA893A" w14:textId="77777777" w:rsidR="00A9701F" w:rsidRPr="00BE6E4F" w:rsidRDefault="00A9701F" w:rsidP="0057151C">
      <w:pPr>
        <w:pStyle w:val="Header"/>
        <w:ind w:right="-990"/>
        <w:rPr>
          <w:rFonts w:asciiTheme="minorHAnsi" w:hAnsiTheme="minorHAnsi" w:cstheme="minorHAnsi"/>
          <w:b/>
          <w:sz w:val="24"/>
          <w:szCs w:val="24"/>
          <w:u w:val="single"/>
        </w:rPr>
      </w:pPr>
    </w:p>
    <w:p w14:paraId="55616F73" w14:textId="0E0A9B0A" w:rsidR="005D2DA4" w:rsidRPr="00BE6E4F" w:rsidRDefault="005D2DA4" w:rsidP="0057151C">
      <w:pPr>
        <w:pStyle w:val="Header"/>
        <w:ind w:right="-990"/>
        <w:rPr>
          <w:rFonts w:asciiTheme="minorHAnsi" w:hAnsiTheme="minorHAnsi" w:cstheme="minorHAnsi"/>
          <w:b/>
          <w:sz w:val="24"/>
          <w:szCs w:val="24"/>
          <w:u w:val="single"/>
        </w:rPr>
      </w:pPr>
      <w:r w:rsidRPr="00BE6E4F">
        <w:rPr>
          <w:rFonts w:asciiTheme="minorHAnsi" w:hAnsiTheme="minorHAnsi" w:cstheme="minorHAnsi"/>
          <w:b/>
          <w:sz w:val="24"/>
          <w:szCs w:val="24"/>
          <w:u w:val="single"/>
        </w:rPr>
        <w:t>List of Appendices</w:t>
      </w:r>
    </w:p>
    <w:p w14:paraId="15FD6925" w14:textId="77777777" w:rsidR="00E46427" w:rsidRPr="00BE6E4F" w:rsidRDefault="00E46427" w:rsidP="0057151C">
      <w:pPr>
        <w:pStyle w:val="Header"/>
        <w:ind w:right="-990"/>
        <w:rPr>
          <w:rFonts w:asciiTheme="minorHAnsi" w:hAnsiTheme="minorHAnsi" w:cstheme="minorHAnsi"/>
          <w:sz w:val="24"/>
          <w:szCs w:val="24"/>
        </w:rPr>
      </w:pPr>
    </w:p>
    <w:p w14:paraId="6C9A2386" w14:textId="531DD0E1" w:rsidR="00967E05" w:rsidRPr="00BE6E4F" w:rsidRDefault="005D2DA4" w:rsidP="0057151C">
      <w:pPr>
        <w:pStyle w:val="Header"/>
        <w:ind w:right="-990"/>
        <w:rPr>
          <w:rFonts w:asciiTheme="minorHAnsi" w:hAnsiTheme="minorHAnsi" w:cstheme="minorHAnsi"/>
          <w:sz w:val="24"/>
          <w:szCs w:val="24"/>
        </w:rPr>
      </w:pPr>
      <w:r w:rsidRPr="00BE6E4F">
        <w:rPr>
          <w:rFonts w:asciiTheme="minorHAnsi" w:hAnsiTheme="minorHAnsi" w:cstheme="minorHAnsi"/>
          <w:sz w:val="24"/>
          <w:szCs w:val="24"/>
        </w:rPr>
        <w:t xml:space="preserve">Appendix </w:t>
      </w:r>
      <w:r w:rsidR="00967E05" w:rsidRPr="00BE6E4F">
        <w:rPr>
          <w:rFonts w:asciiTheme="minorHAnsi" w:hAnsiTheme="minorHAnsi" w:cstheme="minorHAnsi"/>
          <w:sz w:val="24"/>
          <w:szCs w:val="24"/>
        </w:rPr>
        <w:t>A</w:t>
      </w:r>
      <w:r w:rsidRPr="00BE6E4F">
        <w:rPr>
          <w:rFonts w:asciiTheme="minorHAnsi" w:hAnsiTheme="minorHAnsi" w:cstheme="minorHAnsi"/>
          <w:sz w:val="24"/>
          <w:szCs w:val="24"/>
        </w:rPr>
        <w:t xml:space="preserve"> </w:t>
      </w:r>
      <w:r w:rsidR="0044465B" w:rsidRPr="00BE6E4F">
        <w:rPr>
          <w:rFonts w:asciiTheme="minorHAnsi" w:hAnsiTheme="minorHAnsi" w:cstheme="minorHAnsi"/>
          <w:sz w:val="24"/>
          <w:szCs w:val="24"/>
        </w:rPr>
        <w:t xml:space="preserve">- </w:t>
      </w:r>
      <w:r w:rsidR="00967E05" w:rsidRPr="00BE6E4F">
        <w:rPr>
          <w:rFonts w:asciiTheme="minorHAnsi" w:hAnsiTheme="minorHAnsi" w:cstheme="minorHAnsi"/>
          <w:sz w:val="24"/>
          <w:szCs w:val="24"/>
        </w:rPr>
        <w:t>Consultation on the Precept</w:t>
      </w:r>
    </w:p>
    <w:p w14:paraId="35B7662A" w14:textId="5CEA55A3" w:rsidR="005D2DA4" w:rsidRPr="00BE6E4F" w:rsidRDefault="00967E05" w:rsidP="0057151C">
      <w:pPr>
        <w:pStyle w:val="Header"/>
        <w:ind w:right="-990"/>
        <w:rPr>
          <w:rFonts w:asciiTheme="minorHAnsi" w:hAnsiTheme="minorHAnsi" w:cstheme="minorHAnsi"/>
          <w:sz w:val="24"/>
          <w:szCs w:val="24"/>
        </w:rPr>
      </w:pPr>
      <w:r w:rsidRPr="00BE6E4F">
        <w:rPr>
          <w:rFonts w:asciiTheme="minorHAnsi" w:hAnsiTheme="minorHAnsi" w:cstheme="minorHAnsi"/>
          <w:sz w:val="24"/>
          <w:szCs w:val="24"/>
        </w:rPr>
        <w:t xml:space="preserve">Appendix B </w:t>
      </w:r>
      <w:r w:rsidR="0044465B" w:rsidRPr="00BE6E4F">
        <w:rPr>
          <w:rFonts w:asciiTheme="minorHAnsi" w:hAnsiTheme="minorHAnsi" w:cstheme="minorHAnsi"/>
          <w:sz w:val="24"/>
          <w:szCs w:val="24"/>
        </w:rPr>
        <w:t xml:space="preserve">- </w:t>
      </w:r>
      <w:r w:rsidR="00CF10DB" w:rsidRPr="00BE6E4F">
        <w:rPr>
          <w:rFonts w:asciiTheme="minorHAnsi" w:hAnsiTheme="minorHAnsi" w:cstheme="minorHAnsi"/>
          <w:sz w:val="24"/>
          <w:szCs w:val="24"/>
        </w:rPr>
        <w:t>Medium Term Financial Plan</w:t>
      </w:r>
    </w:p>
    <w:p w14:paraId="27B667BC" w14:textId="64428052" w:rsidR="00967E05" w:rsidRPr="00BE6E4F" w:rsidRDefault="00757703" w:rsidP="0057151C">
      <w:pPr>
        <w:pStyle w:val="Header"/>
        <w:ind w:right="-990"/>
        <w:rPr>
          <w:rFonts w:asciiTheme="minorHAnsi" w:hAnsiTheme="minorHAnsi" w:cstheme="minorHAnsi"/>
          <w:sz w:val="24"/>
          <w:szCs w:val="24"/>
        </w:rPr>
      </w:pPr>
      <w:r w:rsidRPr="00BE6E4F">
        <w:rPr>
          <w:rFonts w:asciiTheme="minorHAnsi" w:hAnsiTheme="minorHAnsi" w:cstheme="minorHAnsi"/>
          <w:sz w:val="24"/>
          <w:szCs w:val="24"/>
        </w:rPr>
        <w:t xml:space="preserve">Appendix </w:t>
      </w:r>
      <w:r w:rsidR="00967E05" w:rsidRPr="00BE6E4F">
        <w:rPr>
          <w:rFonts w:asciiTheme="minorHAnsi" w:hAnsiTheme="minorHAnsi" w:cstheme="minorHAnsi"/>
          <w:sz w:val="24"/>
          <w:szCs w:val="24"/>
        </w:rPr>
        <w:t>C</w:t>
      </w:r>
      <w:r w:rsidRPr="00BE6E4F">
        <w:rPr>
          <w:rFonts w:asciiTheme="minorHAnsi" w:hAnsiTheme="minorHAnsi" w:cstheme="minorHAnsi"/>
          <w:sz w:val="24"/>
          <w:szCs w:val="24"/>
        </w:rPr>
        <w:t xml:space="preserve"> </w:t>
      </w:r>
      <w:r w:rsidR="0044465B" w:rsidRPr="00BE6E4F">
        <w:rPr>
          <w:rFonts w:asciiTheme="minorHAnsi" w:hAnsiTheme="minorHAnsi" w:cstheme="minorHAnsi"/>
          <w:sz w:val="24"/>
          <w:szCs w:val="24"/>
        </w:rPr>
        <w:t xml:space="preserve">- </w:t>
      </w:r>
      <w:r w:rsidR="00967E05" w:rsidRPr="00BE6E4F">
        <w:rPr>
          <w:rFonts w:asciiTheme="minorHAnsi" w:hAnsiTheme="minorHAnsi" w:cstheme="minorHAnsi"/>
          <w:sz w:val="24"/>
          <w:szCs w:val="24"/>
        </w:rPr>
        <w:t>Section 25 Report of the Section 151 Chief Finance Officer</w:t>
      </w:r>
    </w:p>
    <w:p w14:paraId="57D73C29" w14:textId="7FB922F3" w:rsidR="005866E2" w:rsidRPr="00BE6E4F" w:rsidRDefault="00967E05" w:rsidP="0057151C">
      <w:pPr>
        <w:pStyle w:val="Header"/>
        <w:ind w:right="-990"/>
        <w:rPr>
          <w:rFonts w:asciiTheme="minorHAnsi" w:hAnsiTheme="minorHAnsi" w:cstheme="minorHAnsi"/>
          <w:sz w:val="24"/>
          <w:szCs w:val="24"/>
        </w:rPr>
      </w:pPr>
      <w:r w:rsidRPr="00BE6E4F">
        <w:rPr>
          <w:rFonts w:asciiTheme="minorHAnsi" w:hAnsiTheme="minorHAnsi" w:cstheme="minorHAnsi"/>
          <w:sz w:val="24"/>
          <w:szCs w:val="24"/>
        </w:rPr>
        <w:t xml:space="preserve">Appendix D </w:t>
      </w:r>
      <w:r w:rsidR="0044465B" w:rsidRPr="00BE6E4F">
        <w:rPr>
          <w:rFonts w:asciiTheme="minorHAnsi" w:hAnsiTheme="minorHAnsi" w:cstheme="minorHAnsi"/>
          <w:sz w:val="24"/>
          <w:szCs w:val="24"/>
        </w:rPr>
        <w:t xml:space="preserve">- </w:t>
      </w:r>
      <w:r w:rsidR="005866E2" w:rsidRPr="00BE6E4F">
        <w:rPr>
          <w:rFonts w:asciiTheme="minorHAnsi" w:hAnsiTheme="minorHAnsi" w:cstheme="minorHAnsi"/>
          <w:sz w:val="24"/>
          <w:szCs w:val="24"/>
        </w:rPr>
        <w:t>Reserves Strategy</w:t>
      </w:r>
    </w:p>
    <w:bookmarkEnd w:id="17"/>
    <w:p w14:paraId="563FA07F" w14:textId="77777777" w:rsidR="00F306A9" w:rsidRPr="00BE6E4F" w:rsidRDefault="00F306A9" w:rsidP="0057151C">
      <w:pPr>
        <w:pStyle w:val="Header"/>
        <w:ind w:right="-990"/>
        <w:rPr>
          <w:rFonts w:asciiTheme="minorHAnsi" w:hAnsiTheme="minorHAnsi" w:cstheme="minorHAnsi"/>
          <w:sz w:val="24"/>
          <w:szCs w:val="24"/>
        </w:rPr>
      </w:pPr>
    </w:p>
    <w:p w14:paraId="06A7F44B" w14:textId="77777777" w:rsidR="00F7094D" w:rsidRPr="00BE6E4F" w:rsidRDefault="005D2DA4" w:rsidP="00F7094D">
      <w:pPr>
        <w:pStyle w:val="Header"/>
        <w:ind w:right="-990"/>
        <w:rPr>
          <w:rFonts w:asciiTheme="minorHAnsi" w:hAnsiTheme="minorHAnsi" w:cstheme="minorHAnsi"/>
          <w:sz w:val="24"/>
          <w:szCs w:val="24"/>
        </w:rPr>
      </w:pPr>
      <w:bookmarkStart w:id="18" w:name="_Hlk156834158"/>
      <w:r w:rsidRPr="00BE6E4F">
        <w:rPr>
          <w:rFonts w:asciiTheme="minorHAnsi" w:hAnsiTheme="minorHAnsi" w:cstheme="minorHAnsi"/>
          <w:b/>
          <w:sz w:val="24"/>
          <w:szCs w:val="24"/>
          <w:u w:val="single"/>
        </w:rPr>
        <w:t>Persons to Contact</w:t>
      </w:r>
    </w:p>
    <w:p w14:paraId="60649D9D" w14:textId="5E4E8C85" w:rsidR="00D04A86" w:rsidRPr="0014672E" w:rsidRDefault="00BE6E4F" w:rsidP="00D04A86">
      <w:pPr>
        <w:pStyle w:val="Header"/>
        <w:ind w:right="-990"/>
        <w:rPr>
          <w:rFonts w:asciiTheme="minorHAnsi" w:hAnsiTheme="minorHAnsi" w:cstheme="minorHAnsi"/>
          <w:sz w:val="24"/>
          <w:szCs w:val="24"/>
        </w:rPr>
      </w:pPr>
      <w:r w:rsidRPr="0014672E">
        <w:rPr>
          <w:rFonts w:asciiTheme="minorHAnsi" w:hAnsiTheme="minorHAnsi" w:cstheme="minorHAnsi"/>
          <w:sz w:val="24"/>
          <w:szCs w:val="24"/>
        </w:rPr>
        <w:t>Mr V Ashcroft</w:t>
      </w:r>
      <w:r w:rsidR="005D2DA4" w:rsidRPr="0014672E">
        <w:rPr>
          <w:rFonts w:asciiTheme="minorHAnsi" w:hAnsiTheme="minorHAnsi" w:cstheme="minorHAnsi"/>
          <w:sz w:val="24"/>
          <w:szCs w:val="24"/>
        </w:rPr>
        <w:t xml:space="preserve">, Chief Finance Officer, </w:t>
      </w:r>
    </w:p>
    <w:p w14:paraId="17EDAA89" w14:textId="77777777" w:rsidR="0014672E" w:rsidRPr="006B03FC" w:rsidRDefault="005D2DA4" w:rsidP="0014672E">
      <w:pPr>
        <w:pStyle w:val="Header"/>
        <w:ind w:right="-990"/>
        <w:jc w:val="both"/>
        <w:rPr>
          <w:rFonts w:asciiTheme="minorHAnsi" w:hAnsiTheme="minorHAnsi" w:cstheme="minorHAnsi"/>
          <w:b/>
          <w:bCs/>
          <w:sz w:val="24"/>
          <w:szCs w:val="24"/>
        </w:rPr>
      </w:pPr>
      <w:r w:rsidRPr="0014672E">
        <w:rPr>
          <w:sz w:val="24"/>
          <w:szCs w:val="24"/>
        </w:rPr>
        <w:t>Office o</w:t>
      </w:r>
      <w:r w:rsidR="00CF10DB" w:rsidRPr="0014672E">
        <w:rPr>
          <w:sz w:val="24"/>
          <w:szCs w:val="24"/>
        </w:rPr>
        <w:t>f the Police, Fire and Crime Commissioner</w:t>
      </w:r>
      <w:r w:rsidR="007F363C" w:rsidRPr="0014672E">
        <w:rPr>
          <w:rFonts w:ascii="Arial" w:hAnsi="Arial" w:cs="Arial"/>
          <w:sz w:val="24"/>
          <w:szCs w:val="24"/>
        </w:rPr>
        <w:br w:type="page"/>
      </w:r>
      <w:bookmarkEnd w:id="18"/>
      <w:r w:rsidR="0014672E" w:rsidRPr="006B03FC">
        <w:rPr>
          <w:rFonts w:asciiTheme="minorHAnsi" w:hAnsiTheme="minorHAnsi" w:cstheme="minorHAnsi"/>
          <w:b/>
          <w:bCs/>
          <w:sz w:val="24"/>
          <w:szCs w:val="24"/>
        </w:rPr>
        <w:t>Appendix A</w:t>
      </w:r>
    </w:p>
    <w:p w14:paraId="13B405DD" w14:textId="77777777" w:rsidR="0014672E" w:rsidRPr="006B03FC" w:rsidRDefault="0014672E" w:rsidP="0014672E">
      <w:pPr>
        <w:pStyle w:val="Header"/>
        <w:ind w:right="-990"/>
        <w:jc w:val="both"/>
        <w:rPr>
          <w:rFonts w:asciiTheme="minorHAnsi" w:hAnsiTheme="minorHAnsi" w:cstheme="minorHAnsi"/>
          <w:b/>
          <w:bCs/>
          <w:sz w:val="24"/>
          <w:szCs w:val="24"/>
        </w:rPr>
      </w:pPr>
      <w:r w:rsidRPr="006B03FC">
        <w:rPr>
          <w:rFonts w:asciiTheme="minorHAnsi" w:hAnsiTheme="minorHAnsi" w:cstheme="minorHAnsi"/>
          <w:b/>
          <w:bCs/>
          <w:sz w:val="24"/>
          <w:szCs w:val="24"/>
        </w:rPr>
        <w:t>Survey on the Precept</w:t>
      </w:r>
    </w:p>
    <w:p w14:paraId="7C51BCAF" w14:textId="77777777" w:rsidR="0014672E" w:rsidRDefault="0014672E" w:rsidP="0014672E">
      <w:pPr>
        <w:pStyle w:val="Header"/>
        <w:ind w:right="-990"/>
        <w:rPr>
          <w:rFonts w:cs="Calibri"/>
          <w:b/>
          <w:bCs/>
          <w:sz w:val="24"/>
          <w:szCs w:val="24"/>
        </w:rPr>
      </w:pPr>
    </w:p>
    <w:p w14:paraId="66C077C3" w14:textId="77777777" w:rsidR="0014672E" w:rsidRPr="006B03FC" w:rsidRDefault="0014672E" w:rsidP="0014672E">
      <w:pPr>
        <w:pStyle w:val="Header"/>
        <w:ind w:right="-990"/>
        <w:rPr>
          <w:rFonts w:cs="Calibri"/>
          <w:b/>
          <w:bCs/>
          <w:sz w:val="24"/>
          <w:szCs w:val="24"/>
        </w:rPr>
      </w:pPr>
      <w:r w:rsidRPr="006B03FC">
        <w:rPr>
          <w:rFonts w:cs="Calibri"/>
          <w:b/>
          <w:bCs/>
          <w:sz w:val="24"/>
          <w:szCs w:val="24"/>
        </w:rPr>
        <w:t>Context</w:t>
      </w:r>
    </w:p>
    <w:p w14:paraId="00BF6D27" w14:textId="77777777" w:rsidR="0014672E" w:rsidRPr="006B03FC" w:rsidRDefault="0014672E" w:rsidP="0014672E">
      <w:pPr>
        <w:spacing w:after="0" w:line="240" w:lineRule="auto"/>
        <w:jc w:val="both"/>
        <w:rPr>
          <w:rFonts w:cs="Calibri"/>
          <w:sz w:val="24"/>
          <w:szCs w:val="24"/>
        </w:rPr>
      </w:pPr>
    </w:p>
    <w:p w14:paraId="4ACB2791" w14:textId="77777777" w:rsidR="0014672E" w:rsidRPr="006B03FC" w:rsidRDefault="0014672E" w:rsidP="0014672E">
      <w:pPr>
        <w:spacing w:after="0" w:line="240" w:lineRule="auto"/>
        <w:jc w:val="both"/>
        <w:rPr>
          <w:rFonts w:cs="Calibri"/>
          <w:sz w:val="24"/>
          <w:szCs w:val="24"/>
        </w:rPr>
      </w:pPr>
      <w:r w:rsidRPr="006B03FC">
        <w:rPr>
          <w:rFonts w:cs="Calibri"/>
          <w:sz w:val="24"/>
          <w:szCs w:val="24"/>
        </w:rPr>
        <w:t>Embarking on the 2024/25 precept survey at the end of 2023</w:t>
      </w:r>
      <w:r>
        <w:rPr>
          <w:rFonts w:cs="Calibri"/>
          <w:sz w:val="24"/>
          <w:szCs w:val="24"/>
        </w:rPr>
        <w:t>,</w:t>
      </w:r>
      <w:r w:rsidRPr="006B03FC">
        <w:rPr>
          <w:rFonts w:cs="Calibri"/>
          <w:sz w:val="24"/>
          <w:szCs w:val="24"/>
        </w:rPr>
        <w:t xml:space="preserve"> at a time when increased financial challenges are being faced by people across the country, has required a significant amount of input from a communications perspective.</w:t>
      </w:r>
    </w:p>
    <w:p w14:paraId="6EB9BA91" w14:textId="77777777" w:rsidR="0014672E" w:rsidRPr="006B03FC" w:rsidRDefault="0014672E" w:rsidP="0014672E">
      <w:pPr>
        <w:spacing w:after="0" w:line="240" w:lineRule="auto"/>
        <w:jc w:val="both"/>
        <w:rPr>
          <w:rFonts w:cs="Calibri"/>
          <w:sz w:val="24"/>
          <w:szCs w:val="24"/>
        </w:rPr>
      </w:pPr>
    </w:p>
    <w:p w14:paraId="6637509F" w14:textId="77777777" w:rsidR="0014672E" w:rsidRPr="006B03FC" w:rsidRDefault="0014672E" w:rsidP="0014672E">
      <w:pPr>
        <w:spacing w:line="240" w:lineRule="auto"/>
        <w:jc w:val="both"/>
        <w:rPr>
          <w:rFonts w:cs="Calibri"/>
          <w:sz w:val="24"/>
          <w:szCs w:val="24"/>
        </w:rPr>
      </w:pPr>
      <w:r w:rsidRPr="006B03FC">
        <w:rPr>
          <w:rFonts w:cs="Calibri"/>
          <w:sz w:val="24"/>
          <w:szCs w:val="24"/>
        </w:rPr>
        <w:t>An online survey launched on 5</w:t>
      </w:r>
      <w:r w:rsidRPr="006B03FC">
        <w:rPr>
          <w:rFonts w:cs="Calibri"/>
          <w:sz w:val="24"/>
          <w:szCs w:val="24"/>
          <w:vertAlign w:val="superscript"/>
        </w:rPr>
        <w:t>th</w:t>
      </w:r>
      <w:r w:rsidRPr="006B03FC">
        <w:rPr>
          <w:rFonts w:cs="Calibri"/>
          <w:sz w:val="24"/>
          <w:szCs w:val="24"/>
        </w:rPr>
        <w:t xml:space="preserve"> December</w:t>
      </w:r>
      <w:r>
        <w:rPr>
          <w:rFonts w:cs="Calibri"/>
          <w:sz w:val="24"/>
          <w:szCs w:val="24"/>
        </w:rPr>
        <w:t xml:space="preserve"> 2023</w:t>
      </w:r>
      <w:r w:rsidRPr="006B03FC">
        <w:rPr>
          <w:rFonts w:cs="Calibri"/>
          <w:sz w:val="24"/>
          <w:szCs w:val="24"/>
        </w:rPr>
        <w:t xml:space="preserve"> asking questions relating to the precept and to understand confidence in policing and fire and rescue services within Northamptonshire. </w:t>
      </w:r>
      <w:r>
        <w:rPr>
          <w:rFonts w:cs="Calibri"/>
          <w:sz w:val="24"/>
          <w:szCs w:val="24"/>
        </w:rPr>
        <w:t xml:space="preserve"> </w:t>
      </w:r>
      <w:r w:rsidRPr="006B03FC">
        <w:rPr>
          <w:rFonts w:cs="Calibri"/>
          <w:sz w:val="24"/>
          <w:szCs w:val="24"/>
        </w:rPr>
        <w:t>It was communicated widely to stakeholders across the county with a request to share, to ensure a demographically representative group of the county’s population was reached.</w:t>
      </w:r>
    </w:p>
    <w:p w14:paraId="731CDF04" w14:textId="77777777" w:rsidR="0014672E" w:rsidRPr="006B03FC" w:rsidRDefault="0014672E" w:rsidP="0014672E">
      <w:pPr>
        <w:spacing w:after="0" w:line="240" w:lineRule="auto"/>
        <w:jc w:val="both"/>
        <w:rPr>
          <w:rFonts w:cs="Calibri"/>
          <w:sz w:val="24"/>
          <w:szCs w:val="24"/>
        </w:rPr>
      </w:pPr>
      <w:r w:rsidRPr="006B03FC">
        <w:rPr>
          <w:rFonts w:cs="Calibri"/>
          <w:sz w:val="24"/>
          <w:szCs w:val="24"/>
        </w:rPr>
        <w:t xml:space="preserve">Due to the statutory timeframes, there was no option but to run the survey over the Christmas period. </w:t>
      </w:r>
      <w:r>
        <w:rPr>
          <w:rFonts w:cs="Calibri"/>
          <w:sz w:val="24"/>
          <w:szCs w:val="24"/>
        </w:rPr>
        <w:t xml:space="preserve"> </w:t>
      </w:r>
      <w:r w:rsidRPr="006B03FC">
        <w:rPr>
          <w:rFonts w:cs="Calibri"/>
          <w:sz w:val="24"/>
          <w:szCs w:val="24"/>
        </w:rPr>
        <w:t>We wanted to ensure that the pubic had sufficient time and numerous opportunities to see and complete the survey, so a decision was taken to launch the campaign prior to the Government releasing their financial settlement and proposed council tax levels.</w:t>
      </w:r>
    </w:p>
    <w:p w14:paraId="35A494F0" w14:textId="77777777" w:rsidR="0014672E" w:rsidRPr="006B03FC" w:rsidRDefault="0014672E" w:rsidP="0014672E">
      <w:pPr>
        <w:spacing w:after="0" w:line="240" w:lineRule="auto"/>
        <w:jc w:val="both"/>
        <w:rPr>
          <w:rFonts w:cs="Calibri"/>
          <w:sz w:val="24"/>
          <w:szCs w:val="24"/>
        </w:rPr>
      </w:pPr>
    </w:p>
    <w:p w14:paraId="05F29807" w14:textId="77777777" w:rsidR="0014672E" w:rsidRPr="006B03FC" w:rsidRDefault="0014672E" w:rsidP="0014672E">
      <w:pPr>
        <w:spacing w:line="240" w:lineRule="auto"/>
        <w:jc w:val="both"/>
        <w:rPr>
          <w:rFonts w:cs="Calibri"/>
          <w:sz w:val="24"/>
          <w:szCs w:val="24"/>
        </w:rPr>
      </w:pPr>
      <w:r w:rsidRPr="006B03FC">
        <w:rPr>
          <w:rFonts w:cs="Calibri"/>
          <w:sz w:val="24"/>
          <w:szCs w:val="24"/>
        </w:rPr>
        <w:t>The survey was open for eight days longer than last year, closing on 16</w:t>
      </w:r>
      <w:r w:rsidRPr="006B03FC">
        <w:rPr>
          <w:rFonts w:cs="Calibri"/>
          <w:sz w:val="24"/>
          <w:szCs w:val="24"/>
          <w:vertAlign w:val="superscript"/>
        </w:rPr>
        <w:t>th</w:t>
      </w:r>
      <w:r w:rsidRPr="006B03FC">
        <w:rPr>
          <w:rFonts w:cs="Calibri"/>
          <w:sz w:val="24"/>
          <w:szCs w:val="24"/>
        </w:rPr>
        <w:t xml:space="preserve"> January</w:t>
      </w:r>
      <w:r>
        <w:rPr>
          <w:rFonts w:cs="Calibri"/>
          <w:sz w:val="24"/>
          <w:szCs w:val="24"/>
        </w:rPr>
        <w:t xml:space="preserve"> 2024</w:t>
      </w:r>
      <w:r w:rsidRPr="006B03FC">
        <w:rPr>
          <w:rFonts w:cs="Calibri"/>
          <w:sz w:val="24"/>
          <w:szCs w:val="24"/>
        </w:rPr>
        <w:t xml:space="preserve">. </w:t>
      </w:r>
      <w:r>
        <w:rPr>
          <w:rFonts w:cs="Calibri"/>
          <w:sz w:val="24"/>
          <w:szCs w:val="24"/>
        </w:rPr>
        <w:t xml:space="preserve"> </w:t>
      </w:r>
      <w:r w:rsidRPr="006B03FC">
        <w:rPr>
          <w:rFonts w:cs="Calibri"/>
          <w:sz w:val="24"/>
          <w:szCs w:val="24"/>
        </w:rPr>
        <w:t xml:space="preserve">It received a total of 1,997 responses, which is an increase of 15% from the 2022/2023 survey and more completions than ever before. </w:t>
      </w:r>
      <w:r>
        <w:rPr>
          <w:rFonts w:cs="Calibri"/>
          <w:sz w:val="24"/>
          <w:szCs w:val="24"/>
        </w:rPr>
        <w:t xml:space="preserve"> </w:t>
      </w:r>
      <w:r w:rsidRPr="006B03FC">
        <w:rPr>
          <w:rFonts w:cs="Calibri"/>
          <w:sz w:val="24"/>
          <w:szCs w:val="24"/>
        </w:rPr>
        <w:t>We benchmarked our survey with other PCC/PFCCs and found that completion rates were broadly falling, and public engagement was a communication challenge experienced right across the country.</w:t>
      </w:r>
    </w:p>
    <w:p w14:paraId="46BEFA0B" w14:textId="77777777" w:rsidR="0014672E" w:rsidRPr="006B03FC" w:rsidRDefault="0014672E" w:rsidP="0014672E">
      <w:pPr>
        <w:spacing w:line="240" w:lineRule="auto"/>
        <w:jc w:val="both"/>
        <w:rPr>
          <w:rFonts w:cs="Calibri"/>
          <w:sz w:val="24"/>
          <w:szCs w:val="24"/>
        </w:rPr>
      </w:pPr>
      <w:r w:rsidRPr="006B03FC">
        <w:rPr>
          <w:rFonts w:cs="Calibri"/>
          <w:sz w:val="24"/>
          <w:szCs w:val="24"/>
        </w:rPr>
        <w:t>To help encourage engagement, it was imperative to have a strong narrative and rationale to explain the difficult decision the PFCC must make in asking for additional funds to continue with the investments being made in both Police and Fire and ensure that the priorities of both services can be delivered.</w:t>
      </w:r>
    </w:p>
    <w:p w14:paraId="278B4600" w14:textId="77777777" w:rsidR="0014672E" w:rsidRPr="006B03FC" w:rsidRDefault="0014672E" w:rsidP="0014672E">
      <w:pPr>
        <w:spacing w:after="160" w:line="240" w:lineRule="auto"/>
        <w:rPr>
          <w:rFonts w:cs="Calibri"/>
          <w:b/>
          <w:bCs/>
          <w:sz w:val="24"/>
          <w:szCs w:val="24"/>
        </w:rPr>
      </w:pPr>
      <w:r w:rsidRPr="006B03FC">
        <w:rPr>
          <w:rFonts w:cs="Calibri"/>
          <w:b/>
          <w:sz w:val="24"/>
          <w:szCs w:val="24"/>
        </w:rPr>
        <w:t xml:space="preserve">Communications </w:t>
      </w:r>
      <w:r>
        <w:rPr>
          <w:rFonts w:cs="Calibri"/>
          <w:b/>
          <w:sz w:val="24"/>
          <w:szCs w:val="24"/>
        </w:rPr>
        <w:t>A</w:t>
      </w:r>
      <w:r w:rsidRPr="006B03FC">
        <w:rPr>
          <w:rFonts w:cs="Calibri"/>
          <w:b/>
          <w:sz w:val="24"/>
          <w:szCs w:val="24"/>
        </w:rPr>
        <w:t>ctivity</w:t>
      </w:r>
    </w:p>
    <w:p w14:paraId="250924D9" w14:textId="77777777" w:rsidR="0014672E" w:rsidRPr="006B03FC" w:rsidRDefault="0014672E" w:rsidP="0014672E">
      <w:pPr>
        <w:spacing w:line="240" w:lineRule="auto"/>
        <w:rPr>
          <w:rFonts w:cs="Calibri"/>
          <w:b/>
          <w:sz w:val="24"/>
          <w:szCs w:val="24"/>
        </w:rPr>
      </w:pPr>
      <w:r w:rsidRPr="006B03FC">
        <w:rPr>
          <w:rFonts w:cs="Calibri"/>
          <w:sz w:val="24"/>
          <w:szCs w:val="24"/>
        </w:rPr>
        <w:t>Five main communications channels were used to raise awareness of the survey, seek public views and encourage people to take part. The</w:t>
      </w:r>
      <w:r>
        <w:rPr>
          <w:rFonts w:cs="Calibri"/>
          <w:sz w:val="24"/>
          <w:szCs w:val="24"/>
        </w:rPr>
        <w:t>s</w:t>
      </w:r>
      <w:r w:rsidRPr="006B03FC">
        <w:rPr>
          <w:rFonts w:cs="Calibri"/>
          <w:sz w:val="24"/>
          <w:szCs w:val="24"/>
        </w:rPr>
        <w:t>e were:</w:t>
      </w:r>
    </w:p>
    <w:p w14:paraId="6AD7712C" w14:textId="77777777" w:rsidR="0014672E" w:rsidRPr="006B03FC" w:rsidRDefault="0014672E" w:rsidP="0014672E">
      <w:pPr>
        <w:pStyle w:val="ListParagraph"/>
        <w:numPr>
          <w:ilvl w:val="0"/>
          <w:numId w:val="8"/>
        </w:numPr>
        <w:spacing w:after="160" w:line="240" w:lineRule="auto"/>
        <w:jc w:val="both"/>
        <w:rPr>
          <w:rFonts w:cs="Calibri"/>
          <w:b/>
          <w:sz w:val="24"/>
          <w:szCs w:val="24"/>
        </w:rPr>
      </w:pPr>
      <w:r w:rsidRPr="006B03FC">
        <w:rPr>
          <w:rFonts w:cs="Calibri"/>
          <w:sz w:val="24"/>
          <w:szCs w:val="24"/>
        </w:rPr>
        <w:t>Mainstream media</w:t>
      </w:r>
    </w:p>
    <w:p w14:paraId="661D84BE" w14:textId="77777777" w:rsidR="0014672E" w:rsidRPr="006B03FC" w:rsidRDefault="0014672E" w:rsidP="0014672E">
      <w:pPr>
        <w:pStyle w:val="ListParagraph"/>
        <w:numPr>
          <w:ilvl w:val="0"/>
          <w:numId w:val="8"/>
        </w:numPr>
        <w:spacing w:after="160" w:line="240" w:lineRule="auto"/>
        <w:jc w:val="both"/>
        <w:rPr>
          <w:rFonts w:cs="Calibri"/>
          <w:b/>
          <w:sz w:val="24"/>
          <w:szCs w:val="24"/>
        </w:rPr>
      </w:pPr>
      <w:r w:rsidRPr="006B03FC">
        <w:rPr>
          <w:rFonts w:cs="Calibri"/>
          <w:sz w:val="24"/>
          <w:szCs w:val="24"/>
        </w:rPr>
        <w:t>Partners and stakeholders</w:t>
      </w:r>
    </w:p>
    <w:p w14:paraId="157A4C43" w14:textId="77777777" w:rsidR="0014672E" w:rsidRPr="006B03FC" w:rsidRDefault="0014672E" w:rsidP="0014672E">
      <w:pPr>
        <w:pStyle w:val="ListParagraph"/>
        <w:numPr>
          <w:ilvl w:val="0"/>
          <w:numId w:val="8"/>
        </w:numPr>
        <w:spacing w:after="160" w:line="240" w:lineRule="auto"/>
        <w:jc w:val="both"/>
        <w:rPr>
          <w:rFonts w:cs="Calibri"/>
          <w:b/>
          <w:sz w:val="24"/>
          <w:szCs w:val="24"/>
        </w:rPr>
      </w:pPr>
      <w:r w:rsidRPr="006B03FC">
        <w:rPr>
          <w:rFonts w:cs="Calibri"/>
          <w:sz w:val="24"/>
          <w:szCs w:val="24"/>
        </w:rPr>
        <w:t>Digital and social</w:t>
      </w:r>
    </w:p>
    <w:p w14:paraId="0FCC54A6" w14:textId="77777777" w:rsidR="0014672E" w:rsidRPr="006B03FC" w:rsidRDefault="0014672E" w:rsidP="0014672E">
      <w:pPr>
        <w:pStyle w:val="ListParagraph"/>
        <w:numPr>
          <w:ilvl w:val="0"/>
          <w:numId w:val="8"/>
        </w:numPr>
        <w:spacing w:after="160" w:line="240" w:lineRule="auto"/>
        <w:jc w:val="both"/>
        <w:rPr>
          <w:rFonts w:cs="Calibri"/>
          <w:b/>
          <w:sz w:val="24"/>
          <w:szCs w:val="24"/>
        </w:rPr>
      </w:pPr>
      <w:r w:rsidRPr="006B03FC">
        <w:rPr>
          <w:rFonts w:cs="Calibri"/>
          <w:sz w:val="24"/>
          <w:szCs w:val="24"/>
        </w:rPr>
        <w:t>Paid</w:t>
      </w:r>
      <w:r>
        <w:rPr>
          <w:rFonts w:cs="Calibri"/>
          <w:sz w:val="24"/>
          <w:szCs w:val="24"/>
        </w:rPr>
        <w:t>-</w:t>
      </w:r>
      <w:r w:rsidRPr="006B03FC">
        <w:rPr>
          <w:rFonts w:cs="Calibri"/>
          <w:sz w:val="24"/>
          <w:szCs w:val="24"/>
        </w:rPr>
        <w:t xml:space="preserve">for social media </w:t>
      </w:r>
      <w:proofErr w:type="gramStart"/>
      <w:r w:rsidRPr="006B03FC">
        <w:rPr>
          <w:rFonts w:cs="Calibri"/>
          <w:sz w:val="24"/>
          <w:szCs w:val="24"/>
        </w:rPr>
        <w:t>advertising</w:t>
      </w:r>
      <w:proofErr w:type="gramEnd"/>
    </w:p>
    <w:p w14:paraId="2CD82186" w14:textId="77777777" w:rsidR="0014672E" w:rsidRPr="006B03FC" w:rsidRDefault="0014672E" w:rsidP="0014672E">
      <w:pPr>
        <w:pStyle w:val="ListParagraph"/>
        <w:numPr>
          <w:ilvl w:val="0"/>
          <w:numId w:val="8"/>
        </w:numPr>
        <w:spacing w:after="160" w:line="240" w:lineRule="auto"/>
        <w:jc w:val="both"/>
        <w:rPr>
          <w:rFonts w:cs="Calibri"/>
          <w:b/>
          <w:sz w:val="24"/>
          <w:szCs w:val="24"/>
        </w:rPr>
      </w:pPr>
      <w:r w:rsidRPr="006B03FC">
        <w:rPr>
          <w:rFonts w:cs="Calibri"/>
          <w:sz w:val="24"/>
          <w:szCs w:val="24"/>
        </w:rPr>
        <w:t>Internal communications for OPFCC, Police and Fire</w:t>
      </w:r>
    </w:p>
    <w:p w14:paraId="7A8AD483" w14:textId="77777777" w:rsidR="0014672E" w:rsidRPr="006B03FC" w:rsidRDefault="0014672E" w:rsidP="0014672E">
      <w:pPr>
        <w:spacing w:after="160" w:line="240" w:lineRule="auto"/>
        <w:jc w:val="both"/>
        <w:rPr>
          <w:rFonts w:cs="Calibri"/>
          <w:bCs/>
          <w:sz w:val="24"/>
          <w:szCs w:val="24"/>
        </w:rPr>
      </w:pPr>
      <w:r w:rsidRPr="006B03FC">
        <w:rPr>
          <w:rFonts w:cs="Calibri"/>
          <w:bCs/>
          <w:sz w:val="24"/>
          <w:szCs w:val="24"/>
        </w:rPr>
        <w:t>We contacted our extensive stakeholder database to reach local councillors at all levels, local authority partners, businesses, community and charity groups, various panels and volunteers as well as different policing divisions and police liaison officers.</w:t>
      </w:r>
    </w:p>
    <w:p w14:paraId="3B07A6B1" w14:textId="77777777" w:rsidR="0014672E" w:rsidRPr="006B03FC" w:rsidRDefault="0014672E" w:rsidP="0014672E">
      <w:pPr>
        <w:spacing w:line="240" w:lineRule="auto"/>
        <w:jc w:val="both"/>
        <w:rPr>
          <w:rFonts w:cs="Calibri"/>
          <w:bCs/>
          <w:sz w:val="24"/>
          <w:szCs w:val="24"/>
        </w:rPr>
      </w:pPr>
      <w:r w:rsidRPr="006B03FC">
        <w:rPr>
          <w:rFonts w:cs="Calibri"/>
          <w:bCs/>
          <w:sz w:val="24"/>
          <w:szCs w:val="24"/>
        </w:rPr>
        <w:t xml:space="preserve">Leaflets outlining the PFCCs priorities were created with a bespoke QR code directing people to the online survey. </w:t>
      </w:r>
      <w:r>
        <w:rPr>
          <w:rFonts w:cs="Calibri"/>
          <w:bCs/>
          <w:sz w:val="24"/>
          <w:szCs w:val="24"/>
        </w:rPr>
        <w:t xml:space="preserve"> </w:t>
      </w:r>
      <w:r w:rsidRPr="006B03FC">
        <w:rPr>
          <w:rFonts w:cs="Calibri"/>
          <w:bCs/>
          <w:sz w:val="24"/>
          <w:szCs w:val="24"/>
        </w:rPr>
        <w:t xml:space="preserve">These were distributed across the county via community engagement teams, colleagues and partners. </w:t>
      </w:r>
      <w:r>
        <w:rPr>
          <w:rFonts w:cs="Calibri"/>
          <w:bCs/>
          <w:sz w:val="24"/>
          <w:szCs w:val="24"/>
        </w:rPr>
        <w:t xml:space="preserve"> </w:t>
      </w:r>
      <w:r w:rsidRPr="006B03FC">
        <w:rPr>
          <w:rFonts w:cs="Calibri"/>
          <w:bCs/>
          <w:sz w:val="24"/>
          <w:szCs w:val="24"/>
        </w:rPr>
        <w:t>We also provided all our public</w:t>
      </w:r>
      <w:r>
        <w:rPr>
          <w:rFonts w:cs="Calibri"/>
          <w:bCs/>
          <w:sz w:val="24"/>
          <w:szCs w:val="24"/>
        </w:rPr>
        <w:t>-</w:t>
      </w:r>
      <w:r w:rsidRPr="006B03FC">
        <w:rPr>
          <w:rFonts w:cs="Calibri"/>
          <w:bCs/>
          <w:sz w:val="24"/>
          <w:szCs w:val="24"/>
        </w:rPr>
        <w:t>facing Police Stations with leaflets so officers could encourage visitors to complete the survey.</w:t>
      </w:r>
    </w:p>
    <w:p w14:paraId="2F92ACF1" w14:textId="77777777" w:rsidR="0014672E" w:rsidRPr="006B03FC" w:rsidRDefault="0014672E" w:rsidP="0014672E">
      <w:pPr>
        <w:spacing w:line="240" w:lineRule="auto"/>
        <w:jc w:val="both"/>
        <w:rPr>
          <w:rFonts w:cs="Calibri"/>
          <w:sz w:val="24"/>
          <w:szCs w:val="24"/>
        </w:rPr>
      </w:pPr>
      <w:r w:rsidRPr="006B03FC">
        <w:rPr>
          <w:rFonts w:cs="Calibri"/>
          <w:bCs/>
          <w:sz w:val="24"/>
          <w:szCs w:val="24"/>
        </w:rPr>
        <w:t xml:space="preserve">By monitoring response rates daily, we were able to target further communications to specific areas where completion rates were particularly low. </w:t>
      </w:r>
      <w:r>
        <w:rPr>
          <w:rFonts w:cs="Calibri"/>
          <w:bCs/>
          <w:sz w:val="24"/>
          <w:szCs w:val="24"/>
        </w:rPr>
        <w:t xml:space="preserve"> </w:t>
      </w:r>
      <w:r w:rsidRPr="006B03FC">
        <w:rPr>
          <w:rFonts w:cs="Calibri"/>
          <w:bCs/>
          <w:sz w:val="24"/>
          <w:szCs w:val="24"/>
        </w:rPr>
        <w:t>These areas were sent reminders via Northamptonshire Talking (formerly Neighbourhood Alert) and via parish or town councillors and the relevant police liaison officer.</w:t>
      </w:r>
    </w:p>
    <w:p w14:paraId="29016ED2" w14:textId="20AA2350" w:rsidR="0014672E" w:rsidRDefault="0014672E" w:rsidP="0014672E">
      <w:pPr>
        <w:spacing w:line="240" w:lineRule="auto"/>
        <w:jc w:val="both"/>
        <w:rPr>
          <w:rFonts w:cs="Calibri"/>
          <w:sz w:val="24"/>
          <w:szCs w:val="24"/>
        </w:rPr>
      </w:pPr>
      <w:r w:rsidRPr="006B03FC">
        <w:rPr>
          <w:rFonts w:cs="Calibri"/>
          <w:sz w:val="24"/>
          <w:szCs w:val="24"/>
        </w:rPr>
        <w:t>Social media was used to remind followers to take part in the survey and share key information about the PFCC priorities, the context for an increase of funding and the closing date.</w:t>
      </w:r>
    </w:p>
    <w:p w14:paraId="3A198237" w14:textId="181B3494" w:rsidR="00D0180F" w:rsidRPr="006B03FC" w:rsidRDefault="00D0180F" w:rsidP="00D0180F">
      <w:pPr>
        <w:spacing w:line="240" w:lineRule="auto"/>
        <w:jc w:val="both"/>
        <w:rPr>
          <w:rFonts w:cs="Calibri"/>
          <w:sz w:val="24"/>
          <w:szCs w:val="24"/>
        </w:rPr>
      </w:pPr>
      <w:r w:rsidRPr="00D0180F">
        <w:rPr>
          <w:rFonts w:cs="Calibri"/>
          <w:sz w:val="24"/>
          <w:szCs w:val="24"/>
        </w:rPr>
        <w:t>We used the Next</w:t>
      </w:r>
      <w:r w:rsidR="006400EB">
        <w:rPr>
          <w:rFonts w:cs="Calibri"/>
          <w:sz w:val="24"/>
          <w:szCs w:val="24"/>
        </w:rPr>
        <w:t>d</w:t>
      </w:r>
      <w:r w:rsidRPr="00D0180F">
        <w:rPr>
          <w:rFonts w:cs="Calibri"/>
          <w:sz w:val="24"/>
          <w:szCs w:val="24"/>
        </w:rPr>
        <w:t xml:space="preserve">oor channel </w:t>
      </w:r>
      <w:r>
        <w:rPr>
          <w:rFonts w:cs="Calibri"/>
          <w:sz w:val="24"/>
          <w:szCs w:val="24"/>
        </w:rPr>
        <w:t>which has an estimated reach of</w:t>
      </w:r>
      <w:r w:rsidRPr="00D0180F">
        <w:rPr>
          <w:rFonts w:cs="Calibri"/>
          <w:sz w:val="24"/>
          <w:szCs w:val="24"/>
        </w:rPr>
        <w:t xml:space="preserve"> 90,000 county residents</w:t>
      </w:r>
      <w:r>
        <w:rPr>
          <w:rFonts w:cs="Calibri"/>
          <w:sz w:val="24"/>
          <w:szCs w:val="24"/>
        </w:rPr>
        <w:t xml:space="preserve"> and</w:t>
      </w:r>
      <w:r w:rsidRPr="00D0180F">
        <w:rPr>
          <w:rFonts w:cs="Calibri"/>
          <w:sz w:val="24"/>
          <w:szCs w:val="24"/>
        </w:rPr>
        <w:t xml:space="preserve"> is a popular alternative to Facebook, for the first time.</w:t>
      </w:r>
      <w:r>
        <w:rPr>
          <w:rFonts w:cs="Calibri"/>
          <w:sz w:val="24"/>
          <w:szCs w:val="24"/>
        </w:rPr>
        <w:t xml:space="preserve">  </w:t>
      </w:r>
      <w:r w:rsidRPr="00D0180F">
        <w:rPr>
          <w:rFonts w:cs="Calibri"/>
          <w:sz w:val="24"/>
          <w:szCs w:val="24"/>
        </w:rPr>
        <w:t>More than 10% of our total responses came from this channel</w:t>
      </w:r>
      <w:r>
        <w:rPr>
          <w:rFonts w:cs="Calibri"/>
          <w:sz w:val="24"/>
          <w:szCs w:val="24"/>
        </w:rPr>
        <w:t>.</w:t>
      </w:r>
    </w:p>
    <w:p w14:paraId="1A1D6DD5" w14:textId="77777777" w:rsidR="0014672E" w:rsidRPr="006B03FC" w:rsidRDefault="0014672E" w:rsidP="0014672E">
      <w:pPr>
        <w:jc w:val="both"/>
        <w:rPr>
          <w:rFonts w:cs="Calibri"/>
          <w:bCs/>
          <w:sz w:val="24"/>
          <w:szCs w:val="24"/>
        </w:rPr>
      </w:pPr>
      <w:r w:rsidRPr="006B03FC">
        <w:rPr>
          <w:rFonts w:cs="Calibri"/>
          <w:bCs/>
          <w:sz w:val="24"/>
          <w:szCs w:val="24"/>
        </w:rPr>
        <w:t>We carried out pre-budget engagement with the county’s MPs so that they could understand the financial position and advocate for Northamptonshire Police and Northamptonshire Fire and Rescue Service both at Westminster and in their constituencies.</w:t>
      </w:r>
    </w:p>
    <w:tbl>
      <w:tblPr>
        <w:tblStyle w:val="TableGrid"/>
        <w:tblW w:w="9634" w:type="dxa"/>
        <w:tblLayout w:type="fixed"/>
        <w:tblLook w:val="04A0" w:firstRow="1" w:lastRow="0" w:firstColumn="1" w:lastColumn="0" w:noHBand="0" w:noVBand="1"/>
      </w:tblPr>
      <w:tblGrid>
        <w:gridCol w:w="5665"/>
        <w:gridCol w:w="3969"/>
      </w:tblGrid>
      <w:tr w:rsidR="0014672E" w:rsidRPr="006B03FC" w14:paraId="7CEE4C4C" w14:textId="77777777" w:rsidTr="00AE5705">
        <w:tc>
          <w:tcPr>
            <w:tcW w:w="5665" w:type="dxa"/>
          </w:tcPr>
          <w:p w14:paraId="760B4749" w14:textId="77777777" w:rsidR="0014672E" w:rsidRPr="006B03FC" w:rsidRDefault="0014672E" w:rsidP="00AE5705">
            <w:pPr>
              <w:spacing w:after="160" w:line="259" w:lineRule="auto"/>
              <w:jc w:val="both"/>
              <w:rPr>
                <w:rFonts w:ascii="Calibri" w:hAnsi="Calibri" w:cs="Calibri"/>
                <w:b/>
                <w:bCs/>
                <w:sz w:val="24"/>
                <w:szCs w:val="24"/>
              </w:rPr>
            </w:pPr>
            <w:r w:rsidRPr="006B03FC">
              <w:rPr>
                <w:rFonts w:ascii="Calibri" w:hAnsi="Calibri" w:cs="Calibri"/>
                <w:b/>
                <w:bCs/>
                <w:sz w:val="24"/>
                <w:szCs w:val="24"/>
              </w:rPr>
              <w:t>Audience</w:t>
            </w:r>
          </w:p>
        </w:tc>
        <w:tc>
          <w:tcPr>
            <w:tcW w:w="3969" w:type="dxa"/>
          </w:tcPr>
          <w:p w14:paraId="29BAC397" w14:textId="77777777" w:rsidR="0014672E" w:rsidRPr="006B03FC" w:rsidRDefault="0014672E" w:rsidP="00AE5705">
            <w:pPr>
              <w:spacing w:after="160" w:line="259" w:lineRule="auto"/>
              <w:jc w:val="both"/>
              <w:rPr>
                <w:rFonts w:ascii="Calibri" w:hAnsi="Calibri" w:cs="Calibri"/>
                <w:b/>
                <w:bCs/>
                <w:sz w:val="24"/>
                <w:szCs w:val="24"/>
              </w:rPr>
            </w:pPr>
            <w:r w:rsidRPr="006B03FC">
              <w:rPr>
                <w:rFonts w:ascii="Calibri" w:hAnsi="Calibri" w:cs="Calibri"/>
                <w:b/>
                <w:bCs/>
                <w:sz w:val="24"/>
                <w:szCs w:val="24"/>
              </w:rPr>
              <w:t>Reach</w:t>
            </w:r>
          </w:p>
        </w:tc>
      </w:tr>
      <w:tr w:rsidR="0014672E" w:rsidRPr="006B03FC" w14:paraId="485BADC3" w14:textId="77777777" w:rsidTr="00AE5705">
        <w:tc>
          <w:tcPr>
            <w:tcW w:w="5665" w:type="dxa"/>
          </w:tcPr>
          <w:p w14:paraId="5CF1F4A5" w14:textId="77777777" w:rsidR="0014672E" w:rsidRPr="006B03FC" w:rsidRDefault="0014672E" w:rsidP="00AE5705">
            <w:pPr>
              <w:spacing w:after="160" w:line="259" w:lineRule="auto"/>
              <w:jc w:val="both"/>
              <w:rPr>
                <w:rFonts w:ascii="Calibri" w:hAnsi="Calibri" w:cs="Calibri"/>
                <w:b/>
                <w:bCs/>
                <w:sz w:val="24"/>
                <w:szCs w:val="24"/>
              </w:rPr>
            </w:pPr>
            <w:r w:rsidRPr="006B03FC">
              <w:rPr>
                <w:rFonts w:ascii="Calibri" w:hAnsi="Calibri" w:cs="Calibri"/>
                <w:b/>
                <w:bCs/>
                <w:sz w:val="24"/>
                <w:szCs w:val="24"/>
              </w:rPr>
              <w:t>Stakeholders</w:t>
            </w:r>
          </w:p>
          <w:p w14:paraId="494353A7" w14:textId="77777777" w:rsidR="0014672E" w:rsidRPr="006B03FC" w:rsidRDefault="0014672E" w:rsidP="0014672E">
            <w:pPr>
              <w:pStyle w:val="ListParagraph"/>
              <w:numPr>
                <w:ilvl w:val="0"/>
                <w:numId w:val="9"/>
              </w:numPr>
              <w:spacing w:after="160" w:line="259" w:lineRule="auto"/>
              <w:jc w:val="both"/>
              <w:rPr>
                <w:rFonts w:ascii="Calibri" w:hAnsi="Calibri" w:cs="Calibri"/>
                <w:b/>
                <w:bCs/>
                <w:sz w:val="24"/>
                <w:szCs w:val="24"/>
              </w:rPr>
            </w:pPr>
            <w:r w:rsidRPr="006B03FC">
              <w:rPr>
                <w:rFonts w:ascii="Calibri" w:hAnsi="Calibri" w:cs="Calibri"/>
                <w:bCs/>
                <w:sz w:val="24"/>
                <w:szCs w:val="24"/>
              </w:rPr>
              <w:t>Northamptonshire Talking (formerly known as Neighbourhood Alert)</w:t>
            </w:r>
          </w:p>
          <w:p w14:paraId="36ED1538" w14:textId="77777777" w:rsidR="0014672E" w:rsidRPr="006B03FC" w:rsidRDefault="0014672E" w:rsidP="0014672E">
            <w:pPr>
              <w:pStyle w:val="ListParagraph"/>
              <w:numPr>
                <w:ilvl w:val="0"/>
                <w:numId w:val="9"/>
              </w:numPr>
              <w:spacing w:after="160" w:line="259" w:lineRule="auto"/>
              <w:jc w:val="both"/>
              <w:rPr>
                <w:rFonts w:ascii="Calibri" w:hAnsi="Calibri" w:cs="Calibri"/>
                <w:b/>
                <w:sz w:val="24"/>
                <w:szCs w:val="24"/>
              </w:rPr>
            </w:pPr>
            <w:r w:rsidRPr="006B03FC">
              <w:rPr>
                <w:rFonts w:ascii="Calibri" w:hAnsi="Calibri" w:cs="Calibri"/>
                <w:sz w:val="24"/>
                <w:szCs w:val="24"/>
              </w:rPr>
              <w:t>Parish Councils and Town Councils</w:t>
            </w:r>
          </w:p>
          <w:p w14:paraId="4053E03B"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Councillors in North Northamptonshire and West Northamptonshire</w:t>
            </w:r>
          </w:p>
          <w:p w14:paraId="6CCE1DEF"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Police, Fire and Crime Panel members</w:t>
            </w:r>
          </w:p>
          <w:p w14:paraId="3A5F463F"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MPs</w:t>
            </w:r>
          </w:p>
          <w:p w14:paraId="7416B26E"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Chief Executives and Leaders of Local Authorities</w:t>
            </w:r>
          </w:p>
          <w:p w14:paraId="25C8141C"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Neighbourhood Watch Management Committee</w:t>
            </w:r>
          </w:p>
          <w:p w14:paraId="07B82A40"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Community Safety Managers for Northamptonshire North and Northamptonshire West</w:t>
            </w:r>
          </w:p>
          <w:p w14:paraId="3F3995F1"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Diversity Forums of West Northamptonshire Council</w:t>
            </w:r>
          </w:p>
          <w:p w14:paraId="1F3A1D56"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Northamptonshire Police Community Engagement team</w:t>
            </w:r>
          </w:p>
          <w:p w14:paraId="13843D78"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Independent Advisory Group members</w:t>
            </w:r>
          </w:p>
          <w:p w14:paraId="5336D42C"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Independent Custody Visitors</w:t>
            </w:r>
          </w:p>
          <w:p w14:paraId="797682EF"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Businesses via the Chamber of Commerce, Northampton BID and the Northamptonshire Business Forums</w:t>
            </w:r>
          </w:p>
          <w:p w14:paraId="5289FAB1"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Secondary Schools and colleges</w:t>
            </w:r>
          </w:p>
          <w:p w14:paraId="1263397C"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Joint Action Groups</w:t>
            </w:r>
          </w:p>
          <w:p w14:paraId="03A11414"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Northamptonshire Association of Local Councils</w:t>
            </w:r>
          </w:p>
          <w:p w14:paraId="558C086C"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Various voluntary and third sector organisations</w:t>
            </w:r>
          </w:p>
          <w:p w14:paraId="782C0A2C"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Rural interest groups</w:t>
            </w:r>
          </w:p>
          <w:p w14:paraId="4C8F2C40" w14:textId="77777777" w:rsidR="0014672E" w:rsidRPr="006B03FC" w:rsidRDefault="0014672E" w:rsidP="0014672E">
            <w:pPr>
              <w:pStyle w:val="ListParagraph"/>
              <w:numPr>
                <w:ilvl w:val="0"/>
                <w:numId w:val="9"/>
              </w:numPr>
              <w:spacing w:after="160" w:line="256" w:lineRule="auto"/>
              <w:rPr>
                <w:rFonts w:ascii="Calibri" w:hAnsi="Calibri" w:cs="Calibri"/>
                <w:b/>
                <w:bCs/>
                <w:sz w:val="24"/>
                <w:szCs w:val="24"/>
              </w:rPr>
            </w:pPr>
            <w:r w:rsidRPr="006B03FC">
              <w:rPr>
                <w:rFonts w:ascii="Calibri" w:hAnsi="Calibri" w:cs="Calibri"/>
                <w:bCs/>
                <w:sz w:val="24"/>
                <w:szCs w:val="24"/>
              </w:rPr>
              <w:t xml:space="preserve">The Police Liaison Representatives on every parish and town council </w:t>
            </w:r>
          </w:p>
          <w:p w14:paraId="78D302B6" w14:textId="626451B2" w:rsidR="0014672E" w:rsidRPr="006400EB" w:rsidRDefault="0014672E" w:rsidP="00AE5705">
            <w:pPr>
              <w:pStyle w:val="ListParagraph"/>
              <w:numPr>
                <w:ilvl w:val="0"/>
                <w:numId w:val="9"/>
              </w:numPr>
              <w:spacing w:after="160" w:line="256" w:lineRule="auto"/>
              <w:rPr>
                <w:rFonts w:ascii="Calibri" w:hAnsi="Calibri" w:cs="Calibri"/>
                <w:b/>
                <w:bCs/>
                <w:sz w:val="24"/>
                <w:szCs w:val="24"/>
              </w:rPr>
            </w:pPr>
            <w:r w:rsidRPr="006B03FC">
              <w:rPr>
                <w:rFonts w:ascii="Calibri" w:hAnsi="Calibri" w:cs="Calibri"/>
                <w:bCs/>
                <w:sz w:val="24"/>
                <w:szCs w:val="24"/>
              </w:rPr>
              <w:t>All local criminal justice boards</w:t>
            </w:r>
          </w:p>
        </w:tc>
        <w:tc>
          <w:tcPr>
            <w:tcW w:w="3969" w:type="dxa"/>
          </w:tcPr>
          <w:p w14:paraId="521BF587" w14:textId="77777777" w:rsidR="0014672E" w:rsidRPr="006B03FC" w:rsidRDefault="0014672E" w:rsidP="00AE5705">
            <w:pPr>
              <w:spacing w:after="160" w:line="259" w:lineRule="auto"/>
              <w:rPr>
                <w:rFonts w:ascii="Calibri" w:hAnsi="Calibri" w:cs="Calibri"/>
                <w:sz w:val="24"/>
                <w:szCs w:val="24"/>
              </w:rPr>
            </w:pPr>
            <w:r w:rsidRPr="006B03FC">
              <w:rPr>
                <w:rFonts w:ascii="Calibri" w:hAnsi="Calibri" w:cs="Calibri"/>
                <w:sz w:val="24"/>
                <w:szCs w:val="24"/>
              </w:rPr>
              <w:t>The survey was sent to more than 25,000 stakeholders, with a request that they further cascade.</w:t>
            </w:r>
          </w:p>
          <w:p w14:paraId="7EC8AB36" w14:textId="77777777" w:rsidR="00D0180F" w:rsidRDefault="0014672E" w:rsidP="00AE5705">
            <w:pPr>
              <w:spacing w:after="160" w:line="259" w:lineRule="auto"/>
              <w:rPr>
                <w:rFonts w:ascii="Calibri" w:hAnsi="Calibri" w:cs="Calibri"/>
                <w:sz w:val="24"/>
                <w:szCs w:val="24"/>
              </w:rPr>
            </w:pPr>
            <w:r w:rsidRPr="006B03FC">
              <w:rPr>
                <w:rFonts w:ascii="Calibri" w:hAnsi="Calibri" w:cs="Calibri"/>
                <w:sz w:val="24"/>
                <w:szCs w:val="24"/>
              </w:rPr>
              <w:t>A message on Northamptonshire Talking was sent to residents across the county, while further targeted communications were sent to the following areas where a lower response rate had been identified: Corby, Wellingborough and Daventry</w:t>
            </w:r>
            <w:r w:rsidR="00D0180F">
              <w:rPr>
                <w:rFonts w:ascii="Calibri" w:hAnsi="Calibri" w:cs="Calibri"/>
                <w:sz w:val="24"/>
                <w:szCs w:val="24"/>
              </w:rPr>
              <w:t xml:space="preserve">.  </w:t>
            </w:r>
          </w:p>
          <w:p w14:paraId="49A2A6DF" w14:textId="6DFBA676" w:rsidR="0014672E" w:rsidRPr="006B03FC" w:rsidRDefault="00D0180F" w:rsidP="00AE5705">
            <w:pPr>
              <w:spacing w:after="160" w:line="259" w:lineRule="auto"/>
              <w:rPr>
                <w:rFonts w:ascii="Calibri" w:hAnsi="Calibri" w:cs="Calibri"/>
                <w:sz w:val="24"/>
                <w:szCs w:val="24"/>
              </w:rPr>
            </w:pPr>
            <w:r>
              <w:rPr>
                <w:rFonts w:ascii="Calibri" w:hAnsi="Calibri" w:cs="Calibri"/>
                <w:sz w:val="24"/>
                <w:szCs w:val="24"/>
              </w:rPr>
              <w:t>More than 38,000 people opened the email we sent via this channel.</w:t>
            </w:r>
          </w:p>
          <w:p w14:paraId="7FE899E4" w14:textId="77777777" w:rsidR="0014672E" w:rsidRPr="006B03FC" w:rsidRDefault="0014672E" w:rsidP="00AE5705">
            <w:pPr>
              <w:spacing w:after="160" w:line="259" w:lineRule="auto"/>
              <w:rPr>
                <w:rFonts w:ascii="Calibri" w:hAnsi="Calibri" w:cs="Calibri"/>
                <w:sz w:val="24"/>
                <w:szCs w:val="24"/>
              </w:rPr>
            </w:pPr>
          </w:p>
          <w:p w14:paraId="1964BAB7" w14:textId="77777777" w:rsidR="0014672E" w:rsidRPr="006B03FC" w:rsidRDefault="0014672E" w:rsidP="00AE5705">
            <w:pPr>
              <w:spacing w:after="160" w:line="259" w:lineRule="auto"/>
              <w:rPr>
                <w:rFonts w:ascii="Calibri" w:hAnsi="Calibri" w:cs="Calibri"/>
                <w:sz w:val="24"/>
                <w:szCs w:val="24"/>
              </w:rPr>
            </w:pPr>
          </w:p>
        </w:tc>
      </w:tr>
      <w:tr w:rsidR="0014672E" w:rsidRPr="006B03FC" w14:paraId="5C482C79" w14:textId="77777777" w:rsidTr="00AE5705">
        <w:tc>
          <w:tcPr>
            <w:tcW w:w="5665" w:type="dxa"/>
          </w:tcPr>
          <w:p w14:paraId="0025DCEC" w14:textId="77777777" w:rsidR="0014672E" w:rsidRPr="006B03FC" w:rsidRDefault="0014672E" w:rsidP="00AE5705">
            <w:pPr>
              <w:spacing w:after="160" w:line="259" w:lineRule="auto"/>
              <w:jc w:val="both"/>
              <w:rPr>
                <w:rFonts w:ascii="Calibri" w:hAnsi="Calibri" w:cs="Calibri"/>
                <w:b/>
                <w:bCs/>
                <w:sz w:val="24"/>
                <w:szCs w:val="24"/>
              </w:rPr>
            </w:pPr>
            <w:r w:rsidRPr="006B03FC">
              <w:rPr>
                <w:rFonts w:ascii="Calibri" w:hAnsi="Calibri" w:cs="Calibri"/>
                <w:b/>
                <w:bCs/>
                <w:sz w:val="24"/>
                <w:szCs w:val="24"/>
              </w:rPr>
              <w:t>Internal</w:t>
            </w:r>
          </w:p>
          <w:p w14:paraId="4798FD5C" w14:textId="0D53B8D1"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News item on Force</w:t>
            </w:r>
            <w:r w:rsidR="006400EB">
              <w:rPr>
                <w:rFonts w:ascii="Calibri" w:hAnsi="Calibri" w:cs="Calibri"/>
                <w:sz w:val="24"/>
                <w:szCs w:val="24"/>
              </w:rPr>
              <w:t>N</w:t>
            </w:r>
            <w:r w:rsidRPr="006B03FC">
              <w:rPr>
                <w:rFonts w:ascii="Calibri" w:hAnsi="Calibri" w:cs="Calibri"/>
                <w:sz w:val="24"/>
                <w:szCs w:val="24"/>
              </w:rPr>
              <w:t xml:space="preserve">et – The Northamptonshire Police intranet viewed by all officers and staff – repeated twice during survey </w:t>
            </w:r>
            <w:proofErr w:type="gramStart"/>
            <w:r w:rsidRPr="006B03FC">
              <w:rPr>
                <w:rFonts w:ascii="Calibri" w:hAnsi="Calibri" w:cs="Calibri"/>
                <w:sz w:val="24"/>
                <w:szCs w:val="24"/>
              </w:rPr>
              <w:t>period</w:t>
            </w:r>
            <w:proofErr w:type="gramEnd"/>
          </w:p>
          <w:p w14:paraId="533C9208"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All staff email to OPFCC</w:t>
            </w:r>
          </w:p>
          <w:p w14:paraId="55BB1C70"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 xml:space="preserve">News item on Northamptonshire Fire and Rescue Service intranet for Firefighters and staff – repeated twice during the survey </w:t>
            </w:r>
            <w:proofErr w:type="gramStart"/>
            <w:r w:rsidRPr="006B03FC">
              <w:rPr>
                <w:rFonts w:ascii="Calibri" w:hAnsi="Calibri" w:cs="Calibri"/>
                <w:sz w:val="24"/>
                <w:szCs w:val="24"/>
              </w:rPr>
              <w:t>period</w:t>
            </w:r>
            <w:proofErr w:type="gramEnd"/>
          </w:p>
          <w:p w14:paraId="063EE53C" w14:textId="0E8B7FB1"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Daily Orders – link to item on Force</w:t>
            </w:r>
            <w:r w:rsidR="006400EB">
              <w:rPr>
                <w:rFonts w:ascii="Calibri" w:hAnsi="Calibri" w:cs="Calibri"/>
                <w:sz w:val="24"/>
                <w:szCs w:val="24"/>
              </w:rPr>
              <w:t>N</w:t>
            </w:r>
            <w:r w:rsidRPr="006B03FC">
              <w:rPr>
                <w:rFonts w:ascii="Calibri" w:hAnsi="Calibri" w:cs="Calibri"/>
                <w:sz w:val="24"/>
                <w:szCs w:val="24"/>
              </w:rPr>
              <w:t xml:space="preserve">et directing police staff to </w:t>
            </w:r>
            <w:proofErr w:type="gramStart"/>
            <w:r w:rsidRPr="006B03FC">
              <w:rPr>
                <w:rFonts w:ascii="Calibri" w:hAnsi="Calibri" w:cs="Calibri"/>
                <w:sz w:val="24"/>
                <w:szCs w:val="24"/>
              </w:rPr>
              <w:t>survey</w:t>
            </w:r>
            <w:proofErr w:type="gramEnd"/>
          </w:p>
          <w:p w14:paraId="35ECDB88"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Chief Officer Vlogs in both Northamptonshire Police and Northamptonshire Fire and Rescue Service</w:t>
            </w:r>
          </w:p>
          <w:p w14:paraId="5AAEB4BD"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 xml:space="preserve">Message and link displayed on December payslip and portal for Northamptonshire Police officers and staff and Northamptonshire Fire and Rescue Service Firefighters and staff, and OPFCC </w:t>
            </w:r>
            <w:proofErr w:type="gramStart"/>
            <w:r w:rsidRPr="006B03FC">
              <w:rPr>
                <w:rFonts w:ascii="Calibri" w:hAnsi="Calibri" w:cs="Calibri"/>
                <w:sz w:val="24"/>
                <w:szCs w:val="24"/>
              </w:rPr>
              <w:t>staff</w:t>
            </w:r>
            <w:proofErr w:type="gramEnd"/>
          </w:p>
          <w:p w14:paraId="7B58A9AC"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Splash screen survey message on every computer across OPFCC, Fire and Police</w:t>
            </w:r>
          </w:p>
          <w:p w14:paraId="137224B9" w14:textId="77777777" w:rsidR="0014672E" w:rsidRPr="006B03FC" w:rsidRDefault="0014672E" w:rsidP="0014672E">
            <w:pPr>
              <w:pStyle w:val="ListParagraph"/>
              <w:numPr>
                <w:ilvl w:val="0"/>
                <w:numId w:val="9"/>
              </w:numPr>
              <w:spacing w:after="160" w:line="259" w:lineRule="auto"/>
              <w:rPr>
                <w:rFonts w:ascii="Calibri" w:hAnsi="Calibri" w:cs="Calibri"/>
                <w:b/>
                <w:sz w:val="24"/>
                <w:szCs w:val="24"/>
              </w:rPr>
            </w:pPr>
            <w:r w:rsidRPr="006B03FC">
              <w:rPr>
                <w:rFonts w:ascii="Calibri" w:hAnsi="Calibri" w:cs="Calibri"/>
                <w:sz w:val="24"/>
                <w:szCs w:val="24"/>
              </w:rPr>
              <w:t>Repeated messaging during bi-weekly Pacesetter meetings for senior firefighters with requests to cascade through the Fire Community Risk Group (CRG)</w:t>
            </w:r>
          </w:p>
        </w:tc>
        <w:tc>
          <w:tcPr>
            <w:tcW w:w="3969" w:type="dxa"/>
          </w:tcPr>
          <w:p w14:paraId="1CF77CCA" w14:textId="77777777" w:rsidR="0014672E" w:rsidRPr="00FA6EA5" w:rsidRDefault="0014672E" w:rsidP="00AE5705">
            <w:pPr>
              <w:rPr>
                <w:rFonts w:ascii="Calibri" w:hAnsi="Calibri" w:cs="Calibri"/>
                <w:sz w:val="24"/>
                <w:szCs w:val="24"/>
              </w:rPr>
            </w:pPr>
          </w:p>
          <w:p w14:paraId="5D7B11F8" w14:textId="4283BD78" w:rsidR="0014672E" w:rsidRPr="006B03FC" w:rsidRDefault="0014672E" w:rsidP="00AE5705">
            <w:pPr>
              <w:rPr>
                <w:rFonts w:ascii="Calibri" w:hAnsi="Calibri" w:cs="Calibri"/>
                <w:sz w:val="24"/>
                <w:szCs w:val="24"/>
              </w:rPr>
            </w:pPr>
            <w:r w:rsidRPr="00FA6EA5">
              <w:rPr>
                <w:rFonts w:ascii="Calibri" w:hAnsi="Calibri" w:cs="Calibri"/>
                <w:sz w:val="24"/>
                <w:szCs w:val="24"/>
              </w:rPr>
              <w:t xml:space="preserve">The survey potentially reached </w:t>
            </w:r>
            <w:r w:rsidR="00FA6EA5" w:rsidRPr="00FA6EA5">
              <w:rPr>
                <w:rFonts w:ascii="Calibri" w:hAnsi="Calibri" w:cs="Calibri"/>
                <w:sz w:val="24"/>
                <w:szCs w:val="24"/>
              </w:rPr>
              <w:t>over 2,500</w:t>
            </w:r>
            <w:r w:rsidRPr="00FA6EA5">
              <w:rPr>
                <w:rFonts w:ascii="Calibri" w:hAnsi="Calibri" w:cs="Calibri"/>
                <w:sz w:val="24"/>
                <w:szCs w:val="24"/>
              </w:rPr>
              <w:t xml:space="preserve"> people </w:t>
            </w:r>
            <w:r w:rsidR="00FA6EA5" w:rsidRPr="00FA6EA5">
              <w:rPr>
                <w:rFonts w:ascii="Calibri" w:hAnsi="Calibri" w:cs="Calibri"/>
                <w:sz w:val="24"/>
                <w:szCs w:val="24"/>
              </w:rPr>
              <w:t>(including</w:t>
            </w:r>
            <w:r w:rsidRPr="00FA6EA5">
              <w:rPr>
                <w:rFonts w:ascii="Calibri" w:hAnsi="Calibri" w:cs="Calibri"/>
                <w:sz w:val="24"/>
                <w:szCs w:val="24"/>
              </w:rPr>
              <w:t xml:space="preserve"> police </w:t>
            </w:r>
            <w:r w:rsidRPr="006B03FC">
              <w:rPr>
                <w:rFonts w:ascii="Calibri" w:hAnsi="Calibri" w:cs="Calibri"/>
                <w:sz w:val="24"/>
                <w:szCs w:val="24"/>
              </w:rPr>
              <w:t xml:space="preserve">officers, </w:t>
            </w:r>
            <w:r w:rsidR="00FA6EA5">
              <w:rPr>
                <w:rFonts w:ascii="Calibri" w:hAnsi="Calibri" w:cs="Calibri"/>
                <w:sz w:val="24"/>
                <w:szCs w:val="24"/>
              </w:rPr>
              <w:t xml:space="preserve">firefighters, </w:t>
            </w:r>
            <w:r w:rsidRPr="006B03FC">
              <w:rPr>
                <w:rFonts w:ascii="Calibri" w:hAnsi="Calibri" w:cs="Calibri"/>
                <w:sz w:val="24"/>
                <w:szCs w:val="24"/>
              </w:rPr>
              <w:t>staff, and volunteers), with a request that they further cascade</w:t>
            </w:r>
            <w:r w:rsidR="00FA6EA5">
              <w:rPr>
                <w:rFonts w:ascii="Calibri" w:hAnsi="Calibri" w:cs="Calibri"/>
                <w:sz w:val="24"/>
                <w:szCs w:val="24"/>
              </w:rPr>
              <w:t>.</w:t>
            </w:r>
          </w:p>
          <w:p w14:paraId="556D46F6" w14:textId="77777777" w:rsidR="0014672E" w:rsidRPr="006B03FC" w:rsidRDefault="0014672E" w:rsidP="00AE5705">
            <w:pPr>
              <w:spacing w:after="160" w:line="259" w:lineRule="auto"/>
              <w:jc w:val="both"/>
              <w:rPr>
                <w:rFonts w:ascii="Calibri" w:hAnsi="Calibri" w:cs="Calibri"/>
                <w:sz w:val="24"/>
                <w:szCs w:val="24"/>
              </w:rPr>
            </w:pPr>
          </w:p>
        </w:tc>
      </w:tr>
      <w:tr w:rsidR="0014672E" w:rsidRPr="006B03FC" w14:paraId="14C4C811" w14:textId="77777777" w:rsidTr="00AE5705">
        <w:tc>
          <w:tcPr>
            <w:tcW w:w="5665" w:type="dxa"/>
          </w:tcPr>
          <w:p w14:paraId="57DF0761" w14:textId="77777777" w:rsidR="0014672E" w:rsidRPr="006B03FC" w:rsidRDefault="0014672E" w:rsidP="00AE5705">
            <w:pPr>
              <w:rPr>
                <w:rFonts w:ascii="Calibri" w:hAnsi="Calibri" w:cs="Calibri"/>
                <w:b/>
                <w:bCs/>
                <w:sz w:val="24"/>
                <w:szCs w:val="24"/>
              </w:rPr>
            </w:pPr>
            <w:r w:rsidRPr="006B03FC">
              <w:rPr>
                <w:rFonts w:ascii="Calibri" w:hAnsi="Calibri" w:cs="Calibri"/>
                <w:b/>
                <w:bCs/>
                <w:sz w:val="24"/>
                <w:szCs w:val="24"/>
              </w:rPr>
              <w:t>Key Internal Stakeholders</w:t>
            </w:r>
          </w:p>
          <w:p w14:paraId="222B03E2" w14:textId="77777777" w:rsidR="0014672E" w:rsidRPr="006B03FC" w:rsidRDefault="0014672E" w:rsidP="0014672E">
            <w:pPr>
              <w:numPr>
                <w:ilvl w:val="0"/>
                <w:numId w:val="7"/>
              </w:numPr>
              <w:spacing w:after="0" w:line="240" w:lineRule="auto"/>
              <w:rPr>
                <w:rFonts w:ascii="Calibri" w:hAnsi="Calibri" w:cs="Calibri"/>
                <w:sz w:val="24"/>
                <w:szCs w:val="24"/>
              </w:rPr>
            </w:pPr>
            <w:r w:rsidRPr="006B03FC">
              <w:rPr>
                <w:rFonts w:ascii="Calibri" w:hAnsi="Calibri" w:cs="Calibri"/>
                <w:sz w:val="24"/>
                <w:szCs w:val="24"/>
              </w:rPr>
              <w:t>Northamptonshire Police Chief Officers</w:t>
            </w:r>
          </w:p>
          <w:p w14:paraId="6740C14D" w14:textId="77777777" w:rsidR="0014672E" w:rsidRPr="006B03FC" w:rsidRDefault="0014672E" w:rsidP="0014672E">
            <w:pPr>
              <w:numPr>
                <w:ilvl w:val="0"/>
                <w:numId w:val="7"/>
              </w:numPr>
              <w:spacing w:after="0" w:line="240" w:lineRule="auto"/>
              <w:rPr>
                <w:rFonts w:ascii="Calibri" w:hAnsi="Calibri" w:cs="Calibri"/>
                <w:sz w:val="24"/>
                <w:szCs w:val="24"/>
              </w:rPr>
            </w:pPr>
            <w:r w:rsidRPr="006B03FC">
              <w:rPr>
                <w:rFonts w:ascii="Calibri" w:hAnsi="Calibri" w:cs="Calibri"/>
                <w:sz w:val="24"/>
                <w:szCs w:val="24"/>
              </w:rPr>
              <w:t xml:space="preserve">Northamptonshire Fire and Rescue Service (NFRS) Senior Fire Officers </w:t>
            </w:r>
          </w:p>
          <w:p w14:paraId="3A449CC3" w14:textId="77777777" w:rsidR="0014672E" w:rsidRPr="006B03FC" w:rsidRDefault="0014672E" w:rsidP="0014672E">
            <w:pPr>
              <w:numPr>
                <w:ilvl w:val="0"/>
                <w:numId w:val="7"/>
              </w:numPr>
              <w:spacing w:after="0" w:line="240" w:lineRule="auto"/>
              <w:rPr>
                <w:rFonts w:ascii="Calibri" w:hAnsi="Calibri" w:cs="Calibri"/>
                <w:sz w:val="24"/>
                <w:szCs w:val="24"/>
              </w:rPr>
            </w:pPr>
            <w:r w:rsidRPr="006B03FC">
              <w:rPr>
                <w:rFonts w:ascii="Calibri" w:hAnsi="Calibri" w:cs="Calibri"/>
                <w:sz w:val="24"/>
                <w:szCs w:val="24"/>
              </w:rPr>
              <w:t>Directors in the Office of the Police, Fire and Crime Commissioner (OPFCC)</w:t>
            </w:r>
          </w:p>
          <w:p w14:paraId="753EACFE" w14:textId="77777777" w:rsidR="0014672E" w:rsidRPr="006B03FC" w:rsidRDefault="0014672E" w:rsidP="0014672E">
            <w:pPr>
              <w:numPr>
                <w:ilvl w:val="0"/>
                <w:numId w:val="7"/>
              </w:numPr>
              <w:spacing w:after="0" w:line="240" w:lineRule="auto"/>
              <w:rPr>
                <w:rFonts w:ascii="Calibri" w:hAnsi="Calibri" w:cs="Calibri"/>
                <w:sz w:val="24"/>
                <w:szCs w:val="24"/>
              </w:rPr>
            </w:pPr>
            <w:r w:rsidRPr="006B03FC">
              <w:rPr>
                <w:rFonts w:ascii="Calibri" w:hAnsi="Calibri" w:cs="Calibri"/>
                <w:sz w:val="24"/>
                <w:szCs w:val="24"/>
              </w:rPr>
              <w:t>OPFCC Customer Service team</w:t>
            </w:r>
          </w:p>
          <w:p w14:paraId="007F8968" w14:textId="77777777" w:rsidR="0014672E" w:rsidRPr="006B03FC" w:rsidRDefault="0014672E" w:rsidP="0014672E">
            <w:pPr>
              <w:numPr>
                <w:ilvl w:val="0"/>
                <w:numId w:val="7"/>
              </w:numPr>
              <w:spacing w:after="0" w:line="240" w:lineRule="auto"/>
              <w:rPr>
                <w:rFonts w:ascii="Calibri" w:hAnsi="Calibri" w:cs="Calibri"/>
                <w:sz w:val="24"/>
                <w:szCs w:val="24"/>
              </w:rPr>
            </w:pPr>
            <w:r w:rsidRPr="006B03FC">
              <w:rPr>
                <w:rFonts w:ascii="Calibri" w:hAnsi="Calibri" w:cs="Calibri"/>
                <w:sz w:val="24"/>
                <w:szCs w:val="24"/>
              </w:rPr>
              <w:t>Police Federation</w:t>
            </w:r>
          </w:p>
          <w:p w14:paraId="37C71B72" w14:textId="77777777" w:rsidR="0014672E" w:rsidRPr="006B03FC" w:rsidRDefault="0014672E" w:rsidP="0014672E">
            <w:pPr>
              <w:numPr>
                <w:ilvl w:val="0"/>
                <w:numId w:val="7"/>
              </w:numPr>
              <w:spacing w:after="0" w:line="240" w:lineRule="auto"/>
              <w:rPr>
                <w:rFonts w:ascii="Calibri" w:hAnsi="Calibri" w:cs="Calibri"/>
                <w:sz w:val="24"/>
                <w:szCs w:val="24"/>
              </w:rPr>
            </w:pPr>
            <w:r w:rsidRPr="006B03FC">
              <w:rPr>
                <w:rFonts w:ascii="Calibri" w:hAnsi="Calibri" w:cs="Calibri"/>
                <w:sz w:val="24"/>
                <w:szCs w:val="24"/>
              </w:rPr>
              <w:t>Unison</w:t>
            </w:r>
          </w:p>
          <w:p w14:paraId="6C74B4E3" w14:textId="77777777" w:rsidR="0014672E" w:rsidRPr="006B03FC" w:rsidRDefault="0014672E" w:rsidP="0014672E">
            <w:pPr>
              <w:numPr>
                <w:ilvl w:val="0"/>
                <w:numId w:val="7"/>
              </w:numPr>
              <w:spacing w:after="0" w:line="240" w:lineRule="auto"/>
              <w:rPr>
                <w:rFonts w:ascii="Calibri" w:hAnsi="Calibri" w:cs="Calibri"/>
                <w:sz w:val="24"/>
                <w:szCs w:val="24"/>
              </w:rPr>
            </w:pPr>
            <w:r w:rsidRPr="006B03FC">
              <w:rPr>
                <w:rFonts w:ascii="Calibri" w:hAnsi="Calibri" w:cs="Calibri"/>
                <w:sz w:val="24"/>
                <w:szCs w:val="24"/>
              </w:rPr>
              <w:t>Police Superintendents’ Association</w:t>
            </w:r>
          </w:p>
          <w:p w14:paraId="544C50EA" w14:textId="77777777" w:rsidR="0014672E" w:rsidRPr="006B03FC" w:rsidRDefault="0014672E" w:rsidP="0014672E">
            <w:pPr>
              <w:numPr>
                <w:ilvl w:val="0"/>
                <w:numId w:val="7"/>
              </w:numPr>
              <w:spacing w:after="0" w:line="240" w:lineRule="auto"/>
              <w:rPr>
                <w:rFonts w:ascii="Calibri" w:hAnsi="Calibri" w:cs="Calibri"/>
                <w:sz w:val="24"/>
                <w:szCs w:val="24"/>
              </w:rPr>
            </w:pPr>
            <w:r w:rsidRPr="006B03FC">
              <w:rPr>
                <w:rFonts w:ascii="Calibri" w:hAnsi="Calibri" w:cs="Calibri"/>
                <w:sz w:val="24"/>
                <w:szCs w:val="24"/>
              </w:rPr>
              <w:t>Voice</w:t>
            </w:r>
          </w:p>
          <w:p w14:paraId="0EC902F1" w14:textId="77777777" w:rsidR="0014672E" w:rsidRPr="006B03FC" w:rsidRDefault="0014672E" w:rsidP="00AE5705">
            <w:pPr>
              <w:spacing w:after="0" w:line="240" w:lineRule="auto"/>
              <w:ind w:left="720"/>
              <w:rPr>
                <w:rFonts w:ascii="Calibri" w:hAnsi="Calibri" w:cs="Calibri"/>
                <w:sz w:val="24"/>
                <w:szCs w:val="24"/>
              </w:rPr>
            </w:pPr>
          </w:p>
        </w:tc>
        <w:tc>
          <w:tcPr>
            <w:tcW w:w="3969" w:type="dxa"/>
          </w:tcPr>
          <w:p w14:paraId="50829A89" w14:textId="77777777" w:rsidR="0014672E" w:rsidRPr="006B03FC" w:rsidRDefault="0014672E" w:rsidP="00AE5705">
            <w:pPr>
              <w:spacing w:after="160" w:line="259" w:lineRule="auto"/>
              <w:jc w:val="both"/>
              <w:rPr>
                <w:rFonts w:ascii="Calibri" w:hAnsi="Calibri" w:cs="Calibri"/>
                <w:sz w:val="24"/>
                <w:szCs w:val="24"/>
              </w:rPr>
            </w:pPr>
          </w:p>
          <w:p w14:paraId="3D6F6272" w14:textId="77777777" w:rsidR="0014672E" w:rsidRPr="006B03FC" w:rsidRDefault="0014672E" w:rsidP="00AE5705">
            <w:pPr>
              <w:spacing w:after="160" w:line="259" w:lineRule="auto"/>
              <w:jc w:val="both"/>
              <w:rPr>
                <w:rFonts w:ascii="Calibri" w:hAnsi="Calibri" w:cs="Calibri"/>
                <w:sz w:val="24"/>
                <w:szCs w:val="24"/>
              </w:rPr>
            </w:pPr>
            <w:r w:rsidRPr="006B03FC">
              <w:rPr>
                <w:rFonts w:ascii="Calibri" w:hAnsi="Calibri" w:cs="Calibri"/>
                <w:sz w:val="24"/>
                <w:szCs w:val="24"/>
              </w:rPr>
              <w:t>Email request to cascade to their members/</w:t>
            </w:r>
            <w:proofErr w:type="gramStart"/>
            <w:r w:rsidRPr="006B03FC">
              <w:rPr>
                <w:rFonts w:ascii="Calibri" w:hAnsi="Calibri" w:cs="Calibri"/>
                <w:sz w:val="24"/>
                <w:szCs w:val="24"/>
              </w:rPr>
              <w:t>contacts</w:t>
            </w:r>
            <w:proofErr w:type="gramEnd"/>
          </w:p>
          <w:p w14:paraId="75207FBC" w14:textId="77777777" w:rsidR="0014672E" w:rsidRPr="006B03FC" w:rsidRDefault="0014672E" w:rsidP="00AE5705">
            <w:pPr>
              <w:spacing w:after="160" w:line="259" w:lineRule="auto"/>
              <w:jc w:val="both"/>
              <w:rPr>
                <w:rFonts w:ascii="Calibri" w:hAnsi="Calibri" w:cs="Calibri"/>
                <w:sz w:val="24"/>
                <w:szCs w:val="24"/>
              </w:rPr>
            </w:pPr>
          </w:p>
          <w:p w14:paraId="7AD144B5" w14:textId="77777777" w:rsidR="0014672E" w:rsidRPr="006B03FC" w:rsidRDefault="0014672E" w:rsidP="00AE5705">
            <w:pPr>
              <w:spacing w:after="160" w:line="259" w:lineRule="auto"/>
              <w:jc w:val="both"/>
              <w:rPr>
                <w:rFonts w:ascii="Calibri" w:hAnsi="Calibri" w:cs="Calibri"/>
                <w:sz w:val="24"/>
                <w:szCs w:val="24"/>
              </w:rPr>
            </w:pPr>
          </w:p>
          <w:p w14:paraId="4945C5DF" w14:textId="77777777" w:rsidR="0014672E" w:rsidRPr="006B03FC" w:rsidRDefault="0014672E" w:rsidP="00AE5705">
            <w:pPr>
              <w:spacing w:after="160" w:line="259" w:lineRule="auto"/>
              <w:jc w:val="both"/>
              <w:rPr>
                <w:rFonts w:ascii="Calibri" w:hAnsi="Calibri" w:cs="Calibri"/>
                <w:sz w:val="24"/>
                <w:szCs w:val="24"/>
              </w:rPr>
            </w:pPr>
          </w:p>
        </w:tc>
      </w:tr>
      <w:tr w:rsidR="0014672E" w:rsidRPr="006B03FC" w14:paraId="1BD07C29" w14:textId="77777777" w:rsidTr="00AE5705">
        <w:tc>
          <w:tcPr>
            <w:tcW w:w="5665" w:type="dxa"/>
          </w:tcPr>
          <w:p w14:paraId="034C4B29" w14:textId="77777777" w:rsidR="0014672E" w:rsidRPr="006B03FC" w:rsidRDefault="0014672E" w:rsidP="00AE5705">
            <w:pPr>
              <w:spacing w:after="160" w:line="259" w:lineRule="auto"/>
              <w:rPr>
                <w:rFonts w:ascii="Calibri" w:hAnsi="Calibri" w:cs="Calibri"/>
                <w:b/>
                <w:bCs/>
                <w:sz w:val="24"/>
                <w:szCs w:val="24"/>
              </w:rPr>
            </w:pPr>
            <w:r w:rsidRPr="006B03FC">
              <w:rPr>
                <w:rFonts w:ascii="Calibri" w:hAnsi="Calibri" w:cs="Calibri"/>
                <w:b/>
                <w:bCs/>
                <w:sz w:val="24"/>
                <w:szCs w:val="24"/>
              </w:rPr>
              <w:t>Mainstream media</w:t>
            </w:r>
          </w:p>
          <w:p w14:paraId="20EC138D" w14:textId="77777777" w:rsidR="0014672E" w:rsidRPr="006B03FC" w:rsidRDefault="0014672E" w:rsidP="0014672E">
            <w:pPr>
              <w:pStyle w:val="ListParagraph"/>
              <w:numPr>
                <w:ilvl w:val="0"/>
                <w:numId w:val="15"/>
              </w:numPr>
              <w:spacing w:after="160" w:line="259" w:lineRule="auto"/>
              <w:rPr>
                <w:rFonts w:ascii="Calibri" w:hAnsi="Calibri" w:cs="Calibri"/>
                <w:b/>
                <w:bCs/>
                <w:sz w:val="24"/>
                <w:szCs w:val="24"/>
              </w:rPr>
            </w:pPr>
            <w:r w:rsidRPr="006B03FC">
              <w:rPr>
                <w:rFonts w:ascii="Calibri" w:hAnsi="Calibri" w:cs="Calibri"/>
                <w:bCs/>
                <w:sz w:val="24"/>
                <w:szCs w:val="24"/>
              </w:rPr>
              <w:t>A news release was issued to all local and regional media across Northamptonshire</w:t>
            </w:r>
            <w:r>
              <w:rPr>
                <w:rFonts w:ascii="Calibri" w:hAnsi="Calibri" w:cs="Calibri"/>
                <w:bCs/>
                <w:sz w:val="24"/>
                <w:szCs w:val="24"/>
              </w:rPr>
              <w:t>.</w:t>
            </w:r>
          </w:p>
          <w:p w14:paraId="1BB6CFC9" w14:textId="77777777" w:rsidR="0014672E" w:rsidRPr="006B03FC" w:rsidRDefault="0014672E" w:rsidP="0014672E">
            <w:pPr>
              <w:pStyle w:val="ListParagraph"/>
              <w:numPr>
                <w:ilvl w:val="0"/>
                <w:numId w:val="15"/>
              </w:numPr>
              <w:spacing w:after="160" w:line="259" w:lineRule="auto"/>
              <w:rPr>
                <w:rFonts w:ascii="Calibri" w:hAnsi="Calibri" w:cs="Calibri"/>
                <w:b/>
                <w:bCs/>
                <w:sz w:val="24"/>
                <w:szCs w:val="24"/>
              </w:rPr>
            </w:pPr>
            <w:r w:rsidRPr="006B03FC">
              <w:rPr>
                <w:rFonts w:ascii="Calibri" w:hAnsi="Calibri" w:cs="Calibri"/>
                <w:bCs/>
                <w:sz w:val="24"/>
                <w:szCs w:val="24"/>
              </w:rPr>
              <w:t>News release was sent to hyper local publications</w:t>
            </w:r>
            <w:r>
              <w:rPr>
                <w:rFonts w:ascii="Calibri" w:hAnsi="Calibri" w:cs="Calibri"/>
                <w:bCs/>
                <w:sz w:val="24"/>
                <w:szCs w:val="24"/>
              </w:rPr>
              <w:t>.</w:t>
            </w:r>
          </w:p>
          <w:p w14:paraId="4F4E080B" w14:textId="77777777" w:rsidR="0014672E" w:rsidRPr="006B03FC" w:rsidRDefault="0014672E" w:rsidP="0014672E">
            <w:pPr>
              <w:pStyle w:val="ListParagraph"/>
              <w:numPr>
                <w:ilvl w:val="0"/>
                <w:numId w:val="15"/>
              </w:numPr>
              <w:spacing w:after="160" w:line="259" w:lineRule="auto"/>
              <w:rPr>
                <w:rFonts w:ascii="Calibri" w:hAnsi="Calibri" w:cs="Calibri"/>
                <w:b/>
                <w:bCs/>
                <w:sz w:val="24"/>
                <w:szCs w:val="24"/>
              </w:rPr>
            </w:pPr>
            <w:r w:rsidRPr="006B03FC">
              <w:rPr>
                <w:rFonts w:ascii="Calibri" w:hAnsi="Calibri" w:cs="Calibri"/>
                <w:bCs/>
                <w:sz w:val="24"/>
                <w:szCs w:val="24"/>
              </w:rPr>
              <w:t>The survey was trailed in the December edition of the PFCC newsletter</w:t>
            </w:r>
            <w:r>
              <w:rPr>
                <w:rFonts w:ascii="Calibri" w:hAnsi="Calibri" w:cs="Calibri"/>
                <w:bCs/>
                <w:sz w:val="24"/>
                <w:szCs w:val="24"/>
              </w:rPr>
              <w:t>.</w:t>
            </w:r>
          </w:p>
          <w:p w14:paraId="7F976668" w14:textId="77777777" w:rsidR="0014672E" w:rsidRPr="006B03FC" w:rsidRDefault="0014672E" w:rsidP="0014672E">
            <w:pPr>
              <w:pStyle w:val="ListParagraph"/>
              <w:numPr>
                <w:ilvl w:val="0"/>
                <w:numId w:val="15"/>
              </w:numPr>
              <w:spacing w:after="160" w:line="259" w:lineRule="auto"/>
              <w:rPr>
                <w:rFonts w:ascii="Calibri" w:hAnsi="Calibri" w:cs="Calibri"/>
                <w:b/>
                <w:bCs/>
                <w:sz w:val="24"/>
                <w:szCs w:val="24"/>
              </w:rPr>
            </w:pPr>
            <w:r w:rsidRPr="006B03FC">
              <w:rPr>
                <w:rFonts w:ascii="Calibri" w:hAnsi="Calibri" w:cs="Calibri"/>
                <w:bCs/>
                <w:sz w:val="24"/>
                <w:szCs w:val="24"/>
              </w:rPr>
              <w:t>Further targeted news release to areas where response rate had been lower</w:t>
            </w:r>
            <w:r>
              <w:rPr>
                <w:rFonts w:ascii="Calibri" w:hAnsi="Calibri" w:cs="Calibri"/>
                <w:bCs/>
                <w:sz w:val="24"/>
                <w:szCs w:val="24"/>
              </w:rPr>
              <w:t>.</w:t>
            </w:r>
          </w:p>
        </w:tc>
        <w:tc>
          <w:tcPr>
            <w:tcW w:w="3969" w:type="dxa"/>
          </w:tcPr>
          <w:p w14:paraId="6E40B0DE" w14:textId="77777777" w:rsidR="0014672E" w:rsidRPr="006B03FC" w:rsidRDefault="0014672E" w:rsidP="00AE5705">
            <w:pPr>
              <w:rPr>
                <w:rFonts w:ascii="Calibri" w:hAnsi="Calibri" w:cs="Calibri"/>
                <w:sz w:val="24"/>
                <w:szCs w:val="24"/>
              </w:rPr>
            </w:pPr>
            <w:r w:rsidRPr="006B03FC">
              <w:rPr>
                <w:rFonts w:ascii="Calibri" w:hAnsi="Calibri" w:cs="Calibri"/>
                <w:sz w:val="24"/>
                <w:szCs w:val="24"/>
              </w:rPr>
              <w:t xml:space="preserve">The news release went to over 60 newsrooms (print and broadcast including the Northampton Chronicle and Echo and BBC Radio Northampton), plus individual reporters and other local news sites. </w:t>
            </w:r>
          </w:p>
          <w:p w14:paraId="42CE360D" w14:textId="77777777" w:rsidR="0014672E" w:rsidRPr="006B03FC" w:rsidRDefault="0014672E" w:rsidP="00AE5705">
            <w:pPr>
              <w:rPr>
                <w:rFonts w:ascii="Calibri" w:hAnsi="Calibri" w:cs="Calibri"/>
                <w:sz w:val="24"/>
                <w:szCs w:val="24"/>
              </w:rPr>
            </w:pPr>
            <w:r w:rsidRPr="006B03FC">
              <w:rPr>
                <w:rFonts w:ascii="Calibri" w:hAnsi="Calibri" w:cs="Calibri"/>
                <w:sz w:val="24"/>
                <w:szCs w:val="24"/>
              </w:rPr>
              <w:t>Coverage on Northampton Chronicle, Northamptonshire Telegraph and Daventry Express on December 12.</w:t>
            </w:r>
          </w:p>
          <w:p w14:paraId="7BFC5EDF" w14:textId="77777777" w:rsidR="0014672E" w:rsidRPr="006B03FC" w:rsidRDefault="0014672E" w:rsidP="00AE5705">
            <w:pPr>
              <w:rPr>
                <w:rFonts w:ascii="Calibri" w:hAnsi="Calibri" w:cs="Calibri"/>
                <w:sz w:val="24"/>
                <w:szCs w:val="24"/>
              </w:rPr>
            </w:pPr>
            <w:r w:rsidRPr="006B03FC">
              <w:rPr>
                <w:rFonts w:ascii="Calibri" w:hAnsi="Calibri" w:cs="Calibri"/>
                <w:sz w:val="24"/>
                <w:szCs w:val="24"/>
              </w:rPr>
              <w:t>A further targeted news release to encourage more residents in Wellingborough and Corby to fill in the survey was sent to Northamptonshire Telegraph and published on January 9.</w:t>
            </w:r>
          </w:p>
        </w:tc>
      </w:tr>
      <w:tr w:rsidR="0014672E" w:rsidRPr="006B03FC" w14:paraId="31367A9A" w14:textId="77777777" w:rsidTr="00AE5705">
        <w:tc>
          <w:tcPr>
            <w:tcW w:w="5665" w:type="dxa"/>
          </w:tcPr>
          <w:p w14:paraId="28380125" w14:textId="77777777" w:rsidR="0014672E" w:rsidRPr="006B03FC" w:rsidRDefault="0014672E" w:rsidP="00AE5705">
            <w:pPr>
              <w:spacing w:after="160" w:line="259" w:lineRule="auto"/>
              <w:jc w:val="both"/>
              <w:rPr>
                <w:rFonts w:ascii="Calibri" w:hAnsi="Calibri" w:cs="Calibri"/>
                <w:b/>
                <w:bCs/>
                <w:sz w:val="24"/>
                <w:szCs w:val="24"/>
              </w:rPr>
            </w:pPr>
            <w:r w:rsidRPr="006B03FC">
              <w:rPr>
                <w:rFonts w:ascii="Calibri" w:hAnsi="Calibri" w:cs="Calibri"/>
                <w:b/>
                <w:bCs/>
                <w:sz w:val="24"/>
                <w:szCs w:val="24"/>
              </w:rPr>
              <w:t xml:space="preserve">Digital and Social </w:t>
            </w:r>
          </w:p>
          <w:p w14:paraId="0790B087"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X (formerly Twitter) OPFCC account (native)</w:t>
            </w:r>
          </w:p>
          <w:p w14:paraId="54D0D47A" w14:textId="77777777" w:rsidR="0014672E" w:rsidRDefault="0014672E" w:rsidP="00AE5705">
            <w:pPr>
              <w:spacing w:after="0" w:line="240" w:lineRule="auto"/>
              <w:rPr>
                <w:rFonts w:ascii="Calibri" w:hAnsi="Calibri" w:cs="Calibri"/>
                <w:sz w:val="24"/>
                <w:szCs w:val="24"/>
              </w:rPr>
            </w:pPr>
          </w:p>
          <w:p w14:paraId="6A743751" w14:textId="77777777" w:rsidR="0014672E" w:rsidRPr="006B03FC" w:rsidRDefault="0014672E" w:rsidP="00AE5705">
            <w:pPr>
              <w:spacing w:after="0" w:line="240" w:lineRule="auto"/>
              <w:rPr>
                <w:rFonts w:ascii="Calibri" w:hAnsi="Calibri" w:cs="Calibri"/>
                <w:sz w:val="24"/>
                <w:szCs w:val="24"/>
              </w:rPr>
            </w:pPr>
          </w:p>
          <w:p w14:paraId="077B06F4"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X (formerly Twitter) NFRS account</w:t>
            </w:r>
          </w:p>
          <w:p w14:paraId="15C68108" w14:textId="77777777" w:rsidR="0014672E" w:rsidRPr="006B03FC" w:rsidRDefault="0014672E" w:rsidP="00AE5705">
            <w:pPr>
              <w:spacing w:after="0" w:line="240" w:lineRule="auto"/>
              <w:rPr>
                <w:rFonts w:ascii="Calibri" w:hAnsi="Calibri" w:cs="Calibri"/>
                <w:sz w:val="24"/>
                <w:szCs w:val="24"/>
              </w:rPr>
            </w:pPr>
          </w:p>
          <w:p w14:paraId="7B50C0D5" w14:textId="77777777" w:rsidR="0014672E" w:rsidRPr="006B03FC" w:rsidRDefault="0014672E" w:rsidP="00AE5705">
            <w:pPr>
              <w:spacing w:after="0" w:line="240" w:lineRule="auto"/>
              <w:rPr>
                <w:rFonts w:ascii="Calibri" w:hAnsi="Calibri" w:cs="Calibri"/>
                <w:sz w:val="24"/>
                <w:szCs w:val="24"/>
              </w:rPr>
            </w:pPr>
          </w:p>
          <w:p w14:paraId="64029CAB"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Meta (Facebook/Instagram) account native</w:t>
            </w:r>
          </w:p>
          <w:p w14:paraId="53413E89" w14:textId="77777777" w:rsidR="0014672E" w:rsidRDefault="0014672E" w:rsidP="00AE5705">
            <w:pPr>
              <w:spacing w:after="0" w:line="240" w:lineRule="auto"/>
              <w:rPr>
                <w:rFonts w:ascii="Calibri" w:hAnsi="Calibri" w:cs="Calibri"/>
                <w:sz w:val="24"/>
                <w:szCs w:val="24"/>
              </w:rPr>
            </w:pPr>
          </w:p>
          <w:p w14:paraId="0908F5A0" w14:textId="77777777" w:rsidR="0014672E" w:rsidRPr="006B03FC" w:rsidRDefault="0014672E" w:rsidP="00AE5705">
            <w:pPr>
              <w:spacing w:after="0" w:line="240" w:lineRule="auto"/>
              <w:rPr>
                <w:rFonts w:ascii="Calibri" w:hAnsi="Calibri" w:cs="Calibri"/>
                <w:sz w:val="24"/>
                <w:szCs w:val="24"/>
              </w:rPr>
            </w:pPr>
          </w:p>
          <w:p w14:paraId="37C3A529"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Meta adverts including Facebook (paid, £72.07)</w:t>
            </w:r>
          </w:p>
          <w:p w14:paraId="67A3EBE9" w14:textId="77777777" w:rsidR="0014672E" w:rsidRDefault="0014672E" w:rsidP="00AE5705">
            <w:pPr>
              <w:spacing w:after="0" w:line="240" w:lineRule="auto"/>
              <w:rPr>
                <w:rFonts w:ascii="Calibri" w:hAnsi="Calibri" w:cs="Calibri"/>
                <w:sz w:val="24"/>
                <w:szCs w:val="24"/>
              </w:rPr>
            </w:pPr>
            <w:r>
              <w:rPr>
                <w:rFonts w:ascii="Calibri" w:hAnsi="Calibri" w:cs="Calibri"/>
                <w:sz w:val="24"/>
                <w:szCs w:val="24"/>
              </w:rPr>
              <w:t xml:space="preserve"> </w:t>
            </w:r>
          </w:p>
          <w:p w14:paraId="169E3791"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Google ads including YouTube (paid, £75.70)</w:t>
            </w:r>
          </w:p>
          <w:p w14:paraId="4EC67B0F" w14:textId="77777777" w:rsidR="0014672E" w:rsidRPr="006B03FC" w:rsidRDefault="0014672E" w:rsidP="00AE5705">
            <w:pPr>
              <w:spacing w:after="0" w:line="240" w:lineRule="auto"/>
              <w:rPr>
                <w:rFonts w:ascii="Calibri" w:hAnsi="Calibri" w:cs="Calibri"/>
                <w:sz w:val="24"/>
                <w:szCs w:val="24"/>
              </w:rPr>
            </w:pPr>
          </w:p>
          <w:p w14:paraId="2F6BCFEF" w14:textId="77777777" w:rsidR="0014672E" w:rsidRPr="006B03FC" w:rsidRDefault="0014672E" w:rsidP="00AE5705">
            <w:pPr>
              <w:spacing w:after="0" w:line="240" w:lineRule="auto"/>
              <w:rPr>
                <w:rFonts w:ascii="Calibri" w:hAnsi="Calibri" w:cs="Calibri"/>
                <w:sz w:val="24"/>
                <w:szCs w:val="24"/>
              </w:rPr>
            </w:pPr>
          </w:p>
          <w:p w14:paraId="5614C35D"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OPFCC &amp; Fire Website views - 4 different pages / news stories</w:t>
            </w:r>
          </w:p>
          <w:p w14:paraId="7597A1D2" w14:textId="77777777" w:rsidR="0014672E" w:rsidRPr="006B03FC" w:rsidRDefault="0014672E" w:rsidP="00AE5705">
            <w:pPr>
              <w:spacing w:after="0" w:line="240" w:lineRule="auto"/>
              <w:rPr>
                <w:rFonts w:ascii="Calibri" w:hAnsi="Calibri" w:cs="Calibri"/>
                <w:sz w:val="24"/>
                <w:szCs w:val="24"/>
              </w:rPr>
            </w:pPr>
          </w:p>
          <w:p w14:paraId="5527E9BA"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LinkedIn – OPFCC and NFRS</w:t>
            </w:r>
          </w:p>
          <w:p w14:paraId="773E68E5" w14:textId="77777777" w:rsidR="0014672E" w:rsidRPr="006B03FC" w:rsidRDefault="0014672E" w:rsidP="00AE5705">
            <w:pPr>
              <w:spacing w:after="0" w:line="240" w:lineRule="auto"/>
              <w:rPr>
                <w:rFonts w:ascii="Calibri" w:hAnsi="Calibri" w:cs="Calibri"/>
                <w:sz w:val="24"/>
                <w:szCs w:val="24"/>
              </w:rPr>
            </w:pPr>
          </w:p>
          <w:p w14:paraId="304B21B6"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Northamptonshire Talking (formerly Neighbourhood Alert) for OPFCC</w:t>
            </w:r>
          </w:p>
          <w:p w14:paraId="4D591B28" w14:textId="77777777" w:rsidR="0014672E" w:rsidRPr="006B03FC" w:rsidRDefault="0014672E" w:rsidP="00AE5705">
            <w:pPr>
              <w:spacing w:after="0" w:line="240" w:lineRule="auto"/>
              <w:rPr>
                <w:rFonts w:ascii="Calibri" w:hAnsi="Calibri" w:cs="Calibri"/>
                <w:sz w:val="24"/>
                <w:szCs w:val="24"/>
              </w:rPr>
            </w:pPr>
          </w:p>
          <w:p w14:paraId="6E73B7C7"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Next Door</w:t>
            </w:r>
          </w:p>
          <w:p w14:paraId="685E3CDC" w14:textId="77777777" w:rsidR="0014672E" w:rsidRPr="006B03FC" w:rsidRDefault="0014672E" w:rsidP="00AE5705">
            <w:pPr>
              <w:spacing w:after="0" w:line="240" w:lineRule="auto"/>
              <w:rPr>
                <w:rFonts w:ascii="Calibri" w:hAnsi="Calibri" w:cs="Calibri"/>
                <w:b/>
                <w:sz w:val="24"/>
                <w:szCs w:val="24"/>
              </w:rPr>
            </w:pPr>
          </w:p>
        </w:tc>
        <w:tc>
          <w:tcPr>
            <w:tcW w:w="3969" w:type="dxa"/>
          </w:tcPr>
          <w:p w14:paraId="0251AF99" w14:textId="77777777" w:rsidR="0014672E" w:rsidRPr="006B03FC" w:rsidRDefault="0014672E" w:rsidP="00AE5705">
            <w:pPr>
              <w:spacing w:after="160" w:line="259" w:lineRule="auto"/>
              <w:jc w:val="both"/>
              <w:rPr>
                <w:rFonts w:ascii="Calibri" w:hAnsi="Calibri" w:cs="Calibri"/>
                <w:b/>
                <w:bCs/>
                <w:sz w:val="24"/>
                <w:szCs w:val="24"/>
              </w:rPr>
            </w:pPr>
          </w:p>
          <w:p w14:paraId="12CA34BC"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34,380 impressions</w:t>
            </w:r>
          </w:p>
          <w:p w14:paraId="7255D3F5"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520 engagements</w:t>
            </w:r>
          </w:p>
          <w:p w14:paraId="61B14FAB" w14:textId="77777777" w:rsidR="0014672E" w:rsidRPr="006B03FC" w:rsidRDefault="0014672E" w:rsidP="00AE5705">
            <w:pPr>
              <w:spacing w:after="0" w:line="240" w:lineRule="auto"/>
              <w:rPr>
                <w:rFonts w:ascii="Calibri" w:hAnsi="Calibri" w:cs="Calibri"/>
                <w:color w:val="FF0000"/>
                <w:sz w:val="24"/>
                <w:szCs w:val="24"/>
              </w:rPr>
            </w:pPr>
          </w:p>
          <w:p w14:paraId="6A4A4216"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2,748 impressions</w:t>
            </w:r>
          </w:p>
          <w:p w14:paraId="3DD64692"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32 engagements</w:t>
            </w:r>
          </w:p>
          <w:p w14:paraId="605E1D30" w14:textId="77777777" w:rsidR="0014672E" w:rsidRPr="006B03FC" w:rsidRDefault="0014672E" w:rsidP="00AE5705">
            <w:pPr>
              <w:spacing w:after="0" w:line="240" w:lineRule="auto"/>
              <w:rPr>
                <w:rFonts w:ascii="Calibri" w:hAnsi="Calibri" w:cs="Calibri"/>
                <w:color w:val="FF0000"/>
                <w:sz w:val="24"/>
                <w:szCs w:val="24"/>
              </w:rPr>
            </w:pPr>
          </w:p>
          <w:p w14:paraId="1592A596"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12,931 impressions</w:t>
            </w:r>
          </w:p>
          <w:p w14:paraId="35E73B97"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37 engagements</w:t>
            </w:r>
          </w:p>
          <w:p w14:paraId="02E5F05E" w14:textId="77777777" w:rsidR="0014672E" w:rsidRPr="006B03FC" w:rsidRDefault="0014672E" w:rsidP="00AE5705">
            <w:pPr>
              <w:spacing w:after="0" w:line="240" w:lineRule="auto"/>
              <w:rPr>
                <w:rFonts w:ascii="Calibri" w:hAnsi="Calibri" w:cs="Calibri"/>
                <w:color w:val="FF0000"/>
                <w:sz w:val="24"/>
                <w:szCs w:val="24"/>
              </w:rPr>
            </w:pPr>
          </w:p>
          <w:p w14:paraId="4A42F7D3"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 xml:space="preserve">10,375 </w:t>
            </w:r>
            <w:proofErr w:type="gramStart"/>
            <w:r w:rsidRPr="006B03FC">
              <w:rPr>
                <w:rFonts w:ascii="Calibri" w:hAnsi="Calibri" w:cs="Calibri"/>
                <w:sz w:val="24"/>
                <w:szCs w:val="24"/>
              </w:rPr>
              <w:t>reach</w:t>
            </w:r>
            <w:proofErr w:type="gramEnd"/>
          </w:p>
          <w:p w14:paraId="062A43E8" w14:textId="77777777" w:rsidR="0014672E" w:rsidRPr="006B03FC" w:rsidRDefault="0014672E" w:rsidP="00AE5705">
            <w:pPr>
              <w:spacing w:after="0" w:line="240" w:lineRule="auto"/>
              <w:rPr>
                <w:rFonts w:ascii="Calibri" w:hAnsi="Calibri" w:cs="Calibri"/>
                <w:color w:val="FF0000"/>
                <w:sz w:val="24"/>
                <w:szCs w:val="24"/>
              </w:rPr>
            </w:pPr>
          </w:p>
          <w:p w14:paraId="1E7BD521"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479 impressions</w:t>
            </w:r>
          </w:p>
          <w:p w14:paraId="0FAC0F29"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29 engagements</w:t>
            </w:r>
          </w:p>
          <w:p w14:paraId="56CE45E6" w14:textId="77777777" w:rsidR="0014672E" w:rsidRDefault="0014672E" w:rsidP="00AE5705">
            <w:pPr>
              <w:spacing w:after="0" w:line="240" w:lineRule="auto"/>
              <w:rPr>
                <w:rFonts w:ascii="Calibri" w:hAnsi="Calibri" w:cs="Calibri"/>
                <w:sz w:val="24"/>
                <w:szCs w:val="24"/>
              </w:rPr>
            </w:pPr>
          </w:p>
          <w:p w14:paraId="425C76A0"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745 hits</w:t>
            </w:r>
          </w:p>
          <w:p w14:paraId="703FAB71" w14:textId="77777777" w:rsidR="0014672E" w:rsidRPr="006B03FC" w:rsidRDefault="0014672E" w:rsidP="00AE5705">
            <w:pPr>
              <w:spacing w:after="0" w:line="240" w:lineRule="auto"/>
              <w:rPr>
                <w:rFonts w:ascii="Calibri" w:hAnsi="Calibri" w:cs="Calibri"/>
                <w:color w:val="FF0000"/>
                <w:sz w:val="24"/>
                <w:szCs w:val="24"/>
              </w:rPr>
            </w:pPr>
          </w:p>
          <w:p w14:paraId="55A10DA7" w14:textId="77777777" w:rsidR="0014672E" w:rsidRPr="006B03FC" w:rsidRDefault="0014672E" w:rsidP="00AE5705">
            <w:pPr>
              <w:spacing w:after="0" w:line="240" w:lineRule="auto"/>
              <w:rPr>
                <w:rFonts w:ascii="Calibri" w:hAnsi="Calibri" w:cs="Calibri"/>
                <w:color w:val="FF0000"/>
                <w:sz w:val="24"/>
                <w:szCs w:val="24"/>
              </w:rPr>
            </w:pPr>
          </w:p>
          <w:p w14:paraId="1E95A666"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185 impressions</w:t>
            </w:r>
          </w:p>
          <w:p w14:paraId="6E1D4BA7" w14:textId="77777777" w:rsidR="0014672E" w:rsidRPr="006B03FC" w:rsidRDefault="0014672E" w:rsidP="00AE5705">
            <w:pPr>
              <w:spacing w:after="0" w:line="240" w:lineRule="auto"/>
              <w:jc w:val="both"/>
              <w:rPr>
                <w:rFonts w:ascii="Calibri" w:hAnsi="Calibri" w:cs="Calibri"/>
                <w:color w:val="FF0000"/>
                <w:sz w:val="24"/>
                <w:szCs w:val="24"/>
              </w:rPr>
            </w:pPr>
          </w:p>
          <w:p w14:paraId="74EC3323"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 xml:space="preserve">37,668 emails </w:t>
            </w:r>
            <w:proofErr w:type="gramStart"/>
            <w:r w:rsidRPr="006B03FC">
              <w:rPr>
                <w:rFonts w:ascii="Calibri" w:hAnsi="Calibri" w:cs="Calibri"/>
                <w:sz w:val="24"/>
                <w:szCs w:val="24"/>
              </w:rPr>
              <w:t>read</w:t>
            </w:r>
            <w:proofErr w:type="gramEnd"/>
          </w:p>
          <w:p w14:paraId="2472AE18"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1,471 clicks to survey</w:t>
            </w:r>
          </w:p>
          <w:p w14:paraId="5E8D833E" w14:textId="77777777" w:rsidR="0014672E" w:rsidRPr="006B03FC" w:rsidRDefault="0014672E" w:rsidP="00AE5705">
            <w:pPr>
              <w:spacing w:after="0" w:line="240" w:lineRule="auto"/>
              <w:rPr>
                <w:rFonts w:ascii="Calibri" w:hAnsi="Calibri" w:cs="Calibri"/>
                <w:color w:val="FF0000"/>
                <w:sz w:val="24"/>
                <w:szCs w:val="24"/>
              </w:rPr>
            </w:pPr>
          </w:p>
          <w:p w14:paraId="75F0C806" w14:textId="77777777" w:rsidR="0014672E" w:rsidRPr="006B03FC" w:rsidRDefault="0014672E" w:rsidP="00AE5705">
            <w:pPr>
              <w:spacing w:after="0" w:line="240" w:lineRule="auto"/>
              <w:rPr>
                <w:rFonts w:ascii="Calibri" w:hAnsi="Calibri" w:cs="Calibri"/>
                <w:sz w:val="24"/>
                <w:szCs w:val="24"/>
              </w:rPr>
            </w:pPr>
            <w:r w:rsidRPr="006B03FC">
              <w:rPr>
                <w:rFonts w:ascii="Calibri" w:hAnsi="Calibri" w:cs="Calibri"/>
                <w:sz w:val="24"/>
                <w:szCs w:val="24"/>
              </w:rPr>
              <w:t xml:space="preserve">90,340 </w:t>
            </w:r>
            <w:proofErr w:type="gramStart"/>
            <w:r w:rsidRPr="006B03FC">
              <w:rPr>
                <w:rFonts w:ascii="Calibri" w:hAnsi="Calibri" w:cs="Calibri"/>
                <w:sz w:val="24"/>
                <w:szCs w:val="24"/>
              </w:rPr>
              <w:t>reach</w:t>
            </w:r>
            <w:proofErr w:type="gramEnd"/>
          </w:p>
        </w:tc>
      </w:tr>
    </w:tbl>
    <w:p w14:paraId="2FB08D65" w14:textId="77777777" w:rsidR="0014672E" w:rsidRPr="006B03FC" w:rsidRDefault="0014672E" w:rsidP="0014672E">
      <w:pPr>
        <w:spacing w:after="160" w:line="259" w:lineRule="auto"/>
        <w:jc w:val="both"/>
        <w:rPr>
          <w:rFonts w:cs="Calibri"/>
          <w:sz w:val="24"/>
          <w:szCs w:val="24"/>
        </w:rPr>
      </w:pPr>
    </w:p>
    <w:p w14:paraId="232D3409" w14:textId="77777777" w:rsidR="0014672E" w:rsidRPr="006B03FC" w:rsidRDefault="0014672E" w:rsidP="0014672E">
      <w:pPr>
        <w:rPr>
          <w:rFonts w:cs="Calibri"/>
          <w:b/>
          <w:bCs/>
          <w:sz w:val="24"/>
          <w:szCs w:val="24"/>
        </w:rPr>
      </w:pPr>
      <w:r w:rsidRPr="006B03FC">
        <w:rPr>
          <w:rFonts w:cs="Calibri"/>
          <w:b/>
          <w:bCs/>
          <w:sz w:val="24"/>
          <w:szCs w:val="24"/>
        </w:rPr>
        <w:t>Future consideration: WNC and NNC council tax survey</w:t>
      </w:r>
    </w:p>
    <w:p w14:paraId="1831F6AB" w14:textId="77777777" w:rsidR="0014672E" w:rsidRPr="006B03FC" w:rsidRDefault="0014672E" w:rsidP="0014672E">
      <w:pPr>
        <w:jc w:val="both"/>
        <w:rPr>
          <w:rFonts w:cs="Calibri"/>
          <w:sz w:val="24"/>
          <w:szCs w:val="24"/>
        </w:rPr>
      </w:pPr>
      <w:r w:rsidRPr="006B03FC">
        <w:rPr>
          <w:rFonts w:cs="Calibri"/>
          <w:sz w:val="24"/>
          <w:szCs w:val="24"/>
        </w:rPr>
        <w:t>Both West and North Northamptonshire Council also consulted on their council tax at the same time as the Commissioner is consulting on his precept.</w:t>
      </w:r>
    </w:p>
    <w:p w14:paraId="4FD0B6D7" w14:textId="77777777" w:rsidR="0014672E" w:rsidRDefault="0014672E" w:rsidP="0014672E">
      <w:pPr>
        <w:jc w:val="both"/>
        <w:rPr>
          <w:rFonts w:cs="Calibri"/>
          <w:sz w:val="24"/>
          <w:szCs w:val="24"/>
        </w:rPr>
      </w:pPr>
      <w:r w:rsidRPr="006B03FC">
        <w:rPr>
          <w:rFonts w:cs="Calibri"/>
          <w:sz w:val="24"/>
          <w:szCs w:val="24"/>
        </w:rPr>
        <w:t>We are actively engaging with our colleagues in the unitary authorities to see how we can work together more effectively to maximise the opportunity for residents to have their say and increase the numbers who respond still further.</w:t>
      </w:r>
    </w:p>
    <w:p w14:paraId="15034334" w14:textId="77777777" w:rsidR="0014672E" w:rsidRPr="006B03FC" w:rsidRDefault="0014672E" w:rsidP="0014672E">
      <w:pPr>
        <w:jc w:val="both"/>
        <w:rPr>
          <w:rFonts w:cs="Calibri"/>
          <w:sz w:val="24"/>
          <w:szCs w:val="24"/>
        </w:rPr>
      </w:pPr>
    </w:p>
    <w:p w14:paraId="3935E75A" w14:textId="5BFAF073" w:rsidR="0014672E" w:rsidRPr="006B03FC" w:rsidRDefault="0014672E" w:rsidP="0014672E">
      <w:pPr>
        <w:spacing w:line="240" w:lineRule="auto"/>
        <w:jc w:val="both"/>
        <w:rPr>
          <w:rFonts w:cs="Calibri"/>
          <w:sz w:val="24"/>
          <w:szCs w:val="24"/>
        </w:rPr>
      </w:pPr>
      <w:bookmarkStart w:id="19" w:name="_Hlk157075825"/>
      <w:r w:rsidRPr="006B03FC">
        <w:rPr>
          <w:rFonts w:cs="Calibri"/>
          <w:sz w:val="24"/>
          <w:szCs w:val="24"/>
        </w:rPr>
        <w:t xml:space="preserve">The full report will be published on the PFCC website </w:t>
      </w:r>
      <w:r w:rsidR="0099433E">
        <w:rPr>
          <w:rFonts w:cs="Calibri"/>
          <w:sz w:val="24"/>
          <w:szCs w:val="24"/>
        </w:rPr>
        <w:t>when all the analysis has been completed</w:t>
      </w:r>
      <w:r w:rsidRPr="006B03FC">
        <w:rPr>
          <w:rFonts w:cs="Calibri"/>
          <w:sz w:val="24"/>
          <w:szCs w:val="24"/>
        </w:rPr>
        <w:t>.</w:t>
      </w:r>
    </w:p>
    <w:bookmarkEnd w:id="19"/>
    <w:p w14:paraId="44BFC8C8" w14:textId="63F929C8" w:rsidR="007F363C" w:rsidRPr="009433F4" w:rsidRDefault="00686822" w:rsidP="0014672E">
      <w:pPr>
        <w:pStyle w:val="PanelHeading"/>
      </w:pPr>
      <w:r w:rsidRPr="0074575D">
        <w:rPr>
          <w:highlight w:val="yellow"/>
        </w:rPr>
        <w:br w:type="page"/>
      </w:r>
      <w:r w:rsidR="000D1925" w:rsidRPr="009433F4">
        <w:t>Ap</w:t>
      </w:r>
      <w:r w:rsidR="008D42FA" w:rsidRPr="009433F4">
        <w:t xml:space="preserve">pendix </w:t>
      </w:r>
      <w:r w:rsidR="000D1925" w:rsidRPr="009433F4">
        <w:t>B</w:t>
      </w:r>
    </w:p>
    <w:p w14:paraId="3260EF55" w14:textId="0CA75EAB" w:rsidR="00133FCA" w:rsidRPr="009433F4" w:rsidRDefault="007C6391" w:rsidP="00920481">
      <w:pPr>
        <w:pStyle w:val="PanelHeading"/>
      </w:pPr>
      <w:r w:rsidRPr="009433F4">
        <w:t xml:space="preserve">Medium Term Financial Plan </w:t>
      </w:r>
      <w:r w:rsidR="00220144" w:rsidRPr="009433F4">
        <w:t>202</w:t>
      </w:r>
      <w:r w:rsidR="00E54031" w:rsidRPr="009433F4">
        <w:t>4</w:t>
      </w:r>
      <w:r w:rsidR="00220144" w:rsidRPr="009433F4">
        <w:t>/2</w:t>
      </w:r>
      <w:r w:rsidR="00E54031" w:rsidRPr="009433F4">
        <w:t>5</w:t>
      </w:r>
      <w:r w:rsidR="007D45EC">
        <w:t xml:space="preserve"> </w:t>
      </w:r>
      <w:r w:rsidRPr="009433F4">
        <w:t>-</w:t>
      </w:r>
      <w:r w:rsidR="007D45EC">
        <w:t xml:space="preserve"> </w:t>
      </w:r>
      <w:r w:rsidRPr="009433F4">
        <w:t>202</w:t>
      </w:r>
      <w:r w:rsidR="00E54031" w:rsidRPr="009433F4">
        <w:t>8</w:t>
      </w:r>
      <w:r w:rsidRPr="009433F4">
        <w:t>/2</w:t>
      </w:r>
      <w:r w:rsidR="00E54031" w:rsidRPr="009433F4">
        <w:t>9</w:t>
      </w:r>
    </w:p>
    <w:tbl>
      <w:tblPr>
        <w:tblW w:w="11145" w:type="dxa"/>
        <w:tblLook w:val="04A0" w:firstRow="1" w:lastRow="0" w:firstColumn="1" w:lastColumn="0" w:noHBand="0" w:noVBand="1"/>
      </w:tblPr>
      <w:tblGrid>
        <w:gridCol w:w="1128"/>
        <w:gridCol w:w="3550"/>
        <w:gridCol w:w="1128"/>
        <w:gridCol w:w="1128"/>
        <w:gridCol w:w="1128"/>
        <w:gridCol w:w="1128"/>
        <w:gridCol w:w="1128"/>
        <w:gridCol w:w="1016"/>
      </w:tblGrid>
      <w:tr w:rsidR="006E1DBD" w:rsidRPr="006E1DBD" w14:paraId="51758B7F" w14:textId="77777777" w:rsidTr="005B4FDE">
        <w:trPr>
          <w:trHeight w:val="375"/>
        </w:trPr>
        <w:tc>
          <w:tcPr>
            <w:tcW w:w="5617" w:type="dxa"/>
            <w:gridSpan w:val="3"/>
            <w:tcBorders>
              <w:top w:val="nil"/>
              <w:left w:val="nil"/>
              <w:bottom w:val="nil"/>
              <w:right w:val="nil"/>
            </w:tcBorders>
            <w:shd w:val="clear" w:color="000000" w:fill="FFFFFF"/>
            <w:noWrap/>
            <w:vAlign w:val="bottom"/>
            <w:hideMark/>
          </w:tcPr>
          <w:p w14:paraId="7F6584A4" w14:textId="77777777" w:rsidR="006E1DBD" w:rsidRPr="006E1DBD" w:rsidRDefault="006E1DBD" w:rsidP="006E1DBD">
            <w:pPr>
              <w:spacing w:after="0" w:line="240" w:lineRule="auto"/>
              <w:rPr>
                <w:rFonts w:eastAsia="Times New Roman" w:cs="Calibri"/>
                <w:b/>
                <w:bCs/>
                <w:color w:val="000000"/>
                <w:sz w:val="20"/>
                <w:szCs w:val="20"/>
                <w:lang w:eastAsia="en-GB"/>
              </w:rPr>
            </w:pPr>
            <w:r w:rsidRPr="006E1DBD">
              <w:rPr>
                <w:rFonts w:eastAsia="Times New Roman" w:cs="Calibri"/>
                <w:b/>
                <w:bCs/>
                <w:color w:val="000000"/>
                <w:sz w:val="20"/>
                <w:szCs w:val="20"/>
                <w:lang w:eastAsia="en-GB"/>
              </w:rPr>
              <w:t>Medium Term Financial Plan</w:t>
            </w:r>
          </w:p>
        </w:tc>
        <w:tc>
          <w:tcPr>
            <w:tcW w:w="1128" w:type="dxa"/>
            <w:tcBorders>
              <w:top w:val="nil"/>
              <w:left w:val="nil"/>
              <w:bottom w:val="single" w:sz="4" w:space="0" w:color="auto"/>
              <w:right w:val="nil"/>
            </w:tcBorders>
            <w:shd w:val="clear" w:color="000000" w:fill="FFFFFF"/>
            <w:noWrap/>
            <w:vAlign w:val="bottom"/>
            <w:hideMark/>
          </w:tcPr>
          <w:p w14:paraId="749E9437" w14:textId="77777777" w:rsidR="006E1DBD" w:rsidRPr="006E1DBD" w:rsidRDefault="006E1DBD" w:rsidP="006E1DBD">
            <w:pPr>
              <w:spacing w:after="0" w:line="240" w:lineRule="auto"/>
              <w:rPr>
                <w:rFonts w:eastAsia="Times New Roman" w:cs="Calibri"/>
                <w:b/>
                <w:bCs/>
                <w:color w:val="FFFFFF"/>
                <w:sz w:val="20"/>
                <w:szCs w:val="20"/>
                <w:lang w:eastAsia="en-GB"/>
              </w:rPr>
            </w:pPr>
            <w:r w:rsidRPr="006E1DBD">
              <w:rPr>
                <w:rFonts w:eastAsia="Times New Roman" w:cs="Calibri"/>
                <w:b/>
                <w:bCs/>
                <w:color w:val="FFFFFF"/>
                <w:sz w:val="20"/>
                <w:szCs w:val="20"/>
                <w:lang w:eastAsia="en-GB"/>
              </w:rPr>
              <w:t> </w:t>
            </w:r>
          </w:p>
        </w:tc>
        <w:tc>
          <w:tcPr>
            <w:tcW w:w="1128" w:type="dxa"/>
            <w:tcBorders>
              <w:top w:val="nil"/>
              <w:left w:val="nil"/>
              <w:bottom w:val="single" w:sz="4" w:space="0" w:color="auto"/>
              <w:right w:val="nil"/>
            </w:tcBorders>
            <w:shd w:val="clear" w:color="000000" w:fill="FFFFFF"/>
            <w:noWrap/>
            <w:vAlign w:val="bottom"/>
            <w:hideMark/>
          </w:tcPr>
          <w:p w14:paraId="02A8FFF0" w14:textId="77777777" w:rsidR="006E1DBD" w:rsidRPr="006E1DBD" w:rsidRDefault="006E1DBD" w:rsidP="006E1DBD">
            <w:pPr>
              <w:spacing w:after="0" w:line="240" w:lineRule="auto"/>
              <w:rPr>
                <w:rFonts w:eastAsia="Times New Roman" w:cs="Calibri"/>
                <w:b/>
                <w:bCs/>
                <w:color w:val="FFFFFF"/>
                <w:sz w:val="20"/>
                <w:szCs w:val="20"/>
                <w:lang w:eastAsia="en-GB"/>
              </w:rPr>
            </w:pPr>
            <w:r w:rsidRPr="006E1DBD">
              <w:rPr>
                <w:rFonts w:eastAsia="Times New Roman" w:cs="Calibri"/>
                <w:b/>
                <w:bCs/>
                <w:color w:val="FFFFFF"/>
                <w:sz w:val="20"/>
                <w:szCs w:val="20"/>
                <w:lang w:eastAsia="en-GB"/>
              </w:rPr>
              <w:t> </w:t>
            </w:r>
          </w:p>
        </w:tc>
        <w:tc>
          <w:tcPr>
            <w:tcW w:w="1128" w:type="dxa"/>
            <w:tcBorders>
              <w:top w:val="nil"/>
              <w:left w:val="nil"/>
              <w:bottom w:val="single" w:sz="4" w:space="0" w:color="auto"/>
              <w:right w:val="nil"/>
            </w:tcBorders>
            <w:shd w:val="clear" w:color="000000" w:fill="FFFFFF"/>
            <w:noWrap/>
            <w:vAlign w:val="bottom"/>
            <w:hideMark/>
          </w:tcPr>
          <w:p w14:paraId="286F5AB4" w14:textId="77777777" w:rsidR="006E1DBD" w:rsidRPr="006E1DBD" w:rsidRDefault="006E1DBD" w:rsidP="006E1DBD">
            <w:pPr>
              <w:spacing w:after="0" w:line="240" w:lineRule="auto"/>
              <w:rPr>
                <w:rFonts w:eastAsia="Times New Roman" w:cs="Calibri"/>
                <w:b/>
                <w:bCs/>
                <w:color w:val="FFFFFF"/>
                <w:sz w:val="20"/>
                <w:szCs w:val="20"/>
                <w:lang w:eastAsia="en-GB"/>
              </w:rPr>
            </w:pPr>
            <w:r w:rsidRPr="006E1DBD">
              <w:rPr>
                <w:rFonts w:eastAsia="Times New Roman" w:cs="Calibri"/>
                <w:b/>
                <w:bCs/>
                <w:color w:val="FFFFFF"/>
                <w:sz w:val="20"/>
                <w:szCs w:val="20"/>
                <w:lang w:eastAsia="en-GB"/>
              </w:rPr>
              <w:t> </w:t>
            </w:r>
          </w:p>
        </w:tc>
        <w:tc>
          <w:tcPr>
            <w:tcW w:w="1128" w:type="dxa"/>
            <w:tcBorders>
              <w:top w:val="nil"/>
              <w:left w:val="nil"/>
              <w:bottom w:val="single" w:sz="4" w:space="0" w:color="auto"/>
              <w:right w:val="nil"/>
            </w:tcBorders>
            <w:shd w:val="clear" w:color="000000" w:fill="FFFFFF"/>
            <w:noWrap/>
            <w:vAlign w:val="bottom"/>
            <w:hideMark/>
          </w:tcPr>
          <w:p w14:paraId="52F76DEE" w14:textId="77777777" w:rsidR="006E1DBD" w:rsidRPr="006E1DBD" w:rsidRDefault="006E1DBD" w:rsidP="006E1DBD">
            <w:pPr>
              <w:spacing w:after="0" w:line="240" w:lineRule="auto"/>
              <w:rPr>
                <w:rFonts w:eastAsia="Times New Roman" w:cs="Calibri"/>
                <w:b/>
                <w:bCs/>
                <w:color w:val="FFFFFF"/>
                <w:sz w:val="20"/>
                <w:szCs w:val="20"/>
                <w:lang w:eastAsia="en-GB"/>
              </w:rPr>
            </w:pPr>
            <w:r w:rsidRPr="006E1DBD">
              <w:rPr>
                <w:rFonts w:eastAsia="Times New Roman" w:cs="Calibri"/>
                <w:b/>
                <w:bCs/>
                <w:color w:val="FFFFFF"/>
                <w:sz w:val="20"/>
                <w:szCs w:val="20"/>
                <w:lang w:eastAsia="en-GB"/>
              </w:rPr>
              <w:t> </w:t>
            </w:r>
          </w:p>
        </w:tc>
        <w:tc>
          <w:tcPr>
            <w:tcW w:w="1016" w:type="dxa"/>
            <w:tcBorders>
              <w:top w:val="nil"/>
              <w:left w:val="nil"/>
              <w:bottom w:val="single" w:sz="4" w:space="0" w:color="auto"/>
              <w:right w:val="nil"/>
            </w:tcBorders>
            <w:shd w:val="clear" w:color="000000" w:fill="FFFFFF"/>
            <w:noWrap/>
            <w:vAlign w:val="bottom"/>
            <w:hideMark/>
          </w:tcPr>
          <w:p w14:paraId="79411953" w14:textId="77777777" w:rsidR="006E1DBD" w:rsidRPr="006E1DBD" w:rsidRDefault="006E1DBD" w:rsidP="006E1DBD">
            <w:pPr>
              <w:spacing w:after="0" w:line="240" w:lineRule="auto"/>
              <w:rPr>
                <w:rFonts w:eastAsia="Times New Roman" w:cs="Calibri"/>
                <w:b/>
                <w:bCs/>
                <w:color w:val="FFFFFF"/>
                <w:sz w:val="20"/>
                <w:szCs w:val="20"/>
                <w:lang w:eastAsia="en-GB"/>
              </w:rPr>
            </w:pPr>
            <w:r w:rsidRPr="006E1DBD">
              <w:rPr>
                <w:rFonts w:eastAsia="Times New Roman" w:cs="Calibri"/>
                <w:b/>
                <w:bCs/>
                <w:color w:val="FFFFFF"/>
                <w:sz w:val="20"/>
                <w:szCs w:val="20"/>
                <w:lang w:eastAsia="en-GB"/>
              </w:rPr>
              <w:t> </w:t>
            </w:r>
          </w:p>
        </w:tc>
      </w:tr>
      <w:tr w:rsidR="006E1DBD" w:rsidRPr="006E1DBD" w14:paraId="0B5383F4" w14:textId="77777777" w:rsidTr="005B4FDE">
        <w:trPr>
          <w:trHeight w:val="300"/>
        </w:trPr>
        <w:tc>
          <w:tcPr>
            <w:tcW w:w="1128" w:type="dxa"/>
            <w:tcBorders>
              <w:top w:val="nil"/>
              <w:left w:val="nil"/>
              <w:bottom w:val="nil"/>
              <w:right w:val="nil"/>
            </w:tcBorders>
            <w:shd w:val="clear" w:color="000000" w:fill="FFFFFF"/>
            <w:noWrap/>
            <w:vAlign w:val="bottom"/>
            <w:hideMark/>
          </w:tcPr>
          <w:p w14:paraId="25757B34"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nil"/>
              <w:left w:val="nil"/>
              <w:bottom w:val="nil"/>
              <w:right w:val="nil"/>
            </w:tcBorders>
            <w:shd w:val="clear" w:color="000000" w:fill="FFFFFF"/>
            <w:noWrap/>
            <w:vAlign w:val="bottom"/>
            <w:hideMark/>
          </w:tcPr>
          <w:p w14:paraId="27043B3B"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5451" w:type="dxa"/>
            <w:gridSpan w:val="5"/>
            <w:tcBorders>
              <w:top w:val="single" w:sz="4" w:space="0" w:color="auto"/>
              <w:left w:val="single" w:sz="4" w:space="0" w:color="auto"/>
              <w:bottom w:val="nil"/>
              <w:right w:val="single" w:sz="4" w:space="0" w:color="000000"/>
            </w:tcBorders>
            <w:shd w:val="clear" w:color="000000" w:fill="DDEBF7"/>
            <w:noWrap/>
            <w:vAlign w:val="center"/>
            <w:hideMark/>
          </w:tcPr>
          <w:p w14:paraId="686108E5" w14:textId="77777777" w:rsidR="006E1DBD" w:rsidRPr="006E1DBD" w:rsidRDefault="006E1DBD" w:rsidP="005B4FDE">
            <w:pPr>
              <w:spacing w:after="0" w:line="240" w:lineRule="auto"/>
              <w:jc w:val="center"/>
              <w:rPr>
                <w:rFonts w:eastAsia="Times New Roman" w:cs="Calibri"/>
                <w:b/>
                <w:bCs/>
                <w:i/>
                <w:iCs/>
                <w:color w:val="000000"/>
                <w:sz w:val="20"/>
                <w:szCs w:val="20"/>
                <w:lang w:eastAsia="en-GB"/>
              </w:rPr>
            </w:pPr>
            <w:r w:rsidRPr="006E1DBD">
              <w:rPr>
                <w:rFonts w:eastAsia="Times New Roman" w:cs="Calibri"/>
                <w:b/>
                <w:bCs/>
                <w:i/>
                <w:iCs/>
                <w:color w:val="000000"/>
                <w:sz w:val="20"/>
                <w:szCs w:val="20"/>
                <w:lang w:eastAsia="en-GB"/>
              </w:rPr>
              <w:t>MTFP - £13 Precept</w:t>
            </w:r>
          </w:p>
        </w:tc>
        <w:tc>
          <w:tcPr>
            <w:tcW w:w="1016" w:type="dxa"/>
            <w:vAlign w:val="center"/>
            <w:hideMark/>
          </w:tcPr>
          <w:p w14:paraId="6D9F1773"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77E51A46" w14:textId="77777777" w:rsidTr="005B4FDE">
        <w:trPr>
          <w:trHeight w:val="300"/>
        </w:trPr>
        <w:tc>
          <w:tcPr>
            <w:tcW w:w="1128" w:type="dxa"/>
            <w:tcBorders>
              <w:top w:val="single" w:sz="4" w:space="0" w:color="auto"/>
              <w:left w:val="single" w:sz="4" w:space="0" w:color="auto"/>
              <w:bottom w:val="nil"/>
              <w:right w:val="single" w:sz="4" w:space="0" w:color="auto"/>
            </w:tcBorders>
            <w:shd w:val="clear" w:color="000000" w:fill="FFFFFF"/>
            <w:noWrap/>
            <w:vAlign w:val="bottom"/>
            <w:hideMark/>
          </w:tcPr>
          <w:p w14:paraId="1DF9CDC8" w14:textId="77777777" w:rsidR="006E1DBD" w:rsidRPr="006E1DBD" w:rsidRDefault="006E1DBD" w:rsidP="006E1DBD">
            <w:pPr>
              <w:spacing w:after="0" w:line="240" w:lineRule="auto"/>
              <w:jc w:val="center"/>
              <w:rPr>
                <w:rFonts w:eastAsia="Times New Roman" w:cs="Calibri"/>
                <w:b/>
                <w:bCs/>
                <w:color w:val="000000"/>
                <w:sz w:val="20"/>
                <w:szCs w:val="20"/>
                <w:lang w:eastAsia="en-GB"/>
              </w:rPr>
            </w:pPr>
            <w:r w:rsidRPr="006E1DBD">
              <w:rPr>
                <w:rFonts w:eastAsia="Times New Roman" w:cs="Calibri"/>
                <w:b/>
                <w:bCs/>
                <w:color w:val="000000"/>
                <w:sz w:val="20"/>
                <w:szCs w:val="20"/>
                <w:lang w:eastAsia="en-GB"/>
              </w:rPr>
              <w:t>2023/24</w:t>
            </w:r>
          </w:p>
        </w:tc>
        <w:tc>
          <w:tcPr>
            <w:tcW w:w="3550" w:type="dxa"/>
            <w:tcBorders>
              <w:top w:val="single" w:sz="4" w:space="0" w:color="auto"/>
              <w:left w:val="nil"/>
              <w:bottom w:val="nil"/>
              <w:right w:val="single" w:sz="4" w:space="0" w:color="auto"/>
            </w:tcBorders>
            <w:shd w:val="clear" w:color="000000" w:fill="FFFFFF"/>
            <w:noWrap/>
            <w:vAlign w:val="bottom"/>
            <w:hideMark/>
          </w:tcPr>
          <w:p w14:paraId="13583698" w14:textId="77777777" w:rsidR="006E1DBD" w:rsidRPr="006E1DBD" w:rsidRDefault="006E1DBD" w:rsidP="006E1DBD">
            <w:pPr>
              <w:spacing w:after="0" w:line="240" w:lineRule="auto"/>
              <w:jc w:val="center"/>
              <w:rPr>
                <w:rFonts w:eastAsia="Times New Roman" w:cs="Calibri"/>
                <w:b/>
                <w:bCs/>
                <w:color w:val="000000"/>
                <w:sz w:val="20"/>
                <w:szCs w:val="20"/>
                <w:lang w:eastAsia="en-GB"/>
              </w:rPr>
            </w:pPr>
            <w:r w:rsidRPr="006E1DBD">
              <w:rPr>
                <w:rFonts w:eastAsia="Times New Roman" w:cs="Calibri"/>
                <w:b/>
                <w:bCs/>
                <w:color w:val="000000"/>
                <w:sz w:val="20"/>
                <w:szCs w:val="20"/>
                <w:lang w:eastAsia="en-GB"/>
              </w:rPr>
              <w:t> </w:t>
            </w:r>
          </w:p>
        </w:tc>
        <w:tc>
          <w:tcPr>
            <w:tcW w:w="939" w:type="dxa"/>
            <w:tcBorders>
              <w:top w:val="single" w:sz="4" w:space="0" w:color="auto"/>
              <w:left w:val="nil"/>
              <w:bottom w:val="nil"/>
              <w:right w:val="single" w:sz="4" w:space="0" w:color="auto"/>
            </w:tcBorders>
            <w:shd w:val="clear" w:color="000000" w:fill="FFFFFF"/>
            <w:noWrap/>
            <w:vAlign w:val="bottom"/>
            <w:hideMark/>
          </w:tcPr>
          <w:p w14:paraId="3A331CE4" w14:textId="77777777" w:rsidR="006E1DBD" w:rsidRPr="006E1DBD" w:rsidRDefault="006E1DBD" w:rsidP="006E1DBD">
            <w:pPr>
              <w:spacing w:after="0" w:line="240" w:lineRule="auto"/>
              <w:jc w:val="center"/>
              <w:rPr>
                <w:rFonts w:eastAsia="Times New Roman" w:cs="Calibri"/>
                <w:b/>
                <w:bCs/>
                <w:color w:val="000000"/>
                <w:sz w:val="20"/>
                <w:szCs w:val="20"/>
                <w:lang w:eastAsia="en-GB"/>
              </w:rPr>
            </w:pPr>
            <w:r w:rsidRPr="006E1DBD">
              <w:rPr>
                <w:rFonts w:eastAsia="Times New Roman" w:cs="Calibri"/>
                <w:b/>
                <w:bCs/>
                <w:color w:val="000000"/>
                <w:sz w:val="20"/>
                <w:szCs w:val="20"/>
                <w:lang w:eastAsia="en-GB"/>
              </w:rPr>
              <w:t>2024/25</w:t>
            </w:r>
          </w:p>
        </w:tc>
        <w:tc>
          <w:tcPr>
            <w:tcW w:w="1128" w:type="dxa"/>
            <w:tcBorders>
              <w:top w:val="single" w:sz="4" w:space="0" w:color="auto"/>
              <w:left w:val="nil"/>
              <w:bottom w:val="nil"/>
              <w:right w:val="single" w:sz="4" w:space="0" w:color="auto"/>
            </w:tcBorders>
            <w:shd w:val="clear" w:color="000000" w:fill="FFFFFF"/>
            <w:noWrap/>
            <w:vAlign w:val="bottom"/>
            <w:hideMark/>
          </w:tcPr>
          <w:p w14:paraId="55E82F18" w14:textId="77777777" w:rsidR="006E1DBD" w:rsidRPr="006E1DBD" w:rsidRDefault="006E1DBD" w:rsidP="006E1DBD">
            <w:pPr>
              <w:spacing w:after="0" w:line="240" w:lineRule="auto"/>
              <w:jc w:val="center"/>
              <w:rPr>
                <w:rFonts w:eastAsia="Times New Roman" w:cs="Calibri"/>
                <w:b/>
                <w:bCs/>
                <w:color w:val="000000"/>
                <w:sz w:val="20"/>
                <w:szCs w:val="20"/>
                <w:lang w:eastAsia="en-GB"/>
              </w:rPr>
            </w:pPr>
            <w:r w:rsidRPr="006E1DBD">
              <w:rPr>
                <w:rFonts w:eastAsia="Times New Roman" w:cs="Calibri"/>
                <w:b/>
                <w:bCs/>
                <w:color w:val="000000"/>
                <w:sz w:val="20"/>
                <w:szCs w:val="20"/>
                <w:lang w:eastAsia="en-GB"/>
              </w:rPr>
              <w:t>2025/26</w:t>
            </w:r>
          </w:p>
        </w:tc>
        <w:tc>
          <w:tcPr>
            <w:tcW w:w="1128" w:type="dxa"/>
            <w:tcBorders>
              <w:top w:val="single" w:sz="4" w:space="0" w:color="auto"/>
              <w:left w:val="nil"/>
              <w:bottom w:val="nil"/>
              <w:right w:val="single" w:sz="4" w:space="0" w:color="auto"/>
            </w:tcBorders>
            <w:shd w:val="clear" w:color="000000" w:fill="FFFFFF"/>
            <w:noWrap/>
            <w:vAlign w:val="bottom"/>
            <w:hideMark/>
          </w:tcPr>
          <w:p w14:paraId="47638482" w14:textId="77777777" w:rsidR="006E1DBD" w:rsidRPr="006E1DBD" w:rsidRDefault="006E1DBD" w:rsidP="006E1DBD">
            <w:pPr>
              <w:spacing w:after="0" w:line="240" w:lineRule="auto"/>
              <w:jc w:val="center"/>
              <w:rPr>
                <w:rFonts w:eastAsia="Times New Roman" w:cs="Calibri"/>
                <w:b/>
                <w:bCs/>
                <w:color w:val="000000"/>
                <w:sz w:val="20"/>
                <w:szCs w:val="20"/>
                <w:lang w:eastAsia="en-GB"/>
              </w:rPr>
            </w:pPr>
            <w:r w:rsidRPr="006E1DBD">
              <w:rPr>
                <w:rFonts w:eastAsia="Times New Roman" w:cs="Calibri"/>
                <w:b/>
                <w:bCs/>
                <w:color w:val="000000"/>
                <w:sz w:val="20"/>
                <w:szCs w:val="20"/>
                <w:lang w:eastAsia="en-GB"/>
              </w:rPr>
              <w:t>2026/27</w:t>
            </w:r>
          </w:p>
        </w:tc>
        <w:tc>
          <w:tcPr>
            <w:tcW w:w="1128" w:type="dxa"/>
            <w:tcBorders>
              <w:top w:val="single" w:sz="4" w:space="0" w:color="auto"/>
              <w:left w:val="nil"/>
              <w:bottom w:val="nil"/>
              <w:right w:val="single" w:sz="4" w:space="0" w:color="auto"/>
            </w:tcBorders>
            <w:shd w:val="clear" w:color="000000" w:fill="FFFFFF"/>
            <w:noWrap/>
            <w:vAlign w:val="bottom"/>
            <w:hideMark/>
          </w:tcPr>
          <w:p w14:paraId="4FDF526E" w14:textId="77777777" w:rsidR="006E1DBD" w:rsidRPr="006E1DBD" w:rsidRDefault="006E1DBD" w:rsidP="006E1DBD">
            <w:pPr>
              <w:spacing w:after="0" w:line="240" w:lineRule="auto"/>
              <w:jc w:val="center"/>
              <w:rPr>
                <w:rFonts w:eastAsia="Times New Roman" w:cs="Calibri"/>
                <w:b/>
                <w:bCs/>
                <w:color w:val="000000"/>
                <w:sz w:val="20"/>
                <w:szCs w:val="20"/>
                <w:lang w:eastAsia="en-GB"/>
              </w:rPr>
            </w:pPr>
            <w:r w:rsidRPr="006E1DBD">
              <w:rPr>
                <w:rFonts w:eastAsia="Times New Roman" w:cs="Calibri"/>
                <w:b/>
                <w:bCs/>
                <w:color w:val="000000"/>
                <w:sz w:val="20"/>
                <w:szCs w:val="20"/>
                <w:lang w:eastAsia="en-GB"/>
              </w:rPr>
              <w:t>2027/28</w:t>
            </w:r>
          </w:p>
        </w:tc>
        <w:tc>
          <w:tcPr>
            <w:tcW w:w="1128" w:type="dxa"/>
            <w:tcBorders>
              <w:top w:val="single" w:sz="4" w:space="0" w:color="auto"/>
              <w:left w:val="nil"/>
              <w:bottom w:val="nil"/>
              <w:right w:val="single" w:sz="4" w:space="0" w:color="auto"/>
            </w:tcBorders>
            <w:shd w:val="clear" w:color="000000" w:fill="FFFFFF"/>
            <w:noWrap/>
            <w:vAlign w:val="bottom"/>
            <w:hideMark/>
          </w:tcPr>
          <w:p w14:paraId="456A32AF" w14:textId="77777777" w:rsidR="006E1DBD" w:rsidRPr="006E1DBD" w:rsidRDefault="006E1DBD" w:rsidP="006E1DBD">
            <w:pPr>
              <w:spacing w:after="0" w:line="240" w:lineRule="auto"/>
              <w:jc w:val="center"/>
              <w:rPr>
                <w:rFonts w:eastAsia="Times New Roman" w:cs="Calibri"/>
                <w:b/>
                <w:bCs/>
                <w:color w:val="000000"/>
                <w:sz w:val="20"/>
                <w:szCs w:val="20"/>
                <w:lang w:eastAsia="en-GB"/>
              </w:rPr>
            </w:pPr>
            <w:r w:rsidRPr="006E1DBD">
              <w:rPr>
                <w:rFonts w:eastAsia="Times New Roman" w:cs="Calibri"/>
                <w:b/>
                <w:bCs/>
                <w:color w:val="000000"/>
                <w:sz w:val="20"/>
                <w:szCs w:val="20"/>
                <w:lang w:eastAsia="en-GB"/>
              </w:rPr>
              <w:t>2028/29</w:t>
            </w:r>
          </w:p>
        </w:tc>
        <w:tc>
          <w:tcPr>
            <w:tcW w:w="1016" w:type="dxa"/>
            <w:vAlign w:val="center"/>
            <w:hideMark/>
          </w:tcPr>
          <w:p w14:paraId="16272C8F"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0179962D" w14:textId="77777777" w:rsidTr="005B4FDE">
        <w:trPr>
          <w:trHeight w:val="300"/>
        </w:trPr>
        <w:tc>
          <w:tcPr>
            <w:tcW w:w="1128" w:type="dxa"/>
            <w:tcBorders>
              <w:top w:val="nil"/>
              <w:left w:val="single" w:sz="4" w:space="0" w:color="auto"/>
              <w:bottom w:val="single" w:sz="4" w:space="0" w:color="auto"/>
              <w:right w:val="single" w:sz="4" w:space="0" w:color="auto"/>
            </w:tcBorders>
            <w:shd w:val="clear" w:color="000000" w:fill="FFFFFF"/>
            <w:noWrap/>
            <w:vAlign w:val="bottom"/>
            <w:hideMark/>
          </w:tcPr>
          <w:p w14:paraId="2B2DF5B4" w14:textId="77777777" w:rsidR="006E1DBD" w:rsidRPr="006E1DBD" w:rsidRDefault="006E1DBD" w:rsidP="006E1DBD">
            <w:pPr>
              <w:spacing w:after="0" w:line="240" w:lineRule="auto"/>
              <w:jc w:val="center"/>
              <w:rPr>
                <w:rFonts w:eastAsia="Times New Roman" w:cs="Calibri"/>
                <w:b/>
                <w:bCs/>
                <w:color w:val="000000"/>
                <w:sz w:val="20"/>
                <w:szCs w:val="20"/>
                <w:lang w:eastAsia="en-GB"/>
              </w:rPr>
            </w:pPr>
            <w:r w:rsidRPr="006E1DBD">
              <w:rPr>
                <w:rFonts w:eastAsia="Times New Roman" w:cs="Calibri"/>
                <w:b/>
                <w:bCs/>
                <w:color w:val="000000"/>
                <w:sz w:val="20"/>
                <w:szCs w:val="20"/>
                <w:lang w:eastAsia="en-GB"/>
              </w:rPr>
              <w:t>£'000</w:t>
            </w:r>
          </w:p>
        </w:tc>
        <w:tc>
          <w:tcPr>
            <w:tcW w:w="3550" w:type="dxa"/>
            <w:tcBorders>
              <w:top w:val="nil"/>
              <w:left w:val="nil"/>
              <w:bottom w:val="single" w:sz="4" w:space="0" w:color="auto"/>
              <w:right w:val="single" w:sz="4" w:space="0" w:color="auto"/>
            </w:tcBorders>
            <w:shd w:val="clear" w:color="000000" w:fill="FFFFFF"/>
            <w:noWrap/>
            <w:vAlign w:val="bottom"/>
            <w:hideMark/>
          </w:tcPr>
          <w:p w14:paraId="1D37C10D" w14:textId="77777777" w:rsidR="006E1DBD" w:rsidRPr="006E1DBD" w:rsidRDefault="006E1DBD" w:rsidP="006E1DBD">
            <w:pPr>
              <w:spacing w:after="0" w:line="240" w:lineRule="auto"/>
              <w:jc w:val="center"/>
              <w:rPr>
                <w:rFonts w:eastAsia="Times New Roman" w:cs="Calibri"/>
                <w:b/>
                <w:bCs/>
                <w:color w:val="000000"/>
                <w:sz w:val="20"/>
                <w:szCs w:val="20"/>
                <w:lang w:eastAsia="en-GB"/>
              </w:rPr>
            </w:pPr>
            <w:r w:rsidRPr="006E1DBD">
              <w:rPr>
                <w:rFonts w:eastAsia="Times New Roman" w:cs="Calibri"/>
                <w:b/>
                <w:bCs/>
                <w:color w:val="000000"/>
                <w:sz w:val="20"/>
                <w:szCs w:val="20"/>
                <w:lang w:eastAsia="en-GB"/>
              </w:rPr>
              <w:t> </w:t>
            </w:r>
          </w:p>
        </w:tc>
        <w:tc>
          <w:tcPr>
            <w:tcW w:w="939" w:type="dxa"/>
            <w:tcBorders>
              <w:top w:val="nil"/>
              <w:left w:val="nil"/>
              <w:bottom w:val="single" w:sz="4" w:space="0" w:color="auto"/>
              <w:right w:val="single" w:sz="4" w:space="0" w:color="auto"/>
            </w:tcBorders>
            <w:shd w:val="clear" w:color="000000" w:fill="FFFFFF"/>
            <w:noWrap/>
            <w:vAlign w:val="bottom"/>
            <w:hideMark/>
          </w:tcPr>
          <w:p w14:paraId="7EF5CE36" w14:textId="77777777" w:rsidR="006E1DBD" w:rsidRPr="006E1DBD" w:rsidRDefault="006E1DBD" w:rsidP="006E1DBD">
            <w:pPr>
              <w:spacing w:after="0" w:line="240" w:lineRule="auto"/>
              <w:jc w:val="center"/>
              <w:rPr>
                <w:rFonts w:eastAsia="Times New Roman" w:cs="Calibri"/>
                <w:b/>
                <w:bCs/>
                <w:color w:val="000000"/>
                <w:sz w:val="20"/>
                <w:szCs w:val="20"/>
                <w:lang w:eastAsia="en-GB"/>
              </w:rPr>
            </w:pPr>
            <w:r w:rsidRPr="006E1DBD">
              <w:rPr>
                <w:rFonts w:eastAsia="Times New Roman" w:cs="Calibri"/>
                <w:b/>
                <w:bCs/>
                <w:color w:val="000000"/>
                <w:sz w:val="20"/>
                <w:szCs w:val="20"/>
                <w:lang w:eastAsia="en-GB"/>
              </w:rPr>
              <w:t>£'000</w:t>
            </w:r>
          </w:p>
        </w:tc>
        <w:tc>
          <w:tcPr>
            <w:tcW w:w="1128" w:type="dxa"/>
            <w:tcBorders>
              <w:top w:val="nil"/>
              <w:left w:val="nil"/>
              <w:bottom w:val="single" w:sz="4" w:space="0" w:color="auto"/>
              <w:right w:val="single" w:sz="4" w:space="0" w:color="auto"/>
            </w:tcBorders>
            <w:shd w:val="clear" w:color="000000" w:fill="FFFFFF"/>
            <w:noWrap/>
            <w:vAlign w:val="bottom"/>
            <w:hideMark/>
          </w:tcPr>
          <w:p w14:paraId="36F4DA30" w14:textId="77777777" w:rsidR="006E1DBD" w:rsidRPr="006E1DBD" w:rsidRDefault="006E1DBD" w:rsidP="006E1DBD">
            <w:pPr>
              <w:spacing w:after="0" w:line="240" w:lineRule="auto"/>
              <w:jc w:val="center"/>
              <w:rPr>
                <w:rFonts w:eastAsia="Times New Roman" w:cs="Calibri"/>
                <w:b/>
                <w:bCs/>
                <w:color w:val="000000"/>
                <w:sz w:val="20"/>
                <w:szCs w:val="20"/>
                <w:lang w:eastAsia="en-GB"/>
              </w:rPr>
            </w:pPr>
            <w:r w:rsidRPr="006E1DBD">
              <w:rPr>
                <w:rFonts w:eastAsia="Times New Roman" w:cs="Calibri"/>
                <w:b/>
                <w:bCs/>
                <w:color w:val="000000"/>
                <w:sz w:val="20"/>
                <w:szCs w:val="20"/>
                <w:lang w:eastAsia="en-GB"/>
              </w:rPr>
              <w:t>£'000</w:t>
            </w:r>
          </w:p>
        </w:tc>
        <w:tc>
          <w:tcPr>
            <w:tcW w:w="1128" w:type="dxa"/>
            <w:tcBorders>
              <w:top w:val="nil"/>
              <w:left w:val="nil"/>
              <w:bottom w:val="single" w:sz="4" w:space="0" w:color="auto"/>
              <w:right w:val="single" w:sz="4" w:space="0" w:color="auto"/>
            </w:tcBorders>
            <w:shd w:val="clear" w:color="000000" w:fill="FFFFFF"/>
            <w:noWrap/>
            <w:vAlign w:val="bottom"/>
            <w:hideMark/>
          </w:tcPr>
          <w:p w14:paraId="6A6344EB" w14:textId="77777777" w:rsidR="006E1DBD" w:rsidRPr="006E1DBD" w:rsidRDefault="006E1DBD" w:rsidP="006E1DBD">
            <w:pPr>
              <w:spacing w:after="0" w:line="240" w:lineRule="auto"/>
              <w:jc w:val="center"/>
              <w:rPr>
                <w:rFonts w:eastAsia="Times New Roman" w:cs="Calibri"/>
                <w:b/>
                <w:bCs/>
                <w:color w:val="000000"/>
                <w:sz w:val="20"/>
                <w:szCs w:val="20"/>
                <w:lang w:eastAsia="en-GB"/>
              </w:rPr>
            </w:pPr>
            <w:r w:rsidRPr="006E1DBD">
              <w:rPr>
                <w:rFonts w:eastAsia="Times New Roman" w:cs="Calibri"/>
                <w:b/>
                <w:bCs/>
                <w:color w:val="000000"/>
                <w:sz w:val="20"/>
                <w:szCs w:val="20"/>
                <w:lang w:eastAsia="en-GB"/>
              </w:rPr>
              <w:t>£'000</w:t>
            </w:r>
          </w:p>
        </w:tc>
        <w:tc>
          <w:tcPr>
            <w:tcW w:w="1128" w:type="dxa"/>
            <w:tcBorders>
              <w:top w:val="nil"/>
              <w:left w:val="nil"/>
              <w:bottom w:val="single" w:sz="4" w:space="0" w:color="auto"/>
              <w:right w:val="single" w:sz="4" w:space="0" w:color="auto"/>
            </w:tcBorders>
            <w:shd w:val="clear" w:color="000000" w:fill="FFFFFF"/>
            <w:noWrap/>
            <w:vAlign w:val="bottom"/>
            <w:hideMark/>
          </w:tcPr>
          <w:p w14:paraId="7D57D145" w14:textId="77777777" w:rsidR="006E1DBD" w:rsidRPr="006E1DBD" w:rsidRDefault="006E1DBD" w:rsidP="006E1DBD">
            <w:pPr>
              <w:spacing w:after="0" w:line="240" w:lineRule="auto"/>
              <w:jc w:val="center"/>
              <w:rPr>
                <w:rFonts w:eastAsia="Times New Roman" w:cs="Calibri"/>
                <w:b/>
                <w:bCs/>
                <w:color w:val="000000"/>
                <w:sz w:val="20"/>
                <w:szCs w:val="20"/>
                <w:lang w:eastAsia="en-GB"/>
              </w:rPr>
            </w:pPr>
            <w:r w:rsidRPr="006E1DBD">
              <w:rPr>
                <w:rFonts w:eastAsia="Times New Roman" w:cs="Calibri"/>
                <w:b/>
                <w:bCs/>
                <w:color w:val="000000"/>
                <w:sz w:val="20"/>
                <w:szCs w:val="20"/>
                <w:lang w:eastAsia="en-GB"/>
              </w:rPr>
              <w:t>£'000</w:t>
            </w:r>
          </w:p>
        </w:tc>
        <w:tc>
          <w:tcPr>
            <w:tcW w:w="1128" w:type="dxa"/>
            <w:tcBorders>
              <w:top w:val="nil"/>
              <w:left w:val="nil"/>
              <w:bottom w:val="single" w:sz="4" w:space="0" w:color="auto"/>
              <w:right w:val="single" w:sz="4" w:space="0" w:color="auto"/>
            </w:tcBorders>
            <w:shd w:val="clear" w:color="000000" w:fill="FFFFFF"/>
            <w:noWrap/>
            <w:vAlign w:val="bottom"/>
            <w:hideMark/>
          </w:tcPr>
          <w:p w14:paraId="2D044578" w14:textId="77777777" w:rsidR="006E1DBD" w:rsidRPr="006E1DBD" w:rsidRDefault="006E1DBD" w:rsidP="006E1DBD">
            <w:pPr>
              <w:spacing w:after="0" w:line="240" w:lineRule="auto"/>
              <w:jc w:val="center"/>
              <w:rPr>
                <w:rFonts w:eastAsia="Times New Roman" w:cs="Calibri"/>
                <w:b/>
                <w:bCs/>
                <w:color w:val="000000"/>
                <w:sz w:val="20"/>
                <w:szCs w:val="20"/>
                <w:lang w:eastAsia="en-GB"/>
              </w:rPr>
            </w:pPr>
            <w:r w:rsidRPr="006E1DBD">
              <w:rPr>
                <w:rFonts w:eastAsia="Times New Roman" w:cs="Calibri"/>
                <w:b/>
                <w:bCs/>
                <w:color w:val="000000"/>
                <w:sz w:val="20"/>
                <w:szCs w:val="20"/>
                <w:lang w:eastAsia="en-GB"/>
              </w:rPr>
              <w:t>£'000</w:t>
            </w:r>
          </w:p>
        </w:tc>
        <w:tc>
          <w:tcPr>
            <w:tcW w:w="1016" w:type="dxa"/>
            <w:vAlign w:val="center"/>
            <w:hideMark/>
          </w:tcPr>
          <w:p w14:paraId="17E9DABF"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0ACF9E6D"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3082E616"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86,570</w:t>
            </w:r>
          </w:p>
        </w:tc>
        <w:tc>
          <w:tcPr>
            <w:tcW w:w="3550" w:type="dxa"/>
            <w:tcBorders>
              <w:top w:val="single" w:sz="4" w:space="0" w:color="auto"/>
              <w:left w:val="single" w:sz="4" w:space="0" w:color="auto"/>
              <w:bottom w:val="nil"/>
              <w:right w:val="single" w:sz="4" w:space="0" w:color="auto"/>
            </w:tcBorders>
            <w:shd w:val="clear" w:color="000000" w:fill="FFFFFF"/>
            <w:noWrap/>
            <w:vAlign w:val="bottom"/>
            <w:hideMark/>
          </w:tcPr>
          <w:p w14:paraId="28C19424"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Police Officers</w:t>
            </w:r>
          </w:p>
        </w:tc>
        <w:tc>
          <w:tcPr>
            <w:tcW w:w="939" w:type="dxa"/>
            <w:tcBorders>
              <w:top w:val="single" w:sz="4" w:space="0" w:color="auto"/>
              <w:left w:val="single" w:sz="4" w:space="0" w:color="auto"/>
              <w:bottom w:val="nil"/>
              <w:right w:val="single" w:sz="4" w:space="0" w:color="auto"/>
            </w:tcBorders>
            <w:shd w:val="clear" w:color="000000" w:fill="FFFFFF"/>
            <w:noWrap/>
            <w:vAlign w:val="bottom"/>
            <w:hideMark/>
          </w:tcPr>
          <w:p w14:paraId="255CE642"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97,537</w:t>
            </w:r>
          </w:p>
        </w:tc>
        <w:tc>
          <w:tcPr>
            <w:tcW w:w="1128" w:type="dxa"/>
            <w:tcBorders>
              <w:top w:val="single" w:sz="4" w:space="0" w:color="auto"/>
              <w:left w:val="nil"/>
              <w:bottom w:val="nil"/>
              <w:right w:val="single" w:sz="4" w:space="0" w:color="auto"/>
            </w:tcBorders>
            <w:shd w:val="clear" w:color="000000" w:fill="FFFFFF"/>
            <w:noWrap/>
            <w:vAlign w:val="bottom"/>
            <w:hideMark/>
          </w:tcPr>
          <w:p w14:paraId="77FA4482"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101,076</w:t>
            </w:r>
          </w:p>
        </w:tc>
        <w:tc>
          <w:tcPr>
            <w:tcW w:w="1128" w:type="dxa"/>
            <w:tcBorders>
              <w:top w:val="single" w:sz="4" w:space="0" w:color="auto"/>
              <w:left w:val="nil"/>
              <w:bottom w:val="nil"/>
              <w:right w:val="single" w:sz="4" w:space="0" w:color="auto"/>
            </w:tcBorders>
            <w:shd w:val="clear" w:color="000000" w:fill="FFFFFF"/>
            <w:noWrap/>
            <w:vAlign w:val="bottom"/>
            <w:hideMark/>
          </w:tcPr>
          <w:p w14:paraId="57231F3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103,125</w:t>
            </w:r>
          </w:p>
        </w:tc>
        <w:tc>
          <w:tcPr>
            <w:tcW w:w="1128" w:type="dxa"/>
            <w:tcBorders>
              <w:top w:val="single" w:sz="4" w:space="0" w:color="auto"/>
              <w:left w:val="nil"/>
              <w:bottom w:val="nil"/>
              <w:right w:val="single" w:sz="4" w:space="0" w:color="auto"/>
            </w:tcBorders>
            <w:shd w:val="clear" w:color="000000" w:fill="FFFFFF"/>
            <w:noWrap/>
            <w:vAlign w:val="bottom"/>
            <w:hideMark/>
          </w:tcPr>
          <w:p w14:paraId="79710CBE"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105,061</w:t>
            </w:r>
          </w:p>
        </w:tc>
        <w:tc>
          <w:tcPr>
            <w:tcW w:w="1128" w:type="dxa"/>
            <w:tcBorders>
              <w:top w:val="single" w:sz="4" w:space="0" w:color="auto"/>
              <w:left w:val="nil"/>
              <w:bottom w:val="nil"/>
              <w:right w:val="single" w:sz="4" w:space="0" w:color="auto"/>
            </w:tcBorders>
            <w:shd w:val="clear" w:color="000000" w:fill="FFFFFF"/>
            <w:noWrap/>
            <w:vAlign w:val="bottom"/>
            <w:hideMark/>
          </w:tcPr>
          <w:p w14:paraId="0102C2B9"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106,547</w:t>
            </w:r>
          </w:p>
        </w:tc>
        <w:tc>
          <w:tcPr>
            <w:tcW w:w="1016" w:type="dxa"/>
            <w:vAlign w:val="center"/>
            <w:hideMark/>
          </w:tcPr>
          <w:p w14:paraId="61F4E3AF"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01757471"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59FD5F1D"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29,997</w:t>
            </w:r>
          </w:p>
        </w:tc>
        <w:tc>
          <w:tcPr>
            <w:tcW w:w="3550" w:type="dxa"/>
            <w:tcBorders>
              <w:top w:val="nil"/>
              <w:left w:val="single" w:sz="4" w:space="0" w:color="auto"/>
              <w:bottom w:val="nil"/>
              <w:right w:val="single" w:sz="4" w:space="0" w:color="auto"/>
            </w:tcBorders>
            <w:shd w:val="clear" w:color="000000" w:fill="FFFFFF"/>
            <w:noWrap/>
            <w:vAlign w:val="bottom"/>
            <w:hideMark/>
          </w:tcPr>
          <w:p w14:paraId="6836B91E"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Police Staff</w:t>
            </w:r>
          </w:p>
        </w:tc>
        <w:tc>
          <w:tcPr>
            <w:tcW w:w="939" w:type="dxa"/>
            <w:tcBorders>
              <w:top w:val="nil"/>
              <w:left w:val="single" w:sz="4" w:space="0" w:color="auto"/>
              <w:bottom w:val="nil"/>
              <w:right w:val="single" w:sz="4" w:space="0" w:color="auto"/>
            </w:tcBorders>
            <w:shd w:val="clear" w:color="000000" w:fill="FFFFFF"/>
            <w:noWrap/>
            <w:vAlign w:val="bottom"/>
            <w:hideMark/>
          </w:tcPr>
          <w:p w14:paraId="1668AF1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32,072</w:t>
            </w:r>
          </w:p>
        </w:tc>
        <w:tc>
          <w:tcPr>
            <w:tcW w:w="1128" w:type="dxa"/>
            <w:tcBorders>
              <w:top w:val="nil"/>
              <w:left w:val="nil"/>
              <w:bottom w:val="nil"/>
              <w:right w:val="single" w:sz="4" w:space="0" w:color="auto"/>
            </w:tcBorders>
            <w:shd w:val="clear" w:color="000000" w:fill="FFFFFF"/>
            <w:noWrap/>
            <w:vAlign w:val="bottom"/>
            <w:hideMark/>
          </w:tcPr>
          <w:p w14:paraId="491183C8"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32,806</w:t>
            </w:r>
          </w:p>
        </w:tc>
        <w:tc>
          <w:tcPr>
            <w:tcW w:w="1128" w:type="dxa"/>
            <w:tcBorders>
              <w:top w:val="nil"/>
              <w:left w:val="nil"/>
              <w:bottom w:val="nil"/>
              <w:right w:val="single" w:sz="4" w:space="0" w:color="auto"/>
            </w:tcBorders>
            <w:shd w:val="clear" w:color="000000" w:fill="FFFFFF"/>
            <w:noWrap/>
            <w:vAlign w:val="bottom"/>
            <w:hideMark/>
          </w:tcPr>
          <w:p w14:paraId="3FF9709D"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33,489</w:t>
            </w:r>
          </w:p>
        </w:tc>
        <w:tc>
          <w:tcPr>
            <w:tcW w:w="1128" w:type="dxa"/>
            <w:tcBorders>
              <w:top w:val="nil"/>
              <w:left w:val="nil"/>
              <w:bottom w:val="nil"/>
              <w:right w:val="single" w:sz="4" w:space="0" w:color="auto"/>
            </w:tcBorders>
            <w:shd w:val="clear" w:color="000000" w:fill="FFFFFF"/>
            <w:noWrap/>
            <w:vAlign w:val="bottom"/>
            <w:hideMark/>
          </w:tcPr>
          <w:p w14:paraId="5F62128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34,187</w:t>
            </w:r>
          </w:p>
        </w:tc>
        <w:tc>
          <w:tcPr>
            <w:tcW w:w="1128" w:type="dxa"/>
            <w:tcBorders>
              <w:top w:val="nil"/>
              <w:left w:val="nil"/>
              <w:bottom w:val="nil"/>
              <w:right w:val="single" w:sz="4" w:space="0" w:color="auto"/>
            </w:tcBorders>
            <w:shd w:val="clear" w:color="000000" w:fill="FFFFFF"/>
            <w:noWrap/>
            <w:vAlign w:val="bottom"/>
            <w:hideMark/>
          </w:tcPr>
          <w:p w14:paraId="506D7033"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34,689</w:t>
            </w:r>
          </w:p>
        </w:tc>
        <w:tc>
          <w:tcPr>
            <w:tcW w:w="1016" w:type="dxa"/>
            <w:vAlign w:val="center"/>
            <w:hideMark/>
          </w:tcPr>
          <w:p w14:paraId="11764659"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53C752C4"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1200B7B2"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3,978</w:t>
            </w:r>
          </w:p>
        </w:tc>
        <w:tc>
          <w:tcPr>
            <w:tcW w:w="3550" w:type="dxa"/>
            <w:tcBorders>
              <w:top w:val="nil"/>
              <w:left w:val="single" w:sz="4" w:space="0" w:color="auto"/>
              <w:bottom w:val="nil"/>
              <w:right w:val="single" w:sz="4" w:space="0" w:color="auto"/>
            </w:tcBorders>
            <w:shd w:val="clear" w:color="000000" w:fill="FFFFFF"/>
            <w:noWrap/>
            <w:vAlign w:val="bottom"/>
            <w:hideMark/>
          </w:tcPr>
          <w:p w14:paraId="4093D453"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PCSOs</w:t>
            </w:r>
          </w:p>
        </w:tc>
        <w:tc>
          <w:tcPr>
            <w:tcW w:w="939" w:type="dxa"/>
            <w:tcBorders>
              <w:top w:val="nil"/>
              <w:left w:val="single" w:sz="4" w:space="0" w:color="auto"/>
              <w:bottom w:val="nil"/>
              <w:right w:val="single" w:sz="4" w:space="0" w:color="auto"/>
            </w:tcBorders>
            <w:shd w:val="clear" w:color="000000" w:fill="FFFFFF"/>
            <w:noWrap/>
            <w:vAlign w:val="bottom"/>
            <w:hideMark/>
          </w:tcPr>
          <w:p w14:paraId="02453D06"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3,973</w:t>
            </w:r>
          </w:p>
        </w:tc>
        <w:tc>
          <w:tcPr>
            <w:tcW w:w="1128" w:type="dxa"/>
            <w:tcBorders>
              <w:top w:val="nil"/>
              <w:left w:val="nil"/>
              <w:bottom w:val="nil"/>
              <w:right w:val="single" w:sz="4" w:space="0" w:color="auto"/>
            </w:tcBorders>
            <w:shd w:val="clear" w:color="000000" w:fill="FFFFFF"/>
            <w:noWrap/>
            <w:vAlign w:val="bottom"/>
            <w:hideMark/>
          </w:tcPr>
          <w:p w14:paraId="3542C847"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4,044</w:t>
            </w:r>
          </w:p>
        </w:tc>
        <w:tc>
          <w:tcPr>
            <w:tcW w:w="1128" w:type="dxa"/>
            <w:tcBorders>
              <w:top w:val="nil"/>
              <w:left w:val="nil"/>
              <w:bottom w:val="nil"/>
              <w:right w:val="single" w:sz="4" w:space="0" w:color="auto"/>
            </w:tcBorders>
            <w:shd w:val="clear" w:color="000000" w:fill="FFFFFF"/>
            <w:noWrap/>
            <w:vAlign w:val="bottom"/>
            <w:hideMark/>
          </w:tcPr>
          <w:p w14:paraId="5E0A0F01"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4,108</w:t>
            </w:r>
          </w:p>
        </w:tc>
        <w:tc>
          <w:tcPr>
            <w:tcW w:w="1128" w:type="dxa"/>
            <w:tcBorders>
              <w:top w:val="nil"/>
              <w:left w:val="nil"/>
              <w:bottom w:val="nil"/>
              <w:right w:val="single" w:sz="4" w:space="0" w:color="auto"/>
            </w:tcBorders>
            <w:shd w:val="clear" w:color="000000" w:fill="FFFFFF"/>
            <w:noWrap/>
            <w:vAlign w:val="bottom"/>
            <w:hideMark/>
          </w:tcPr>
          <w:p w14:paraId="42EE879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4,172</w:t>
            </w:r>
          </w:p>
        </w:tc>
        <w:tc>
          <w:tcPr>
            <w:tcW w:w="1128" w:type="dxa"/>
            <w:tcBorders>
              <w:top w:val="nil"/>
              <w:left w:val="nil"/>
              <w:bottom w:val="nil"/>
              <w:right w:val="single" w:sz="4" w:space="0" w:color="auto"/>
            </w:tcBorders>
            <w:shd w:val="clear" w:color="000000" w:fill="FFFFFF"/>
            <w:noWrap/>
            <w:vAlign w:val="bottom"/>
            <w:hideMark/>
          </w:tcPr>
          <w:p w14:paraId="53D44063"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4,219</w:t>
            </w:r>
          </w:p>
        </w:tc>
        <w:tc>
          <w:tcPr>
            <w:tcW w:w="1016" w:type="dxa"/>
            <w:vAlign w:val="center"/>
            <w:hideMark/>
          </w:tcPr>
          <w:p w14:paraId="10B6E6F7"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52BEA19D"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20BF1C8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1,049</w:t>
            </w:r>
          </w:p>
        </w:tc>
        <w:tc>
          <w:tcPr>
            <w:tcW w:w="3550" w:type="dxa"/>
            <w:tcBorders>
              <w:top w:val="nil"/>
              <w:left w:val="single" w:sz="4" w:space="0" w:color="auto"/>
              <w:bottom w:val="nil"/>
              <w:right w:val="single" w:sz="4" w:space="0" w:color="auto"/>
            </w:tcBorders>
            <w:shd w:val="clear" w:color="000000" w:fill="FFFFFF"/>
            <w:noWrap/>
            <w:vAlign w:val="bottom"/>
            <w:hideMark/>
          </w:tcPr>
          <w:p w14:paraId="5EB5E2B2"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Other Pension Costs</w:t>
            </w:r>
          </w:p>
        </w:tc>
        <w:tc>
          <w:tcPr>
            <w:tcW w:w="939" w:type="dxa"/>
            <w:tcBorders>
              <w:top w:val="nil"/>
              <w:left w:val="single" w:sz="4" w:space="0" w:color="auto"/>
              <w:bottom w:val="nil"/>
              <w:right w:val="single" w:sz="4" w:space="0" w:color="auto"/>
            </w:tcBorders>
            <w:shd w:val="clear" w:color="000000" w:fill="FFFFFF"/>
            <w:noWrap/>
            <w:vAlign w:val="bottom"/>
            <w:hideMark/>
          </w:tcPr>
          <w:p w14:paraId="02C6B257"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1,235</w:t>
            </w:r>
          </w:p>
        </w:tc>
        <w:tc>
          <w:tcPr>
            <w:tcW w:w="1128" w:type="dxa"/>
            <w:tcBorders>
              <w:top w:val="nil"/>
              <w:left w:val="nil"/>
              <w:bottom w:val="nil"/>
              <w:right w:val="single" w:sz="4" w:space="0" w:color="auto"/>
            </w:tcBorders>
            <w:shd w:val="clear" w:color="000000" w:fill="FFFFFF"/>
            <w:noWrap/>
            <w:vAlign w:val="bottom"/>
            <w:hideMark/>
          </w:tcPr>
          <w:p w14:paraId="1BB467C2"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1,248</w:t>
            </w:r>
          </w:p>
        </w:tc>
        <w:tc>
          <w:tcPr>
            <w:tcW w:w="1128" w:type="dxa"/>
            <w:tcBorders>
              <w:top w:val="nil"/>
              <w:left w:val="nil"/>
              <w:bottom w:val="nil"/>
              <w:right w:val="single" w:sz="4" w:space="0" w:color="auto"/>
            </w:tcBorders>
            <w:shd w:val="clear" w:color="000000" w:fill="FFFFFF"/>
            <w:noWrap/>
            <w:vAlign w:val="bottom"/>
            <w:hideMark/>
          </w:tcPr>
          <w:p w14:paraId="72FD4123"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1,270</w:t>
            </w:r>
          </w:p>
        </w:tc>
        <w:tc>
          <w:tcPr>
            <w:tcW w:w="1128" w:type="dxa"/>
            <w:tcBorders>
              <w:top w:val="nil"/>
              <w:left w:val="nil"/>
              <w:bottom w:val="nil"/>
              <w:right w:val="single" w:sz="4" w:space="0" w:color="auto"/>
            </w:tcBorders>
            <w:shd w:val="clear" w:color="000000" w:fill="FFFFFF"/>
            <w:noWrap/>
            <w:vAlign w:val="bottom"/>
            <w:hideMark/>
          </w:tcPr>
          <w:p w14:paraId="78B8CD61"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1,294</w:t>
            </w:r>
          </w:p>
        </w:tc>
        <w:tc>
          <w:tcPr>
            <w:tcW w:w="1128" w:type="dxa"/>
            <w:tcBorders>
              <w:top w:val="nil"/>
              <w:left w:val="nil"/>
              <w:bottom w:val="nil"/>
              <w:right w:val="single" w:sz="4" w:space="0" w:color="auto"/>
            </w:tcBorders>
            <w:shd w:val="clear" w:color="000000" w:fill="FFFFFF"/>
            <w:noWrap/>
            <w:vAlign w:val="bottom"/>
            <w:hideMark/>
          </w:tcPr>
          <w:p w14:paraId="64ABF13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1,310</w:t>
            </w:r>
          </w:p>
        </w:tc>
        <w:tc>
          <w:tcPr>
            <w:tcW w:w="1016" w:type="dxa"/>
            <w:vAlign w:val="center"/>
            <w:hideMark/>
          </w:tcPr>
          <w:p w14:paraId="3351588B"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773CCB2C"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764AEB0F"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665</w:t>
            </w:r>
          </w:p>
        </w:tc>
        <w:tc>
          <w:tcPr>
            <w:tcW w:w="3550" w:type="dxa"/>
            <w:tcBorders>
              <w:top w:val="nil"/>
              <w:left w:val="single" w:sz="4" w:space="0" w:color="auto"/>
              <w:bottom w:val="nil"/>
              <w:right w:val="single" w:sz="4" w:space="0" w:color="auto"/>
            </w:tcBorders>
            <w:shd w:val="clear" w:color="000000" w:fill="FFFFFF"/>
            <w:noWrap/>
            <w:vAlign w:val="bottom"/>
            <w:hideMark/>
          </w:tcPr>
          <w:p w14:paraId="33289549"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Other Employee Expenses</w:t>
            </w:r>
          </w:p>
        </w:tc>
        <w:tc>
          <w:tcPr>
            <w:tcW w:w="939" w:type="dxa"/>
            <w:tcBorders>
              <w:top w:val="nil"/>
              <w:left w:val="single" w:sz="4" w:space="0" w:color="auto"/>
              <w:bottom w:val="nil"/>
              <w:right w:val="single" w:sz="4" w:space="0" w:color="auto"/>
            </w:tcBorders>
            <w:shd w:val="clear" w:color="000000" w:fill="FFFFFF"/>
            <w:noWrap/>
            <w:vAlign w:val="bottom"/>
            <w:hideMark/>
          </w:tcPr>
          <w:p w14:paraId="36F3EEA8"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616</w:t>
            </w:r>
          </w:p>
        </w:tc>
        <w:tc>
          <w:tcPr>
            <w:tcW w:w="1128" w:type="dxa"/>
            <w:tcBorders>
              <w:top w:val="nil"/>
              <w:left w:val="nil"/>
              <w:bottom w:val="nil"/>
              <w:right w:val="single" w:sz="4" w:space="0" w:color="auto"/>
            </w:tcBorders>
            <w:shd w:val="clear" w:color="000000" w:fill="FFFFFF"/>
            <w:noWrap/>
            <w:vAlign w:val="bottom"/>
            <w:hideMark/>
          </w:tcPr>
          <w:p w14:paraId="47177467"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625</w:t>
            </w:r>
          </w:p>
        </w:tc>
        <w:tc>
          <w:tcPr>
            <w:tcW w:w="1128" w:type="dxa"/>
            <w:tcBorders>
              <w:top w:val="nil"/>
              <w:left w:val="nil"/>
              <w:bottom w:val="nil"/>
              <w:right w:val="single" w:sz="4" w:space="0" w:color="auto"/>
            </w:tcBorders>
            <w:shd w:val="clear" w:color="000000" w:fill="FFFFFF"/>
            <w:noWrap/>
            <w:vAlign w:val="bottom"/>
            <w:hideMark/>
          </w:tcPr>
          <w:p w14:paraId="69D9774C"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638</w:t>
            </w:r>
          </w:p>
        </w:tc>
        <w:tc>
          <w:tcPr>
            <w:tcW w:w="1128" w:type="dxa"/>
            <w:tcBorders>
              <w:top w:val="nil"/>
              <w:left w:val="nil"/>
              <w:bottom w:val="nil"/>
              <w:right w:val="single" w:sz="4" w:space="0" w:color="auto"/>
            </w:tcBorders>
            <w:shd w:val="clear" w:color="000000" w:fill="FFFFFF"/>
            <w:noWrap/>
            <w:vAlign w:val="bottom"/>
            <w:hideMark/>
          </w:tcPr>
          <w:p w14:paraId="56C27D51"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651</w:t>
            </w:r>
          </w:p>
        </w:tc>
        <w:tc>
          <w:tcPr>
            <w:tcW w:w="1128" w:type="dxa"/>
            <w:tcBorders>
              <w:top w:val="nil"/>
              <w:left w:val="nil"/>
              <w:bottom w:val="nil"/>
              <w:right w:val="single" w:sz="4" w:space="0" w:color="auto"/>
            </w:tcBorders>
            <w:shd w:val="clear" w:color="000000" w:fill="FFFFFF"/>
            <w:noWrap/>
            <w:vAlign w:val="bottom"/>
            <w:hideMark/>
          </w:tcPr>
          <w:p w14:paraId="7E4E7D0A"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661</w:t>
            </w:r>
          </w:p>
        </w:tc>
        <w:tc>
          <w:tcPr>
            <w:tcW w:w="1016" w:type="dxa"/>
            <w:vAlign w:val="center"/>
            <w:hideMark/>
          </w:tcPr>
          <w:p w14:paraId="241FE910"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7F52AA94"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724B584F"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1,513</w:t>
            </w:r>
          </w:p>
        </w:tc>
        <w:tc>
          <w:tcPr>
            <w:tcW w:w="3550" w:type="dxa"/>
            <w:tcBorders>
              <w:top w:val="nil"/>
              <w:left w:val="single" w:sz="4" w:space="0" w:color="auto"/>
              <w:bottom w:val="nil"/>
              <w:right w:val="single" w:sz="4" w:space="0" w:color="auto"/>
            </w:tcBorders>
            <w:shd w:val="clear" w:color="000000" w:fill="FFFFFF"/>
            <w:noWrap/>
            <w:vAlign w:val="bottom"/>
            <w:hideMark/>
          </w:tcPr>
          <w:p w14:paraId="4F87BC52"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National ICT Charges (inc. PNC)</w:t>
            </w:r>
          </w:p>
        </w:tc>
        <w:tc>
          <w:tcPr>
            <w:tcW w:w="939" w:type="dxa"/>
            <w:tcBorders>
              <w:top w:val="nil"/>
              <w:left w:val="single" w:sz="4" w:space="0" w:color="auto"/>
              <w:bottom w:val="nil"/>
              <w:right w:val="single" w:sz="4" w:space="0" w:color="auto"/>
            </w:tcBorders>
            <w:shd w:val="clear" w:color="000000" w:fill="FFFFFF"/>
            <w:noWrap/>
            <w:vAlign w:val="bottom"/>
            <w:hideMark/>
          </w:tcPr>
          <w:p w14:paraId="255065BD"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1,814</w:t>
            </w:r>
          </w:p>
        </w:tc>
        <w:tc>
          <w:tcPr>
            <w:tcW w:w="1128" w:type="dxa"/>
            <w:tcBorders>
              <w:top w:val="nil"/>
              <w:left w:val="nil"/>
              <w:bottom w:val="nil"/>
              <w:right w:val="single" w:sz="4" w:space="0" w:color="auto"/>
            </w:tcBorders>
            <w:shd w:val="clear" w:color="000000" w:fill="FFFFFF"/>
            <w:noWrap/>
            <w:vAlign w:val="bottom"/>
            <w:hideMark/>
          </w:tcPr>
          <w:p w14:paraId="185BD63C"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1,925</w:t>
            </w:r>
          </w:p>
        </w:tc>
        <w:tc>
          <w:tcPr>
            <w:tcW w:w="1128" w:type="dxa"/>
            <w:tcBorders>
              <w:top w:val="nil"/>
              <w:left w:val="nil"/>
              <w:bottom w:val="nil"/>
              <w:right w:val="single" w:sz="4" w:space="0" w:color="auto"/>
            </w:tcBorders>
            <w:shd w:val="clear" w:color="000000" w:fill="FFFFFF"/>
            <w:noWrap/>
            <w:vAlign w:val="bottom"/>
            <w:hideMark/>
          </w:tcPr>
          <w:p w14:paraId="163675B8"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2,038</w:t>
            </w:r>
          </w:p>
        </w:tc>
        <w:tc>
          <w:tcPr>
            <w:tcW w:w="1128" w:type="dxa"/>
            <w:tcBorders>
              <w:top w:val="nil"/>
              <w:left w:val="nil"/>
              <w:bottom w:val="nil"/>
              <w:right w:val="single" w:sz="4" w:space="0" w:color="auto"/>
            </w:tcBorders>
            <w:shd w:val="clear" w:color="000000" w:fill="FFFFFF"/>
            <w:noWrap/>
            <w:vAlign w:val="bottom"/>
            <w:hideMark/>
          </w:tcPr>
          <w:p w14:paraId="424ED6FB"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2,154</w:t>
            </w:r>
          </w:p>
        </w:tc>
        <w:tc>
          <w:tcPr>
            <w:tcW w:w="1128" w:type="dxa"/>
            <w:tcBorders>
              <w:top w:val="nil"/>
              <w:left w:val="nil"/>
              <w:bottom w:val="nil"/>
              <w:right w:val="single" w:sz="4" w:space="0" w:color="auto"/>
            </w:tcBorders>
            <w:shd w:val="clear" w:color="000000" w:fill="FFFFFF"/>
            <w:noWrap/>
            <w:vAlign w:val="bottom"/>
            <w:hideMark/>
          </w:tcPr>
          <w:p w14:paraId="659A2B6E"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2,272</w:t>
            </w:r>
          </w:p>
        </w:tc>
        <w:tc>
          <w:tcPr>
            <w:tcW w:w="1016" w:type="dxa"/>
            <w:vAlign w:val="center"/>
            <w:hideMark/>
          </w:tcPr>
          <w:p w14:paraId="66810967"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6A61D103"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2166DAC4"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9,353</w:t>
            </w:r>
          </w:p>
        </w:tc>
        <w:tc>
          <w:tcPr>
            <w:tcW w:w="3550" w:type="dxa"/>
            <w:tcBorders>
              <w:top w:val="nil"/>
              <w:left w:val="single" w:sz="4" w:space="0" w:color="auto"/>
              <w:bottom w:val="nil"/>
              <w:right w:val="single" w:sz="4" w:space="0" w:color="auto"/>
            </w:tcBorders>
            <w:shd w:val="clear" w:color="000000" w:fill="FFFFFF"/>
            <w:noWrap/>
            <w:vAlign w:val="bottom"/>
            <w:hideMark/>
          </w:tcPr>
          <w:p w14:paraId="01E3535E" w14:textId="44EF7BA6"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Third Party/Collaborati</w:t>
            </w:r>
            <w:r w:rsidR="005B4FDE">
              <w:rPr>
                <w:rFonts w:eastAsia="Times New Roman" w:cs="Calibri"/>
                <w:color w:val="000000"/>
                <w:sz w:val="20"/>
                <w:szCs w:val="20"/>
                <w:lang w:eastAsia="en-GB"/>
              </w:rPr>
              <w:t>on</w:t>
            </w:r>
          </w:p>
        </w:tc>
        <w:tc>
          <w:tcPr>
            <w:tcW w:w="939" w:type="dxa"/>
            <w:tcBorders>
              <w:top w:val="nil"/>
              <w:left w:val="single" w:sz="4" w:space="0" w:color="auto"/>
              <w:bottom w:val="nil"/>
              <w:right w:val="single" w:sz="4" w:space="0" w:color="auto"/>
            </w:tcBorders>
            <w:shd w:val="clear" w:color="000000" w:fill="FFFFFF"/>
            <w:noWrap/>
            <w:vAlign w:val="bottom"/>
            <w:hideMark/>
          </w:tcPr>
          <w:p w14:paraId="0901FF8A"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10,361</w:t>
            </w:r>
          </w:p>
        </w:tc>
        <w:tc>
          <w:tcPr>
            <w:tcW w:w="1128" w:type="dxa"/>
            <w:tcBorders>
              <w:top w:val="nil"/>
              <w:left w:val="nil"/>
              <w:bottom w:val="nil"/>
              <w:right w:val="single" w:sz="4" w:space="0" w:color="auto"/>
            </w:tcBorders>
            <w:shd w:val="clear" w:color="000000" w:fill="FFFFFF"/>
            <w:noWrap/>
            <w:vAlign w:val="bottom"/>
            <w:hideMark/>
          </w:tcPr>
          <w:p w14:paraId="2CB50211"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10,568</w:t>
            </w:r>
          </w:p>
        </w:tc>
        <w:tc>
          <w:tcPr>
            <w:tcW w:w="1128" w:type="dxa"/>
            <w:tcBorders>
              <w:top w:val="nil"/>
              <w:left w:val="nil"/>
              <w:bottom w:val="nil"/>
              <w:right w:val="single" w:sz="4" w:space="0" w:color="auto"/>
            </w:tcBorders>
            <w:shd w:val="clear" w:color="000000" w:fill="FFFFFF"/>
            <w:noWrap/>
            <w:vAlign w:val="bottom"/>
            <w:hideMark/>
          </w:tcPr>
          <w:p w14:paraId="371D01BC"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10,779</w:t>
            </w:r>
          </w:p>
        </w:tc>
        <w:tc>
          <w:tcPr>
            <w:tcW w:w="1128" w:type="dxa"/>
            <w:tcBorders>
              <w:top w:val="nil"/>
              <w:left w:val="nil"/>
              <w:bottom w:val="nil"/>
              <w:right w:val="single" w:sz="4" w:space="0" w:color="auto"/>
            </w:tcBorders>
            <w:shd w:val="clear" w:color="000000" w:fill="FFFFFF"/>
            <w:noWrap/>
            <w:vAlign w:val="bottom"/>
            <w:hideMark/>
          </w:tcPr>
          <w:p w14:paraId="6ED8636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10,995</w:t>
            </w:r>
          </w:p>
        </w:tc>
        <w:tc>
          <w:tcPr>
            <w:tcW w:w="1128" w:type="dxa"/>
            <w:tcBorders>
              <w:top w:val="nil"/>
              <w:left w:val="nil"/>
              <w:bottom w:val="nil"/>
              <w:right w:val="single" w:sz="4" w:space="0" w:color="auto"/>
            </w:tcBorders>
            <w:shd w:val="clear" w:color="000000" w:fill="FFFFFF"/>
            <w:noWrap/>
            <w:vAlign w:val="bottom"/>
            <w:hideMark/>
          </w:tcPr>
          <w:p w14:paraId="7E6A16F8"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11,215</w:t>
            </w:r>
          </w:p>
        </w:tc>
        <w:tc>
          <w:tcPr>
            <w:tcW w:w="1016" w:type="dxa"/>
            <w:vAlign w:val="center"/>
            <w:hideMark/>
          </w:tcPr>
          <w:p w14:paraId="47001CE8"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3554D3B8"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459C4D09"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7,972</w:t>
            </w:r>
          </w:p>
        </w:tc>
        <w:tc>
          <w:tcPr>
            <w:tcW w:w="3550" w:type="dxa"/>
            <w:tcBorders>
              <w:top w:val="nil"/>
              <w:left w:val="single" w:sz="4" w:space="0" w:color="auto"/>
              <w:bottom w:val="nil"/>
              <w:right w:val="single" w:sz="4" w:space="0" w:color="auto"/>
            </w:tcBorders>
            <w:shd w:val="clear" w:color="000000" w:fill="FFFFFF"/>
            <w:noWrap/>
            <w:vAlign w:val="bottom"/>
            <w:hideMark/>
          </w:tcPr>
          <w:p w14:paraId="18443028" w14:textId="42EC111D"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Other Non-Pay (excl.</w:t>
            </w:r>
            <w:r w:rsidR="005B4FDE">
              <w:rPr>
                <w:rFonts w:eastAsia="Times New Roman" w:cs="Calibri"/>
                <w:color w:val="000000"/>
                <w:sz w:val="20"/>
                <w:szCs w:val="20"/>
                <w:lang w:eastAsia="en-GB"/>
              </w:rPr>
              <w:t xml:space="preserve"> </w:t>
            </w:r>
            <w:r w:rsidRPr="006E1DBD">
              <w:rPr>
                <w:rFonts w:eastAsia="Times New Roman" w:cs="Calibri"/>
                <w:color w:val="000000"/>
                <w:sz w:val="20"/>
                <w:szCs w:val="20"/>
                <w:lang w:eastAsia="en-GB"/>
              </w:rPr>
              <w:t>Enabling Services)</w:t>
            </w:r>
          </w:p>
        </w:tc>
        <w:tc>
          <w:tcPr>
            <w:tcW w:w="939" w:type="dxa"/>
            <w:tcBorders>
              <w:top w:val="nil"/>
              <w:left w:val="single" w:sz="4" w:space="0" w:color="auto"/>
              <w:bottom w:val="nil"/>
              <w:right w:val="single" w:sz="4" w:space="0" w:color="auto"/>
            </w:tcBorders>
            <w:shd w:val="clear" w:color="000000" w:fill="FFFFFF"/>
            <w:noWrap/>
            <w:vAlign w:val="bottom"/>
            <w:hideMark/>
          </w:tcPr>
          <w:p w14:paraId="0AF838DD"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7,485</w:t>
            </w:r>
          </w:p>
        </w:tc>
        <w:tc>
          <w:tcPr>
            <w:tcW w:w="1128" w:type="dxa"/>
            <w:tcBorders>
              <w:top w:val="nil"/>
              <w:left w:val="nil"/>
              <w:bottom w:val="nil"/>
              <w:right w:val="single" w:sz="4" w:space="0" w:color="auto"/>
            </w:tcBorders>
            <w:shd w:val="clear" w:color="000000" w:fill="FFFFFF"/>
            <w:noWrap/>
            <w:vAlign w:val="bottom"/>
            <w:hideMark/>
          </w:tcPr>
          <w:p w14:paraId="6FAA30F4"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8,682</w:t>
            </w:r>
          </w:p>
        </w:tc>
        <w:tc>
          <w:tcPr>
            <w:tcW w:w="1128" w:type="dxa"/>
            <w:tcBorders>
              <w:top w:val="nil"/>
              <w:left w:val="nil"/>
              <w:bottom w:val="nil"/>
              <w:right w:val="single" w:sz="4" w:space="0" w:color="auto"/>
            </w:tcBorders>
            <w:shd w:val="clear" w:color="000000" w:fill="FFFFFF"/>
            <w:noWrap/>
            <w:vAlign w:val="bottom"/>
            <w:hideMark/>
          </w:tcPr>
          <w:p w14:paraId="6F24E318"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9,637</w:t>
            </w:r>
          </w:p>
        </w:tc>
        <w:tc>
          <w:tcPr>
            <w:tcW w:w="1128" w:type="dxa"/>
            <w:tcBorders>
              <w:top w:val="nil"/>
              <w:left w:val="nil"/>
              <w:bottom w:val="nil"/>
              <w:right w:val="single" w:sz="4" w:space="0" w:color="auto"/>
            </w:tcBorders>
            <w:shd w:val="clear" w:color="000000" w:fill="FFFFFF"/>
            <w:noWrap/>
            <w:vAlign w:val="bottom"/>
            <w:hideMark/>
          </w:tcPr>
          <w:p w14:paraId="752903A1"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10,734</w:t>
            </w:r>
          </w:p>
        </w:tc>
        <w:tc>
          <w:tcPr>
            <w:tcW w:w="1128" w:type="dxa"/>
            <w:tcBorders>
              <w:top w:val="nil"/>
              <w:left w:val="nil"/>
              <w:bottom w:val="nil"/>
              <w:right w:val="single" w:sz="4" w:space="0" w:color="auto"/>
            </w:tcBorders>
            <w:shd w:val="clear" w:color="000000" w:fill="FFFFFF"/>
            <w:noWrap/>
            <w:vAlign w:val="bottom"/>
            <w:hideMark/>
          </w:tcPr>
          <w:p w14:paraId="417D37B1"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12,444</w:t>
            </w:r>
          </w:p>
        </w:tc>
        <w:tc>
          <w:tcPr>
            <w:tcW w:w="1016" w:type="dxa"/>
            <w:vAlign w:val="center"/>
            <w:hideMark/>
          </w:tcPr>
          <w:p w14:paraId="7BCE530B"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053CF769" w14:textId="77777777" w:rsidTr="005B4FDE">
        <w:trPr>
          <w:trHeight w:val="300"/>
        </w:trPr>
        <w:tc>
          <w:tcPr>
            <w:tcW w:w="1128" w:type="dxa"/>
            <w:tcBorders>
              <w:top w:val="nil"/>
              <w:left w:val="single" w:sz="4" w:space="0" w:color="auto"/>
              <w:bottom w:val="single" w:sz="4" w:space="0" w:color="auto"/>
              <w:right w:val="single" w:sz="4" w:space="0" w:color="auto"/>
            </w:tcBorders>
            <w:shd w:val="clear" w:color="000000" w:fill="FFFFFF"/>
            <w:noWrap/>
            <w:vAlign w:val="bottom"/>
            <w:hideMark/>
          </w:tcPr>
          <w:p w14:paraId="124B041A"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(7,753)</w:t>
            </w:r>
          </w:p>
        </w:tc>
        <w:tc>
          <w:tcPr>
            <w:tcW w:w="3550" w:type="dxa"/>
            <w:tcBorders>
              <w:top w:val="nil"/>
              <w:left w:val="single" w:sz="4" w:space="0" w:color="auto"/>
              <w:bottom w:val="single" w:sz="4" w:space="0" w:color="auto"/>
              <w:right w:val="single" w:sz="4" w:space="0" w:color="auto"/>
            </w:tcBorders>
            <w:shd w:val="clear" w:color="000000" w:fill="FFFFFF"/>
            <w:noWrap/>
            <w:vAlign w:val="bottom"/>
            <w:hideMark/>
          </w:tcPr>
          <w:p w14:paraId="62E90D25"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Income</w:t>
            </w:r>
          </w:p>
        </w:tc>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21AA2B0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(10,622)</w:t>
            </w:r>
          </w:p>
        </w:tc>
        <w:tc>
          <w:tcPr>
            <w:tcW w:w="1128" w:type="dxa"/>
            <w:tcBorders>
              <w:top w:val="nil"/>
              <w:left w:val="nil"/>
              <w:bottom w:val="single" w:sz="4" w:space="0" w:color="auto"/>
              <w:right w:val="single" w:sz="4" w:space="0" w:color="auto"/>
            </w:tcBorders>
            <w:shd w:val="clear" w:color="000000" w:fill="FFFFFF"/>
            <w:noWrap/>
            <w:vAlign w:val="bottom"/>
            <w:hideMark/>
          </w:tcPr>
          <w:p w14:paraId="18412BD8"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(11,011)</w:t>
            </w:r>
          </w:p>
        </w:tc>
        <w:tc>
          <w:tcPr>
            <w:tcW w:w="1128" w:type="dxa"/>
            <w:tcBorders>
              <w:top w:val="nil"/>
              <w:left w:val="nil"/>
              <w:bottom w:val="single" w:sz="4" w:space="0" w:color="auto"/>
              <w:right w:val="single" w:sz="4" w:space="0" w:color="auto"/>
            </w:tcBorders>
            <w:shd w:val="clear" w:color="000000" w:fill="FFFFFF"/>
            <w:noWrap/>
            <w:vAlign w:val="bottom"/>
            <w:hideMark/>
          </w:tcPr>
          <w:p w14:paraId="173BCCD2"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(11,434)</w:t>
            </w:r>
          </w:p>
        </w:tc>
        <w:tc>
          <w:tcPr>
            <w:tcW w:w="1128" w:type="dxa"/>
            <w:tcBorders>
              <w:top w:val="nil"/>
              <w:left w:val="nil"/>
              <w:bottom w:val="single" w:sz="4" w:space="0" w:color="auto"/>
              <w:right w:val="single" w:sz="4" w:space="0" w:color="auto"/>
            </w:tcBorders>
            <w:shd w:val="clear" w:color="000000" w:fill="FFFFFF"/>
            <w:noWrap/>
            <w:vAlign w:val="bottom"/>
            <w:hideMark/>
          </w:tcPr>
          <w:p w14:paraId="6C2D5579"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(12,826)</w:t>
            </w:r>
          </w:p>
        </w:tc>
        <w:tc>
          <w:tcPr>
            <w:tcW w:w="1128" w:type="dxa"/>
            <w:tcBorders>
              <w:top w:val="nil"/>
              <w:left w:val="nil"/>
              <w:bottom w:val="single" w:sz="4" w:space="0" w:color="auto"/>
              <w:right w:val="single" w:sz="4" w:space="0" w:color="auto"/>
            </w:tcBorders>
            <w:shd w:val="clear" w:color="000000" w:fill="FFFFFF"/>
            <w:noWrap/>
            <w:vAlign w:val="bottom"/>
            <w:hideMark/>
          </w:tcPr>
          <w:p w14:paraId="22350436"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(13,888)</w:t>
            </w:r>
          </w:p>
        </w:tc>
        <w:tc>
          <w:tcPr>
            <w:tcW w:w="1016" w:type="dxa"/>
            <w:vAlign w:val="center"/>
            <w:hideMark/>
          </w:tcPr>
          <w:p w14:paraId="66EF4BD4"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48853CF9" w14:textId="77777777" w:rsidTr="005B4FDE">
        <w:trPr>
          <w:trHeight w:val="300"/>
        </w:trPr>
        <w:tc>
          <w:tcPr>
            <w:tcW w:w="1128" w:type="dxa"/>
            <w:tcBorders>
              <w:top w:val="nil"/>
              <w:left w:val="single" w:sz="4" w:space="0" w:color="auto"/>
              <w:bottom w:val="single" w:sz="4" w:space="0" w:color="auto"/>
              <w:right w:val="single" w:sz="4" w:space="0" w:color="auto"/>
            </w:tcBorders>
            <w:shd w:val="clear" w:color="000000" w:fill="FFFFFF"/>
            <w:noWrap/>
            <w:vAlign w:val="bottom"/>
            <w:hideMark/>
          </w:tcPr>
          <w:p w14:paraId="0EEC2022"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133,344</w:t>
            </w:r>
          </w:p>
        </w:tc>
        <w:tc>
          <w:tcPr>
            <w:tcW w:w="3550" w:type="dxa"/>
            <w:tcBorders>
              <w:top w:val="nil"/>
              <w:left w:val="single" w:sz="4" w:space="0" w:color="auto"/>
              <w:bottom w:val="single" w:sz="4" w:space="0" w:color="auto"/>
              <w:right w:val="single" w:sz="4" w:space="0" w:color="auto"/>
            </w:tcBorders>
            <w:shd w:val="clear" w:color="000000" w:fill="FFFFFF"/>
            <w:noWrap/>
            <w:vAlign w:val="bottom"/>
            <w:hideMark/>
          </w:tcPr>
          <w:p w14:paraId="1399798B" w14:textId="77777777" w:rsidR="006E1DBD" w:rsidRPr="006E1DBD" w:rsidRDefault="006E1DBD" w:rsidP="006E1DBD">
            <w:pPr>
              <w:spacing w:after="0" w:line="240" w:lineRule="auto"/>
              <w:rPr>
                <w:rFonts w:eastAsia="Times New Roman" w:cs="Calibri"/>
                <w:b/>
                <w:bCs/>
                <w:color w:val="000000"/>
                <w:sz w:val="20"/>
                <w:szCs w:val="20"/>
                <w:lang w:eastAsia="en-GB"/>
              </w:rPr>
            </w:pPr>
            <w:r w:rsidRPr="006E1DBD">
              <w:rPr>
                <w:rFonts w:eastAsia="Times New Roman" w:cs="Calibri"/>
                <w:b/>
                <w:bCs/>
                <w:color w:val="000000"/>
                <w:sz w:val="20"/>
                <w:szCs w:val="20"/>
                <w:lang w:eastAsia="en-GB"/>
              </w:rPr>
              <w:t>CHIEF CONSTABLE - OPERATIONAL</w:t>
            </w:r>
          </w:p>
        </w:tc>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01D87E06"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144,471</w:t>
            </w:r>
          </w:p>
        </w:tc>
        <w:tc>
          <w:tcPr>
            <w:tcW w:w="1128" w:type="dxa"/>
            <w:tcBorders>
              <w:top w:val="nil"/>
              <w:left w:val="nil"/>
              <w:bottom w:val="single" w:sz="4" w:space="0" w:color="auto"/>
              <w:right w:val="single" w:sz="4" w:space="0" w:color="auto"/>
            </w:tcBorders>
            <w:shd w:val="clear" w:color="000000" w:fill="FFFFFF"/>
            <w:noWrap/>
            <w:vAlign w:val="bottom"/>
            <w:hideMark/>
          </w:tcPr>
          <w:p w14:paraId="69676C51"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149,963</w:t>
            </w:r>
          </w:p>
        </w:tc>
        <w:tc>
          <w:tcPr>
            <w:tcW w:w="1128" w:type="dxa"/>
            <w:tcBorders>
              <w:top w:val="nil"/>
              <w:left w:val="nil"/>
              <w:bottom w:val="single" w:sz="4" w:space="0" w:color="auto"/>
              <w:right w:val="single" w:sz="4" w:space="0" w:color="auto"/>
            </w:tcBorders>
            <w:shd w:val="clear" w:color="000000" w:fill="FFFFFF"/>
            <w:noWrap/>
            <w:vAlign w:val="bottom"/>
            <w:hideMark/>
          </w:tcPr>
          <w:p w14:paraId="3FB34BDA"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153,650</w:t>
            </w:r>
          </w:p>
        </w:tc>
        <w:tc>
          <w:tcPr>
            <w:tcW w:w="1128" w:type="dxa"/>
            <w:tcBorders>
              <w:top w:val="nil"/>
              <w:left w:val="nil"/>
              <w:bottom w:val="single" w:sz="4" w:space="0" w:color="auto"/>
              <w:right w:val="single" w:sz="4" w:space="0" w:color="auto"/>
            </w:tcBorders>
            <w:shd w:val="clear" w:color="000000" w:fill="FFFFFF"/>
            <w:noWrap/>
            <w:vAlign w:val="bottom"/>
            <w:hideMark/>
          </w:tcPr>
          <w:p w14:paraId="5C71AE4E"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156,422</w:t>
            </w:r>
          </w:p>
        </w:tc>
        <w:tc>
          <w:tcPr>
            <w:tcW w:w="1128" w:type="dxa"/>
            <w:tcBorders>
              <w:top w:val="nil"/>
              <w:left w:val="nil"/>
              <w:bottom w:val="single" w:sz="4" w:space="0" w:color="auto"/>
              <w:right w:val="single" w:sz="4" w:space="0" w:color="auto"/>
            </w:tcBorders>
            <w:shd w:val="clear" w:color="000000" w:fill="FFFFFF"/>
            <w:noWrap/>
            <w:vAlign w:val="bottom"/>
            <w:hideMark/>
          </w:tcPr>
          <w:p w14:paraId="1038C473"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159,469</w:t>
            </w:r>
          </w:p>
        </w:tc>
        <w:tc>
          <w:tcPr>
            <w:tcW w:w="1016" w:type="dxa"/>
            <w:vAlign w:val="center"/>
            <w:hideMark/>
          </w:tcPr>
          <w:p w14:paraId="6CD528A5"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66C32E38" w14:textId="77777777" w:rsidTr="005B4FDE">
        <w:trPr>
          <w:trHeight w:val="300"/>
        </w:trPr>
        <w:tc>
          <w:tcPr>
            <w:tcW w:w="1128" w:type="dxa"/>
            <w:tcBorders>
              <w:top w:val="single" w:sz="4" w:space="0" w:color="auto"/>
              <w:left w:val="nil"/>
              <w:bottom w:val="single" w:sz="4" w:space="0" w:color="auto"/>
              <w:right w:val="nil"/>
            </w:tcBorders>
            <w:shd w:val="clear" w:color="000000" w:fill="FFFFFF"/>
            <w:noWrap/>
            <w:vAlign w:val="bottom"/>
            <w:hideMark/>
          </w:tcPr>
          <w:p w14:paraId="3A810030"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nil"/>
              <w:left w:val="nil"/>
              <w:bottom w:val="nil"/>
              <w:right w:val="nil"/>
            </w:tcBorders>
            <w:shd w:val="clear" w:color="000000" w:fill="FFFFFF"/>
            <w:noWrap/>
            <w:vAlign w:val="bottom"/>
            <w:hideMark/>
          </w:tcPr>
          <w:p w14:paraId="01F10237"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939" w:type="dxa"/>
            <w:tcBorders>
              <w:top w:val="single" w:sz="4" w:space="0" w:color="auto"/>
              <w:left w:val="nil"/>
              <w:bottom w:val="single" w:sz="4" w:space="0" w:color="auto"/>
              <w:right w:val="nil"/>
            </w:tcBorders>
            <w:shd w:val="clear" w:color="000000" w:fill="FFFFFF"/>
            <w:noWrap/>
            <w:vAlign w:val="bottom"/>
            <w:hideMark/>
          </w:tcPr>
          <w:p w14:paraId="15EEA41E"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7F1AC5D9"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41251A75"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4774C176"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652EA63B"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016" w:type="dxa"/>
            <w:vAlign w:val="center"/>
            <w:hideMark/>
          </w:tcPr>
          <w:p w14:paraId="49AC0185"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679FB2A9" w14:textId="77777777" w:rsidTr="005B4FDE">
        <w:trPr>
          <w:trHeight w:val="300"/>
        </w:trPr>
        <w:tc>
          <w:tcPr>
            <w:tcW w:w="11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D1118D"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27,245</w:t>
            </w:r>
          </w:p>
        </w:tc>
        <w:tc>
          <w:tcPr>
            <w:tcW w:w="35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9B4E0D" w14:textId="77777777" w:rsidR="006E1DBD" w:rsidRPr="006E1DBD" w:rsidRDefault="006E1DBD" w:rsidP="006E1DBD">
            <w:pPr>
              <w:spacing w:after="0" w:line="240" w:lineRule="auto"/>
              <w:rPr>
                <w:rFonts w:eastAsia="Times New Roman" w:cs="Calibri"/>
                <w:b/>
                <w:bCs/>
                <w:color w:val="000000"/>
                <w:sz w:val="20"/>
                <w:szCs w:val="20"/>
                <w:lang w:eastAsia="en-GB"/>
              </w:rPr>
            </w:pPr>
            <w:r w:rsidRPr="006E1DBD">
              <w:rPr>
                <w:rFonts w:eastAsia="Times New Roman" w:cs="Calibri"/>
                <w:b/>
                <w:bCs/>
                <w:color w:val="000000"/>
                <w:sz w:val="20"/>
                <w:szCs w:val="20"/>
                <w:lang w:eastAsia="en-GB"/>
              </w:rPr>
              <w:t>ENABLING SERVICES</w:t>
            </w:r>
          </w:p>
        </w:tc>
        <w:tc>
          <w:tcPr>
            <w:tcW w:w="9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0E1DEA"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31,799</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249E8801"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31,337</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70D45AB6"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30,825</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1DA8FBD8"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32,021</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76D24D88"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31,936</w:t>
            </w:r>
          </w:p>
        </w:tc>
        <w:tc>
          <w:tcPr>
            <w:tcW w:w="1016" w:type="dxa"/>
            <w:vAlign w:val="center"/>
            <w:hideMark/>
          </w:tcPr>
          <w:p w14:paraId="7CF53FDB"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7E8A68AF" w14:textId="77777777" w:rsidTr="005B4FDE">
        <w:trPr>
          <w:trHeight w:val="300"/>
        </w:trPr>
        <w:tc>
          <w:tcPr>
            <w:tcW w:w="1128" w:type="dxa"/>
            <w:tcBorders>
              <w:top w:val="single" w:sz="4" w:space="0" w:color="auto"/>
              <w:left w:val="nil"/>
              <w:bottom w:val="single" w:sz="4" w:space="0" w:color="auto"/>
              <w:right w:val="nil"/>
            </w:tcBorders>
            <w:shd w:val="clear" w:color="000000" w:fill="FFFFFF"/>
            <w:noWrap/>
            <w:vAlign w:val="bottom"/>
            <w:hideMark/>
          </w:tcPr>
          <w:p w14:paraId="7495F234"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nil"/>
              <w:left w:val="nil"/>
              <w:bottom w:val="nil"/>
              <w:right w:val="nil"/>
            </w:tcBorders>
            <w:shd w:val="clear" w:color="000000" w:fill="FFFFFF"/>
            <w:noWrap/>
            <w:vAlign w:val="bottom"/>
            <w:hideMark/>
          </w:tcPr>
          <w:p w14:paraId="3779BBEA" w14:textId="77777777" w:rsidR="006E1DBD" w:rsidRPr="006E1DBD" w:rsidRDefault="006E1DBD" w:rsidP="006E1DBD">
            <w:pPr>
              <w:spacing w:after="0" w:line="240" w:lineRule="auto"/>
              <w:rPr>
                <w:rFonts w:eastAsia="Times New Roman" w:cs="Calibri"/>
                <w:b/>
                <w:bCs/>
                <w:color w:val="000000"/>
                <w:sz w:val="20"/>
                <w:szCs w:val="20"/>
                <w:lang w:eastAsia="en-GB"/>
              </w:rPr>
            </w:pPr>
            <w:r w:rsidRPr="006E1DBD">
              <w:rPr>
                <w:rFonts w:eastAsia="Times New Roman" w:cs="Calibri"/>
                <w:b/>
                <w:bCs/>
                <w:color w:val="000000"/>
                <w:sz w:val="20"/>
                <w:szCs w:val="20"/>
                <w:lang w:eastAsia="en-GB"/>
              </w:rPr>
              <w:t> </w:t>
            </w:r>
          </w:p>
        </w:tc>
        <w:tc>
          <w:tcPr>
            <w:tcW w:w="939" w:type="dxa"/>
            <w:tcBorders>
              <w:top w:val="single" w:sz="4" w:space="0" w:color="auto"/>
              <w:left w:val="nil"/>
              <w:bottom w:val="single" w:sz="4" w:space="0" w:color="auto"/>
              <w:right w:val="nil"/>
            </w:tcBorders>
            <w:shd w:val="clear" w:color="000000" w:fill="FFFFFF"/>
            <w:noWrap/>
            <w:vAlign w:val="bottom"/>
            <w:hideMark/>
          </w:tcPr>
          <w:p w14:paraId="542ABFC5"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070BD883"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6C7DDB4D"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3352FE47"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11F1B373"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016" w:type="dxa"/>
            <w:vAlign w:val="center"/>
            <w:hideMark/>
          </w:tcPr>
          <w:p w14:paraId="007E0B76"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4BD66978" w14:textId="77777777" w:rsidTr="005B4FDE">
        <w:trPr>
          <w:trHeight w:val="300"/>
        </w:trPr>
        <w:tc>
          <w:tcPr>
            <w:tcW w:w="11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DEF1F8"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160,589</w:t>
            </w:r>
          </w:p>
        </w:tc>
        <w:tc>
          <w:tcPr>
            <w:tcW w:w="35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F587CA" w14:textId="77777777" w:rsidR="006E1DBD" w:rsidRPr="006E1DBD" w:rsidRDefault="006E1DBD" w:rsidP="006E1DBD">
            <w:pPr>
              <w:spacing w:after="0" w:line="240" w:lineRule="auto"/>
              <w:rPr>
                <w:rFonts w:eastAsia="Times New Roman" w:cs="Calibri"/>
                <w:b/>
                <w:bCs/>
                <w:color w:val="000000"/>
                <w:sz w:val="20"/>
                <w:szCs w:val="20"/>
                <w:lang w:eastAsia="en-GB"/>
              </w:rPr>
            </w:pPr>
            <w:r w:rsidRPr="006E1DBD">
              <w:rPr>
                <w:rFonts w:eastAsia="Times New Roman" w:cs="Calibri"/>
                <w:b/>
                <w:bCs/>
                <w:color w:val="000000"/>
                <w:sz w:val="20"/>
                <w:szCs w:val="20"/>
                <w:lang w:eastAsia="en-GB"/>
              </w:rPr>
              <w:t>TOTAL CHIEF CONSTABLE BUDGET</w:t>
            </w:r>
          </w:p>
        </w:tc>
        <w:tc>
          <w:tcPr>
            <w:tcW w:w="9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674247"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176,270</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136654DE"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181,300</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57D28F88"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184,475</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43D927CD"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188,443</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7CD8C3AD"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191,405</w:t>
            </w:r>
          </w:p>
        </w:tc>
        <w:tc>
          <w:tcPr>
            <w:tcW w:w="1016" w:type="dxa"/>
            <w:vAlign w:val="center"/>
            <w:hideMark/>
          </w:tcPr>
          <w:p w14:paraId="22D7CCBE"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0E743CCB" w14:textId="77777777" w:rsidTr="005B4FDE">
        <w:trPr>
          <w:trHeight w:val="300"/>
        </w:trPr>
        <w:tc>
          <w:tcPr>
            <w:tcW w:w="1128" w:type="dxa"/>
            <w:tcBorders>
              <w:top w:val="single" w:sz="4" w:space="0" w:color="auto"/>
              <w:left w:val="nil"/>
              <w:bottom w:val="single" w:sz="4" w:space="0" w:color="auto"/>
              <w:right w:val="nil"/>
            </w:tcBorders>
            <w:shd w:val="clear" w:color="000000" w:fill="FFFFFF"/>
            <w:noWrap/>
            <w:vAlign w:val="bottom"/>
            <w:hideMark/>
          </w:tcPr>
          <w:p w14:paraId="7B98EF44"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nil"/>
              <w:left w:val="nil"/>
              <w:bottom w:val="nil"/>
              <w:right w:val="nil"/>
            </w:tcBorders>
            <w:shd w:val="clear" w:color="000000" w:fill="FFFFFF"/>
            <w:noWrap/>
            <w:vAlign w:val="bottom"/>
            <w:hideMark/>
          </w:tcPr>
          <w:p w14:paraId="351FF944"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939" w:type="dxa"/>
            <w:tcBorders>
              <w:top w:val="single" w:sz="4" w:space="0" w:color="auto"/>
              <w:left w:val="nil"/>
              <w:bottom w:val="single" w:sz="4" w:space="0" w:color="auto"/>
              <w:right w:val="nil"/>
            </w:tcBorders>
            <w:shd w:val="clear" w:color="000000" w:fill="FFFFFF"/>
            <w:noWrap/>
            <w:vAlign w:val="bottom"/>
            <w:hideMark/>
          </w:tcPr>
          <w:p w14:paraId="26AA7F65"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75E6096C"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15047C3B"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681EB0FB"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7C788D4F"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016" w:type="dxa"/>
            <w:vAlign w:val="center"/>
            <w:hideMark/>
          </w:tcPr>
          <w:p w14:paraId="37D200C4"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6E69668E" w14:textId="77777777" w:rsidTr="005B4FDE">
        <w:trPr>
          <w:trHeight w:val="300"/>
        </w:trPr>
        <w:tc>
          <w:tcPr>
            <w:tcW w:w="1128" w:type="dxa"/>
            <w:tcBorders>
              <w:top w:val="single" w:sz="4" w:space="0" w:color="auto"/>
              <w:left w:val="single" w:sz="4" w:space="0" w:color="auto"/>
              <w:bottom w:val="nil"/>
              <w:right w:val="single" w:sz="4" w:space="0" w:color="auto"/>
            </w:tcBorders>
            <w:shd w:val="clear" w:color="000000" w:fill="FFFFFF"/>
            <w:noWrap/>
            <w:vAlign w:val="bottom"/>
            <w:hideMark/>
          </w:tcPr>
          <w:p w14:paraId="1C4CE634"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1,288</w:t>
            </w:r>
          </w:p>
        </w:tc>
        <w:tc>
          <w:tcPr>
            <w:tcW w:w="3550" w:type="dxa"/>
            <w:tcBorders>
              <w:top w:val="single" w:sz="4" w:space="0" w:color="auto"/>
              <w:left w:val="single" w:sz="4" w:space="0" w:color="auto"/>
              <w:bottom w:val="nil"/>
              <w:right w:val="single" w:sz="4" w:space="0" w:color="auto"/>
            </w:tcBorders>
            <w:shd w:val="clear" w:color="000000" w:fill="FFFFFF"/>
            <w:noWrap/>
            <w:vAlign w:val="bottom"/>
            <w:hideMark/>
          </w:tcPr>
          <w:p w14:paraId="4D28240B"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OPFCC (Office)</w:t>
            </w:r>
          </w:p>
        </w:tc>
        <w:tc>
          <w:tcPr>
            <w:tcW w:w="939" w:type="dxa"/>
            <w:tcBorders>
              <w:top w:val="single" w:sz="4" w:space="0" w:color="auto"/>
              <w:left w:val="single" w:sz="4" w:space="0" w:color="auto"/>
              <w:bottom w:val="nil"/>
              <w:right w:val="single" w:sz="4" w:space="0" w:color="auto"/>
            </w:tcBorders>
            <w:shd w:val="clear" w:color="000000" w:fill="FFFFFF"/>
            <w:noWrap/>
            <w:vAlign w:val="bottom"/>
            <w:hideMark/>
          </w:tcPr>
          <w:p w14:paraId="17FB9AF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1,314</w:t>
            </w:r>
          </w:p>
        </w:tc>
        <w:tc>
          <w:tcPr>
            <w:tcW w:w="1128" w:type="dxa"/>
            <w:tcBorders>
              <w:top w:val="single" w:sz="4" w:space="0" w:color="auto"/>
              <w:left w:val="nil"/>
              <w:bottom w:val="nil"/>
              <w:right w:val="single" w:sz="4" w:space="0" w:color="auto"/>
            </w:tcBorders>
            <w:shd w:val="clear" w:color="000000" w:fill="FFFFFF"/>
            <w:noWrap/>
            <w:vAlign w:val="bottom"/>
            <w:hideMark/>
          </w:tcPr>
          <w:p w14:paraId="2A745E21"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1,344</w:t>
            </w:r>
          </w:p>
        </w:tc>
        <w:tc>
          <w:tcPr>
            <w:tcW w:w="1128" w:type="dxa"/>
            <w:tcBorders>
              <w:top w:val="single" w:sz="4" w:space="0" w:color="auto"/>
              <w:left w:val="nil"/>
              <w:bottom w:val="nil"/>
              <w:right w:val="single" w:sz="4" w:space="0" w:color="auto"/>
            </w:tcBorders>
            <w:shd w:val="clear" w:color="000000" w:fill="FFFFFF"/>
            <w:noWrap/>
            <w:vAlign w:val="bottom"/>
            <w:hideMark/>
          </w:tcPr>
          <w:p w14:paraId="4D4BE983"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1,374</w:t>
            </w:r>
          </w:p>
        </w:tc>
        <w:tc>
          <w:tcPr>
            <w:tcW w:w="1128" w:type="dxa"/>
            <w:tcBorders>
              <w:top w:val="single" w:sz="4" w:space="0" w:color="auto"/>
              <w:left w:val="nil"/>
              <w:bottom w:val="nil"/>
              <w:right w:val="single" w:sz="4" w:space="0" w:color="auto"/>
            </w:tcBorders>
            <w:shd w:val="clear" w:color="000000" w:fill="FFFFFF"/>
            <w:noWrap/>
            <w:vAlign w:val="bottom"/>
            <w:hideMark/>
          </w:tcPr>
          <w:p w14:paraId="744A120A"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1,404</w:t>
            </w:r>
          </w:p>
        </w:tc>
        <w:tc>
          <w:tcPr>
            <w:tcW w:w="1128" w:type="dxa"/>
            <w:tcBorders>
              <w:top w:val="single" w:sz="4" w:space="0" w:color="auto"/>
              <w:left w:val="nil"/>
              <w:bottom w:val="nil"/>
              <w:right w:val="single" w:sz="4" w:space="0" w:color="auto"/>
            </w:tcBorders>
            <w:shd w:val="clear" w:color="000000" w:fill="FFFFFF"/>
            <w:noWrap/>
            <w:vAlign w:val="bottom"/>
            <w:hideMark/>
          </w:tcPr>
          <w:p w14:paraId="58A30676"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1,404</w:t>
            </w:r>
          </w:p>
        </w:tc>
        <w:tc>
          <w:tcPr>
            <w:tcW w:w="1016" w:type="dxa"/>
            <w:vAlign w:val="center"/>
            <w:hideMark/>
          </w:tcPr>
          <w:p w14:paraId="013BCE63"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356AC959"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5C905770"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5,018</w:t>
            </w:r>
          </w:p>
        </w:tc>
        <w:tc>
          <w:tcPr>
            <w:tcW w:w="3550" w:type="dxa"/>
            <w:tcBorders>
              <w:top w:val="nil"/>
              <w:left w:val="single" w:sz="4" w:space="0" w:color="auto"/>
              <w:bottom w:val="nil"/>
              <w:right w:val="single" w:sz="4" w:space="0" w:color="auto"/>
            </w:tcBorders>
            <w:shd w:val="clear" w:color="000000" w:fill="FFFFFF"/>
            <w:noWrap/>
            <w:vAlign w:val="bottom"/>
            <w:hideMark/>
          </w:tcPr>
          <w:p w14:paraId="287740D3"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OPFCC (Commissioning &amp; Delivery)</w:t>
            </w:r>
          </w:p>
        </w:tc>
        <w:tc>
          <w:tcPr>
            <w:tcW w:w="939" w:type="dxa"/>
            <w:tcBorders>
              <w:top w:val="nil"/>
              <w:left w:val="single" w:sz="4" w:space="0" w:color="auto"/>
              <w:bottom w:val="nil"/>
              <w:right w:val="single" w:sz="4" w:space="0" w:color="auto"/>
            </w:tcBorders>
            <w:shd w:val="clear" w:color="000000" w:fill="FFFFFF"/>
            <w:noWrap/>
            <w:vAlign w:val="bottom"/>
            <w:hideMark/>
          </w:tcPr>
          <w:p w14:paraId="01FEB007"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5,353</w:t>
            </w:r>
          </w:p>
        </w:tc>
        <w:tc>
          <w:tcPr>
            <w:tcW w:w="1128" w:type="dxa"/>
            <w:tcBorders>
              <w:top w:val="nil"/>
              <w:left w:val="nil"/>
              <w:bottom w:val="nil"/>
              <w:right w:val="single" w:sz="4" w:space="0" w:color="auto"/>
            </w:tcBorders>
            <w:shd w:val="clear" w:color="000000" w:fill="FFFFFF"/>
            <w:noWrap/>
            <w:vAlign w:val="bottom"/>
            <w:hideMark/>
          </w:tcPr>
          <w:p w14:paraId="22B3BA10"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4,953</w:t>
            </w:r>
          </w:p>
        </w:tc>
        <w:tc>
          <w:tcPr>
            <w:tcW w:w="1128" w:type="dxa"/>
            <w:tcBorders>
              <w:top w:val="nil"/>
              <w:left w:val="nil"/>
              <w:bottom w:val="nil"/>
              <w:right w:val="single" w:sz="4" w:space="0" w:color="auto"/>
            </w:tcBorders>
            <w:shd w:val="clear" w:color="000000" w:fill="FFFFFF"/>
            <w:noWrap/>
            <w:vAlign w:val="bottom"/>
            <w:hideMark/>
          </w:tcPr>
          <w:p w14:paraId="63F5B029"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4,723</w:t>
            </w:r>
          </w:p>
        </w:tc>
        <w:tc>
          <w:tcPr>
            <w:tcW w:w="1128" w:type="dxa"/>
            <w:tcBorders>
              <w:top w:val="nil"/>
              <w:left w:val="nil"/>
              <w:bottom w:val="nil"/>
              <w:right w:val="single" w:sz="4" w:space="0" w:color="auto"/>
            </w:tcBorders>
            <w:shd w:val="clear" w:color="000000" w:fill="FFFFFF"/>
            <w:noWrap/>
            <w:vAlign w:val="bottom"/>
            <w:hideMark/>
          </w:tcPr>
          <w:p w14:paraId="6373F626"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4,823</w:t>
            </w:r>
          </w:p>
        </w:tc>
        <w:tc>
          <w:tcPr>
            <w:tcW w:w="1128" w:type="dxa"/>
            <w:tcBorders>
              <w:top w:val="nil"/>
              <w:left w:val="nil"/>
              <w:bottom w:val="nil"/>
              <w:right w:val="single" w:sz="4" w:space="0" w:color="auto"/>
            </w:tcBorders>
            <w:shd w:val="clear" w:color="000000" w:fill="FFFFFF"/>
            <w:noWrap/>
            <w:vAlign w:val="bottom"/>
            <w:hideMark/>
          </w:tcPr>
          <w:p w14:paraId="72B7072A"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4,823</w:t>
            </w:r>
          </w:p>
        </w:tc>
        <w:tc>
          <w:tcPr>
            <w:tcW w:w="1016" w:type="dxa"/>
            <w:vAlign w:val="center"/>
            <w:hideMark/>
          </w:tcPr>
          <w:p w14:paraId="729ABDA8"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7277E049"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5CBB23C9"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2,102</w:t>
            </w:r>
          </w:p>
        </w:tc>
        <w:tc>
          <w:tcPr>
            <w:tcW w:w="3550" w:type="dxa"/>
            <w:tcBorders>
              <w:top w:val="nil"/>
              <w:left w:val="single" w:sz="4" w:space="0" w:color="auto"/>
              <w:bottom w:val="nil"/>
              <w:right w:val="single" w:sz="4" w:space="0" w:color="auto"/>
            </w:tcBorders>
            <w:shd w:val="clear" w:color="000000" w:fill="FFFFFF"/>
            <w:noWrap/>
            <w:vAlign w:val="bottom"/>
            <w:hideMark/>
          </w:tcPr>
          <w:p w14:paraId="1258C8AA"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Capital Financing - MRP</w:t>
            </w:r>
          </w:p>
        </w:tc>
        <w:tc>
          <w:tcPr>
            <w:tcW w:w="939" w:type="dxa"/>
            <w:tcBorders>
              <w:top w:val="nil"/>
              <w:left w:val="single" w:sz="4" w:space="0" w:color="auto"/>
              <w:bottom w:val="nil"/>
              <w:right w:val="single" w:sz="4" w:space="0" w:color="auto"/>
            </w:tcBorders>
            <w:shd w:val="clear" w:color="000000" w:fill="FFFFFF"/>
            <w:noWrap/>
            <w:vAlign w:val="bottom"/>
            <w:hideMark/>
          </w:tcPr>
          <w:p w14:paraId="7316D1C9"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2,681</w:t>
            </w:r>
          </w:p>
        </w:tc>
        <w:tc>
          <w:tcPr>
            <w:tcW w:w="1128" w:type="dxa"/>
            <w:tcBorders>
              <w:top w:val="nil"/>
              <w:left w:val="nil"/>
              <w:bottom w:val="nil"/>
              <w:right w:val="single" w:sz="4" w:space="0" w:color="auto"/>
            </w:tcBorders>
            <w:shd w:val="clear" w:color="000000" w:fill="FFFFFF"/>
            <w:noWrap/>
            <w:vAlign w:val="bottom"/>
            <w:hideMark/>
          </w:tcPr>
          <w:p w14:paraId="4D7AF66B"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3,637</w:t>
            </w:r>
          </w:p>
        </w:tc>
        <w:tc>
          <w:tcPr>
            <w:tcW w:w="1128" w:type="dxa"/>
            <w:tcBorders>
              <w:top w:val="nil"/>
              <w:left w:val="nil"/>
              <w:bottom w:val="nil"/>
              <w:right w:val="single" w:sz="4" w:space="0" w:color="auto"/>
            </w:tcBorders>
            <w:shd w:val="clear" w:color="000000" w:fill="FFFFFF"/>
            <w:noWrap/>
            <w:vAlign w:val="bottom"/>
            <w:hideMark/>
          </w:tcPr>
          <w:p w14:paraId="014C3E04"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3,807</w:t>
            </w:r>
          </w:p>
        </w:tc>
        <w:tc>
          <w:tcPr>
            <w:tcW w:w="1128" w:type="dxa"/>
            <w:tcBorders>
              <w:top w:val="nil"/>
              <w:left w:val="nil"/>
              <w:bottom w:val="nil"/>
              <w:right w:val="single" w:sz="4" w:space="0" w:color="auto"/>
            </w:tcBorders>
            <w:shd w:val="clear" w:color="000000" w:fill="FFFFFF"/>
            <w:noWrap/>
            <w:vAlign w:val="bottom"/>
            <w:hideMark/>
          </w:tcPr>
          <w:p w14:paraId="64F3DC71"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4,137</w:t>
            </w:r>
          </w:p>
        </w:tc>
        <w:tc>
          <w:tcPr>
            <w:tcW w:w="1128" w:type="dxa"/>
            <w:tcBorders>
              <w:top w:val="nil"/>
              <w:left w:val="nil"/>
              <w:bottom w:val="nil"/>
              <w:right w:val="single" w:sz="4" w:space="0" w:color="auto"/>
            </w:tcBorders>
            <w:shd w:val="clear" w:color="000000" w:fill="FFFFFF"/>
            <w:noWrap/>
            <w:vAlign w:val="bottom"/>
            <w:hideMark/>
          </w:tcPr>
          <w:p w14:paraId="7A5CD5B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5,702</w:t>
            </w:r>
          </w:p>
        </w:tc>
        <w:tc>
          <w:tcPr>
            <w:tcW w:w="1016" w:type="dxa"/>
            <w:vAlign w:val="center"/>
            <w:hideMark/>
          </w:tcPr>
          <w:p w14:paraId="567F7351"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223DE73A"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7BE44601"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496</w:t>
            </w:r>
          </w:p>
        </w:tc>
        <w:tc>
          <w:tcPr>
            <w:tcW w:w="3550" w:type="dxa"/>
            <w:tcBorders>
              <w:top w:val="nil"/>
              <w:left w:val="single" w:sz="4" w:space="0" w:color="auto"/>
              <w:bottom w:val="nil"/>
              <w:right w:val="single" w:sz="4" w:space="0" w:color="auto"/>
            </w:tcBorders>
            <w:shd w:val="clear" w:color="000000" w:fill="FFFFFF"/>
            <w:noWrap/>
            <w:vAlign w:val="bottom"/>
            <w:hideMark/>
          </w:tcPr>
          <w:p w14:paraId="7F5E8D5E"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Capital Financing - Interest</w:t>
            </w:r>
          </w:p>
        </w:tc>
        <w:tc>
          <w:tcPr>
            <w:tcW w:w="939" w:type="dxa"/>
            <w:tcBorders>
              <w:top w:val="nil"/>
              <w:left w:val="single" w:sz="4" w:space="0" w:color="auto"/>
              <w:bottom w:val="nil"/>
              <w:right w:val="single" w:sz="4" w:space="0" w:color="auto"/>
            </w:tcBorders>
            <w:shd w:val="clear" w:color="000000" w:fill="FFFFFF"/>
            <w:noWrap/>
            <w:vAlign w:val="bottom"/>
            <w:hideMark/>
          </w:tcPr>
          <w:p w14:paraId="69625CD6"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782</w:t>
            </w:r>
          </w:p>
        </w:tc>
        <w:tc>
          <w:tcPr>
            <w:tcW w:w="1128" w:type="dxa"/>
            <w:tcBorders>
              <w:top w:val="nil"/>
              <w:left w:val="nil"/>
              <w:bottom w:val="nil"/>
              <w:right w:val="single" w:sz="4" w:space="0" w:color="auto"/>
            </w:tcBorders>
            <w:shd w:val="clear" w:color="000000" w:fill="FFFFFF"/>
            <w:noWrap/>
            <w:vAlign w:val="bottom"/>
            <w:hideMark/>
          </w:tcPr>
          <w:p w14:paraId="7D906A29"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1,269</w:t>
            </w:r>
          </w:p>
        </w:tc>
        <w:tc>
          <w:tcPr>
            <w:tcW w:w="1128" w:type="dxa"/>
            <w:tcBorders>
              <w:top w:val="nil"/>
              <w:left w:val="nil"/>
              <w:bottom w:val="nil"/>
              <w:right w:val="single" w:sz="4" w:space="0" w:color="auto"/>
            </w:tcBorders>
            <w:shd w:val="clear" w:color="000000" w:fill="FFFFFF"/>
            <w:noWrap/>
            <w:vAlign w:val="bottom"/>
            <w:hideMark/>
          </w:tcPr>
          <w:p w14:paraId="2845A0BB"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1,488</w:t>
            </w:r>
          </w:p>
        </w:tc>
        <w:tc>
          <w:tcPr>
            <w:tcW w:w="1128" w:type="dxa"/>
            <w:tcBorders>
              <w:top w:val="nil"/>
              <w:left w:val="nil"/>
              <w:bottom w:val="nil"/>
              <w:right w:val="single" w:sz="4" w:space="0" w:color="auto"/>
            </w:tcBorders>
            <w:shd w:val="clear" w:color="000000" w:fill="FFFFFF"/>
            <w:noWrap/>
            <w:vAlign w:val="bottom"/>
            <w:hideMark/>
          </w:tcPr>
          <w:p w14:paraId="1233E6E6"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1,448</w:t>
            </w:r>
          </w:p>
        </w:tc>
        <w:tc>
          <w:tcPr>
            <w:tcW w:w="1128" w:type="dxa"/>
            <w:tcBorders>
              <w:top w:val="nil"/>
              <w:left w:val="nil"/>
              <w:bottom w:val="nil"/>
              <w:right w:val="single" w:sz="4" w:space="0" w:color="auto"/>
            </w:tcBorders>
            <w:shd w:val="clear" w:color="000000" w:fill="FFFFFF"/>
            <w:noWrap/>
            <w:vAlign w:val="bottom"/>
            <w:hideMark/>
          </w:tcPr>
          <w:p w14:paraId="6C2DCB89"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1,675</w:t>
            </w:r>
          </w:p>
        </w:tc>
        <w:tc>
          <w:tcPr>
            <w:tcW w:w="1016" w:type="dxa"/>
            <w:vAlign w:val="center"/>
            <w:hideMark/>
          </w:tcPr>
          <w:p w14:paraId="33E639A3"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4074AB59"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3BDC5AB6"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200</w:t>
            </w:r>
          </w:p>
        </w:tc>
        <w:tc>
          <w:tcPr>
            <w:tcW w:w="3550" w:type="dxa"/>
            <w:tcBorders>
              <w:top w:val="nil"/>
              <w:left w:val="single" w:sz="4" w:space="0" w:color="auto"/>
              <w:bottom w:val="nil"/>
              <w:right w:val="single" w:sz="4" w:space="0" w:color="auto"/>
            </w:tcBorders>
            <w:shd w:val="clear" w:color="000000" w:fill="FFFFFF"/>
            <w:noWrap/>
            <w:vAlign w:val="bottom"/>
            <w:hideMark/>
          </w:tcPr>
          <w:p w14:paraId="0F90CC44"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Capital Financing - RCCO</w:t>
            </w:r>
          </w:p>
        </w:tc>
        <w:tc>
          <w:tcPr>
            <w:tcW w:w="939" w:type="dxa"/>
            <w:tcBorders>
              <w:top w:val="nil"/>
              <w:left w:val="single" w:sz="4" w:space="0" w:color="auto"/>
              <w:bottom w:val="nil"/>
              <w:right w:val="single" w:sz="4" w:space="0" w:color="auto"/>
            </w:tcBorders>
            <w:shd w:val="clear" w:color="000000" w:fill="FFFFFF"/>
            <w:noWrap/>
            <w:vAlign w:val="bottom"/>
            <w:hideMark/>
          </w:tcPr>
          <w:p w14:paraId="40F8FF81"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1,000</w:t>
            </w:r>
          </w:p>
        </w:tc>
        <w:tc>
          <w:tcPr>
            <w:tcW w:w="1128" w:type="dxa"/>
            <w:tcBorders>
              <w:top w:val="nil"/>
              <w:left w:val="nil"/>
              <w:bottom w:val="nil"/>
              <w:right w:val="single" w:sz="4" w:space="0" w:color="auto"/>
            </w:tcBorders>
            <w:shd w:val="clear" w:color="000000" w:fill="FFFFFF"/>
            <w:noWrap/>
            <w:vAlign w:val="bottom"/>
            <w:hideMark/>
          </w:tcPr>
          <w:p w14:paraId="2B6ED78C"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1,000</w:t>
            </w:r>
          </w:p>
        </w:tc>
        <w:tc>
          <w:tcPr>
            <w:tcW w:w="1128" w:type="dxa"/>
            <w:tcBorders>
              <w:top w:val="nil"/>
              <w:left w:val="nil"/>
              <w:bottom w:val="nil"/>
              <w:right w:val="single" w:sz="4" w:space="0" w:color="auto"/>
            </w:tcBorders>
            <w:shd w:val="clear" w:color="000000" w:fill="FFFFFF"/>
            <w:noWrap/>
            <w:vAlign w:val="bottom"/>
            <w:hideMark/>
          </w:tcPr>
          <w:p w14:paraId="564FEDF9"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1,000</w:t>
            </w:r>
          </w:p>
        </w:tc>
        <w:tc>
          <w:tcPr>
            <w:tcW w:w="1128" w:type="dxa"/>
            <w:tcBorders>
              <w:top w:val="nil"/>
              <w:left w:val="nil"/>
              <w:bottom w:val="nil"/>
              <w:right w:val="single" w:sz="4" w:space="0" w:color="auto"/>
            </w:tcBorders>
            <w:shd w:val="clear" w:color="000000" w:fill="FFFFFF"/>
            <w:noWrap/>
            <w:vAlign w:val="bottom"/>
            <w:hideMark/>
          </w:tcPr>
          <w:p w14:paraId="53695AAC"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1,000</w:t>
            </w:r>
          </w:p>
        </w:tc>
        <w:tc>
          <w:tcPr>
            <w:tcW w:w="1128" w:type="dxa"/>
            <w:tcBorders>
              <w:top w:val="nil"/>
              <w:left w:val="nil"/>
              <w:bottom w:val="nil"/>
              <w:right w:val="single" w:sz="4" w:space="0" w:color="auto"/>
            </w:tcBorders>
            <w:shd w:val="clear" w:color="000000" w:fill="FFFFFF"/>
            <w:noWrap/>
            <w:vAlign w:val="bottom"/>
            <w:hideMark/>
          </w:tcPr>
          <w:p w14:paraId="0BC863EF"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1,000</w:t>
            </w:r>
          </w:p>
        </w:tc>
        <w:tc>
          <w:tcPr>
            <w:tcW w:w="1016" w:type="dxa"/>
            <w:vAlign w:val="center"/>
            <w:hideMark/>
          </w:tcPr>
          <w:p w14:paraId="21AE8D6F"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0D12D200"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56DE4EDF"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1,010</w:t>
            </w:r>
          </w:p>
        </w:tc>
        <w:tc>
          <w:tcPr>
            <w:tcW w:w="3550" w:type="dxa"/>
            <w:tcBorders>
              <w:top w:val="nil"/>
              <w:left w:val="single" w:sz="4" w:space="0" w:color="auto"/>
              <w:bottom w:val="nil"/>
              <w:right w:val="single" w:sz="4" w:space="0" w:color="auto"/>
            </w:tcBorders>
            <w:shd w:val="clear" w:color="000000" w:fill="FFFFFF"/>
            <w:noWrap/>
            <w:vAlign w:val="bottom"/>
            <w:hideMark/>
          </w:tcPr>
          <w:p w14:paraId="29849D2D"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Specific Transfers to Reserves</w:t>
            </w:r>
          </w:p>
        </w:tc>
        <w:tc>
          <w:tcPr>
            <w:tcW w:w="939" w:type="dxa"/>
            <w:tcBorders>
              <w:top w:val="nil"/>
              <w:left w:val="single" w:sz="4" w:space="0" w:color="auto"/>
              <w:bottom w:val="nil"/>
              <w:right w:val="single" w:sz="4" w:space="0" w:color="auto"/>
            </w:tcBorders>
            <w:shd w:val="clear" w:color="000000" w:fill="FFFFFF"/>
            <w:noWrap/>
            <w:vAlign w:val="bottom"/>
            <w:hideMark/>
          </w:tcPr>
          <w:p w14:paraId="5F8E8ADB"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w:t>
            </w:r>
          </w:p>
        </w:tc>
        <w:tc>
          <w:tcPr>
            <w:tcW w:w="1128" w:type="dxa"/>
            <w:tcBorders>
              <w:top w:val="nil"/>
              <w:left w:val="nil"/>
              <w:bottom w:val="nil"/>
              <w:right w:val="single" w:sz="4" w:space="0" w:color="auto"/>
            </w:tcBorders>
            <w:shd w:val="clear" w:color="000000" w:fill="FFFFFF"/>
            <w:noWrap/>
            <w:vAlign w:val="bottom"/>
            <w:hideMark/>
          </w:tcPr>
          <w:p w14:paraId="7A71E6A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100</w:t>
            </w:r>
          </w:p>
        </w:tc>
        <w:tc>
          <w:tcPr>
            <w:tcW w:w="1128" w:type="dxa"/>
            <w:tcBorders>
              <w:top w:val="nil"/>
              <w:left w:val="nil"/>
              <w:bottom w:val="nil"/>
              <w:right w:val="single" w:sz="4" w:space="0" w:color="auto"/>
            </w:tcBorders>
            <w:shd w:val="clear" w:color="000000" w:fill="FFFFFF"/>
            <w:noWrap/>
            <w:vAlign w:val="bottom"/>
            <w:hideMark/>
          </w:tcPr>
          <w:p w14:paraId="7EAA4824"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100</w:t>
            </w:r>
          </w:p>
        </w:tc>
        <w:tc>
          <w:tcPr>
            <w:tcW w:w="1128" w:type="dxa"/>
            <w:tcBorders>
              <w:top w:val="nil"/>
              <w:left w:val="nil"/>
              <w:bottom w:val="nil"/>
              <w:right w:val="single" w:sz="4" w:space="0" w:color="auto"/>
            </w:tcBorders>
            <w:shd w:val="clear" w:color="000000" w:fill="FFFFFF"/>
            <w:noWrap/>
            <w:vAlign w:val="bottom"/>
            <w:hideMark/>
          </w:tcPr>
          <w:p w14:paraId="659E8530"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100</w:t>
            </w:r>
          </w:p>
        </w:tc>
        <w:tc>
          <w:tcPr>
            <w:tcW w:w="1128" w:type="dxa"/>
            <w:tcBorders>
              <w:top w:val="nil"/>
              <w:left w:val="nil"/>
              <w:bottom w:val="nil"/>
              <w:right w:val="single" w:sz="4" w:space="0" w:color="auto"/>
            </w:tcBorders>
            <w:shd w:val="clear" w:color="000000" w:fill="FFFFFF"/>
            <w:noWrap/>
            <w:vAlign w:val="bottom"/>
            <w:hideMark/>
          </w:tcPr>
          <w:p w14:paraId="0D6862E0"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100</w:t>
            </w:r>
          </w:p>
        </w:tc>
        <w:tc>
          <w:tcPr>
            <w:tcW w:w="1016" w:type="dxa"/>
            <w:vAlign w:val="center"/>
            <w:hideMark/>
          </w:tcPr>
          <w:p w14:paraId="78A5D615"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0A585ADA" w14:textId="77777777" w:rsidTr="005B4FDE">
        <w:trPr>
          <w:trHeight w:val="300"/>
        </w:trPr>
        <w:tc>
          <w:tcPr>
            <w:tcW w:w="1128" w:type="dxa"/>
            <w:tcBorders>
              <w:top w:val="nil"/>
              <w:left w:val="single" w:sz="4" w:space="0" w:color="auto"/>
              <w:bottom w:val="single" w:sz="4" w:space="0" w:color="auto"/>
              <w:right w:val="single" w:sz="4" w:space="0" w:color="auto"/>
            </w:tcBorders>
            <w:shd w:val="clear" w:color="000000" w:fill="FFFFFF"/>
            <w:noWrap/>
            <w:vAlign w:val="bottom"/>
            <w:hideMark/>
          </w:tcPr>
          <w:p w14:paraId="260F12E8"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(2,571)</w:t>
            </w:r>
          </w:p>
        </w:tc>
        <w:tc>
          <w:tcPr>
            <w:tcW w:w="3550" w:type="dxa"/>
            <w:tcBorders>
              <w:top w:val="nil"/>
              <w:left w:val="single" w:sz="4" w:space="0" w:color="auto"/>
              <w:bottom w:val="single" w:sz="4" w:space="0" w:color="auto"/>
              <w:right w:val="single" w:sz="4" w:space="0" w:color="auto"/>
            </w:tcBorders>
            <w:shd w:val="clear" w:color="000000" w:fill="FFFFFF"/>
            <w:noWrap/>
            <w:vAlign w:val="bottom"/>
            <w:hideMark/>
          </w:tcPr>
          <w:p w14:paraId="2B551E02"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Specific Transfers from Reserves</w:t>
            </w:r>
          </w:p>
        </w:tc>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7B6CF064"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(5,452)</w:t>
            </w:r>
          </w:p>
        </w:tc>
        <w:tc>
          <w:tcPr>
            <w:tcW w:w="1128" w:type="dxa"/>
            <w:tcBorders>
              <w:top w:val="nil"/>
              <w:left w:val="nil"/>
              <w:bottom w:val="single" w:sz="4" w:space="0" w:color="auto"/>
              <w:right w:val="single" w:sz="4" w:space="0" w:color="auto"/>
            </w:tcBorders>
            <w:shd w:val="clear" w:color="000000" w:fill="FFFFFF"/>
            <w:noWrap/>
            <w:vAlign w:val="bottom"/>
            <w:hideMark/>
          </w:tcPr>
          <w:p w14:paraId="1D4F18FA"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(542)</w:t>
            </w:r>
          </w:p>
        </w:tc>
        <w:tc>
          <w:tcPr>
            <w:tcW w:w="1128" w:type="dxa"/>
            <w:tcBorders>
              <w:top w:val="nil"/>
              <w:left w:val="nil"/>
              <w:bottom w:val="single" w:sz="4" w:space="0" w:color="auto"/>
              <w:right w:val="single" w:sz="4" w:space="0" w:color="auto"/>
            </w:tcBorders>
            <w:shd w:val="clear" w:color="000000" w:fill="FFFFFF"/>
            <w:noWrap/>
            <w:vAlign w:val="bottom"/>
            <w:hideMark/>
          </w:tcPr>
          <w:p w14:paraId="7E7DF0FA"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w:t>
            </w:r>
          </w:p>
        </w:tc>
        <w:tc>
          <w:tcPr>
            <w:tcW w:w="1128" w:type="dxa"/>
            <w:tcBorders>
              <w:top w:val="nil"/>
              <w:left w:val="nil"/>
              <w:bottom w:val="single" w:sz="4" w:space="0" w:color="auto"/>
              <w:right w:val="single" w:sz="4" w:space="0" w:color="auto"/>
            </w:tcBorders>
            <w:shd w:val="clear" w:color="000000" w:fill="FFFFFF"/>
            <w:noWrap/>
            <w:vAlign w:val="bottom"/>
            <w:hideMark/>
          </w:tcPr>
          <w:p w14:paraId="4092B5EF"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w:t>
            </w:r>
          </w:p>
        </w:tc>
        <w:tc>
          <w:tcPr>
            <w:tcW w:w="1128" w:type="dxa"/>
            <w:tcBorders>
              <w:top w:val="nil"/>
              <w:left w:val="nil"/>
              <w:bottom w:val="single" w:sz="4" w:space="0" w:color="auto"/>
              <w:right w:val="single" w:sz="4" w:space="0" w:color="auto"/>
            </w:tcBorders>
            <w:shd w:val="clear" w:color="000000" w:fill="FFFFFF"/>
            <w:noWrap/>
            <w:vAlign w:val="bottom"/>
            <w:hideMark/>
          </w:tcPr>
          <w:p w14:paraId="575A6944"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w:t>
            </w:r>
          </w:p>
        </w:tc>
        <w:tc>
          <w:tcPr>
            <w:tcW w:w="1016" w:type="dxa"/>
            <w:vAlign w:val="center"/>
            <w:hideMark/>
          </w:tcPr>
          <w:p w14:paraId="42852E91"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33A7A5A9" w14:textId="77777777" w:rsidTr="005B4FDE">
        <w:trPr>
          <w:trHeight w:val="300"/>
        </w:trPr>
        <w:tc>
          <w:tcPr>
            <w:tcW w:w="1128" w:type="dxa"/>
            <w:tcBorders>
              <w:top w:val="single" w:sz="4" w:space="0" w:color="auto"/>
              <w:left w:val="nil"/>
              <w:bottom w:val="single" w:sz="4" w:space="0" w:color="auto"/>
              <w:right w:val="nil"/>
            </w:tcBorders>
            <w:shd w:val="clear" w:color="000000" w:fill="FFFFFF"/>
            <w:noWrap/>
            <w:vAlign w:val="bottom"/>
            <w:hideMark/>
          </w:tcPr>
          <w:p w14:paraId="7AA21F6E"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nil"/>
              <w:left w:val="nil"/>
              <w:bottom w:val="nil"/>
              <w:right w:val="nil"/>
            </w:tcBorders>
            <w:shd w:val="clear" w:color="000000" w:fill="FFFFFF"/>
            <w:noWrap/>
            <w:vAlign w:val="bottom"/>
            <w:hideMark/>
          </w:tcPr>
          <w:p w14:paraId="389CAEAE"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939" w:type="dxa"/>
            <w:tcBorders>
              <w:top w:val="single" w:sz="4" w:space="0" w:color="auto"/>
              <w:left w:val="nil"/>
              <w:bottom w:val="single" w:sz="4" w:space="0" w:color="auto"/>
              <w:right w:val="nil"/>
            </w:tcBorders>
            <w:shd w:val="clear" w:color="000000" w:fill="FFFFFF"/>
            <w:noWrap/>
            <w:vAlign w:val="bottom"/>
            <w:hideMark/>
          </w:tcPr>
          <w:p w14:paraId="6DE61C74"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2FDE86C7"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06E544DB"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248F40C1"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26B3F29F"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016" w:type="dxa"/>
            <w:vAlign w:val="center"/>
            <w:hideMark/>
          </w:tcPr>
          <w:p w14:paraId="606F94AD"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5B1AC2E9" w14:textId="77777777" w:rsidTr="005B4FDE">
        <w:trPr>
          <w:trHeight w:val="300"/>
        </w:trPr>
        <w:tc>
          <w:tcPr>
            <w:tcW w:w="11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8B250D"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7,543</w:t>
            </w:r>
          </w:p>
        </w:tc>
        <w:tc>
          <w:tcPr>
            <w:tcW w:w="35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1949B4" w14:textId="77777777" w:rsidR="006E1DBD" w:rsidRPr="006E1DBD" w:rsidRDefault="006E1DBD" w:rsidP="006E1DBD">
            <w:pPr>
              <w:spacing w:after="0" w:line="240" w:lineRule="auto"/>
              <w:rPr>
                <w:rFonts w:eastAsia="Times New Roman" w:cs="Calibri"/>
                <w:b/>
                <w:bCs/>
                <w:color w:val="000000"/>
                <w:sz w:val="20"/>
                <w:szCs w:val="20"/>
                <w:lang w:eastAsia="en-GB"/>
              </w:rPr>
            </w:pPr>
            <w:r w:rsidRPr="006E1DBD">
              <w:rPr>
                <w:rFonts w:eastAsia="Times New Roman" w:cs="Calibri"/>
                <w:b/>
                <w:bCs/>
                <w:color w:val="000000"/>
                <w:sz w:val="20"/>
                <w:szCs w:val="20"/>
                <w:lang w:eastAsia="en-GB"/>
              </w:rPr>
              <w:t>OTHER (Inc. OPFCC &amp; Capital Financing)</w:t>
            </w:r>
          </w:p>
        </w:tc>
        <w:tc>
          <w:tcPr>
            <w:tcW w:w="9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2D3A08"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5,678</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3518353A"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11,761</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7CBEB055"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12,492</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3A7FAAE9"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12,912</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4ECC7433"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14,704</w:t>
            </w:r>
          </w:p>
        </w:tc>
        <w:tc>
          <w:tcPr>
            <w:tcW w:w="1016" w:type="dxa"/>
            <w:vAlign w:val="center"/>
            <w:hideMark/>
          </w:tcPr>
          <w:p w14:paraId="1492B447"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1DED9FC1" w14:textId="77777777" w:rsidTr="005B4FDE">
        <w:trPr>
          <w:trHeight w:val="300"/>
        </w:trPr>
        <w:tc>
          <w:tcPr>
            <w:tcW w:w="1128" w:type="dxa"/>
            <w:tcBorders>
              <w:top w:val="single" w:sz="4" w:space="0" w:color="auto"/>
              <w:left w:val="nil"/>
              <w:bottom w:val="single" w:sz="4" w:space="0" w:color="auto"/>
              <w:right w:val="nil"/>
            </w:tcBorders>
            <w:shd w:val="clear" w:color="000000" w:fill="FFFFFF"/>
            <w:noWrap/>
            <w:vAlign w:val="bottom"/>
            <w:hideMark/>
          </w:tcPr>
          <w:p w14:paraId="2CB44A8C"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nil"/>
              <w:left w:val="nil"/>
              <w:bottom w:val="nil"/>
              <w:right w:val="nil"/>
            </w:tcBorders>
            <w:shd w:val="clear" w:color="000000" w:fill="FFFFFF"/>
            <w:noWrap/>
            <w:vAlign w:val="bottom"/>
            <w:hideMark/>
          </w:tcPr>
          <w:p w14:paraId="1B9CB7E6"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939" w:type="dxa"/>
            <w:tcBorders>
              <w:top w:val="single" w:sz="4" w:space="0" w:color="auto"/>
              <w:left w:val="nil"/>
              <w:bottom w:val="single" w:sz="4" w:space="0" w:color="auto"/>
              <w:right w:val="nil"/>
            </w:tcBorders>
            <w:shd w:val="clear" w:color="000000" w:fill="FFFFFF"/>
            <w:noWrap/>
            <w:vAlign w:val="bottom"/>
            <w:hideMark/>
          </w:tcPr>
          <w:p w14:paraId="6647C0A1"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69B5C4AA"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7D46A856"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1AB4F1BE"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2AAABB4D"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016" w:type="dxa"/>
            <w:vAlign w:val="center"/>
            <w:hideMark/>
          </w:tcPr>
          <w:p w14:paraId="72E03211"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75C2F876"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4016600B"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946</w:t>
            </w:r>
          </w:p>
        </w:tc>
        <w:tc>
          <w:tcPr>
            <w:tcW w:w="3550" w:type="dxa"/>
            <w:tcBorders>
              <w:top w:val="single" w:sz="4" w:space="0" w:color="auto"/>
              <w:left w:val="single" w:sz="4" w:space="0" w:color="auto"/>
              <w:bottom w:val="nil"/>
              <w:right w:val="single" w:sz="4" w:space="0" w:color="auto"/>
            </w:tcBorders>
            <w:shd w:val="clear" w:color="000000" w:fill="FFFFFF"/>
            <w:noWrap/>
            <w:vAlign w:val="bottom"/>
            <w:hideMark/>
          </w:tcPr>
          <w:p w14:paraId="356F50ED" w14:textId="77777777" w:rsidR="006E1DBD" w:rsidRPr="006E1DBD" w:rsidRDefault="006E1DBD" w:rsidP="006E1DBD">
            <w:pPr>
              <w:spacing w:after="0" w:line="240" w:lineRule="auto"/>
              <w:rPr>
                <w:rFonts w:eastAsia="Times New Roman" w:cs="Calibri"/>
                <w:sz w:val="20"/>
                <w:szCs w:val="20"/>
                <w:lang w:eastAsia="en-GB"/>
              </w:rPr>
            </w:pPr>
            <w:r w:rsidRPr="006E1DBD">
              <w:rPr>
                <w:rFonts w:eastAsia="Times New Roman" w:cs="Calibri"/>
                <w:sz w:val="20"/>
                <w:szCs w:val="20"/>
                <w:lang w:eastAsia="en-GB"/>
              </w:rPr>
              <w:t>New Investment Proposals</w:t>
            </w:r>
          </w:p>
        </w:tc>
        <w:tc>
          <w:tcPr>
            <w:tcW w:w="939" w:type="dxa"/>
            <w:tcBorders>
              <w:top w:val="single" w:sz="4" w:space="0" w:color="auto"/>
              <w:left w:val="single" w:sz="4" w:space="0" w:color="auto"/>
              <w:bottom w:val="nil"/>
              <w:right w:val="single" w:sz="4" w:space="0" w:color="auto"/>
            </w:tcBorders>
            <w:shd w:val="clear" w:color="000000" w:fill="FFFFFF"/>
            <w:noWrap/>
            <w:vAlign w:val="bottom"/>
            <w:hideMark/>
          </w:tcPr>
          <w:p w14:paraId="0A806027"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1,823</w:t>
            </w:r>
          </w:p>
        </w:tc>
        <w:tc>
          <w:tcPr>
            <w:tcW w:w="1128" w:type="dxa"/>
            <w:tcBorders>
              <w:top w:val="single" w:sz="4" w:space="0" w:color="auto"/>
              <w:left w:val="nil"/>
              <w:bottom w:val="nil"/>
              <w:right w:val="single" w:sz="4" w:space="0" w:color="auto"/>
            </w:tcBorders>
            <w:shd w:val="clear" w:color="000000" w:fill="FFFFFF"/>
            <w:noWrap/>
            <w:vAlign w:val="bottom"/>
            <w:hideMark/>
          </w:tcPr>
          <w:p w14:paraId="79F579A7"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1,678</w:t>
            </w:r>
          </w:p>
        </w:tc>
        <w:tc>
          <w:tcPr>
            <w:tcW w:w="1128" w:type="dxa"/>
            <w:tcBorders>
              <w:top w:val="single" w:sz="4" w:space="0" w:color="auto"/>
              <w:left w:val="nil"/>
              <w:bottom w:val="nil"/>
              <w:right w:val="single" w:sz="4" w:space="0" w:color="auto"/>
            </w:tcBorders>
            <w:shd w:val="clear" w:color="000000" w:fill="FFFFFF"/>
            <w:noWrap/>
            <w:vAlign w:val="bottom"/>
            <w:hideMark/>
          </w:tcPr>
          <w:p w14:paraId="5948F26E"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1,678</w:t>
            </w:r>
          </w:p>
        </w:tc>
        <w:tc>
          <w:tcPr>
            <w:tcW w:w="1128" w:type="dxa"/>
            <w:tcBorders>
              <w:top w:val="single" w:sz="4" w:space="0" w:color="auto"/>
              <w:left w:val="nil"/>
              <w:bottom w:val="nil"/>
              <w:right w:val="single" w:sz="4" w:space="0" w:color="auto"/>
            </w:tcBorders>
            <w:shd w:val="clear" w:color="000000" w:fill="FFFFFF"/>
            <w:noWrap/>
            <w:vAlign w:val="bottom"/>
            <w:hideMark/>
          </w:tcPr>
          <w:p w14:paraId="5E893C0D"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1,678</w:t>
            </w:r>
          </w:p>
        </w:tc>
        <w:tc>
          <w:tcPr>
            <w:tcW w:w="1128" w:type="dxa"/>
            <w:tcBorders>
              <w:top w:val="single" w:sz="4" w:space="0" w:color="auto"/>
              <w:left w:val="nil"/>
              <w:bottom w:val="nil"/>
              <w:right w:val="single" w:sz="4" w:space="0" w:color="auto"/>
            </w:tcBorders>
            <w:shd w:val="clear" w:color="000000" w:fill="FFFFFF"/>
            <w:noWrap/>
            <w:vAlign w:val="bottom"/>
            <w:hideMark/>
          </w:tcPr>
          <w:p w14:paraId="51D1B39C"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1,088</w:t>
            </w:r>
          </w:p>
        </w:tc>
        <w:tc>
          <w:tcPr>
            <w:tcW w:w="1016" w:type="dxa"/>
            <w:vAlign w:val="center"/>
            <w:hideMark/>
          </w:tcPr>
          <w:p w14:paraId="74E44F4B"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3196847A"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53C2CFC3"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(500)</w:t>
            </w:r>
          </w:p>
        </w:tc>
        <w:tc>
          <w:tcPr>
            <w:tcW w:w="3550" w:type="dxa"/>
            <w:tcBorders>
              <w:top w:val="nil"/>
              <w:left w:val="single" w:sz="4" w:space="0" w:color="auto"/>
              <w:bottom w:val="nil"/>
              <w:right w:val="single" w:sz="4" w:space="0" w:color="auto"/>
            </w:tcBorders>
            <w:shd w:val="clear" w:color="000000" w:fill="FFFFFF"/>
            <w:noWrap/>
            <w:vAlign w:val="bottom"/>
            <w:hideMark/>
          </w:tcPr>
          <w:p w14:paraId="73A94048" w14:textId="77777777" w:rsidR="006E1DBD" w:rsidRPr="006E1DBD" w:rsidRDefault="006E1DBD" w:rsidP="006E1DBD">
            <w:pPr>
              <w:spacing w:after="0" w:line="240" w:lineRule="auto"/>
              <w:rPr>
                <w:rFonts w:eastAsia="Times New Roman" w:cs="Calibri"/>
                <w:sz w:val="20"/>
                <w:szCs w:val="20"/>
                <w:lang w:eastAsia="en-GB"/>
              </w:rPr>
            </w:pPr>
            <w:r w:rsidRPr="006E1DBD">
              <w:rPr>
                <w:rFonts w:eastAsia="Times New Roman" w:cs="Calibri"/>
                <w:sz w:val="20"/>
                <w:szCs w:val="20"/>
                <w:lang w:eastAsia="en-GB"/>
              </w:rPr>
              <w:t>Minimum Savings Target</w:t>
            </w:r>
          </w:p>
        </w:tc>
        <w:tc>
          <w:tcPr>
            <w:tcW w:w="939" w:type="dxa"/>
            <w:tcBorders>
              <w:top w:val="nil"/>
              <w:left w:val="single" w:sz="4" w:space="0" w:color="auto"/>
              <w:bottom w:val="nil"/>
              <w:right w:val="single" w:sz="4" w:space="0" w:color="auto"/>
            </w:tcBorders>
            <w:shd w:val="clear" w:color="000000" w:fill="FFFFFF"/>
            <w:noWrap/>
            <w:vAlign w:val="bottom"/>
            <w:hideMark/>
          </w:tcPr>
          <w:p w14:paraId="3F13FF32"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(803)</w:t>
            </w:r>
          </w:p>
        </w:tc>
        <w:tc>
          <w:tcPr>
            <w:tcW w:w="1128" w:type="dxa"/>
            <w:tcBorders>
              <w:top w:val="nil"/>
              <w:left w:val="nil"/>
              <w:bottom w:val="nil"/>
              <w:right w:val="single" w:sz="4" w:space="0" w:color="auto"/>
            </w:tcBorders>
            <w:shd w:val="clear" w:color="000000" w:fill="FFFFFF"/>
            <w:noWrap/>
            <w:vAlign w:val="bottom"/>
            <w:hideMark/>
          </w:tcPr>
          <w:p w14:paraId="7D31F082"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(1,684)</w:t>
            </w:r>
          </w:p>
        </w:tc>
        <w:tc>
          <w:tcPr>
            <w:tcW w:w="1128" w:type="dxa"/>
            <w:tcBorders>
              <w:top w:val="nil"/>
              <w:left w:val="nil"/>
              <w:bottom w:val="nil"/>
              <w:right w:val="single" w:sz="4" w:space="0" w:color="auto"/>
            </w:tcBorders>
            <w:shd w:val="clear" w:color="000000" w:fill="FFFFFF"/>
            <w:noWrap/>
            <w:vAlign w:val="bottom"/>
            <w:hideMark/>
          </w:tcPr>
          <w:p w14:paraId="7FE4B923"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(2,591)</w:t>
            </w:r>
          </w:p>
        </w:tc>
        <w:tc>
          <w:tcPr>
            <w:tcW w:w="1128" w:type="dxa"/>
            <w:tcBorders>
              <w:top w:val="nil"/>
              <w:left w:val="nil"/>
              <w:bottom w:val="nil"/>
              <w:right w:val="single" w:sz="4" w:space="0" w:color="auto"/>
            </w:tcBorders>
            <w:shd w:val="clear" w:color="000000" w:fill="FFFFFF"/>
            <w:noWrap/>
            <w:vAlign w:val="bottom"/>
            <w:hideMark/>
          </w:tcPr>
          <w:p w14:paraId="049F751F"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(3,513)</w:t>
            </w:r>
          </w:p>
        </w:tc>
        <w:tc>
          <w:tcPr>
            <w:tcW w:w="1128" w:type="dxa"/>
            <w:tcBorders>
              <w:top w:val="nil"/>
              <w:left w:val="nil"/>
              <w:bottom w:val="nil"/>
              <w:right w:val="single" w:sz="4" w:space="0" w:color="auto"/>
            </w:tcBorders>
            <w:shd w:val="clear" w:color="000000" w:fill="FFFFFF"/>
            <w:noWrap/>
            <w:vAlign w:val="bottom"/>
            <w:hideMark/>
          </w:tcPr>
          <w:p w14:paraId="745CCE0C"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(4,455)</w:t>
            </w:r>
          </w:p>
        </w:tc>
        <w:tc>
          <w:tcPr>
            <w:tcW w:w="1016" w:type="dxa"/>
            <w:vAlign w:val="center"/>
            <w:hideMark/>
          </w:tcPr>
          <w:p w14:paraId="27598D82"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23322210" w14:textId="77777777" w:rsidTr="005B4FDE">
        <w:trPr>
          <w:trHeight w:val="300"/>
        </w:trPr>
        <w:tc>
          <w:tcPr>
            <w:tcW w:w="1128" w:type="dxa"/>
            <w:tcBorders>
              <w:top w:val="nil"/>
              <w:left w:val="single" w:sz="4" w:space="0" w:color="auto"/>
              <w:bottom w:val="single" w:sz="4" w:space="0" w:color="auto"/>
              <w:right w:val="single" w:sz="4" w:space="0" w:color="auto"/>
            </w:tcBorders>
            <w:shd w:val="clear" w:color="000000" w:fill="FFFFFF"/>
            <w:noWrap/>
            <w:vAlign w:val="bottom"/>
            <w:hideMark/>
          </w:tcPr>
          <w:p w14:paraId="76650466"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w:t>
            </w:r>
          </w:p>
        </w:tc>
        <w:tc>
          <w:tcPr>
            <w:tcW w:w="3550" w:type="dxa"/>
            <w:tcBorders>
              <w:top w:val="nil"/>
              <w:left w:val="single" w:sz="4" w:space="0" w:color="auto"/>
              <w:bottom w:val="single" w:sz="4" w:space="0" w:color="auto"/>
              <w:right w:val="single" w:sz="4" w:space="0" w:color="auto"/>
            </w:tcBorders>
            <w:shd w:val="clear" w:color="000000" w:fill="FFFFFF"/>
            <w:noWrap/>
            <w:vAlign w:val="bottom"/>
            <w:hideMark/>
          </w:tcPr>
          <w:p w14:paraId="1C66B338" w14:textId="77777777" w:rsidR="006E1DBD" w:rsidRPr="006E1DBD" w:rsidRDefault="006E1DBD" w:rsidP="006E1DBD">
            <w:pPr>
              <w:spacing w:after="0" w:line="240" w:lineRule="auto"/>
              <w:rPr>
                <w:rFonts w:eastAsia="Times New Roman" w:cs="Calibri"/>
                <w:sz w:val="20"/>
                <w:szCs w:val="20"/>
                <w:lang w:eastAsia="en-GB"/>
              </w:rPr>
            </w:pPr>
            <w:r w:rsidRPr="006E1DBD">
              <w:rPr>
                <w:rFonts w:eastAsia="Times New Roman" w:cs="Calibri"/>
                <w:sz w:val="20"/>
                <w:szCs w:val="20"/>
                <w:lang w:eastAsia="en-GB"/>
              </w:rPr>
              <w:t>Further Savings/Efficiencies Requirement</w:t>
            </w:r>
          </w:p>
        </w:tc>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2AF6300E"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w:t>
            </w:r>
          </w:p>
        </w:tc>
        <w:tc>
          <w:tcPr>
            <w:tcW w:w="1128" w:type="dxa"/>
            <w:tcBorders>
              <w:top w:val="nil"/>
              <w:left w:val="nil"/>
              <w:bottom w:val="single" w:sz="4" w:space="0" w:color="auto"/>
              <w:right w:val="single" w:sz="4" w:space="0" w:color="auto"/>
            </w:tcBorders>
            <w:shd w:val="clear" w:color="000000" w:fill="FFFFFF"/>
            <w:noWrap/>
            <w:vAlign w:val="bottom"/>
            <w:hideMark/>
          </w:tcPr>
          <w:p w14:paraId="419E5237"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(1,678)</w:t>
            </w:r>
          </w:p>
        </w:tc>
        <w:tc>
          <w:tcPr>
            <w:tcW w:w="1128" w:type="dxa"/>
            <w:tcBorders>
              <w:top w:val="nil"/>
              <w:left w:val="nil"/>
              <w:bottom w:val="single" w:sz="4" w:space="0" w:color="auto"/>
              <w:right w:val="single" w:sz="4" w:space="0" w:color="auto"/>
            </w:tcBorders>
            <w:shd w:val="clear" w:color="000000" w:fill="FFFFFF"/>
            <w:noWrap/>
            <w:vAlign w:val="bottom"/>
            <w:hideMark/>
          </w:tcPr>
          <w:p w14:paraId="71C4EC9B"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(1,678)</w:t>
            </w:r>
          </w:p>
        </w:tc>
        <w:tc>
          <w:tcPr>
            <w:tcW w:w="1128" w:type="dxa"/>
            <w:tcBorders>
              <w:top w:val="nil"/>
              <w:left w:val="nil"/>
              <w:bottom w:val="single" w:sz="4" w:space="0" w:color="auto"/>
              <w:right w:val="single" w:sz="4" w:space="0" w:color="auto"/>
            </w:tcBorders>
            <w:shd w:val="clear" w:color="000000" w:fill="FFFFFF"/>
            <w:noWrap/>
            <w:vAlign w:val="bottom"/>
            <w:hideMark/>
          </w:tcPr>
          <w:p w14:paraId="2AB5F457"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(1,678)</w:t>
            </w:r>
          </w:p>
        </w:tc>
        <w:tc>
          <w:tcPr>
            <w:tcW w:w="1128" w:type="dxa"/>
            <w:tcBorders>
              <w:top w:val="nil"/>
              <w:left w:val="nil"/>
              <w:bottom w:val="single" w:sz="4" w:space="0" w:color="auto"/>
              <w:right w:val="single" w:sz="4" w:space="0" w:color="auto"/>
            </w:tcBorders>
            <w:shd w:val="clear" w:color="000000" w:fill="FFFFFF"/>
            <w:noWrap/>
            <w:vAlign w:val="bottom"/>
            <w:hideMark/>
          </w:tcPr>
          <w:p w14:paraId="216B752A"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(1,088)</w:t>
            </w:r>
          </w:p>
        </w:tc>
        <w:tc>
          <w:tcPr>
            <w:tcW w:w="1016" w:type="dxa"/>
            <w:vAlign w:val="center"/>
            <w:hideMark/>
          </w:tcPr>
          <w:p w14:paraId="327A91A4"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2CB13B7D" w14:textId="77777777" w:rsidTr="005B4FDE">
        <w:trPr>
          <w:trHeight w:val="300"/>
        </w:trPr>
        <w:tc>
          <w:tcPr>
            <w:tcW w:w="1128" w:type="dxa"/>
            <w:tcBorders>
              <w:top w:val="single" w:sz="4" w:space="0" w:color="auto"/>
              <w:left w:val="nil"/>
              <w:bottom w:val="nil"/>
              <w:right w:val="nil"/>
            </w:tcBorders>
            <w:shd w:val="clear" w:color="000000" w:fill="FFFFFF"/>
            <w:noWrap/>
            <w:vAlign w:val="bottom"/>
            <w:hideMark/>
          </w:tcPr>
          <w:p w14:paraId="55517F5A"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nil"/>
              <w:left w:val="nil"/>
              <w:bottom w:val="nil"/>
              <w:right w:val="nil"/>
            </w:tcBorders>
            <w:shd w:val="clear" w:color="000000" w:fill="FFFFFF"/>
            <w:noWrap/>
            <w:vAlign w:val="bottom"/>
            <w:hideMark/>
          </w:tcPr>
          <w:p w14:paraId="328F7ABC"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939" w:type="dxa"/>
            <w:tcBorders>
              <w:top w:val="single" w:sz="4" w:space="0" w:color="auto"/>
              <w:left w:val="nil"/>
              <w:bottom w:val="nil"/>
              <w:right w:val="nil"/>
            </w:tcBorders>
            <w:shd w:val="clear" w:color="000000" w:fill="FFFFFF"/>
            <w:noWrap/>
            <w:vAlign w:val="bottom"/>
            <w:hideMark/>
          </w:tcPr>
          <w:p w14:paraId="45644C5F"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nil"/>
              <w:right w:val="nil"/>
            </w:tcBorders>
            <w:shd w:val="clear" w:color="000000" w:fill="FFFFFF"/>
            <w:noWrap/>
            <w:vAlign w:val="bottom"/>
            <w:hideMark/>
          </w:tcPr>
          <w:p w14:paraId="33D2BCB1"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nil"/>
              <w:right w:val="nil"/>
            </w:tcBorders>
            <w:shd w:val="clear" w:color="000000" w:fill="FFFFFF"/>
            <w:noWrap/>
            <w:vAlign w:val="bottom"/>
            <w:hideMark/>
          </w:tcPr>
          <w:p w14:paraId="369DA685"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nil"/>
              <w:right w:val="nil"/>
            </w:tcBorders>
            <w:shd w:val="clear" w:color="000000" w:fill="FFFFFF"/>
            <w:noWrap/>
            <w:vAlign w:val="bottom"/>
            <w:hideMark/>
          </w:tcPr>
          <w:p w14:paraId="590A1C73"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single" w:sz="4" w:space="0" w:color="auto"/>
              <w:left w:val="nil"/>
              <w:bottom w:val="nil"/>
              <w:right w:val="nil"/>
            </w:tcBorders>
            <w:shd w:val="clear" w:color="000000" w:fill="FFFFFF"/>
            <w:noWrap/>
            <w:vAlign w:val="bottom"/>
            <w:hideMark/>
          </w:tcPr>
          <w:p w14:paraId="73F24356"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016" w:type="dxa"/>
            <w:vAlign w:val="center"/>
            <w:hideMark/>
          </w:tcPr>
          <w:p w14:paraId="300E3919"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27E303F6" w14:textId="77777777" w:rsidTr="005B4FDE">
        <w:trPr>
          <w:trHeight w:val="315"/>
        </w:trPr>
        <w:tc>
          <w:tcPr>
            <w:tcW w:w="1128"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26440839" w14:textId="77777777" w:rsidR="006E1DBD" w:rsidRPr="006E1DBD" w:rsidRDefault="006E1DBD" w:rsidP="005B4FDE">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168,578</w:t>
            </w:r>
          </w:p>
        </w:tc>
        <w:tc>
          <w:tcPr>
            <w:tcW w:w="3550"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1AFC3612" w14:textId="77777777" w:rsidR="006E1DBD" w:rsidRPr="006E1DBD" w:rsidRDefault="006E1DBD" w:rsidP="005B4FDE">
            <w:pPr>
              <w:spacing w:after="0" w:line="240" w:lineRule="auto"/>
              <w:rPr>
                <w:rFonts w:eastAsia="Times New Roman" w:cs="Calibri"/>
                <w:b/>
                <w:bCs/>
                <w:color w:val="000000"/>
                <w:sz w:val="20"/>
                <w:szCs w:val="20"/>
                <w:lang w:eastAsia="en-GB"/>
              </w:rPr>
            </w:pPr>
            <w:r w:rsidRPr="006E1DBD">
              <w:rPr>
                <w:rFonts w:eastAsia="Times New Roman" w:cs="Calibri"/>
                <w:b/>
                <w:bCs/>
                <w:color w:val="000000"/>
                <w:sz w:val="20"/>
                <w:szCs w:val="20"/>
                <w:lang w:eastAsia="en-GB"/>
              </w:rPr>
              <w:t>TOTAL GROUP</w:t>
            </w:r>
          </w:p>
        </w:tc>
        <w:tc>
          <w:tcPr>
            <w:tcW w:w="939"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58B30F54" w14:textId="77777777" w:rsidR="006E1DBD" w:rsidRPr="006E1DBD" w:rsidRDefault="006E1DBD" w:rsidP="005B4FDE">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182,968</w:t>
            </w:r>
          </w:p>
        </w:tc>
        <w:tc>
          <w:tcPr>
            <w:tcW w:w="1128" w:type="dxa"/>
            <w:tcBorders>
              <w:top w:val="single" w:sz="4" w:space="0" w:color="auto"/>
              <w:left w:val="nil"/>
              <w:bottom w:val="single" w:sz="8" w:space="0" w:color="auto"/>
              <w:right w:val="single" w:sz="4" w:space="0" w:color="auto"/>
            </w:tcBorders>
            <w:shd w:val="clear" w:color="000000" w:fill="FFFFFF"/>
            <w:noWrap/>
            <w:vAlign w:val="center"/>
            <w:hideMark/>
          </w:tcPr>
          <w:p w14:paraId="685FEB98" w14:textId="77777777" w:rsidR="006E1DBD" w:rsidRPr="006E1DBD" w:rsidRDefault="006E1DBD" w:rsidP="005B4FDE">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191,376</w:t>
            </w:r>
          </w:p>
        </w:tc>
        <w:tc>
          <w:tcPr>
            <w:tcW w:w="1128" w:type="dxa"/>
            <w:tcBorders>
              <w:top w:val="single" w:sz="4" w:space="0" w:color="auto"/>
              <w:left w:val="nil"/>
              <w:bottom w:val="single" w:sz="8" w:space="0" w:color="auto"/>
              <w:right w:val="single" w:sz="4" w:space="0" w:color="auto"/>
            </w:tcBorders>
            <w:shd w:val="clear" w:color="000000" w:fill="FFFFFF"/>
            <w:noWrap/>
            <w:vAlign w:val="center"/>
            <w:hideMark/>
          </w:tcPr>
          <w:p w14:paraId="42DE1D81" w14:textId="77777777" w:rsidR="006E1DBD" w:rsidRPr="006E1DBD" w:rsidRDefault="006E1DBD" w:rsidP="005B4FDE">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194,376</w:t>
            </w:r>
          </w:p>
        </w:tc>
        <w:tc>
          <w:tcPr>
            <w:tcW w:w="1128" w:type="dxa"/>
            <w:tcBorders>
              <w:top w:val="single" w:sz="4" w:space="0" w:color="auto"/>
              <w:left w:val="nil"/>
              <w:bottom w:val="single" w:sz="8" w:space="0" w:color="auto"/>
              <w:right w:val="single" w:sz="4" w:space="0" w:color="auto"/>
            </w:tcBorders>
            <w:shd w:val="clear" w:color="000000" w:fill="FFFFFF"/>
            <w:noWrap/>
            <w:vAlign w:val="center"/>
            <w:hideMark/>
          </w:tcPr>
          <w:p w14:paraId="5E1EBE4B" w14:textId="77777777" w:rsidR="006E1DBD" w:rsidRPr="006E1DBD" w:rsidRDefault="006E1DBD" w:rsidP="005B4FDE">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197,841</w:t>
            </w:r>
          </w:p>
        </w:tc>
        <w:tc>
          <w:tcPr>
            <w:tcW w:w="1128" w:type="dxa"/>
            <w:tcBorders>
              <w:top w:val="single" w:sz="4" w:space="0" w:color="auto"/>
              <w:left w:val="nil"/>
              <w:bottom w:val="single" w:sz="8" w:space="0" w:color="auto"/>
              <w:right w:val="single" w:sz="4" w:space="0" w:color="auto"/>
            </w:tcBorders>
            <w:shd w:val="clear" w:color="000000" w:fill="FFFFFF"/>
            <w:noWrap/>
            <w:vAlign w:val="center"/>
            <w:hideMark/>
          </w:tcPr>
          <w:p w14:paraId="5C773AAE" w14:textId="77777777" w:rsidR="006E1DBD" w:rsidRPr="006E1DBD" w:rsidRDefault="006E1DBD" w:rsidP="005B4FDE">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201,653</w:t>
            </w:r>
          </w:p>
        </w:tc>
        <w:tc>
          <w:tcPr>
            <w:tcW w:w="1016" w:type="dxa"/>
            <w:vAlign w:val="center"/>
            <w:hideMark/>
          </w:tcPr>
          <w:p w14:paraId="65131394" w14:textId="77777777" w:rsidR="006E1DBD" w:rsidRPr="006E1DBD" w:rsidRDefault="006E1DBD" w:rsidP="005B4FDE">
            <w:pPr>
              <w:spacing w:after="0" w:line="240" w:lineRule="auto"/>
              <w:jc w:val="right"/>
              <w:rPr>
                <w:rFonts w:ascii="Times New Roman" w:eastAsia="Times New Roman" w:hAnsi="Times New Roman"/>
                <w:sz w:val="20"/>
                <w:szCs w:val="20"/>
                <w:lang w:eastAsia="en-GB"/>
              </w:rPr>
            </w:pPr>
          </w:p>
        </w:tc>
      </w:tr>
      <w:tr w:rsidR="006E1DBD" w:rsidRPr="006E1DBD" w14:paraId="33E68776" w14:textId="77777777" w:rsidTr="005B4FDE">
        <w:trPr>
          <w:trHeight w:val="150"/>
        </w:trPr>
        <w:tc>
          <w:tcPr>
            <w:tcW w:w="1128" w:type="dxa"/>
            <w:tcBorders>
              <w:top w:val="nil"/>
              <w:left w:val="nil"/>
              <w:bottom w:val="nil"/>
              <w:right w:val="nil"/>
            </w:tcBorders>
            <w:shd w:val="clear" w:color="000000" w:fill="FFFFFF"/>
            <w:noWrap/>
            <w:vAlign w:val="bottom"/>
            <w:hideMark/>
          </w:tcPr>
          <w:p w14:paraId="4B1BBD1F" w14:textId="77777777" w:rsidR="006E1DBD" w:rsidRPr="006E1DBD" w:rsidRDefault="006E1DBD" w:rsidP="006E1DBD">
            <w:pPr>
              <w:spacing w:after="0" w:line="240" w:lineRule="auto"/>
              <w:rPr>
                <w:rFonts w:eastAsia="Times New Roman" w:cs="Calibri"/>
                <w:b/>
                <w:bCs/>
                <w:color w:val="FF0000"/>
                <w:sz w:val="20"/>
                <w:szCs w:val="20"/>
                <w:lang w:eastAsia="en-GB"/>
              </w:rPr>
            </w:pPr>
            <w:r w:rsidRPr="006E1DBD">
              <w:rPr>
                <w:rFonts w:eastAsia="Times New Roman" w:cs="Calibri"/>
                <w:b/>
                <w:bCs/>
                <w:color w:val="FF0000"/>
                <w:sz w:val="20"/>
                <w:szCs w:val="20"/>
                <w:lang w:eastAsia="en-GB"/>
              </w:rPr>
              <w:t> </w:t>
            </w:r>
          </w:p>
        </w:tc>
        <w:tc>
          <w:tcPr>
            <w:tcW w:w="3550" w:type="dxa"/>
            <w:tcBorders>
              <w:top w:val="nil"/>
              <w:left w:val="nil"/>
              <w:bottom w:val="nil"/>
              <w:right w:val="nil"/>
            </w:tcBorders>
            <w:shd w:val="clear" w:color="000000" w:fill="FFFFFF"/>
            <w:noWrap/>
            <w:vAlign w:val="bottom"/>
            <w:hideMark/>
          </w:tcPr>
          <w:p w14:paraId="0233366B" w14:textId="77777777" w:rsidR="006E1DBD" w:rsidRPr="006E1DBD" w:rsidRDefault="006E1DBD" w:rsidP="006E1DBD">
            <w:pPr>
              <w:spacing w:after="0" w:line="240" w:lineRule="auto"/>
              <w:rPr>
                <w:rFonts w:eastAsia="Times New Roman" w:cs="Calibri"/>
                <w:b/>
                <w:bCs/>
                <w:color w:val="FF0000"/>
                <w:sz w:val="20"/>
                <w:szCs w:val="20"/>
                <w:lang w:eastAsia="en-GB"/>
              </w:rPr>
            </w:pPr>
            <w:r w:rsidRPr="006E1DBD">
              <w:rPr>
                <w:rFonts w:eastAsia="Times New Roman" w:cs="Calibri"/>
                <w:b/>
                <w:bCs/>
                <w:color w:val="FF0000"/>
                <w:sz w:val="20"/>
                <w:szCs w:val="20"/>
                <w:lang w:eastAsia="en-GB"/>
              </w:rPr>
              <w:t> </w:t>
            </w:r>
          </w:p>
        </w:tc>
        <w:tc>
          <w:tcPr>
            <w:tcW w:w="939" w:type="dxa"/>
            <w:tcBorders>
              <w:top w:val="nil"/>
              <w:left w:val="nil"/>
              <w:bottom w:val="nil"/>
              <w:right w:val="nil"/>
            </w:tcBorders>
            <w:shd w:val="clear" w:color="000000" w:fill="FFFFFF"/>
            <w:noWrap/>
            <w:vAlign w:val="bottom"/>
            <w:hideMark/>
          </w:tcPr>
          <w:p w14:paraId="01BB466C" w14:textId="77777777" w:rsidR="006E1DBD" w:rsidRPr="006E1DBD" w:rsidRDefault="006E1DBD" w:rsidP="006E1DBD">
            <w:pPr>
              <w:spacing w:after="0" w:line="240" w:lineRule="auto"/>
              <w:rPr>
                <w:rFonts w:eastAsia="Times New Roman" w:cs="Calibri"/>
                <w:b/>
                <w:bCs/>
                <w:color w:val="FF0000"/>
                <w:sz w:val="20"/>
                <w:szCs w:val="20"/>
                <w:lang w:eastAsia="en-GB"/>
              </w:rPr>
            </w:pPr>
            <w:r w:rsidRPr="006E1DBD">
              <w:rPr>
                <w:rFonts w:eastAsia="Times New Roman" w:cs="Calibri"/>
                <w:b/>
                <w:bCs/>
                <w:color w:val="FF0000"/>
                <w:sz w:val="20"/>
                <w:szCs w:val="20"/>
                <w:lang w:eastAsia="en-GB"/>
              </w:rPr>
              <w:t> </w:t>
            </w:r>
          </w:p>
        </w:tc>
        <w:tc>
          <w:tcPr>
            <w:tcW w:w="1128" w:type="dxa"/>
            <w:tcBorders>
              <w:top w:val="nil"/>
              <w:left w:val="nil"/>
              <w:bottom w:val="nil"/>
              <w:right w:val="nil"/>
            </w:tcBorders>
            <w:shd w:val="clear" w:color="000000" w:fill="FFFFFF"/>
            <w:noWrap/>
            <w:vAlign w:val="bottom"/>
            <w:hideMark/>
          </w:tcPr>
          <w:p w14:paraId="08893C69" w14:textId="77777777" w:rsidR="006E1DBD" w:rsidRPr="006E1DBD" w:rsidRDefault="006E1DBD" w:rsidP="006E1DBD">
            <w:pPr>
              <w:spacing w:after="0" w:line="240" w:lineRule="auto"/>
              <w:rPr>
                <w:rFonts w:eastAsia="Times New Roman" w:cs="Calibri"/>
                <w:b/>
                <w:bCs/>
                <w:color w:val="FF0000"/>
                <w:sz w:val="20"/>
                <w:szCs w:val="20"/>
                <w:lang w:eastAsia="en-GB"/>
              </w:rPr>
            </w:pPr>
            <w:r w:rsidRPr="006E1DBD">
              <w:rPr>
                <w:rFonts w:eastAsia="Times New Roman" w:cs="Calibri"/>
                <w:b/>
                <w:bCs/>
                <w:color w:val="FF0000"/>
                <w:sz w:val="20"/>
                <w:szCs w:val="20"/>
                <w:lang w:eastAsia="en-GB"/>
              </w:rPr>
              <w:t> </w:t>
            </w:r>
          </w:p>
        </w:tc>
        <w:tc>
          <w:tcPr>
            <w:tcW w:w="1128" w:type="dxa"/>
            <w:tcBorders>
              <w:top w:val="nil"/>
              <w:left w:val="nil"/>
              <w:bottom w:val="nil"/>
              <w:right w:val="nil"/>
            </w:tcBorders>
            <w:shd w:val="clear" w:color="000000" w:fill="FFFFFF"/>
            <w:noWrap/>
            <w:vAlign w:val="bottom"/>
            <w:hideMark/>
          </w:tcPr>
          <w:p w14:paraId="13DF41D6" w14:textId="77777777" w:rsidR="006E1DBD" w:rsidRPr="006E1DBD" w:rsidRDefault="006E1DBD" w:rsidP="006E1DBD">
            <w:pPr>
              <w:spacing w:after="0" w:line="240" w:lineRule="auto"/>
              <w:rPr>
                <w:rFonts w:eastAsia="Times New Roman" w:cs="Calibri"/>
                <w:b/>
                <w:bCs/>
                <w:color w:val="FF0000"/>
                <w:sz w:val="20"/>
                <w:szCs w:val="20"/>
                <w:lang w:eastAsia="en-GB"/>
              </w:rPr>
            </w:pPr>
            <w:r w:rsidRPr="006E1DBD">
              <w:rPr>
                <w:rFonts w:eastAsia="Times New Roman" w:cs="Calibri"/>
                <w:b/>
                <w:bCs/>
                <w:color w:val="FF0000"/>
                <w:sz w:val="20"/>
                <w:szCs w:val="20"/>
                <w:lang w:eastAsia="en-GB"/>
              </w:rPr>
              <w:t> </w:t>
            </w:r>
          </w:p>
        </w:tc>
        <w:tc>
          <w:tcPr>
            <w:tcW w:w="1128" w:type="dxa"/>
            <w:tcBorders>
              <w:top w:val="nil"/>
              <w:left w:val="nil"/>
              <w:bottom w:val="nil"/>
              <w:right w:val="nil"/>
            </w:tcBorders>
            <w:shd w:val="clear" w:color="000000" w:fill="FFFFFF"/>
            <w:noWrap/>
            <w:vAlign w:val="bottom"/>
            <w:hideMark/>
          </w:tcPr>
          <w:p w14:paraId="76ED7BB6" w14:textId="77777777" w:rsidR="006E1DBD" w:rsidRPr="006E1DBD" w:rsidRDefault="006E1DBD" w:rsidP="006E1DBD">
            <w:pPr>
              <w:spacing w:after="0" w:line="240" w:lineRule="auto"/>
              <w:rPr>
                <w:rFonts w:eastAsia="Times New Roman" w:cs="Calibri"/>
                <w:b/>
                <w:bCs/>
                <w:color w:val="FF0000"/>
                <w:sz w:val="20"/>
                <w:szCs w:val="20"/>
                <w:lang w:eastAsia="en-GB"/>
              </w:rPr>
            </w:pPr>
            <w:r w:rsidRPr="006E1DBD">
              <w:rPr>
                <w:rFonts w:eastAsia="Times New Roman" w:cs="Calibri"/>
                <w:b/>
                <w:bCs/>
                <w:color w:val="FF0000"/>
                <w:sz w:val="20"/>
                <w:szCs w:val="20"/>
                <w:lang w:eastAsia="en-GB"/>
              </w:rPr>
              <w:t> </w:t>
            </w:r>
          </w:p>
        </w:tc>
        <w:tc>
          <w:tcPr>
            <w:tcW w:w="1128" w:type="dxa"/>
            <w:tcBorders>
              <w:top w:val="nil"/>
              <w:left w:val="nil"/>
              <w:bottom w:val="nil"/>
              <w:right w:val="nil"/>
            </w:tcBorders>
            <w:shd w:val="clear" w:color="000000" w:fill="FFFFFF"/>
            <w:noWrap/>
            <w:vAlign w:val="bottom"/>
            <w:hideMark/>
          </w:tcPr>
          <w:p w14:paraId="0FAFDC04" w14:textId="54107001" w:rsidR="006E1DBD" w:rsidRPr="006E1DBD" w:rsidRDefault="006E1DBD" w:rsidP="006E1DBD">
            <w:pPr>
              <w:spacing w:after="0" w:line="240" w:lineRule="auto"/>
              <w:rPr>
                <w:rFonts w:eastAsia="Times New Roman" w:cs="Calibri"/>
                <w:b/>
                <w:bCs/>
                <w:color w:val="FF0000"/>
                <w:sz w:val="20"/>
                <w:szCs w:val="20"/>
                <w:lang w:eastAsia="en-GB"/>
              </w:rPr>
            </w:pPr>
            <w:r w:rsidRPr="006E1DBD">
              <w:rPr>
                <w:rFonts w:eastAsia="Times New Roman" w:cs="Calibri"/>
                <w:b/>
                <w:bCs/>
                <w:color w:val="FF0000"/>
                <w:sz w:val="20"/>
                <w:szCs w:val="20"/>
                <w:lang w:eastAsia="en-GB"/>
              </w:rPr>
              <w:t> </w:t>
            </w:r>
            <w:r w:rsidR="007D45EC" w:rsidRPr="007D45EC">
              <w:rPr>
                <w:rFonts w:eastAsia="Times New Roman" w:cs="Calibri"/>
                <w:b/>
                <w:bCs/>
                <w:sz w:val="20"/>
                <w:szCs w:val="20"/>
                <w:lang w:eastAsia="en-GB"/>
              </w:rPr>
              <w:t>PTO</w:t>
            </w:r>
          </w:p>
        </w:tc>
        <w:tc>
          <w:tcPr>
            <w:tcW w:w="1016" w:type="dxa"/>
            <w:vAlign w:val="center"/>
            <w:hideMark/>
          </w:tcPr>
          <w:p w14:paraId="68984045"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3214A10F" w14:textId="77777777" w:rsidTr="005B4FDE">
        <w:trPr>
          <w:trHeight w:val="300"/>
        </w:trPr>
        <w:tc>
          <w:tcPr>
            <w:tcW w:w="1128" w:type="dxa"/>
            <w:tcBorders>
              <w:top w:val="nil"/>
              <w:left w:val="nil"/>
              <w:bottom w:val="nil"/>
              <w:right w:val="nil"/>
            </w:tcBorders>
            <w:shd w:val="clear" w:color="000000" w:fill="FFFFFF"/>
            <w:noWrap/>
            <w:vAlign w:val="bottom"/>
            <w:hideMark/>
          </w:tcPr>
          <w:p w14:paraId="2DE77F07"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nil"/>
              <w:left w:val="nil"/>
              <w:bottom w:val="nil"/>
              <w:right w:val="nil"/>
            </w:tcBorders>
            <w:shd w:val="clear" w:color="000000" w:fill="FFFFFF"/>
            <w:noWrap/>
            <w:vAlign w:val="bottom"/>
            <w:hideMark/>
          </w:tcPr>
          <w:p w14:paraId="256316BA" w14:textId="77777777" w:rsidR="006E1DBD" w:rsidRDefault="006E1DBD" w:rsidP="006E1DBD">
            <w:pPr>
              <w:spacing w:after="0" w:line="240" w:lineRule="auto"/>
              <w:rPr>
                <w:rFonts w:eastAsia="Times New Roman" w:cs="Calibri"/>
                <w:b/>
                <w:bCs/>
                <w:color w:val="000000"/>
                <w:sz w:val="20"/>
                <w:szCs w:val="20"/>
                <w:lang w:eastAsia="en-GB"/>
              </w:rPr>
            </w:pPr>
          </w:p>
          <w:p w14:paraId="6EFDD91C" w14:textId="0CE498EF" w:rsidR="006E1DBD" w:rsidRDefault="006E1DBD" w:rsidP="006E1DBD">
            <w:pPr>
              <w:spacing w:after="0" w:line="240" w:lineRule="auto"/>
              <w:rPr>
                <w:rFonts w:eastAsia="Times New Roman" w:cs="Calibri"/>
                <w:b/>
                <w:bCs/>
                <w:color w:val="000000"/>
                <w:sz w:val="20"/>
                <w:szCs w:val="20"/>
                <w:lang w:eastAsia="en-GB"/>
              </w:rPr>
            </w:pPr>
          </w:p>
          <w:p w14:paraId="38CBBC60" w14:textId="7B068783" w:rsidR="005B4FDE" w:rsidRDefault="005B4FDE" w:rsidP="006E1DBD">
            <w:pPr>
              <w:spacing w:after="0" w:line="240" w:lineRule="auto"/>
              <w:rPr>
                <w:rFonts w:eastAsia="Times New Roman" w:cs="Calibri"/>
                <w:b/>
                <w:bCs/>
                <w:color w:val="000000"/>
                <w:sz w:val="20"/>
                <w:szCs w:val="20"/>
                <w:lang w:eastAsia="en-GB"/>
              </w:rPr>
            </w:pPr>
          </w:p>
          <w:p w14:paraId="4489A839" w14:textId="77777777" w:rsidR="005B4FDE" w:rsidRDefault="005B4FDE" w:rsidP="006E1DBD">
            <w:pPr>
              <w:spacing w:after="0" w:line="240" w:lineRule="auto"/>
              <w:rPr>
                <w:rFonts w:eastAsia="Times New Roman" w:cs="Calibri"/>
                <w:b/>
                <w:bCs/>
                <w:color w:val="000000"/>
                <w:sz w:val="20"/>
                <w:szCs w:val="20"/>
                <w:lang w:eastAsia="en-GB"/>
              </w:rPr>
            </w:pPr>
          </w:p>
          <w:p w14:paraId="2500FC1F" w14:textId="4D9D9FE6" w:rsidR="006E1DBD" w:rsidRPr="006E1DBD" w:rsidRDefault="006E1DBD" w:rsidP="006E1DBD">
            <w:pPr>
              <w:spacing w:after="0" w:line="240" w:lineRule="auto"/>
              <w:rPr>
                <w:rFonts w:eastAsia="Times New Roman" w:cs="Calibri"/>
                <w:b/>
                <w:bCs/>
                <w:color w:val="000000"/>
                <w:sz w:val="20"/>
                <w:szCs w:val="20"/>
                <w:lang w:eastAsia="en-GB"/>
              </w:rPr>
            </w:pPr>
            <w:r>
              <w:rPr>
                <w:rFonts w:eastAsia="Times New Roman" w:cs="Calibri"/>
                <w:b/>
                <w:bCs/>
                <w:color w:val="000000"/>
                <w:lang w:eastAsia="en-GB"/>
              </w:rPr>
              <w:t>FUNDING</w:t>
            </w:r>
          </w:p>
        </w:tc>
        <w:tc>
          <w:tcPr>
            <w:tcW w:w="939" w:type="dxa"/>
            <w:tcBorders>
              <w:top w:val="nil"/>
              <w:left w:val="nil"/>
              <w:bottom w:val="nil"/>
              <w:right w:val="nil"/>
            </w:tcBorders>
            <w:shd w:val="clear" w:color="000000" w:fill="FFFFFF"/>
            <w:noWrap/>
            <w:vAlign w:val="bottom"/>
            <w:hideMark/>
          </w:tcPr>
          <w:p w14:paraId="31D4FD2A"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53010E2C"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6A89869F"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38FE7D65"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161D5A4B"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016" w:type="dxa"/>
            <w:vAlign w:val="center"/>
            <w:hideMark/>
          </w:tcPr>
          <w:p w14:paraId="7F1DB779"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0104D838" w14:textId="77777777" w:rsidTr="005B4FDE">
        <w:trPr>
          <w:trHeight w:val="300"/>
        </w:trPr>
        <w:tc>
          <w:tcPr>
            <w:tcW w:w="1128" w:type="dxa"/>
            <w:tcBorders>
              <w:top w:val="single" w:sz="4" w:space="0" w:color="auto"/>
              <w:left w:val="single" w:sz="4" w:space="0" w:color="auto"/>
              <w:bottom w:val="nil"/>
              <w:right w:val="single" w:sz="4" w:space="0" w:color="auto"/>
            </w:tcBorders>
            <w:shd w:val="clear" w:color="000000" w:fill="FFFFFF"/>
            <w:noWrap/>
            <w:vAlign w:val="bottom"/>
            <w:hideMark/>
          </w:tcPr>
          <w:p w14:paraId="5C7378EA"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(81,905)</w:t>
            </w:r>
          </w:p>
        </w:tc>
        <w:tc>
          <w:tcPr>
            <w:tcW w:w="3550" w:type="dxa"/>
            <w:tcBorders>
              <w:top w:val="single" w:sz="4" w:space="0" w:color="auto"/>
              <w:left w:val="single" w:sz="4" w:space="0" w:color="auto"/>
              <w:bottom w:val="nil"/>
              <w:right w:val="single" w:sz="4" w:space="0" w:color="auto"/>
            </w:tcBorders>
            <w:shd w:val="clear" w:color="000000" w:fill="FFFFFF"/>
            <w:noWrap/>
            <w:vAlign w:val="bottom"/>
            <w:hideMark/>
          </w:tcPr>
          <w:p w14:paraId="54F29940"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Main Police Grant</w:t>
            </w:r>
          </w:p>
        </w:tc>
        <w:tc>
          <w:tcPr>
            <w:tcW w:w="939" w:type="dxa"/>
            <w:tcBorders>
              <w:top w:val="single" w:sz="4" w:space="0" w:color="auto"/>
              <w:left w:val="single" w:sz="4" w:space="0" w:color="auto"/>
              <w:bottom w:val="nil"/>
              <w:right w:val="single" w:sz="4" w:space="0" w:color="auto"/>
            </w:tcBorders>
            <w:shd w:val="clear" w:color="000000" w:fill="FFFFFF"/>
            <w:noWrap/>
            <w:vAlign w:val="bottom"/>
            <w:hideMark/>
          </w:tcPr>
          <w:p w14:paraId="79EE09D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(86,809)</w:t>
            </w:r>
          </w:p>
        </w:tc>
        <w:tc>
          <w:tcPr>
            <w:tcW w:w="1128" w:type="dxa"/>
            <w:tcBorders>
              <w:top w:val="single" w:sz="4" w:space="0" w:color="auto"/>
              <w:left w:val="nil"/>
              <w:bottom w:val="nil"/>
              <w:right w:val="single" w:sz="4" w:space="0" w:color="auto"/>
            </w:tcBorders>
            <w:shd w:val="clear" w:color="000000" w:fill="FFFFFF"/>
            <w:noWrap/>
            <w:vAlign w:val="bottom"/>
            <w:hideMark/>
          </w:tcPr>
          <w:p w14:paraId="3BFC2B90"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(92,165)</w:t>
            </w:r>
          </w:p>
        </w:tc>
        <w:tc>
          <w:tcPr>
            <w:tcW w:w="1128" w:type="dxa"/>
            <w:tcBorders>
              <w:top w:val="single" w:sz="4" w:space="0" w:color="auto"/>
              <w:left w:val="nil"/>
              <w:bottom w:val="nil"/>
              <w:right w:val="single" w:sz="4" w:space="0" w:color="auto"/>
            </w:tcBorders>
            <w:shd w:val="clear" w:color="000000" w:fill="FFFFFF"/>
            <w:noWrap/>
            <w:vAlign w:val="bottom"/>
            <w:hideMark/>
          </w:tcPr>
          <w:p w14:paraId="541FFE77"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(93,547)</w:t>
            </w:r>
          </w:p>
        </w:tc>
        <w:tc>
          <w:tcPr>
            <w:tcW w:w="1128" w:type="dxa"/>
            <w:tcBorders>
              <w:top w:val="single" w:sz="4" w:space="0" w:color="auto"/>
              <w:left w:val="nil"/>
              <w:bottom w:val="nil"/>
              <w:right w:val="single" w:sz="4" w:space="0" w:color="auto"/>
            </w:tcBorders>
            <w:shd w:val="clear" w:color="000000" w:fill="FFFFFF"/>
            <w:noWrap/>
            <w:vAlign w:val="bottom"/>
            <w:hideMark/>
          </w:tcPr>
          <w:p w14:paraId="6A71FC2F"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(94,950)</w:t>
            </w:r>
          </w:p>
        </w:tc>
        <w:tc>
          <w:tcPr>
            <w:tcW w:w="1128" w:type="dxa"/>
            <w:tcBorders>
              <w:top w:val="single" w:sz="4" w:space="0" w:color="auto"/>
              <w:left w:val="nil"/>
              <w:bottom w:val="nil"/>
              <w:right w:val="single" w:sz="4" w:space="0" w:color="auto"/>
            </w:tcBorders>
            <w:shd w:val="clear" w:color="000000" w:fill="FFFFFF"/>
            <w:noWrap/>
            <w:vAlign w:val="bottom"/>
            <w:hideMark/>
          </w:tcPr>
          <w:p w14:paraId="31E498ED"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(96,375)</w:t>
            </w:r>
          </w:p>
        </w:tc>
        <w:tc>
          <w:tcPr>
            <w:tcW w:w="1016" w:type="dxa"/>
            <w:vAlign w:val="center"/>
            <w:hideMark/>
          </w:tcPr>
          <w:p w14:paraId="29CB8D9F"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2E957D5B"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31E78C73"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(1,272)</w:t>
            </w:r>
          </w:p>
        </w:tc>
        <w:tc>
          <w:tcPr>
            <w:tcW w:w="3550" w:type="dxa"/>
            <w:tcBorders>
              <w:top w:val="nil"/>
              <w:left w:val="single" w:sz="4" w:space="0" w:color="auto"/>
              <w:bottom w:val="nil"/>
              <w:right w:val="single" w:sz="4" w:space="0" w:color="auto"/>
            </w:tcBorders>
            <w:shd w:val="clear" w:color="000000" w:fill="FFFFFF"/>
            <w:noWrap/>
            <w:vAlign w:val="bottom"/>
            <w:hideMark/>
          </w:tcPr>
          <w:p w14:paraId="1B03E2C9"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Pension Grant</w:t>
            </w:r>
          </w:p>
        </w:tc>
        <w:tc>
          <w:tcPr>
            <w:tcW w:w="939" w:type="dxa"/>
            <w:tcBorders>
              <w:top w:val="nil"/>
              <w:left w:val="single" w:sz="4" w:space="0" w:color="auto"/>
              <w:bottom w:val="nil"/>
              <w:right w:val="single" w:sz="4" w:space="0" w:color="auto"/>
            </w:tcBorders>
            <w:shd w:val="clear" w:color="000000" w:fill="FFFFFF"/>
            <w:noWrap/>
            <w:vAlign w:val="bottom"/>
            <w:hideMark/>
          </w:tcPr>
          <w:p w14:paraId="7F1FF12D"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(4,079)</w:t>
            </w:r>
          </w:p>
        </w:tc>
        <w:tc>
          <w:tcPr>
            <w:tcW w:w="1128" w:type="dxa"/>
            <w:tcBorders>
              <w:top w:val="nil"/>
              <w:left w:val="nil"/>
              <w:bottom w:val="nil"/>
              <w:right w:val="single" w:sz="4" w:space="0" w:color="auto"/>
            </w:tcBorders>
            <w:shd w:val="clear" w:color="000000" w:fill="FFFFFF"/>
            <w:noWrap/>
            <w:vAlign w:val="bottom"/>
            <w:hideMark/>
          </w:tcPr>
          <w:p w14:paraId="07743DBB"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(3,825)</w:t>
            </w:r>
          </w:p>
        </w:tc>
        <w:tc>
          <w:tcPr>
            <w:tcW w:w="1128" w:type="dxa"/>
            <w:tcBorders>
              <w:top w:val="nil"/>
              <w:left w:val="nil"/>
              <w:bottom w:val="nil"/>
              <w:right w:val="single" w:sz="4" w:space="0" w:color="auto"/>
            </w:tcBorders>
            <w:shd w:val="clear" w:color="000000" w:fill="FFFFFF"/>
            <w:noWrap/>
            <w:vAlign w:val="bottom"/>
            <w:hideMark/>
          </w:tcPr>
          <w:p w14:paraId="1170D9DF"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(3,825)</w:t>
            </w:r>
          </w:p>
        </w:tc>
        <w:tc>
          <w:tcPr>
            <w:tcW w:w="1128" w:type="dxa"/>
            <w:tcBorders>
              <w:top w:val="nil"/>
              <w:left w:val="nil"/>
              <w:bottom w:val="nil"/>
              <w:right w:val="single" w:sz="4" w:space="0" w:color="auto"/>
            </w:tcBorders>
            <w:shd w:val="clear" w:color="000000" w:fill="FFFFFF"/>
            <w:noWrap/>
            <w:vAlign w:val="bottom"/>
            <w:hideMark/>
          </w:tcPr>
          <w:p w14:paraId="3162F690"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(3,825)</w:t>
            </w:r>
          </w:p>
        </w:tc>
        <w:tc>
          <w:tcPr>
            <w:tcW w:w="1128" w:type="dxa"/>
            <w:tcBorders>
              <w:top w:val="nil"/>
              <w:left w:val="nil"/>
              <w:bottom w:val="nil"/>
              <w:right w:val="single" w:sz="4" w:space="0" w:color="auto"/>
            </w:tcBorders>
            <w:shd w:val="clear" w:color="000000" w:fill="FFFFFF"/>
            <w:noWrap/>
            <w:vAlign w:val="bottom"/>
            <w:hideMark/>
          </w:tcPr>
          <w:p w14:paraId="3C99AEC8"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(3,825)</w:t>
            </w:r>
          </w:p>
        </w:tc>
        <w:tc>
          <w:tcPr>
            <w:tcW w:w="1016" w:type="dxa"/>
            <w:vAlign w:val="center"/>
            <w:hideMark/>
          </w:tcPr>
          <w:p w14:paraId="6ED2F888"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71510B49"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37F6E0F4"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(2,600)</w:t>
            </w:r>
          </w:p>
        </w:tc>
        <w:tc>
          <w:tcPr>
            <w:tcW w:w="3550" w:type="dxa"/>
            <w:tcBorders>
              <w:top w:val="nil"/>
              <w:left w:val="single" w:sz="4" w:space="0" w:color="auto"/>
              <w:bottom w:val="nil"/>
              <w:right w:val="single" w:sz="4" w:space="0" w:color="auto"/>
            </w:tcBorders>
            <w:shd w:val="clear" w:color="000000" w:fill="FFFFFF"/>
            <w:noWrap/>
            <w:vAlign w:val="bottom"/>
            <w:hideMark/>
          </w:tcPr>
          <w:p w14:paraId="1520C2C4"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Ringfenced Officer Uplift Grant</w:t>
            </w:r>
          </w:p>
        </w:tc>
        <w:tc>
          <w:tcPr>
            <w:tcW w:w="939" w:type="dxa"/>
            <w:tcBorders>
              <w:top w:val="nil"/>
              <w:left w:val="single" w:sz="4" w:space="0" w:color="auto"/>
              <w:bottom w:val="nil"/>
              <w:right w:val="single" w:sz="4" w:space="0" w:color="auto"/>
            </w:tcBorders>
            <w:shd w:val="clear" w:color="000000" w:fill="FFFFFF"/>
            <w:noWrap/>
            <w:vAlign w:val="bottom"/>
            <w:hideMark/>
          </w:tcPr>
          <w:p w14:paraId="24DC8FAE"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(4,054)</w:t>
            </w:r>
          </w:p>
        </w:tc>
        <w:tc>
          <w:tcPr>
            <w:tcW w:w="1128" w:type="dxa"/>
            <w:tcBorders>
              <w:top w:val="nil"/>
              <w:left w:val="nil"/>
              <w:bottom w:val="nil"/>
              <w:right w:val="single" w:sz="4" w:space="0" w:color="auto"/>
            </w:tcBorders>
            <w:shd w:val="clear" w:color="000000" w:fill="FFFFFF"/>
            <w:noWrap/>
            <w:vAlign w:val="bottom"/>
            <w:hideMark/>
          </w:tcPr>
          <w:p w14:paraId="3C80BBB6"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w:t>
            </w:r>
          </w:p>
        </w:tc>
        <w:tc>
          <w:tcPr>
            <w:tcW w:w="1128" w:type="dxa"/>
            <w:tcBorders>
              <w:top w:val="nil"/>
              <w:left w:val="nil"/>
              <w:bottom w:val="nil"/>
              <w:right w:val="single" w:sz="4" w:space="0" w:color="auto"/>
            </w:tcBorders>
            <w:shd w:val="clear" w:color="000000" w:fill="FFFFFF"/>
            <w:noWrap/>
            <w:vAlign w:val="bottom"/>
            <w:hideMark/>
          </w:tcPr>
          <w:p w14:paraId="31AE031E"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w:t>
            </w:r>
          </w:p>
        </w:tc>
        <w:tc>
          <w:tcPr>
            <w:tcW w:w="1128" w:type="dxa"/>
            <w:tcBorders>
              <w:top w:val="nil"/>
              <w:left w:val="nil"/>
              <w:bottom w:val="nil"/>
              <w:right w:val="single" w:sz="4" w:space="0" w:color="auto"/>
            </w:tcBorders>
            <w:shd w:val="clear" w:color="000000" w:fill="FFFFFF"/>
            <w:noWrap/>
            <w:vAlign w:val="bottom"/>
            <w:hideMark/>
          </w:tcPr>
          <w:p w14:paraId="7BBA731B"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w:t>
            </w:r>
          </w:p>
        </w:tc>
        <w:tc>
          <w:tcPr>
            <w:tcW w:w="1128" w:type="dxa"/>
            <w:tcBorders>
              <w:top w:val="nil"/>
              <w:left w:val="nil"/>
              <w:bottom w:val="nil"/>
              <w:right w:val="single" w:sz="4" w:space="0" w:color="auto"/>
            </w:tcBorders>
            <w:shd w:val="clear" w:color="000000" w:fill="FFFFFF"/>
            <w:noWrap/>
            <w:vAlign w:val="bottom"/>
            <w:hideMark/>
          </w:tcPr>
          <w:p w14:paraId="3ADED183"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w:t>
            </w:r>
          </w:p>
        </w:tc>
        <w:tc>
          <w:tcPr>
            <w:tcW w:w="1016" w:type="dxa"/>
            <w:vAlign w:val="center"/>
            <w:hideMark/>
          </w:tcPr>
          <w:p w14:paraId="11186E6D"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3932075E"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4D2AD87E"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(6,644)</w:t>
            </w:r>
          </w:p>
        </w:tc>
        <w:tc>
          <w:tcPr>
            <w:tcW w:w="3550" w:type="dxa"/>
            <w:tcBorders>
              <w:top w:val="nil"/>
              <w:left w:val="single" w:sz="4" w:space="0" w:color="auto"/>
              <w:bottom w:val="nil"/>
              <w:right w:val="single" w:sz="4" w:space="0" w:color="auto"/>
            </w:tcBorders>
            <w:shd w:val="clear" w:color="000000" w:fill="FFFFFF"/>
            <w:noWrap/>
            <w:vAlign w:val="bottom"/>
            <w:hideMark/>
          </w:tcPr>
          <w:p w14:paraId="7FC0460B"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Legacy Grants</w:t>
            </w:r>
          </w:p>
        </w:tc>
        <w:tc>
          <w:tcPr>
            <w:tcW w:w="939" w:type="dxa"/>
            <w:tcBorders>
              <w:top w:val="nil"/>
              <w:left w:val="single" w:sz="4" w:space="0" w:color="auto"/>
              <w:bottom w:val="nil"/>
              <w:right w:val="single" w:sz="4" w:space="0" w:color="auto"/>
            </w:tcBorders>
            <w:shd w:val="clear" w:color="000000" w:fill="FFFFFF"/>
            <w:noWrap/>
            <w:vAlign w:val="bottom"/>
            <w:hideMark/>
          </w:tcPr>
          <w:p w14:paraId="0E4BFFE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(6,644)</w:t>
            </w:r>
          </w:p>
        </w:tc>
        <w:tc>
          <w:tcPr>
            <w:tcW w:w="1128" w:type="dxa"/>
            <w:tcBorders>
              <w:top w:val="nil"/>
              <w:left w:val="nil"/>
              <w:bottom w:val="nil"/>
              <w:right w:val="single" w:sz="4" w:space="0" w:color="auto"/>
            </w:tcBorders>
            <w:shd w:val="clear" w:color="000000" w:fill="FFFFFF"/>
            <w:noWrap/>
            <w:vAlign w:val="bottom"/>
            <w:hideMark/>
          </w:tcPr>
          <w:p w14:paraId="14A4BD40"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(6,644)</w:t>
            </w:r>
          </w:p>
        </w:tc>
        <w:tc>
          <w:tcPr>
            <w:tcW w:w="1128" w:type="dxa"/>
            <w:tcBorders>
              <w:top w:val="nil"/>
              <w:left w:val="nil"/>
              <w:bottom w:val="nil"/>
              <w:right w:val="single" w:sz="4" w:space="0" w:color="auto"/>
            </w:tcBorders>
            <w:shd w:val="clear" w:color="000000" w:fill="FFFFFF"/>
            <w:noWrap/>
            <w:vAlign w:val="bottom"/>
            <w:hideMark/>
          </w:tcPr>
          <w:p w14:paraId="0EFCF78D"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(6,644)</w:t>
            </w:r>
          </w:p>
        </w:tc>
        <w:tc>
          <w:tcPr>
            <w:tcW w:w="1128" w:type="dxa"/>
            <w:tcBorders>
              <w:top w:val="nil"/>
              <w:left w:val="nil"/>
              <w:bottom w:val="nil"/>
              <w:right w:val="single" w:sz="4" w:space="0" w:color="auto"/>
            </w:tcBorders>
            <w:shd w:val="clear" w:color="000000" w:fill="FFFFFF"/>
            <w:noWrap/>
            <w:vAlign w:val="bottom"/>
            <w:hideMark/>
          </w:tcPr>
          <w:p w14:paraId="19B191A6"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(6,644)</w:t>
            </w:r>
          </w:p>
        </w:tc>
        <w:tc>
          <w:tcPr>
            <w:tcW w:w="1128" w:type="dxa"/>
            <w:tcBorders>
              <w:top w:val="nil"/>
              <w:left w:val="nil"/>
              <w:bottom w:val="nil"/>
              <w:right w:val="single" w:sz="4" w:space="0" w:color="auto"/>
            </w:tcBorders>
            <w:shd w:val="clear" w:color="000000" w:fill="FFFFFF"/>
            <w:noWrap/>
            <w:vAlign w:val="bottom"/>
            <w:hideMark/>
          </w:tcPr>
          <w:p w14:paraId="4C2D5456"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(6,644)</w:t>
            </w:r>
          </w:p>
        </w:tc>
        <w:tc>
          <w:tcPr>
            <w:tcW w:w="1016" w:type="dxa"/>
            <w:vAlign w:val="center"/>
            <w:hideMark/>
          </w:tcPr>
          <w:p w14:paraId="02094894"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64CF7958"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4F51846E"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w:t>
            </w:r>
          </w:p>
        </w:tc>
        <w:tc>
          <w:tcPr>
            <w:tcW w:w="3550" w:type="dxa"/>
            <w:tcBorders>
              <w:top w:val="nil"/>
              <w:left w:val="single" w:sz="4" w:space="0" w:color="auto"/>
              <w:bottom w:val="nil"/>
              <w:right w:val="single" w:sz="4" w:space="0" w:color="auto"/>
            </w:tcBorders>
            <w:shd w:val="clear" w:color="000000" w:fill="FFFFFF"/>
            <w:noWrap/>
            <w:vAlign w:val="bottom"/>
            <w:hideMark/>
          </w:tcPr>
          <w:p w14:paraId="0552544B"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Additional Uplift Grant</w:t>
            </w:r>
          </w:p>
        </w:tc>
        <w:tc>
          <w:tcPr>
            <w:tcW w:w="939" w:type="dxa"/>
            <w:tcBorders>
              <w:top w:val="nil"/>
              <w:left w:val="single" w:sz="4" w:space="0" w:color="auto"/>
              <w:bottom w:val="nil"/>
              <w:right w:val="single" w:sz="4" w:space="0" w:color="auto"/>
            </w:tcBorders>
            <w:shd w:val="clear" w:color="000000" w:fill="FFFFFF"/>
            <w:noWrap/>
            <w:vAlign w:val="bottom"/>
            <w:hideMark/>
          </w:tcPr>
          <w:p w14:paraId="42787D0A"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(1,008)</w:t>
            </w:r>
          </w:p>
        </w:tc>
        <w:tc>
          <w:tcPr>
            <w:tcW w:w="1128" w:type="dxa"/>
            <w:tcBorders>
              <w:top w:val="nil"/>
              <w:left w:val="nil"/>
              <w:bottom w:val="nil"/>
              <w:right w:val="single" w:sz="4" w:space="0" w:color="auto"/>
            </w:tcBorders>
            <w:shd w:val="clear" w:color="000000" w:fill="FFFFFF"/>
            <w:noWrap/>
            <w:vAlign w:val="bottom"/>
            <w:hideMark/>
          </w:tcPr>
          <w:p w14:paraId="2361C087"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w:t>
            </w:r>
          </w:p>
        </w:tc>
        <w:tc>
          <w:tcPr>
            <w:tcW w:w="1128" w:type="dxa"/>
            <w:tcBorders>
              <w:top w:val="nil"/>
              <w:left w:val="nil"/>
              <w:bottom w:val="nil"/>
              <w:right w:val="single" w:sz="4" w:space="0" w:color="auto"/>
            </w:tcBorders>
            <w:shd w:val="clear" w:color="000000" w:fill="FFFFFF"/>
            <w:noWrap/>
            <w:vAlign w:val="bottom"/>
            <w:hideMark/>
          </w:tcPr>
          <w:p w14:paraId="7823B0FD"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w:t>
            </w:r>
          </w:p>
        </w:tc>
        <w:tc>
          <w:tcPr>
            <w:tcW w:w="1128" w:type="dxa"/>
            <w:tcBorders>
              <w:top w:val="nil"/>
              <w:left w:val="nil"/>
              <w:bottom w:val="nil"/>
              <w:right w:val="single" w:sz="4" w:space="0" w:color="auto"/>
            </w:tcBorders>
            <w:shd w:val="clear" w:color="000000" w:fill="FFFFFF"/>
            <w:noWrap/>
            <w:vAlign w:val="bottom"/>
            <w:hideMark/>
          </w:tcPr>
          <w:p w14:paraId="0C49D1B9"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w:t>
            </w:r>
          </w:p>
        </w:tc>
        <w:tc>
          <w:tcPr>
            <w:tcW w:w="1128" w:type="dxa"/>
            <w:tcBorders>
              <w:top w:val="nil"/>
              <w:left w:val="nil"/>
              <w:bottom w:val="nil"/>
              <w:right w:val="single" w:sz="4" w:space="0" w:color="auto"/>
            </w:tcBorders>
            <w:shd w:val="clear" w:color="000000" w:fill="FFFFFF"/>
            <w:noWrap/>
            <w:vAlign w:val="bottom"/>
            <w:hideMark/>
          </w:tcPr>
          <w:p w14:paraId="06FF6AC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w:t>
            </w:r>
          </w:p>
        </w:tc>
        <w:tc>
          <w:tcPr>
            <w:tcW w:w="1016" w:type="dxa"/>
            <w:vAlign w:val="center"/>
            <w:hideMark/>
          </w:tcPr>
          <w:p w14:paraId="0FAFC2C3"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511ED317" w14:textId="77777777" w:rsidTr="005B4FD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066F2241"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(75,118)</w:t>
            </w:r>
          </w:p>
        </w:tc>
        <w:tc>
          <w:tcPr>
            <w:tcW w:w="3550" w:type="dxa"/>
            <w:tcBorders>
              <w:top w:val="nil"/>
              <w:left w:val="single" w:sz="4" w:space="0" w:color="auto"/>
              <w:bottom w:val="nil"/>
              <w:right w:val="single" w:sz="4" w:space="0" w:color="auto"/>
            </w:tcBorders>
            <w:shd w:val="clear" w:color="000000" w:fill="FFFFFF"/>
            <w:noWrap/>
            <w:vAlign w:val="bottom"/>
            <w:hideMark/>
          </w:tcPr>
          <w:p w14:paraId="7081BFB3"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Precept</w:t>
            </w:r>
          </w:p>
        </w:tc>
        <w:tc>
          <w:tcPr>
            <w:tcW w:w="939" w:type="dxa"/>
            <w:tcBorders>
              <w:top w:val="nil"/>
              <w:left w:val="single" w:sz="4" w:space="0" w:color="auto"/>
              <w:bottom w:val="nil"/>
              <w:right w:val="single" w:sz="4" w:space="0" w:color="auto"/>
            </w:tcBorders>
            <w:shd w:val="clear" w:color="000000" w:fill="FFFFFF"/>
            <w:noWrap/>
            <w:vAlign w:val="bottom"/>
            <w:hideMark/>
          </w:tcPr>
          <w:p w14:paraId="3CA416AF"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(79,115)</w:t>
            </w:r>
          </w:p>
        </w:tc>
        <w:tc>
          <w:tcPr>
            <w:tcW w:w="1128" w:type="dxa"/>
            <w:tcBorders>
              <w:top w:val="nil"/>
              <w:left w:val="nil"/>
              <w:bottom w:val="nil"/>
              <w:right w:val="single" w:sz="4" w:space="0" w:color="auto"/>
            </w:tcBorders>
            <w:shd w:val="clear" w:color="000000" w:fill="FFFFFF"/>
            <w:noWrap/>
            <w:vAlign w:val="bottom"/>
            <w:hideMark/>
          </w:tcPr>
          <w:p w14:paraId="7E071DB3"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(81,900)</w:t>
            </w:r>
          </w:p>
        </w:tc>
        <w:tc>
          <w:tcPr>
            <w:tcW w:w="1128" w:type="dxa"/>
            <w:tcBorders>
              <w:top w:val="nil"/>
              <w:left w:val="nil"/>
              <w:bottom w:val="nil"/>
              <w:right w:val="single" w:sz="4" w:space="0" w:color="auto"/>
            </w:tcBorders>
            <w:shd w:val="clear" w:color="000000" w:fill="FFFFFF"/>
            <w:noWrap/>
            <w:vAlign w:val="bottom"/>
            <w:hideMark/>
          </w:tcPr>
          <w:p w14:paraId="720B4BF8"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(84,782)</w:t>
            </w:r>
          </w:p>
        </w:tc>
        <w:tc>
          <w:tcPr>
            <w:tcW w:w="1128" w:type="dxa"/>
            <w:tcBorders>
              <w:top w:val="nil"/>
              <w:left w:val="nil"/>
              <w:bottom w:val="nil"/>
              <w:right w:val="single" w:sz="4" w:space="0" w:color="auto"/>
            </w:tcBorders>
            <w:shd w:val="clear" w:color="000000" w:fill="FFFFFF"/>
            <w:noWrap/>
            <w:vAlign w:val="bottom"/>
            <w:hideMark/>
          </w:tcPr>
          <w:p w14:paraId="366E5152"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(87,767)</w:t>
            </w:r>
          </w:p>
        </w:tc>
        <w:tc>
          <w:tcPr>
            <w:tcW w:w="1128" w:type="dxa"/>
            <w:tcBorders>
              <w:top w:val="nil"/>
              <w:left w:val="nil"/>
              <w:bottom w:val="nil"/>
              <w:right w:val="single" w:sz="4" w:space="0" w:color="auto"/>
            </w:tcBorders>
            <w:shd w:val="clear" w:color="000000" w:fill="FFFFFF"/>
            <w:noWrap/>
            <w:vAlign w:val="bottom"/>
            <w:hideMark/>
          </w:tcPr>
          <w:p w14:paraId="413283BE"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(90,856)</w:t>
            </w:r>
          </w:p>
        </w:tc>
        <w:tc>
          <w:tcPr>
            <w:tcW w:w="1016" w:type="dxa"/>
            <w:vAlign w:val="center"/>
            <w:hideMark/>
          </w:tcPr>
          <w:p w14:paraId="49F4D867"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42D6707B" w14:textId="77777777" w:rsidTr="005B4FDE">
        <w:trPr>
          <w:trHeight w:val="300"/>
        </w:trPr>
        <w:tc>
          <w:tcPr>
            <w:tcW w:w="1128" w:type="dxa"/>
            <w:tcBorders>
              <w:top w:val="nil"/>
              <w:left w:val="single" w:sz="4" w:space="0" w:color="auto"/>
              <w:bottom w:val="single" w:sz="4" w:space="0" w:color="auto"/>
              <w:right w:val="single" w:sz="4" w:space="0" w:color="auto"/>
            </w:tcBorders>
            <w:shd w:val="clear" w:color="000000" w:fill="FFFFFF"/>
            <w:noWrap/>
            <w:vAlign w:val="bottom"/>
            <w:hideMark/>
          </w:tcPr>
          <w:p w14:paraId="2694F3DF"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(1,039)</w:t>
            </w:r>
          </w:p>
        </w:tc>
        <w:tc>
          <w:tcPr>
            <w:tcW w:w="3550" w:type="dxa"/>
            <w:tcBorders>
              <w:top w:val="nil"/>
              <w:left w:val="single" w:sz="4" w:space="0" w:color="auto"/>
              <w:bottom w:val="single" w:sz="4" w:space="0" w:color="auto"/>
              <w:right w:val="single" w:sz="4" w:space="0" w:color="auto"/>
            </w:tcBorders>
            <w:shd w:val="clear" w:color="000000" w:fill="FFFFFF"/>
            <w:noWrap/>
            <w:vAlign w:val="bottom"/>
            <w:hideMark/>
          </w:tcPr>
          <w:p w14:paraId="3B5C75AC"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Collection Fund Deficit/(Surplus)</w:t>
            </w:r>
          </w:p>
        </w:tc>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651B222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(1,259)</w:t>
            </w:r>
          </w:p>
        </w:tc>
        <w:tc>
          <w:tcPr>
            <w:tcW w:w="1128" w:type="dxa"/>
            <w:tcBorders>
              <w:top w:val="nil"/>
              <w:left w:val="nil"/>
              <w:bottom w:val="single" w:sz="4" w:space="0" w:color="auto"/>
              <w:right w:val="single" w:sz="4" w:space="0" w:color="auto"/>
            </w:tcBorders>
            <w:shd w:val="clear" w:color="000000" w:fill="FFFFFF"/>
            <w:noWrap/>
            <w:vAlign w:val="bottom"/>
            <w:hideMark/>
          </w:tcPr>
          <w:p w14:paraId="5CF9DD66"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(500)</w:t>
            </w:r>
          </w:p>
        </w:tc>
        <w:tc>
          <w:tcPr>
            <w:tcW w:w="1128" w:type="dxa"/>
            <w:tcBorders>
              <w:top w:val="nil"/>
              <w:left w:val="nil"/>
              <w:bottom w:val="single" w:sz="4" w:space="0" w:color="auto"/>
              <w:right w:val="single" w:sz="4" w:space="0" w:color="auto"/>
            </w:tcBorders>
            <w:shd w:val="clear" w:color="000000" w:fill="FFFFFF"/>
            <w:noWrap/>
            <w:vAlign w:val="bottom"/>
            <w:hideMark/>
          </w:tcPr>
          <w:p w14:paraId="78AF8AD6"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(500)</w:t>
            </w:r>
          </w:p>
        </w:tc>
        <w:tc>
          <w:tcPr>
            <w:tcW w:w="1128" w:type="dxa"/>
            <w:tcBorders>
              <w:top w:val="nil"/>
              <w:left w:val="nil"/>
              <w:bottom w:val="single" w:sz="4" w:space="0" w:color="auto"/>
              <w:right w:val="single" w:sz="4" w:space="0" w:color="auto"/>
            </w:tcBorders>
            <w:shd w:val="clear" w:color="000000" w:fill="FFFFFF"/>
            <w:noWrap/>
            <w:vAlign w:val="bottom"/>
            <w:hideMark/>
          </w:tcPr>
          <w:p w14:paraId="016E2C7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(500)</w:t>
            </w:r>
          </w:p>
        </w:tc>
        <w:tc>
          <w:tcPr>
            <w:tcW w:w="1128" w:type="dxa"/>
            <w:tcBorders>
              <w:top w:val="nil"/>
              <w:left w:val="nil"/>
              <w:bottom w:val="single" w:sz="4" w:space="0" w:color="auto"/>
              <w:right w:val="single" w:sz="4" w:space="0" w:color="auto"/>
            </w:tcBorders>
            <w:shd w:val="clear" w:color="000000" w:fill="FFFFFF"/>
            <w:noWrap/>
            <w:vAlign w:val="bottom"/>
            <w:hideMark/>
          </w:tcPr>
          <w:p w14:paraId="7AAC2997"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(500)</w:t>
            </w:r>
          </w:p>
        </w:tc>
        <w:tc>
          <w:tcPr>
            <w:tcW w:w="1016" w:type="dxa"/>
            <w:vAlign w:val="center"/>
            <w:hideMark/>
          </w:tcPr>
          <w:p w14:paraId="39C482B0"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1B51EE1C" w14:textId="77777777" w:rsidTr="005B4FDE">
        <w:trPr>
          <w:trHeight w:val="300"/>
        </w:trPr>
        <w:tc>
          <w:tcPr>
            <w:tcW w:w="1128" w:type="dxa"/>
            <w:tcBorders>
              <w:top w:val="nil"/>
              <w:left w:val="nil"/>
              <w:bottom w:val="nil"/>
              <w:right w:val="nil"/>
            </w:tcBorders>
            <w:shd w:val="clear" w:color="000000" w:fill="FFFFFF"/>
            <w:noWrap/>
            <w:vAlign w:val="bottom"/>
            <w:hideMark/>
          </w:tcPr>
          <w:p w14:paraId="37A5F0A8"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nil"/>
              <w:left w:val="nil"/>
              <w:bottom w:val="nil"/>
              <w:right w:val="nil"/>
            </w:tcBorders>
            <w:shd w:val="clear" w:color="000000" w:fill="FFFFFF"/>
            <w:noWrap/>
            <w:vAlign w:val="bottom"/>
            <w:hideMark/>
          </w:tcPr>
          <w:p w14:paraId="740E2BEE"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939" w:type="dxa"/>
            <w:tcBorders>
              <w:top w:val="nil"/>
              <w:left w:val="nil"/>
              <w:bottom w:val="nil"/>
              <w:right w:val="nil"/>
            </w:tcBorders>
            <w:shd w:val="clear" w:color="000000" w:fill="FFFFFF"/>
            <w:noWrap/>
            <w:vAlign w:val="bottom"/>
            <w:hideMark/>
          </w:tcPr>
          <w:p w14:paraId="5EB82D90"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5AB8E0ED"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0199C85B"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03A7FFE3"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5F105D1D"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016" w:type="dxa"/>
            <w:vAlign w:val="center"/>
            <w:hideMark/>
          </w:tcPr>
          <w:p w14:paraId="11D108F9"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0D76D981" w14:textId="77777777" w:rsidTr="005B4FDE">
        <w:trPr>
          <w:trHeight w:val="300"/>
        </w:trPr>
        <w:tc>
          <w:tcPr>
            <w:tcW w:w="11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285DBF"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(168,578)</w:t>
            </w:r>
          </w:p>
        </w:tc>
        <w:tc>
          <w:tcPr>
            <w:tcW w:w="35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A13D5A" w14:textId="77777777" w:rsidR="006E1DBD" w:rsidRPr="006E1DBD" w:rsidRDefault="006E1DBD" w:rsidP="006E1DBD">
            <w:pPr>
              <w:spacing w:after="0" w:line="240" w:lineRule="auto"/>
              <w:rPr>
                <w:rFonts w:eastAsia="Times New Roman" w:cs="Calibri"/>
                <w:b/>
                <w:bCs/>
                <w:color w:val="000000"/>
                <w:sz w:val="20"/>
                <w:szCs w:val="20"/>
                <w:lang w:eastAsia="en-GB"/>
              </w:rPr>
            </w:pPr>
            <w:r w:rsidRPr="006E1DBD">
              <w:rPr>
                <w:rFonts w:eastAsia="Times New Roman" w:cs="Calibri"/>
                <w:b/>
                <w:bCs/>
                <w:color w:val="000000"/>
                <w:sz w:val="20"/>
                <w:szCs w:val="20"/>
                <w:lang w:eastAsia="en-GB"/>
              </w:rPr>
              <w:t>TOTAL FUNDING</w:t>
            </w:r>
          </w:p>
        </w:tc>
        <w:tc>
          <w:tcPr>
            <w:tcW w:w="9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BA525"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(182,968)</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01BB7B99"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(185,033)</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1081596D"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(189,298)</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4D5070F5"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(193,686)</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220A46FD"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(198,199)</w:t>
            </w:r>
          </w:p>
        </w:tc>
        <w:tc>
          <w:tcPr>
            <w:tcW w:w="1016" w:type="dxa"/>
            <w:vAlign w:val="center"/>
            <w:hideMark/>
          </w:tcPr>
          <w:p w14:paraId="7F522588"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564546A8" w14:textId="77777777" w:rsidTr="005B4FDE">
        <w:trPr>
          <w:trHeight w:val="300"/>
        </w:trPr>
        <w:tc>
          <w:tcPr>
            <w:tcW w:w="1128" w:type="dxa"/>
            <w:tcBorders>
              <w:top w:val="nil"/>
              <w:left w:val="nil"/>
              <w:bottom w:val="nil"/>
              <w:right w:val="nil"/>
            </w:tcBorders>
            <w:shd w:val="clear" w:color="000000" w:fill="FFFFFF"/>
            <w:noWrap/>
            <w:vAlign w:val="bottom"/>
            <w:hideMark/>
          </w:tcPr>
          <w:p w14:paraId="2382F086"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nil"/>
              <w:left w:val="nil"/>
              <w:bottom w:val="nil"/>
              <w:right w:val="nil"/>
            </w:tcBorders>
            <w:shd w:val="clear" w:color="000000" w:fill="FFFFFF"/>
            <w:noWrap/>
            <w:vAlign w:val="bottom"/>
            <w:hideMark/>
          </w:tcPr>
          <w:p w14:paraId="7152032B"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939" w:type="dxa"/>
            <w:tcBorders>
              <w:top w:val="nil"/>
              <w:left w:val="nil"/>
              <w:bottom w:val="nil"/>
              <w:right w:val="nil"/>
            </w:tcBorders>
            <w:shd w:val="clear" w:color="000000" w:fill="FFFFFF"/>
            <w:noWrap/>
            <w:vAlign w:val="bottom"/>
            <w:hideMark/>
          </w:tcPr>
          <w:p w14:paraId="72507530"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13ACBA49"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64734222"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34BCF45C"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4FF73760"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016" w:type="dxa"/>
            <w:vAlign w:val="center"/>
            <w:hideMark/>
          </w:tcPr>
          <w:p w14:paraId="5A14426D"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51C86924" w14:textId="77777777" w:rsidTr="005B4FDE">
        <w:trPr>
          <w:trHeight w:val="300"/>
        </w:trPr>
        <w:tc>
          <w:tcPr>
            <w:tcW w:w="11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B48CEC"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w:t>
            </w:r>
          </w:p>
        </w:tc>
        <w:tc>
          <w:tcPr>
            <w:tcW w:w="35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8F172C" w14:textId="77777777" w:rsidR="006E1DBD" w:rsidRPr="006E1DBD" w:rsidRDefault="006E1DBD" w:rsidP="006E1DBD">
            <w:pPr>
              <w:spacing w:after="0" w:line="240" w:lineRule="auto"/>
              <w:rPr>
                <w:rFonts w:eastAsia="Times New Roman" w:cs="Calibri"/>
                <w:b/>
                <w:bCs/>
                <w:color w:val="000000"/>
                <w:sz w:val="20"/>
                <w:szCs w:val="20"/>
                <w:lang w:eastAsia="en-GB"/>
              </w:rPr>
            </w:pPr>
            <w:r w:rsidRPr="006E1DBD">
              <w:rPr>
                <w:rFonts w:eastAsia="Times New Roman" w:cs="Calibri"/>
                <w:b/>
                <w:bCs/>
                <w:color w:val="000000"/>
                <w:sz w:val="20"/>
                <w:szCs w:val="20"/>
                <w:lang w:eastAsia="en-GB"/>
              </w:rPr>
              <w:t>FUNDING (SURPLUS) / DEFICIT</w:t>
            </w:r>
          </w:p>
        </w:tc>
        <w:tc>
          <w:tcPr>
            <w:tcW w:w="939"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B78B9DD"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w:t>
            </w:r>
          </w:p>
        </w:tc>
        <w:tc>
          <w:tcPr>
            <w:tcW w:w="1128" w:type="dxa"/>
            <w:tcBorders>
              <w:top w:val="single" w:sz="4" w:space="0" w:color="auto"/>
              <w:left w:val="nil"/>
              <w:bottom w:val="single" w:sz="4" w:space="0" w:color="auto"/>
              <w:right w:val="single" w:sz="4" w:space="0" w:color="auto"/>
            </w:tcBorders>
            <w:shd w:val="clear" w:color="000000" w:fill="DDEBF7"/>
            <w:noWrap/>
            <w:vAlign w:val="center"/>
            <w:hideMark/>
          </w:tcPr>
          <w:p w14:paraId="617F4D0B"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6,343</w:t>
            </w:r>
          </w:p>
        </w:tc>
        <w:tc>
          <w:tcPr>
            <w:tcW w:w="1128" w:type="dxa"/>
            <w:tcBorders>
              <w:top w:val="single" w:sz="4" w:space="0" w:color="auto"/>
              <w:left w:val="nil"/>
              <w:bottom w:val="single" w:sz="4" w:space="0" w:color="auto"/>
              <w:right w:val="single" w:sz="4" w:space="0" w:color="auto"/>
            </w:tcBorders>
            <w:shd w:val="clear" w:color="000000" w:fill="DDEBF7"/>
            <w:noWrap/>
            <w:vAlign w:val="center"/>
            <w:hideMark/>
          </w:tcPr>
          <w:p w14:paraId="6BBB7F47"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5,079</w:t>
            </w:r>
          </w:p>
        </w:tc>
        <w:tc>
          <w:tcPr>
            <w:tcW w:w="1128" w:type="dxa"/>
            <w:tcBorders>
              <w:top w:val="single" w:sz="4" w:space="0" w:color="auto"/>
              <w:left w:val="nil"/>
              <w:bottom w:val="single" w:sz="4" w:space="0" w:color="auto"/>
              <w:right w:val="single" w:sz="4" w:space="0" w:color="auto"/>
            </w:tcBorders>
            <w:shd w:val="clear" w:color="000000" w:fill="DDEBF7"/>
            <w:noWrap/>
            <w:vAlign w:val="center"/>
            <w:hideMark/>
          </w:tcPr>
          <w:p w14:paraId="130EB04C"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4,155</w:t>
            </w:r>
          </w:p>
        </w:tc>
        <w:tc>
          <w:tcPr>
            <w:tcW w:w="1128" w:type="dxa"/>
            <w:tcBorders>
              <w:top w:val="single" w:sz="4" w:space="0" w:color="auto"/>
              <w:left w:val="nil"/>
              <w:bottom w:val="single" w:sz="4" w:space="0" w:color="auto"/>
              <w:right w:val="single" w:sz="4" w:space="0" w:color="auto"/>
            </w:tcBorders>
            <w:shd w:val="clear" w:color="000000" w:fill="DDEBF7"/>
            <w:noWrap/>
            <w:vAlign w:val="center"/>
            <w:hideMark/>
          </w:tcPr>
          <w:p w14:paraId="358DFD7F" w14:textId="77777777" w:rsidR="006E1DBD" w:rsidRPr="006E1DBD" w:rsidRDefault="006E1DBD" w:rsidP="006E1DBD">
            <w:pPr>
              <w:spacing w:after="0" w:line="240" w:lineRule="auto"/>
              <w:jc w:val="right"/>
              <w:rPr>
                <w:rFonts w:eastAsia="Times New Roman" w:cs="Calibri"/>
                <w:b/>
                <w:bCs/>
                <w:color w:val="000000"/>
                <w:sz w:val="20"/>
                <w:szCs w:val="20"/>
                <w:lang w:eastAsia="en-GB"/>
              </w:rPr>
            </w:pPr>
            <w:r w:rsidRPr="006E1DBD">
              <w:rPr>
                <w:rFonts w:eastAsia="Times New Roman" w:cs="Calibri"/>
                <w:b/>
                <w:bCs/>
                <w:color w:val="000000"/>
                <w:sz w:val="20"/>
                <w:szCs w:val="20"/>
                <w:lang w:eastAsia="en-GB"/>
              </w:rPr>
              <w:t>3,454</w:t>
            </w:r>
          </w:p>
        </w:tc>
        <w:tc>
          <w:tcPr>
            <w:tcW w:w="1016" w:type="dxa"/>
            <w:vAlign w:val="center"/>
            <w:hideMark/>
          </w:tcPr>
          <w:p w14:paraId="2342B938"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33879A7E" w14:textId="77777777" w:rsidTr="005B4FDE">
        <w:trPr>
          <w:trHeight w:val="435"/>
        </w:trPr>
        <w:tc>
          <w:tcPr>
            <w:tcW w:w="1128" w:type="dxa"/>
            <w:tcBorders>
              <w:top w:val="nil"/>
              <w:left w:val="nil"/>
              <w:bottom w:val="single" w:sz="4" w:space="0" w:color="auto"/>
              <w:right w:val="nil"/>
            </w:tcBorders>
            <w:shd w:val="clear" w:color="000000" w:fill="FFFFFF"/>
            <w:noWrap/>
            <w:vAlign w:val="bottom"/>
            <w:hideMark/>
          </w:tcPr>
          <w:p w14:paraId="10767514"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nil"/>
              <w:left w:val="nil"/>
              <w:bottom w:val="nil"/>
              <w:right w:val="nil"/>
            </w:tcBorders>
            <w:shd w:val="clear" w:color="000000" w:fill="FFFFFF"/>
            <w:noWrap/>
            <w:vAlign w:val="bottom"/>
            <w:hideMark/>
          </w:tcPr>
          <w:p w14:paraId="2B76426E" w14:textId="6E3084AE" w:rsidR="006E1DBD" w:rsidRPr="006E1DBD" w:rsidRDefault="006E1DBD" w:rsidP="006E1DBD">
            <w:pPr>
              <w:spacing w:after="0" w:line="240" w:lineRule="auto"/>
              <w:rPr>
                <w:rFonts w:eastAsia="Times New Roman" w:cs="Calibri"/>
                <w:b/>
                <w:bCs/>
                <w:color w:val="000000"/>
                <w:sz w:val="20"/>
                <w:szCs w:val="20"/>
                <w:lang w:eastAsia="en-GB"/>
              </w:rPr>
            </w:pPr>
            <w:r>
              <w:rPr>
                <w:rFonts w:eastAsia="Times New Roman" w:cs="Calibri"/>
                <w:b/>
                <w:bCs/>
                <w:color w:val="000000"/>
                <w:lang w:eastAsia="en-GB"/>
              </w:rPr>
              <w:t>PRECEPT</w:t>
            </w:r>
          </w:p>
        </w:tc>
        <w:tc>
          <w:tcPr>
            <w:tcW w:w="939" w:type="dxa"/>
            <w:tcBorders>
              <w:top w:val="nil"/>
              <w:left w:val="nil"/>
              <w:bottom w:val="single" w:sz="4" w:space="0" w:color="auto"/>
              <w:right w:val="nil"/>
            </w:tcBorders>
            <w:shd w:val="clear" w:color="000000" w:fill="FFFFFF"/>
            <w:noWrap/>
            <w:vAlign w:val="bottom"/>
            <w:hideMark/>
          </w:tcPr>
          <w:p w14:paraId="72DF3858"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single" w:sz="4" w:space="0" w:color="auto"/>
              <w:right w:val="nil"/>
            </w:tcBorders>
            <w:shd w:val="clear" w:color="000000" w:fill="FFFFFF"/>
            <w:noWrap/>
            <w:vAlign w:val="bottom"/>
            <w:hideMark/>
          </w:tcPr>
          <w:p w14:paraId="7881859F"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single" w:sz="4" w:space="0" w:color="auto"/>
              <w:right w:val="nil"/>
            </w:tcBorders>
            <w:shd w:val="clear" w:color="000000" w:fill="FFFFFF"/>
            <w:noWrap/>
            <w:vAlign w:val="bottom"/>
            <w:hideMark/>
          </w:tcPr>
          <w:p w14:paraId="1BF01621"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single" w:sz="4" w:space="0" w:color="auto"/>
              <w:right w:val="nil"/>
            </w:tcBorders>
            <w:shd w:val="clear" w:color="000000" w:fill="FFFFFF"/>
            <w:noWrap/>
            <w:vAlign w:val="bottom"/>
            <w:hideMark/>
          </w:tcPr>
          <w:p w14:paraId="648DC315"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single" w:sz="4" w:space="0" w:color="auto"/>
              <w:right w:val="nil"/>
            </w:tcBorders>
            <w:shd w:val="clear" w:color="000000" w:fill="FFFFFF"/>
            <w:noWrap/>
            <w:vAlign w:val="bottom"/>
            <w:hideMark/>
          </w:tcPr>
          <w:p w14:paraId="2D81E754"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016" w:type="dxa"/>
            <w:vAlign w:val="center"/>
            <w:hideMark/>
          </w:tcPr>
          <w:p w14:paraId="6B944E2A"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4DD23EFC" w14:textId="77777777" w:rsidTr="005B4FDE">
        <w:trPr>
          <w:trHeight w:val="300"/>
        </w:trPr>
        <w:tc>
          <w:tcPr>
            <w:tcW w:w="11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3EA9B7"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£293.04</w:t>
            </w:r>
          </w:p>
        </w:tc>
        <w:tc>
          <w:tcPr>
            <w:tcW w:w="35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01B86F"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Band D Council Tax</w:t>
            </w:r>
          </w:p>
        </w:tc>
        <w:tc>
          <w:tcPr>
            <w:tcW w:w="9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0D43FB"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£306.04</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5BF5BCDD"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£312.13</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7D5B4B77"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£318.34</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326B04A0"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£324.68</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4E9D3349"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£331.14</w:t>
            </w:r>
          </w:p>
        </w:tc>
        <w:tc>
          <w:tcPr>
            <w:tcW w:w="1016" w:type="dxa"/>
            <w:vAlign w:val="center"/>
            <w:hideMark/>
          </w:tcPr>
          <w:p w14:paraId="7FC54418"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21485949" w14:textId="77777777" w:rsidTr="005B4FDE">
        <w:trPr>
          <w:trHeight w:val="300"/>
        </w:trPr>
        <w:tc>
          <w:tcPr>
            <w:tcW w:w="1128" w:type="dxa"/>
            <w:tcBorders>
              <w:top w:val="nil"/>
              <w:left w:val="single" w:sz="4" w:space="0" w:color="auto"/>
              <w:bottom w:val="single" w:sz="4" w:space="0" w:color="auto"/>
              <w:right w:val="single" w:sz="4" w:space="0" w:color="auto"/>
            </w:tcBorders>
            <w:shd w:val="clear" w:color="000000" w:fill="FFFFFF"/>
            <w:noWrap/>
            <w:vAlign w:val="bottom"/>
            <w:hideMark/>
          </w:tcPr>
          <w:p w14:paraId="15C7238A"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256,339.80</w:t>
            </w:r>
          </w:p>
        </w:tc>
        <w:tc>
          <w:tcPr>
            <w:tcW w:w="3550" w:type="dxa"/>
            <w:tcBorders>
              <w:top w:val="nil"/>
              <w:left w:val="single" w:sz="4" w:space="0" w:color="auto"/>
              <w:bottom w:val="single" w:sz="4" w:space="0" w:color="auto"/>
              <w:right w:val="single" w:sz="4" w:space="0" w:color="auto"/>
            </w:tcBorders>
            <w:shd w:val="clear" w:color="000000" w:fill="FFFFFF"/>
            <w:noWrap/>
            <w:vAlign w:val="bottom"/>
            <w:hideMark/>
          </w:tcPr>
          <w:p w14:paraId="13AB1E62"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Tax Base</w:t>
            </w:r>
          </w:p>
        </w:tc>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26B94063"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258,511.60</w:t>
            </w:r>
          </w:p>
        </w:tc>
        <w:tc>
          <w:tcPr>
            <w:tcW w:w="1128" w:type="dxa"/>
            <w:tcBorders>
              <w:top w:val="nil"/>
              <w:left w:val="nil"/>
              <w:bottom w:val="single" w:sz="4" w:space="0" w:color="auto"/>
              <w:right w:val="single" w:sz="4" w:space="0" w:color="auto"/>
            </w:tcBorders>
            <w:shd w:val="clear" w:color="000000" w:fill="FFFFFF"/>
            <w:noWrap/>
            <w:vAlign w:val="bottom"/>
            <w:hideMark/>
          </w:tcPr>
          <w:p w14:paraId="2BE7E4F1"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262,389.27</w:t>
            </w:r>
          </w:p>
        </w:tc>
        <w:tc>
          <w:tcPr>
            <w:tcW w:w="1128" w:type="dxa"/>
            <w:tcBorders>
              <w:top w:val="nil"/>
              <w:left w:val="nil"/>
              <w:bottom w:val="single" w:sz="4" w:space="0" w:color="auto"/>
              <w:right w:val="single" w:sz="4" w:space="0" w:color="auto"/>
            </w:tcBorders>
            <w:shd w:val="clear" w:color="000000" w:fill="FFFFFF"/>
            <w:noWrap/>
            <w:vAlign w:val="bottom"/>
            <w:hideMark/>
          </w:tcPr>
          <w:p w14:paraId="7A46B642"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266,325.11</w:t>
            </w:r>
          </w:p>
        </w:tc>
        <w:tc>
          <w:tcPr>
            <w:tcW w:w="1128" w:type="dxa"/>
            <w:tcBorders>
              <w:top w:val="nil"/>
              <w:left w:val="nil"/>
              <w:bottom w:val="single" w:sz="4" w:space="0" w:color="auto"/>
              <w:right w:val="single" w:sz="4" w:space="0" w:color="auto"/>
            </w:tcBorders>
            <w:shd w:val="clear" w:color="000000" w:fill="FFFFFF"/>
            <w:noWrap/>
            <w:vAlign w:val="bottom"/>
            <w:hideMark/>
          </w:tcPr>
          <w:p w14:paraId="05CAF179"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270,319.99</w:t>
            </w:r>
          </w:p>
        </w:tc>
        <w:tc>
          <w:tcPr>
            <w:tcW w:w="1128" w:type="dxa"/>
            <w:tcBorders>
              <w:top w:val="nil"/>
              <w:left w:val="nil"/>
              <w:bottom w:val="single" w:sz="4" w:space="0" w:color="auto"/>
              <w:right w:val="single" w:sz="4" w:space="0" w:color="auto"/>
            </w:tcBorders>
            <w:shd w:val="clear" w:color="000000" w:fill="FFFFFF"/>
            <w:noWrap/>
            <w:vAlign w:val="bottom"/>
            <w:hideMark/>
          </w:tcPr>
          <w:p w14:paraId="559E6D39"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274,374.79</w:t>
            </w:r>
          </w:p>
        </w:tc>
        <w:tc>
          <w:tcPr>
            <w:tcW w:w="1016" w:type="dxa"/>
            <w:vAlign w:val="center"/>
            <w:hideMark/>
          </w:tcPr>
          <w:p w14:paraId="39D0FB60"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1D6AD863" w14:textId="77777777" w:rsidTr="005B4FDE">
        <w:trPr>
          <w:trHeight w:val="300"/>
        </w:trPr>
        <w:tc>
          <w:tcPr>
            <w:tcW w:w="1128" w:type="dxa"/>
            <w:tcBorders>
              <w:top w:val="nil"/>
              <w:left w:val="nil"/>
              <w:bottom w:val="nil"/>
              <w:right w:val="nil"/>
            </w:tcBorders>
            <w:shd w:val="clear" w:color="000000" w:fill="FFFFFF"/>
            <w:noWrap/>
            <w:vAlign w:val="bottom"/>
            <w:hideMark/>
          </w:tcPr>
          <w:p w14:paraId="6F95FCF7"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nil"/>
              <w:left w:val="nil"/>
              <w:bottom w:val="nil"/>
              <w:right w:val="nil"/>
            </w:tcBorders>
            <w:shd w:val="clear" w:color="000000" w:fill="FFFFFF"/>
            <w:noWrap/>
            <w:vAlign w:val="bottom"/>
            <w:hideMark/>
          </w:tcPr>
          <w:p w14:paraId="68167974"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939" w:type="dxa"/>
            <w:tcBorders>
              <w:top w:val="nil"/>
              <w:left w:val="nil"/>
              <w:bottom w:val="nil"/>
              <w:right w:val="nil"/>
            </w:tcBorders>
            <w:shd w:val="clear" w:color="000000" w:fill="FFFFFF"/>
            <w:noWrap/>
            <w:vAlign w:val="bottom"/>
            <w:hideMark/>
          </w:tcPr>
          <w:p w14:paraId="413E3C5E"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0B9ECB34"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65E63054"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4AD8E753"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7E2F28B3"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016" w:type="dxa"/>
            <w:vAlign w:val="center"/>
            <w:hideMark/>
          </w:tcPr>
          <w:p w14:paraId="72395B27"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0F0A6FE4" w14:textId="77777777" w:rsidTr="005B4FDE">
        <w:trPr>
          <w:trHeight w:val="300"/>
        </w:trPr>
        <w:tc>
          <w:tcPr>
            <w:tcW w:w="1128" w:type="dxa"/>
            <w:tcBorders>
              <w:top w:val="nil"/>
              <w:left w:val="nil"/>
              <w:bottom w:val="nil"/>
              <w:right w:val="nil"/>
            </w:tcBorders>
            <w:shd w:val="clear" w:color="000000" w:fill="FFFFFF"/>
            <w:noWrap/>
            <w:vAlign w:val="bottom"/>
            <w:hideMark/>
          </w:tcPr>
          <w:p w14:paraId="26FC1320"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nil"/>
              <w:left w:val="nil"/>
              <w:bottom w:val="nil"/>
              <w:right w:val="nil"/>
            </w:tcBorders>
            <w:shd w:val="clear" w:color="000000" w:fill="FFFFFF"/>
            <w:noWrap/>
            <w:vAlign w:val="bottom"/>
            <w:hideMark/>
          </w:tcPr>
          <w:p w14:paraId="2F767F34" w14:textId="5869EB60" w:rsidR="006E1DBD" w:rsidRPr="006E1DBD" w:rsidRDefault="006E1DBD" w:rsidP="006E1DBD">
            <w:pPr>
              <w:spacing w:after="0" w:line="240" w:lineRule="auto"/>
              <w:rPr>
                <w:rFonts w:eastAsia="Times New Roman" w:cs="Calibri"/>
                <w:b/>
                <w:bCs/>
                <w:color w:val="000000"/>
                <w:sz w:val="20"/>
                <w:szCs w:val="20"/>
                <w:lang w:eastAsia="en-GB"/>
              </w:rPr>
            </w:pPr>
            <w:r w:rsidRPr="006E1DBD">
              <w:rPr>
                <w:rFonts w:eastAsia="Times New Roman" w:cs="Calibri"/>
                <w:b/>
                <w:bCs/>
                <w:color w:val="000000"/>
                <w:lang w:eastAsia="en-GB"/>
              </w:rPr>
              <w:t>ASSUMPTIONS</w:t>
            </w:r>
          </w:p>
        </w:tc>
        <w:tc>
          <w:tcPr>
            <w:tcW w:w="939" w:type="dxa"/>
            <w:tcBorders>
              <w:top w:val="nil"/>
              <w:left w:val="nil"/>
              <w:bottom w:val="nil"/>
              <w:right w:val="nil"/>
            </w:tcBorders>
            <w:shd w:val="clear" w:color="000000" w:fill="FFFFFF"/>
            <w:noWrap/>
            <w:vAlign w:val="bottom"/>
            <w:hideMark/>
          </w:tcPr>
          <w:p w14:paraId="6FFAB9CA"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00B67AAA"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738C7E08"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6FCBF489"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7E712C45"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1016" w:type="dxa"/>
            <w:vAlign w:val="center"/>
            <w:hideMark/>
          </w:tcPr>
          <w:p w14:paraId="56BC40AF"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15E08E64" w14:textId="77777777" w:rsidTr="005B4FDE">
        <w:trPr>
          <w:trHeight w:val="300"/>
        </w:trPr>
        <w:tc>
          <w:tcPr>
            <w:tcW w:w="1128" w:type="dxa"/>
            <w:tcBorders>
              <w:top w:val="nil"/>
              <w:left w:val="nil"/>
              <w:bottom w:val="nil"/>
              <w:right w:val="nil"/>
            </w:tcBorders>
            <w:shd w:val="clear" w:color="000000" w:fill="FFFFFF"/>
            <w:noWrap/>
            <w:vAlign w:val="bottom"/>
            <w:hideMark/>
          </w:tcPr>
          <w:p w14:paraId="1E732A0A"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single" w:sz="4" w:space="0" w:color="auto"/>
              <w:left w:val="single" w:sz="4" w:space="0" w:color="auto"/>
              <w:bottom w:val="nil"/>
              <w:right w:val="single" w:sz="4" w:space="0" w:color="auto"/>
            </w:tcBorders>
            <w:shd w:val="clear" w:color="000000" w:fill="FFFFFF"/>
            <w:noWrap/>
            <w:vAlign w:val="bottom"/>
            <w:hideMark/>
          </w:tcPr>
          <w:p w14:paraId="43207B8D"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Home Office Grants</w:t>
            </w:r>
          </w:p>
        </w:tc>
        <w:tc>
          <w:tcPr>
            <w:tcW w:w="939" w:type="dxa"/>
            <w:tcBorders>
              <w:top w:val="single" w:sz="4" w:space="0" w:color="auto"/>
              <w:left w:val="nil"/>
              <w:bottom w:val="nil"/>
              <w:right w:val="single" w:sz="4" w:space="0" w:color="auto"/>
            </w:tcBorders>
            <w:shd w:val="clear" w:color="000000" w:fill="FFFFFF"/>
            <w:noWrap/>
            <w:vAlign w:val="bottom"/>
            <w:hideMark/>
          </w:tcPr>
          <w:p w14:paraId="5030B9B9"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11.01%</w:t>
            </w:r>
          </w:p>
        </w:tc>
        <w:tc>
          <w:tcPr>
            <w:tcW w:w="1128" w:type="dxa"/>
            <w:tcBorders>
              <w:top w:val="single" w:sz="4" w:space="0" w:color="auto"/>
              <w:left w:val="nil"/>
              <w:bottom w:val="nil"/>
              <w:right w:val="single" w:sz="4" w:space="0" w:color="auto"/>
            </w:tcBorders>
            <w:shd w:val="clear" w:color="000000" w:fill="FFFFFF"/>
            <w:noWrap/>
            <w:vAlign w:val="bottom"/>
            <w:hideMark/>
          </w:tcPr>
          <w:p w14:paraId="7851BE74"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1.50%</w:t>
            </w:r>
          </w:p>
        </w:tc>
        <w:tc>
          <w:tcPr>
            <w:tcW w:w="1128" w:type="dxa"/>
            <w:tcBorders>
              <w:top w:val="single" w:sz="4" w:space="0" w:color="auto"/>
              <w:left w:val="nil"/>
              <w:bottom w:val="nil"/>
              <w:right w:val="single" w:sz="4" w:space="0" w:color="auto"/>
            </w:tcBorders>
            <w:shd w:val="clear" w:color="000000" w:fill="FFFFFF"/>
            <w:noWrap/>
            <w:vAlign w:val="bottom"/>
            <w:hideMark/>
          </w:tcPr>
          <w:p w14:paraId="7304569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1.50%</w:t>
            </w:r>
          </w:p>
        </w:tc>
        <w:tc>
          <w:tcPr>
            <w:tcW w:w="1128" w:type="dxa"/>
            <w:tcBorders>
              <w:top w:val="single" w:sz="4" w:space="0" w:color="auto"/>
              <w:left w:val="nil"/>
              <w:bottom w:val="nil"/>
              <w:right w:val="single" w:sz="4" w:space="0" w:color="auto"/>
            </w:tcBorders>
            <w:shd w:val="clear" w:color="000000" w:fill="FFFFFF"/>
            <w:noWrap/>
            <w:vAlign w:val="bottom"/>
            <w:hideMark/>
          </w:tcPr>
          <w:p w14:paraId="087A8872"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1.50%</w:t>
            </w:r>
          </w:p>
        </w:tc>
        <w:tc>
          <w:tcPr>
            <w:tcW w:w="1128" w:type="dxa"/>
            <w:tcBorders>
              <w:top w:val="single" w:sz="4" w:space="0" w:color="auto"/>
              <w:left w:val="nil"/>
              <w:bottom w:val="nil"/>
              <w:right w:val="single" w:sz="4" w:space="0" w:color="auto"/>
            </w:tcBorders>
            <w:shd w:val="clear" w:color="000000" w:fill="FFFFFF"/>
            <w:noWrap/>
            <w:vAlign w:val="bottom"/>
            <w:hideMark/>
          </w:tcPr>
          <w:p w14:paraId="5FD129B2"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1.50%</w:t>
            </w:r>
          </w:p>
        </w:tc>
        <w:tc>
          <w:tcPr>
            <w:tcW w:w="1016" w:type="dxa"/>
            <w:vAlign w:val="center"/>
            <w:hideMark/>
          </w:tcPr>
          <w:p w14:paraId="763978EA"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3716DAF5" w14:textId="77777777" w:rsidTr="005B4FDE">
        <w:trPr>
          <w:trHeight w:val="300"/>
        </w:trPr>
        <w:tc>
          <w:tcPr>
            <w:tcW w:w="1128" w:type="dxa"/>
            <w:tcBorders>
              <w:top w:val="nil"/>
              <w:left w:val="nil"/>
              <w:bottom w:val="nil"/>
              <w:right w:val="nil"/>
            </w:tcBorders>
            <w:shd w:val="clear" w:color="000000" w:fill="FFFFFF"/>
            <w:noWrap/>
            <w:vAlign w:val="bottom"/>
            <w:hideMark/>
          </w:tcPr>
          <w:p w14:paraId="62C33CA9"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nil"/>
              <w:left w:val="single" w:sz="4" w:space="0" w:color="auto"/>
              <w:bottom w:val="nil"/>
              <w:right w:val="single" w:sz="4" w:space="0" w:color="auto"/>
            </w:tcBorders>
            <w:shd w:val="clear" w:color="000000" w:fill="FFFFFF"/>
            <w:noWrap/>
            <w:vAlign w:val="bottom"/>
            <w:hideMark/>
          </w:tcPr>
          <w:p w14:paraId="76FB1148"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Precept (%)</w:t>
            </w:r>
          </w:p>
        </w:tc>
        <w:tc>
          <w:tcPr>
            <w:tcW w:w="939" w:type="dxa"/>
            <w:tcBorders>
              <w:top w:val="nil"/>
              <w:left w:val="nil"/>
              <w:bottom w:val="nil"/>
              <w:right w:val="single" w:sz="4" w:space="0" w:color="auto"/>
            </w:tcBorders>
            <w:shd w:val="clear" w:color="000000" w:fill="FFFFFF"/>
            <w:noWrap/>
            <w:vAlign w:val="bottom"/>
            <w:hideMark/>
          </w:tcPr>
          <w:p w14:paraId="18D2FAF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4.44%</w:t>
            </w:r>
          </w:p>
        </w:tc>
        <w:tc>
          <w:tcPr>
            <w:tcW w:w="1128" w:type="dxa"/>
            <w:tcBorders>
              <w:top w:val="nil"/>
              <w:left w:val="nil"/>
              <w:bottom w:val="nil"/>
              <w:right w:val="single" w:sz="4" w:space="0" w:color="auto"/>
            </w:tcBorders>
            <w:shd w:val="clear" w:color="000000" w:fill="FFFFFF"/>
            <w:noWrap/>
            <w:vAlign w:val="bottom"/>
            <w:hideMark/>
          </w:tcPr>
          <w:p w14:paraId="70F24FF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1.99%</w:t>
            </w:r>
          </w:p>
        </w:tc>
        <w:tc>
          <w:tcPr>
            <w:tcW w:w="1128" w:type="dxa"/>
            <w:tcBorders>
              <w:top w:val="nil"/>
              <w:left w:val="nil"/>
              <w:bottom w:val="nil"/>
              <w:right w:val="single" w:sz="4" w:space="0" w:color="auto"/>
            </w:tcBorders>
            <w:shd w:val="clear" w:color="000000" w:fill="FFFFFF"/>
            <w:noWrap/>
            <w:vAlign w:val="bottom"/>
            <w:hideMark/>
          </w:tcPr>
          <w:p w14:paraId="1AF26ABC"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1.99%</w:t>
            </w:r>
          </w:p>
        </w:tc>
        <w:tc>
          <w:tcPr>
            <w:tcW w:w="1128" w:type="dxa"/>
            <w:tcBorders>
              <w:top w:val="nil"/>
              <w:left w:val="nil"/>
              <w:bottom w:val="nil"/>
              <w:right w:val="single" w:sz="4" w:space="0" w:color="auto"/>
            </w:tcBorders>
            <w:shd w:val="clear" w:color="000000" w:fill="FFFFFF"/>
            <w:noWrap/>
            <w:vAlign w:val="bottom"/>
            <w:hideMark/>
          </w:tcPr>
          <w:p w14:paraId="60F5642B"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1.99%</w:t>
            </w:r>
          </w:p>
        </w:tc>
        <w:tc>
          <w:tcPr>
            <w:tcW w:w="1128" w:type="dxa"/>
            <w:tcBorders>
              <w:top w:val="nil"/>
              <w:left w:val="nil"/>
              <w:bottom w:val="nil"/>
              <w:right w:val="single" w:sz="4" w:space="0" w:color="auto"/>
            </w:tcBorders>
            <w:shd w:val="clear" w:color="000000" w:fill="FFFFFF"/>
            <w:noWrap/>
            <w:vAlign w:val="bottom"/>
            <w:hideMark/>
          </w:tcPr>
          <w:p w14:paraId="4110B677"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1.99%</w:t>
            </w:r>
          </w:p>
        </w:tc>
        <w:tc>
          <w:tcPr>
            <w:tcW w:w="1016" w:type="dxa"/>
            <w:vAlign w:val="center"/>
            <w:hideMark/>
          </w:tcPr>
          <w:p w14:paraId="3934BBD6"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607BFFC7" w14:textId="77777777" w:rsidTr="005B4FDE">
        <w:trPr>
          <w:trHeight w:val="300"/>
        </w:trPr>
        <w:tc>
          <w:tcPr>
            <w:tcW w:w="1128" w:type="dxa"/>
            <w:tcBorders>
              <w:top w:val="nil"/>
              <w:left w:val="nil"/>
              <w:bottom w:val="nil"/>
              <w:right w:val="nil"/>
            </w:tcBorders>
            <w:shd w:val="clear" w:color="000000" w:fill="FFFFFF"/>
            <w:noWrap/>
            <w:vAlign w:val="bottom"/>
            <w:hideMark/>
          </w:tcPr>
          <w:p w14:paraId="02DAB728"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nil"/>
              <w:left w:val="single" w:sz="4" w:space="0" w:color="auto"/>
              <w:bottom w:val="nil"/>
              <w:right w:val="single" w:sz="4" w:space="0" w:color="auto"/>
            </w:tcBorders>
            <w:shd w:val="clear" w:color="000000" w:fill="FFFFFF"/>
            <w:noWrap/>
            <w:vAlign w:val="bottom"/>
            <w:hideMark/>
          </w:tcPr>
          <w:p w14:paraId="1BB13E51"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Precept (£)</w:t>
            </w:r>
          </w:p>
        </w:tc>
        <w:tc>
          <w:tcPr>
            <w:tcW w:w="939" w:type="dxa"/>
            <w:tcBorders>
              <w:top w:val="nil"/>
              <w:left w:val="nil"/>
              <w:bottom w:val="nil"/>
              <w:right w:val="single" w:sz="4" w:space="0" w:color="auto"/>
            </w:tcBorders>
            <w:shd w:val="clear" w:color="000000" w:fill="FFFFFF"/>
            <w:noWrap/>
            <w:vAlign w:val="bottom"/>
            <w:hideMark/>
          </w:tcPr>
          <w:p w14:paraId="79B07986"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£13.00</w:t>
            </w:r>
          </w:p>
        </w:tc>
        <w:tc>
          <w:tcPr>
            <w:tcW w:w="1128" w:type="dxa"/>
            <w:tcBorders>
              <w:top w:val="nil"/>
              <w:left w:val="nil"/>
              <w:bottom w:val="nil"/>
              <w:right w:val="single" w:sz="4" w:space="0" w:color="auto"/>
            </w:tcBorders>
            <w:shd w:val="clear" w:color="000000" w:fill="FFFFFF"/>
            <w:noWrap/>
            <w:vAlign w:val="bottom"/>
            <w:hideMark/>
          </w:tcPr>
          <w:p w14:paraId="02330132"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£6.09</w:t>
            </w:r>
          </w:p>
        </w:tc>
        <w:tc>
          <w:tcPr>
            <w:tcW w:w="1128" w:type="dxa"/>
            <w:tcBorders>
              <w:top w:val="nil"/>
              <w:left w:val="nil"/>
              <w:bottom w:val="nil"/>
              <w:right w:val="single" w:sz="4" w:space="0" w:color="auto"/>
            </w:tcBorders>
            <w:shd w:val="clear" w:color="000000" w:fill="FFFFFF"/>
            <w:noWrap/>
            <w:vAlign w:val="bottom"/>
            <w:hideMark/>
          </w:tcPr>
          <w:p w14:paraId="79C183D9"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£6.21</w:t>
            </w:r>
          </w:p>
        </w:tc>
        <w:tc>
          <w:tcPr>
            <w:tcW w:w="1128" w:type="dxa"/>
            <w:tcBorders>
              <w:top w:val="nil"/>
              <w:left w:val="nil"/>
              <w:bottom w:val="nil"/>
              <w:right w:val="single" w:sz="4" w:space="0" w:color="auto"/>
            </w:tcBorders>
            <w:shd w:val="clear" w:color="000000" w:fill="FFFFFF"/>
            <w:noWrap/>
            <w:vAlign w:val="bottom"/>
            <w:hideMark/>
          </w:tcPr>
          <w:p w14:paraId="0FEC0DE1"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£6.33</w:t>
            </w:r>
          </w:p>
        </w:tc>
        <w:tc>
          <w:tcPr>
            <w:tcW w:w="1128" w:type="dxa"/>
            <w:tcBorders>
              <w:top w:val="nil"/>
              <w:left w:val="nil"/>
              <w:bottom w:val="nil"/>
              <w:right w:val="single" w:sz="4" w:space="0" w:color="auto"/>
            </w:tcBorders>
            <w:shd w:val="clear" w:color="000000" w:fill="FFFFFF"/>
            <w:noWrap/>
            <w:vAlign w:val="bottom"/>
            <w:hideMark/>
          </w:tcPr>
          <w:p w14:paraId="6DDD2676"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£6.46</w:t>
            </w:r>
          </w:p>
        </w:tc>
        <w:tc>
          <w:tcPr>
            <w:tcW w:w="1016" w:type="dxa"/>
            <w:vAlign w:val="center"/>
            <w:hideMark/>
          </w:tcPr>
          <w:p w14:paraId="58195FC5"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7212BBD1" w14:textId="77777777" w:rsidTr="005B4FDE">
        <w:trPr>
          <w:trHeight w:val="300"/>
        </w:trPr>
        <w:tc>
          <w:tcPr>
            <w:tcW w:w="1128" w:type="dxa"/>
            <w:tcBorders>
              <w:top w:val="nil"/>
              <w:left w:val="nil"/>
              <w:bottom w:val="nil"/>
              <w:right w:val="nil"/>
            </w:tcBorders>
            <w:shd w:val="clear" w:color="000000" w:fill="FFFFFF"/>
            <w:noWrap/>
            <w:vAlign w:val="center"/>
            <w:hideMark/>
          </w:tcPr>
          <w:p w14:paraId="10104EC3"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nil"/>
              <w:left w:val="single" w:sz="4" w:space="0" w:color="auto"/>
              <w:bottom w:val="nil"/>
              <w:right w:val="single" w:sz="4" w:space="0" w:color="auto"/>
            </w:tcBorders>
            <w:shd w:val="clear" w:color="000000" w:fill="FFFFFF"/>
            <w:noWrap/>
            <w:vAlign w:val="center"/>
            <w:hideMark/>
          </w:tcPr>
          <w:p w14:paraId="5CAA3DAB"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Tax Base Change - Increase/(Decrease)</w:t>
            </w:r>
          </w:p>
        </w:tc>
        <w:tc>
          <w:tcPr>
            <w:tcW w:w="939" w:type="dxa"/>
            <w:tcBorders>
              <w:top w:val="nil"/>
              <w:left w:val="nil"/>
              <w:bottom w:val="nil"/>
              <w:right w:val="single" w:sz="4" w:space="0" w:color="auto"/>
            </w:tcBorders>
            <w:shd w:val="clear" w:color="000000" w:fill="FFFFFF"/>
            <w:noWrap/>
            <w:vAlign w:val="center"/>
            <w:hideMark/>
          </w:tcPr>
          <w:p w14:paraId="0A0CB71F"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0.85%</w:t>
            </w:r>
          </w:p>
        </w:tc>
        <w:tc>
          <w:tcPr>
            <w:tcW w:w="1128" w:type="dxa"/>
            <w:tcBorders>
              <w:top w:val="nil"/>
              <w:left w:val="nil"/>
              <w:bottom w:val="nil"/>
              <w:right w:val="single" w:sz="4" w:space="0" w:color="auto"/>
            </w:tcBorders>
            <w:shd w:val="clear" w:color="000000" w:fill="FFFFFF"/>
            <w:noWrap/>
            <w:vAlign w:val="center"/>
            <w:hideMark/>
          </w:tcPr>
          <w:p w14:paraId="24D9C641"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1.50%</w:t>
            </w:r>
          </w:p>
        </w:tc>
        <w:tc>
          <w:tcPr>
            <w:tcW w:w="1128" w:type="dxa"/>
            <w:tcBorders>
              <w:top w:val="nil"/>
              <w:left w:val="nil"/>
              <w:bottom w:val="nil"/>
              <w:right w:val="single" w:sz="4" w:space="0" w:color="auto"/>
            </w:tcBorders>
            <w:shd w:val="clear" w:color="000000" w:fill="FFFFFF"/>
            <w:noWrap/>
            <w:vAlign w:val="center"/>
            <w:hideMark/>
          </w:tcPr>
          <w:p w14:paraId="5197629C"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1.50%</w:t>
            </w:r>
          </w:p>
        </w:tc>
        <w:tc>
          <w:tcPr>
            <w:tcW w:w="1128" w:type="dxa"/>
            <w:tcBorders>
              <w:top w:val="nil"/>
              <w:left w:val="nil"/>
              <w:bottom w:val="nil"/>
              <w:right w:val="single" w:sz="4" w:space="0" w:color="auto"/>
            </w:tcBorders>
            <w:shd w:val="clear" w:color="000000" w:fill="FFFFFF"/>
            <w:noWrap/>
            <w:vAlign w:val="center"/>
            <w:hideMark/>
          </w:tcPr>
          <w:p w14:paraId="37AEE0F3"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1.50%</w:t>
            </w:r>
          </w:p>
        </w:tc>
        <w:tc>
          <w:tcPr>
            <w:tcW w:w="1128" w:type="dxa"/>
            <w:tcBorders>
              <w:top w:val="nil"/>
              <w:left w:val="nil"/>
              <w:bottom w:val="nil"/>
              <w:right w:val="single" w:sz="4" w:space="0" w:color="auto"/>
            </w:tcBorders>
            <w:shd w:val="clear" w:color="000000" w:fill="FFFFFF"/>
            <w:noWrap/>
            <w:vAlign w:val="center"/>
            <w:hideMark/>
          </w:tcPr>
          <w:p w14:paraId="4AF8A1CB"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1.50%</w:t>
            </w:r>
          </w:p>
        </w:tc>
        <w:tc>
          <w:tcPr>
            <w:tcW w:w="1016" w:type="dxa"/>
            <w:vAlign w:val="center"/>
            <w:hideMark/>
          </w:tcPr>
          <w:p w14:paraId="3F63C894"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5C6DF9C6" w14:textId="77777777" w:rsidTr="005B4FDE">
        <w:trPr>
          <w:trHeight w:val="300"/>
        </w:trPr>
        <w:tc>
          <w:tcPr>
            <w:tcW w:w="1128" w:type="dxa"/>
            <w:tcBorders>
              <w:top w:val="nil"/>
              <w:left w:val="nil"/>
              <w:bottom w:val="nil"/>
              <w:right w:val="nil"/>
            </w:tcBorders>
            <w:shd w:val="clear" w:color="000000" w:fill="FFFFFF"/>
            <w:noWrap/>
            <w:vAlign w:val="bottom"/>
            <w:hideMark/>
          </w:tcPr>
          <w:p w14:paraId="53BC29E6"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nil"/>
              <w:left w:val="single" w:sz="4" w:space="0" w:color="auto"/>
              <w:bottom w:val="nil"/>
              <w:right w:val="single" w:sz="4" w:space="0" w:color="auto"/>
            </w:tcBorders>
            <w:shd w:val="clear" w:color="000000" w:fill="FFFFFF"/>
            <w:noWrap/>
            <w:vAlign w:val="bottom"/>
            <w:hideMark/>
          </w:tcPr>
          <w:p w14:paraId="74A048D3"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Inflation Contingency</w:t>
            </w:r>
          </w:p>
        </w:tc>
        <w:tc>
          <w:tcPr>
            <w:tcW w:w="939" w:type="dxa"/>
            <w:tcBorders>
              <w:top w:val="nil"/>
              <w:left w:val="nil"/>
              <w:bottom w:val="nil"/>
              <w:right w:val="single" w:sz="4" w:space="0" w:color="auto"/>
            </w:tcBorders>
            <w:shd w:val="clear" w:color="000000" w:fill="FFFFFF"/>
            <w:noWrap/>
            <w:vAlign w:val="bottom"/>
            <w:hideMark/>
          </w:tcPr>
          <w:p w14:paraId="4416B28D"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0.00%</w:t>
            </w:r>
          </w:p>
        </w:tc>
        <w:tc>
          <w:tcPr>
            <w:tcW w:w="1128" w:type="dxa"/>
            <w:tcBorders>
              <w:top w:val="nil"/>
              <w:left w:val="nil"/>
              <w:bottom w:val="nil"/>
              <w:right w:val="single" w:sz="4" w:space="0" w:color="auto"/>
            </w:tcBorders>
            <w:shd w:val="clear" w:color="000000" w:fill="FFFFFF"/>
            <w:noWrap/>
            <w:vAlign w:val="bottom"/>
            <w:hideMark/>
          </w:tcPr>
          <w:p w14:paraId="35CC9447"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0.00%</w:t>
            </w:r>
          </w:p>
        </w:tc>
        <w:tc>
          <w:tcPr>
            <w:tcW w:w="1128" w:type="dxa"/>
            <w:tcBorders>
              <w:top w:val="nil"/>
              <w:left w:val="nil"/>
              <w:bottom w:val="nil"/>
              <w:right w:val="single" w:sz="4" w:space="0" w:color="auto"/>
            </w:tcBorders>
            <w:shd w:val="clear" w:color="000000" w:fill="FFFFFF"/>
            <w:noWrap/>
            <w:vAlign w:val="bottom"/>
            <w:hideMark/>
          </w:tcPr>
          <w:p w14:paraId="0461457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0.00%</w:t>
            </w:r>
          </w:p>
        </w:tc>
        <w:tc>
          <w:tcPr>
            <w:tcW w:w="1128" w:type="dxa"/>
            <w:tcBorders>
              <w:top w:val="nil"/>
              <w:left w:val="nil"/>
              <w:bottom w:val="nil"/>
              <w:right w:val="single" w:sz="4" w:space="0" w:color="auto"/>
            </w:tcBorders>
            <w:shd w:val="clear" w:color="000000" w:fill="FFFFFF"/>
            <w:noWrap/>
            <w:vAlign w:val="bottom"/>
            <w:hideMark/>
          </w:tcPr>
          <w:p w14:paraId="22B24EEE"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0.00%</w:t>
            </w:r>
          </w:p>
        </w:tc>
        <w:tc>
          <w:tcPr>
            <w:tcW w:w="1128" w:type="dxa"/>
            <w:tcBorders>
              <w:top w:val="nil"/>
              <w:left w:val="nil"/>
              <w:bottom w:val="nil"/>
              <w:right w:val="single" w:sz="4" w:space="0" w:color="auto"/>
            </w:tcBorders>
            <w:shd w:val="clear" w:color="000000" w:fill="FFFFFF"/>
            <w:noWrap/>
            <w:vAlign w:val="bottom"/>
            <w:hideMark/>
          </w:tcPr>
          <w:p w14:paraId="2D8AC77F"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0.00%</w:t>
            </w:r>
          </w:p>
        </w:tc>
        <w:tc>
          <w:tcPr>
            <w:tcW w:w="1016" w:type="dxa"/>
            <w:vAlign w:val="center"/>
            <w:hideMark/>
          </w:tcPr>
          <w:p w14:paraId="40140E1B"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r w:rsidR="006E1DBD" w:rsidRPr="006E1DBD" w14:paraId="78AAE07D" w14:textId="77777777" w:rsidTr="005B4FDE">
        <w:trPr>
          <w:trHeight w:val="300"/>
        </w:trPr>
        <w:tc>
          <w:tcPr>
            <w:tcW w:w="1128" w:type="dxa"/>
            <w:tcBorders>
              <w:top w:val="nil"/>
              <w:left w:val="nil"/>
              <w:bottom w:val="nil"/>
              <w:right w:val="nil"/>
            </w:tcBorders>
            <w:shd w:val="clear" w:color="000000" w:fill="FFFFFF"/>
            <w:noWrap/>
            <w:vAlign w:val="bottom"/>
            <w:hideMark/>
          </w:tcPr>
          <w:p w14:paraId="02140437"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 </w:t>
            </w:r>
          </w:p>
        </w:tc>
        <w:tc>
          <w:tcPr>
            <w:tcW w:w="3550" w:type="dxa"/>
            <w:tcBorders>
              <w:top w:val="nil"/>
              <w:left w:val="single" w:sz="4" w:space="0" w:color="auto"/>
              <w:bottom w:val="single" w:sz="4" w:space="0" w:color="auto"/>
              <w:right w:val="single" w:sz="4" w:space="0" w:color="auto"/>
            </w:tcBorders>
            <w:shd w:val="clear" w:color="000000" w:fill="FFFFFF"/>
            <w:noWrap/>
            <w:vAlign w:val="bottom"/>
            <w:hideMark/>
          </w:tcPr>
          <w:p w14:paraId="54F258F1" w14:textId="77777777" w:rsidR="006E1DBD" w:rsidRPr="006E1DBD" w:rsidRDefault="006E1DBD" w:rsidP="006E1DBD">
            <w:pPr>
              <w:spacing w:after="0" w:line="240" w:lineRule="auto"/>
              <w:rPr>
                <w:rFonts w:eastAsia="Times New Roman" w:cs="Calibri"/>
                <w:color w:val="000000"/>
                <w:sz w:val="20"/>
                <w:szCs w:val="20"/>
                <w:lang w:eastAsia="en-GB"/>
              </w:rPr>
            </w:pPr>
            <w:r w:rsidRPr="006E1DBD">
              <w:rPr>
                <w:rFonts w:eastAsia="Times New Roman" w:cs="Calibri"/>
                <w:color w:val="000000"/>
                <w:sz w:val="20"/>
                <w:szCs w:val="20"/>
                <w:lang w:eastAsia="en-GB"/>
              </w:rPr>
              <w:t>Pay Awards</w:t>
            </w:r>
          </w:p>
        </w:tc>
        <w:tc>
          <w:tcPr>
            <w:tcW w:w="939" w:type="dxa"/>
            <w:tcBorders>
              <w:top w:val="nil"/>
              <w:left w:val="nil"/>
              <w:bottom w:val="single" w:sz="4" w:space="0" w:color="auto"/>
              <w:right w:val="single" w:sz="4" w:space="0" w:color="auto"/>
            </w:tcBorders>
            <w:shd w:val="clear" w:color="000000" w:fill="FFFFFF"/>
            <w:noWrap/>
            <w:vAlign w:val="bottom"/>
            <w:hideMark/>
          </w:tcPr>
          <w:p w14:paraId="704B00C6" w14:textId="77777777" w:rsidR="006E1DBD" w:rsidRPr="006E1DBD" w:rsidRDefault="006E1DBD" w:rsidP="006E1DBD">
            <w:pPr>
              <w:spacing w:after="0" w:line="240" w:lineRule="auto"/>
              <w:jc w:val="right"/>
              <w:rPr>
                <w:rFonts w:eastAsia="Times New Roman" w:cs="Calibri"/>
                <w:sz w:val="20"/>
                <w:szCs w:val="20"/>
                <w:lang w:eastAsia="en-GB"/>
              </w:rPr>
            </w:pPr>
            <w:r w:rsidRPr="006E1DBD">
              <w:rPr>
                <w:rFonts w:eastAsia="Times New Roman" w:cs="Calibri"/>
                <w:sz w:val="20"/>
                <w:szCs w:val="20"/>
                <w:lang w:eastAsia="en-GB"/>
              </w:rPr>
              <w:t>2.50%</w:t>
            </w:r>
          </w:p>
        </w:tc>
        <w:tc>
          <w:tcPr>
            <w:tcW w:w="1128" w:type="dxa"/>
            <w:tcBorders>
              <w:top w:val="nil"/>
              <w:left w:val="nil"/>
              <w:bottom w:val="single" w:sz="4" w:space="0" w:color="auto"/>
              <w:right w:val="single" w:sz="4" w:space="0" w:color="auto"/>
            </w:tcBorders>
            <w:shd w:val="clear" w:color="000000" w:fill="FFFFFF"/>
            <w:noWrap/>
            <w:vAlign w:val="bottom"/>
            <w:hideMark/>
          </w:tcPr>
          <w:p w14:paraId="08699A01"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2.00%</w:t>
            </w:r>
          </w:p>
        </w:tc>
        <w:tc>
          <w:tcPr>
            <w:tcW w:w="1128" w:type="dxa"/>
            <w:tcBorders>
              <w:top w:val="nil"/>
              <w:left w:val="nil"/>
              <w:bottom w:val="single" w:sz="4" w:space="0" w:color="auto"/>
              <w:right w:val="single" w:sz="4" w:space="0" w:color="auto"/>
            </w:tcBorders>
            <w:shd w:val="clear" w:color="000000" w:fill="FFFFFF"/>
            <w:noWrap/>
            <w:vAlign w:val="bottom"/>
            <w:hideMark/>
          </w:tcPr>
          <w:p w14:paraId="5645C565"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2.00%</w:t>
            </w:r>
          </w:p>
        </w:tc>
        <w:tc>
          <w:tcPr>
            <w:tcW w:w="1128" w:type="dxa"/>
            <w:tcBorders>
              <w:top w:val="nil"/>
              <w:left w:val="nil"/>
              <w:bottom w:val="single" w:sz="4" w:space="0" w:color="auto"/>
              <w:right w:val="single" w:sz="4" w:space="0" w:color="auto"/>
            </w:tcBorders>
            <w:shd w:val="clear" w:color="000000" w:fill="FFFFFF"/>
            <w:noWrap/>
            <w:vAlign w:val="bottom"/>
            <w:hideMark/>
          </w:tcPr>
          <w:p w14:paraId="4DB293E6"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2.00%</w:t>
            </w:r>
          </w:p>
        </w:tc>
        <w:tc>
          <w:tcPr>
            <w:tcW w:w="1128" w:type="dxa"/>
            <w:tcBorders>
              <w:top w:val="nil"/>
              <w:left w:val="nil"/>
              <w:bottom w:val="single" w:sz="4" w:space="0" w:color="auto"/>
              <w:right w:val="single" w:sz="4" w:space="0" w:color="auto"/>
            </w:tcBorders>
            <w:shd w:val="clear" w:color="000000" w:fill="FFFFFF"/>
            <w:noWrap/>
            <w:vAlign w:val="bottom"/>
            <w:hideMark/>
          </w:tcPr>
          <w:p w14:paraId="56E0C116" w14:textId="77777777" w:rsidR="006E1DBD" w:rsidRPr="006E1DBD" w:rsidRDefault="006E1DBD" w:rsidP="006E1DBD">
            <w:pPr>
              <w:spacing w:after="0" w:line="240" w:lineRule="auto"/>
              <w:jc w:val="right"/>
              <w:rPr>
                <w:rFonts w:eastAsia="Times New Roman" w:cs="Calibri"/>
                <w:color w:val="000000"/>
                <w:sz w:val="20"/>
                <w:szCs w:val="20"/>
                <w:lang w:eastAsia="en-GB"/>
              </w:rPr>
            </w:pPr>
            <w:r w:rsidRPr="006E1DBD">
              <w:rPr>
                <w:rFonts w:eastAsia="Times New Roman" w:cs="Calibri"/>
                <w:color w:val="000000"/>
                <w:sz w:val="20"/>
                <w:szCs w:val="20"/>
                <w:lang w:eastAsia="en-GB"/>
              </w:rPr>
              <w:t>2.00%</w:t>
            </w:r>
          </w:p>
        </w:tc>
        <w:tc>
          <w:tcPr>
            <w:tcW w:w="1016" w:type="dxa"/>
            <w:vAlign w:val="center"/>
            <w:hideMark/>
          </w:tcPr>
          <w:p w14:paraId="075C3D5D" w14:textId="77777777" w:rsidR="006E1DBD" w:rsidRPr="006E1DBD" w:rsidRDefault="006E1DBD" w:rsidP="006E1DBD">
            <w:pPr>
              <w:spacing w:after="0" w:line="240" w:lineRule="auto"/>
              <w:rPr>
                <w:rFonts w:ascii="Times New Roman" w:eastAsia="Times New Roman" w:hAnsi="Times New Roman"/>
                <w:sz w:val="20"/>
                <w:szCs w:val="20"/>
                <w:lang w:eastAsia="en-GB"/>
              </w:rPr>
            </w:pPr>
          </w:p>
        </w:tc>
      </w:tr>
    </w:tbl>
    <w:p w14:paraId="227B98F9" w14:textId="77777777" w:rsidR="006E1DBD" w:rsidRDefault="006E1DBD" w:rsidP="00133FCA">
      <w:pPr>
        <w:pStyle w:val="Header"/>
        <w:ind w:right="-990"/>
        <w:rPr>
          <w:rFonts w:ascii="Arial" w:hAnsi="Arial" w:cs="Arial"/>
          <w:b/>
          <w:i/>
          <w:iCs/>
          <w:sz w:val="16"/>
          <w:szCs w:val="16"/>
          <w:highlight w:val="yellow"/>
        </w:rPr>
      </w:pPr>
    </w:p>
    <w:p w14:paraId="1E5019A4" w14:textId="4EC2CE92" w:rsidR="00523DF7" w:rsidRPr="006E1DBD" w:rsidRDefault="00523DF7" w:rsidP="00133FCA">
      <w:pPr>
        <w:pStyle w:val="Header"/>
        <w:ind w:right="-990"/>
        <w:rPr>
          <w:rFonts w:ascii="Arial" w:hAnsi="Arial" w:cs="Arial"/>
          <w:b/>
          <w:i/>
          <w:iCs/>
          <w:sz w:val="16"/>
          <w:szCs w:val="16"/>
        </w:rPr>
      </w:pPr>
      <w:r w:rsidRPr="006E1DBD">
        <w:rPr>
          <w:rFonts w:ascii="Arial" w:hAnsi="Arial" w:cs="Arial"/>
          <w:b/>
          <w:i/>
          <w:iCs/>
          <w:sz w:val="16"/>
          <w:szCs w:val="16"/>
        </w:rPr>
        <w:t>Note: Figures may not sum due to rounding</w:t>
      </w:r>
    </w:p>
    <w:p w14:paraId="05E9A6BF" w14:textId="6FAEA462" w:rsidR="000D1925" w:rsidRPr="0074575D" w:rsidRDefault="000D1925" w:rsidP="0003142E">
      <w:pPr>
        <w:spacing w:after="0" w:line="240" w:lineRule="auto"/>
        <w:rPr>
          <w:rFonts w:ascii="Arial" w:hAnsi="Arial" w:cs="Arial"/>
          <w:b/>
          <w:i/>
          <w:iCs/>
          <w:sz w:val="16"/>
          <w:szCs w:val="16"/>
          <w:highlight w:val="yellow"/>
        </w:rPr>
      </w:pPr>
      <w:r w:rsidRPr="0074575D">
        <w:rPr>
          <w:rFonts w:ascii="Arial" w:hAnsi="Arial" w:cs="Arial"/>
          <w:b/>
          <w:i/>
          <w:iCs/>
          <w:sz w:val="16"/>
          <w:szCs w:val="16"/>
          <w:highlight w:val="yellow"/>
        </w:rPr>
        <w:br w:type="page"/>
      </w:r>
    </w:p>
    <w:p w14:paraId="2C24C7F8" w14:textId="6D8FE4D5" w:rsidR="000D1925" w:rsidRPr="00E54031" w:rsidRDefault="000D1925" w:rsidP="00E54031">
      <w:pPr>
        <w:pStyle w:val="PanelHeading"/>
      </w:pPr>
      <w:r w:rsidRPr="00E54031">
        <w:t>Appendix C</w:t>
      </w:r>
    </w:p>
    <w:p w14:paraId="3242CDE3" w14:textId="1726E114" w:rsidR="000D1925" w:rsidRPr="00E54031" w:rsidRDefault="000D1925" w:rsidP="00E54031">
      <w:pPr>
        <w:pStyle w:val="PanelHeading"/>
      </w:pPr>
      <w:r w:rsidRPr="00E54031">
        <w:t>Section</w:t>
      </w:r>
      <w:r w:rsidR="00F7017D" w:rsidRPr="00E54031">
        <w:t xml:space="preserve"> </w:t>
      </w:r>
      <w:r w:rsidRPr="00E54031">
        <w:t xml:space="preserve">25 Report of the Section 151 PFCC Chief Finance Officer </w:t>
      </w:r>
    </w:p>
    <w:p w14:paraId="44040708" w14:textId="3332210C" w:rsidR="00357925" w:rsidRPr="005B4FDE" w:rsidRDefault="00357925" w:rsidP="00357925">
      <w:pPr>
        <w:spacing w:after="0" w:line="240" w:lineRule="auto"/>
        <w:jc w:val="both"/>
        <w:rPr>
          <w:rFonts w:asciiTheme="minorHAnsi" w:hAnsiTheme="minorHAnsi" w:cs="Arial"/>
          <w:i/>
          <w:sz w:val="24"/>
          <w:szCs w:val="24"/>
        </w:rPr>
      </w:pPr>
      <w:bookmarkStart w:id="20" w:name="_Hlk156834332"/>
      <w:r w:rsidRPr="005B4FDE">
        <w:rPr>
          <w:rFonts w:asciiTheme="minorHAnsi" w:hAnsiTheme="minorHAnsi" w:cs="Arial"/>
          <w:i/>
          <w:sz w:val="24"/>
          <w:szCs w:val="24"/>
        </w:rPr>
        <w:t>“</w:t>
      </w:r>
      <w:r w:rsidR="005B4FDE" w:rsidRPr="005B4FDE">
        <w:rPr>
          <w:rFonts w:asciiTheme="minorHAnsi" w:hAnsiTheme="minorHAnsi" w:cs="Arial"/>
          <w:i/>
          <w:sz w:val="24"/>
          <w:szCs w:val="24"/>
        </w:rPr>
        <w:t>I have worked</w:t>
      </w:r>
      <w:r w:rsidRPr="005B4FDE">
        <w:rPr>
          <w:rFonts w:asciiTheme="minorHAnsi" w:hAnsiTheme="minorHAnsi" w:cs="Arial"/>
          <w:i/>
          <w:sz w:val="24"/>
          <w:szCs w:val="24"/>
        </w:rPr>
        <w:t xml:space="preserve"> closely with the Force S151 Officer and the Joint Finance</w:t>
      </w:r>
      <w:r w:rsidR="00E54031" w:rsidRPr="005B4FDE">
        <w:rPr>
          <w:rFonts w:asciiTheme="minorHAnsi" w:hAnsiTheme="minorHAnsi" w:cs="Arial"/>
          <w:i/>
          <w:sz w:val="24"/>
          <w:szCs w:val="24"/>
        </w:rPr>
        <w:t xml:space="preserve"> Team</w:t>
      </w:r>
      <w:r w:rsidR="005B4FDE" w:rsidRPr="005B4FDE">
        <w:rPr>
          <w:rFonts w:asciiTheme="minorHAnsi" w:hAnsiTheme="minorHAnsi" w:cs="Arial"/>
          <w:i/>
          <w:sz w:val="24"/>
          <w:szCs w:val="24"/>
        </w:rPr>
        <w:t xml:space="preserve"> and</w:t>
      </w:r>
      <w:r w:rsidRPr="005B4FDE">
        <w:rPr>
          <w:rFonts w:asciiTheme="minorHAnsi" w:hAnsiTheme="minorHAnsi" w:cs="Arial"/>
          <w:i/>
          <w:sz w:val="24"/>
          <w:szCs w:val="24"/>
        </w:rPr>
        <w:t xml:space="preserve"> have been assured by </w:t>
      </w:r>
      <w:r w:rsidR="005B4FDE" w:rsidRPr="005B4FDE">
        <w:rPr>
          <w:rFonts w:asciiTheme="minorHAnsi" w:hAnsiTheme="minorHAnsi" w:cs="Arial"/>
          <w:i/>
          <w:sz w:val="24"/>
          <w:szCs w:val="24"/>
        </w:rPr>
        <w:t xml:space="preserve">their robust and diligent approach to the 2024/25 budget setting process.  </w:t>
      </w:r>
      <w:r w:rsidRPr="005B4FDE">
        <w:rPr>
          <w:rFonts w:asciiTheme="minorHAnsi" w:hAnsiTheme="minorHAnsi" w:cs="Arial"/>
          <w:i/>
          <w:sz w:val="24"/>
          <w:szCs w:val="24"/>
        </w:rPr>
        <w:t>I am grateful for their hard work, scrutiny and challenge throughout</w:t>
      </w:r>
      <w:r w:rsidR="005B4FDE" w:rsidRPr="005B4FDE">
        <w:rPr>
          <w:rFonts w:asciiTheme="minorHAnsi" w:hAnsiTheme="minorHAnsi" w:cs="Arial"/>
          <w:i/>
          <w:sz w:val="24"/>
          <w:szCs w:val="24"/>
        </w:rPr>
        <w:t>,</w:t>
      </w:r>
      <w:r w:rsidRPr="005B4FDE">
        <w:rPr>
          <w:rFonts w:asciiTheme="minorHAnsi" w:hAnsiTheme="minorHAnsi" w:cs="Arial"/>
          <w:i/>
          <w:sz w:val="24"/>
          <w:szCs w:val="24"/>
        </w:rPr>
        <w:t xml:space="preserve"> and am </w:t>
      </w:r>
      <w:r w:rsidR="005B4FDE" w:rsidRPr="005B4FDE">
        <w:rPr>
          <w:rFonts w:asciiTheme="minorHAnsi" w:hAnsiTheme="minorHAnsi" w:cs="Arial"/>
          <w:i/>
          <w:sz w:val="24"/>
          <w:szCs w:val="24"/>
        </w:rPr>
        <w:t>impressed</w:t>
      </w:r>
      <w:r w:rsidRPr="005B4FDE">
        <w:rPr>
          <w:rFonts w:asciiTheme="minorHAnsi" w:hAnsiTheme="minorHAnsi" w:cs="Arial"/>
          <w:i/>
          <w:sz w:val="24"/>
          <w:szCs w:val="24"/>
        </w:rPr>
        <w:t xml:space="preserve"> by how they continue to take </w:t>
      </w:r>
      <w:r w:rsidR="005B4FDE" w:rsidRPr="005B4FDE">
        <w:rPr>
          <w:rFonts w:asciiTheme="minorHAnsi" w:hAnsiTheme="minorHAnsi" w:cs="Arial"/>
          <w:i/>
          <w:sz w:val="24"/>
          <w:szCs w:val="24"/>
        </w:rPr>
        <w:t>ownership</w:t>
      </w:r>
      <w:r w:rsidRPr="005B4FDE">
        <w:rPr>
          <w:rFonts w:asciiTheme="minorHAnsi" w:hAnsiTheme="minorHAnsi" w:cs="Arial"/>
          <w:i/>
          <w:sz w:val="24"/>
          <w:szCs w:val="24"/>
        </w:rPr>
        <w:t xml:space="preserve"> and make improvements every year.</w:t>
      </w:r>
    </w:p>
    <w:p w14:paraId="698EA621" w14:textId="77777777" w:rsidR="00357925" w:rsidRPr="005B4FDE" w:rsidRDefault="00357925" w:rsidP="00357925">
      <w:pPr>
        <w:spacing w:after="0" w:line="240" w:lineRule="auto"/>
        <w:jc w:val="both"/>
        <w:rPr>
          <w:rFonts w:asciiTheme="minorHAnsi" w:hAnsiTheme="minorHAnsi" w:cs="Arial"/>
          <w:i/>
          <w:sz w:val="24"/>
          <w:szCs w:val="24"/>
        </w:rPr>
      </w:pPr>
    </w:p>
    <w:p w14:paraId="4C2C9143" w14:textId="4E400DDE" w:rsidR="00357925" w:rsidRDefault="00357925" w:rsidP="00357925">
      <w:pPr>
        <w:spacing w:after="0" w:line="240" w:lineRule="auto"/>
        <w:jc w:val="both"/>
        <w:rPr>
          <w:rFonts w:asciiTheme="minorHAnsi" w:hAnsiTheme="minorHAnsi" w:cs="Arial"/>
          <w:i/>
          <w:sz w:val="24"/>
          <w:szCs w:val="24"/>
        </w:rPr>
      </w:pPr>
      <w:r w:rsidRPr="00280E6A">
        <w:rPr>
          <w:rFonts w:asciiTheme="minorHAnsi" w:hAnsiTheme="minorHAnsi" w:cs="Arial"/>
          <w:i/>
          <w:sz w:val="24"/>
          <w:szCs w:val="24"/>
        </w:rPr>
        <w:t xml:space="preserve">I have been fully briefed on the progress of the budget by </w:t>
      </w:r>
      <w:r w:rsidR="005B4FDE" w:rsidRPr="00280E6A">
        <w:rPr>
          <w:rFonts w:asciiTheme="minorHAnsi" w:hAnsiTheme="minorHAnsi" w:cs="Arial"/>
          <w:i/>
          <w:sz w:val="24"/>
          <w:szCs w:val="24"/>
        </w:rPr>
        <w:t>Enabling Services colleagues</w:t>
      </w:r>
      <w:r w:rsidRPr="00280E6A">
        <w:rPr>
          <w:rFonts w:asciiTheme="minorHAnsi" w:hAnsiTheme="minorHAnsi" w:cs="Arial"/>
          <w:i/>
          <w:sz w:val="24"/>
          <w:szCs w:val="24"/>
        </w:rPr>
        <w:t xml:space="preserve"> prior to and throughout the budget process and development of the capital programme, ensuring I have been party to all key assumptions and decisions. </w:t>
      </w:r>
      <w:r w:rsidR="005B4FDE" w:rsidRPr="00280E6A">
        <w:rPr>
          <w:rFonts w:asciiTheme="minorHAnsi" w:hAnsiTheme="minorHAnsi" w:cs="Arial"/>
          <w:i/>
          <w:sz w:val="24"/>
          <w:szCs w:val="24"/>
        </w:rPr>
        <w:t xml:space="preserve"> </w:t>
      </w:r>
      <w:r w:rsidRPr="00280E6A">
        <w:rPr>
          <w:rFonts w:asciiTheme="minorHAnsi" w:hAnsiTheme="minorHAnsi" w:cs="Arial"/>
          <w:i/>
          <w:sz w:val="24"/>
          <w:szCs w:val="24"/>
        </w:rPr>
        <w:t xml:space="preserve">Prudent </w:t>
      </w:r>
      <w:r w:rsidR="005B4FDE" w:rsidRPr="00280E6A">
        <w:rPr>
          <w:rFonts w:asciiTheme="minorHAnsi" w:hAnsiTheme="minorHAnsi" w:cs="Arial"/>
          <w:i/>
          <w:sz w:val="24"/>
          <w:szCs w:val="24"/>
        </w:rPr>
        <w:t xml:space="preserve">evidence-based </w:t>
      </w:r>
      <w:r w:rsidRPr="00280E6A">
        <w:rPr>
          <w:rFonts w:asciiTheme="minorHAnsi" w:hAnsiTheme="minorHAnsi" w:cs="Arial"/>
          <w:i/>
          <w:sz w:val="24"/>
          <w:szCs w:val="24"/>
        </w:rPr>
        <w:t xml:space="preserve">estimates and assumptions included have been based on professional estimates, peer knowledge and </w:t>
      </w:r>
      <w:r w:rsidR="005B4FDE" w:rsidRPr="00280E6A">
        <w:rPr>
          <w:rFonts w:asciiTheme="minorHAnsi" w:hAnsiTheme="minorHAnsi" w:cs="Arial"/>
          <w:i/>
          <w:sz w:val="24"/>
          <w:szCs w:val="24"/>
        </w:rPr>
        <w:t>benchmarking.</w:t>
      </w:r>
      <w:r w:rsidRPr="00280E6A">
        <w:rPr>
          <w:rFonts w:asciiTheme="minorHAnsi" w:hAnsiTheme="minorHAnsi" w:cs="Arial"/>
          <w:i/>
          <w:sz w:val="24"/>
          <w:szCs w:val="24"/>
        </w:rPr>
        <w:t xml:space="preserve"> </w:t>
      </w:r>
      <w:r w:rsidR="005B4FDE" w:rsidRPr="00280E6A">
        <w:rPr>
          <w:rFonts w:asciiTheme="minorHAnsi" w:hAnsiTheme="minorHAnsi" w:cs="Arial"/>
          <w:i/>
          <w:sz w:val="24"/>
          <w:szCs w:val="24"/>
        </w:rPr>
        <w:t xml:space="preserve"> </w:t>
      </w:r>
      <w:r w:rsidRPr="00280E6A">
        <w:rPr>
          <w:rFonts w:asciiTheme="minorHAnsi" w:hAnsiTheme="minorHAnsi" w:cs="Arial"/>
          <w:i/>
          <w:sz w:val="24"/>
          <w:szCs w:val="24"/>
        </w:rPr>
        <w:t>Where possible, I have aligned these with national Fire, Police</w:t>
      </w:r>
      <w:r w:rsidR="00656A64" w:rsidRPr="00280E6A">
        <w:rPr>
          <w:rFonts w:asciiTheme="minorHAnsi" w:hAnsiTheme="minorHAnsi" w:cs="Arial"/>
          <w:i/>
          <w:sz w:val="24"/>
          <w:szCs w:val="24"/>
        </w:rPr>
        <w:t>,</w:t>
      </w:r>
      <w:r w:rsidRPr="00280E6A">
        <w:rPr>
          <w:rFonts w:asciiTheme="minorHAnsi" w:hAnsiTheme="minorHAnsi" w:cs="Arial"/>
          <w:i/>
          <w:sz w:val="24"/>
          <w:szCs w:val="24"/>
        </w:rPr>
        <w:t xml:space="preserve"> </w:t>
      </w:r>
      <w:r w:rsidR="00656A64" w:rsidRPr="00280E6A">
        <w:rPr>
          <w:rFonts w:asciiTheme="minorHAnsi" w:hAnsiTheme="minorHAnsi" w:cs="Arial"/>
          <w:i/>
          <w:sz w:val="24"/>
          <w:szCs w:val="24"/>
        </w:rPr>
        <w:t>l</w:t>
      </w:r>
      <w:r w:rsidRPr="00280E6A">
        <w:rPr>
          <w:rFonts w:asciiTheme="minorHAnsi" w:hAnsiTheme="minorHAnsi" w:cs="Arial"/>
          <w:i/>
          <w:sz w:val="24"/>
          <w:szCs w:val="24"/>
        </w:rPr>
        <w:t xml:space="preserve">ocal </w:t>
      </w:r>
      <w:r w:rsidR="00656A64" w:rsidRPr="00280E6A">
        <w:rPr>
          <w:rFonts w:asciiTheme="minorHAnsi" w:hAnsiTheme="minorHAnsi" w:cs="Arial"/>
          <w:i/>
          <w:sz w:val="24"/>
          <w:szCs w:val="24"/>
        </w:rPr>
        <w:t xml:space="preserve">authority </w:t>
      </w:r>
      <w:r w:rsidRPr="00280E6A">
        <w:rPr>
          <w:rFonts w:asciiTheme="minorHAnsi" w:hAnsiTheme="minorHAnsi" w:cs="Arial"/>
          <w:i/>
          <w:sz w:val="24"/>
          <w:szCs w:val="24"/>
        </w:rPr>
        <w:t>and</w:t>
      </w:r>
      <w:r w:rsidR="00280E6A" w:rsidRPr="00280E6A">
        <w:rPr>
          <w:rFonts w:asciiTheme="minorHAnsi" w:hAnsiTheme="minorHAnsi" w:cs="Arial"/>
          <w:i/>
          <w:sz w:val="24"/>
          <w:szCs w:val="24"/>
        </w:rPr>
        <w:t xml:space="preserve"> national</w:t>
      </w:r>
      <w:r w:rsidRPr="00280E6A">
        <w:rPr>
          <w:rFonts w:asciiTheme="minorHAnsi" w:hAnsiTheme="minorHAnsi" w:cs="Arial"/>
          <w:i/>
          <w:sz w:val="24"/>
          <w:szCs w:val="24"/>
        </w:rPr>
        <w:t xml:space="preserve"> technical</w:t>
      </w:r>
      <w:r w:rsidR="00280E6A" w:rsidRPr="00280E6A">
        <w:rPr>
          <w:rFonts w:asciiTheme="minorHAnsi" w:hAnsiTheme="minorHAnsi" w:cs="Arial"/>
          <w:i/>
          <w:sz w:val="24"/>
          <w:szCs w:val="24"/>
        </w:rPr>
        <w:t xml:space="preserve"> team</w:t>
      </w:r>
      <w:r w:rsidRPr="00280E6A">
        <w:rPr>
          <w:rFonts w:asciiTheme="minorHAnsi" w:hAnsiTheme="minorHAnsi" w:cs="Arial"/>
          <w:i/>
          <w:sz w:val="24"/>
          <w:szCs w:val="24"/>
        </w:rPr>
        <w:t xml:space="preserve"> </w:t>
      </w:r>
      <w:r w:rsidR="00280E6A" w:rsidRPr="00280E6A">
        <w:rPr>
          <w:rFonts w:asciiTheme="minorHAnsi" w:hAnsiTheme="minorHAnsi" w:cs="Arial"/>
          <w:i/>
          <w:sz w:val="24"/>
          <w:szCs w:val="24"/>
        </w:rPr>
        <w:t>c</w:t>
      </w:r>
      <w:r w:rsidRPr="00280E6A">
        <w:rPr>
          <w:rFonts w:asciiTheme="minorHAnsi" w:hAnsiTheme="minorHAnsi" w:cs="Arial"/>
          <w:i/>
          <w:sz w:val="24"/>
          <w:szCs w:val="24"/>
        </w:rPr>
        <w:t xml:space="preserve">olleagues. </w:t>
      </w:r>
    </w:p>
    <w:p w14:paraId="0A60DE89" w14:textId="77777777" w:rsidR="005857F1" w:rsidRPr="00280E6A" w:rsidRDefault="005857F1" w:rsidP="00357925">
      <w:pPr>
        <w:spacing w:after="0" w:line="240" w:lineRule="auto"/>
        <w:jc w:val="both"/>
        <w:rPr>
          <w:rFonts w:asciiTheme="minorHAnsi" w:hAnsiTheme="minorHAnsi" w:cs="Arial"/>
          <w:i/>
          <w:sz w:val="24"/>
          <w:szCs w:val="24"/>
        </w:rPr>
      </w:pPr>
    </w:p>
    <w:p w14:paraId="09F2D5E2" w14:textId="4145DBED" w:rsidR="00357925" w:rsidRPr="005857F1" w:rsidRDefault="005857F1" w:rsidP="0003142E">
      <w:pPr>
        <w:spacing w:after="0" w:line="240" w:lineRule="auto"/>
        <w:jc w:val="both"/>
        <w:rPr>
          <w:rFonts w:asciiTheme="minorHAnsi" w:hAnsiTheme="minorHAnsi" w:cstheme="minorHAnsi"/>
          <w:i/>
          <w:sz w:val="24"/>
          <w:szCs w:val="24"/>
        </w:rPr>
      </w:pPr>
      <w:r w:rsidRPr="005857F1">
        <w:rPr>
          <w:rFonts w:asciiTheme="minorHAnsi" w:hAnsiTheme="minorHAnsi" w:cstheme="minorHAnsi"/>
          <w:i/>
          <w:sz w:val="24"/>
          <w:szCs w:val="24"/>
        </w:rPr>
        <w:t xml:space="preserve">I have reviewed the detailed calculations in arriving at the budget requirement and Council Tax precept and options and find these to be robust. I also have sought and received authorisations from billing authorities in relation to taxbase and Council Tax surplus/deficits and I am grateful to all partners for their support in doing so.  </w:t>
      </w:r>
    </w:p>
    <w:p w14:paraId="3012E8BE" w14:textId="77777777" w:rsidR="005857F1" w:rsidRPr="005857F1" w:rsidRDefault="005857F1" w:rsidP="0003142E">
      <w:pPr>
        <w:spacing w:after="0" w:line="240" w:lineRule="auto"/>
        <w:jc w:val="both"/>
        <w:rPr>
          <w:rFonts w:asciiTheme="minorHAnsi" w:hAnsiTheme="minorHAnsi" w:cstheme="minorHAnsi"/>
          <w:b/>
          <w:sz w:val="24"/>
          <w:szCs w:val="24"/>
          <w:u w:val="single"/>
        </w:rPr>
      </w:pPr>
    </w:p>
    <w:p w14:paraId="47E13F54" w14:textId="15120494" w:rsidR="000D1925" w:rsidRPr="00280E6A" w:rsidRDefault="000D1925" w:rsidP="0003142E">
      <w:pPr>
        <w:spacing w:after="0" w:line="240" w:lineRule="auto"/>
        <w:jc w:val="both"/>
        <w:rPr>
          <w:rFonts w:asciiTheme="minorHAnsi" w:hAnsiTheme="minorHAnsi" w:cstheme="minorHAnsi"/>
          <w:i/>
          <w:sz w:val="24"/>
          <w:szCs w:val="24"/>
        </w:rPr>
      </w:pPr>
      <w:r w:rsidRPr="005857F1">
        <w:rPr>
          <w:rFonts w:asciiTheme="minorHAnsi" w:hAnsiTheme="minorHAnsi" w:cstheme="minorHAnsi"/>
          <w:i/>
          <w:sz w:val="24"/>
          <w:szCs w:val="24"/>
        </w:rPr>
        <w:t>The PFCC’s precept intention of £1</w:t>
      </w:r>
      <w:r w:rsidR="00280E6A" w:rsidRPr="005857F1">
        <w:rPr>
          <w:rFonts w:asciiTheme="minorHAnsi" w:hAnsiTheme="minorHAnsi" w:cstheme="minorHAnsi"/>
          <w:i/>
          <w:sz w:val="24"/>
          <w:szCs w:val="24"/>
        </w:rPr>
        <w:t>3</w:t>
      </w:r>
      <w:r w:rsidRPr="005857F1">
        <w:rPr>
          <w:rFonts w:asciiTheme="minorHAnsi" w:hAnsiTheme="minorHAnsi" w:cstheme="minorHAnsi"/>
          <w:i/>
          <w:sz w:val="24"/>
          <w:szCs w:val="24"/>
        </w:rPr>
        <w:t xml:space="preserve"> takes into account public consultation alongside prudent assumptions based on the best information</w:t>
      </w:r>
      <w:r w:rsidRPr="00280E6A">
        <w:rPr>
          <w:rFonts w:asciiTheme="minorHAnsi" w:hAnsiTheme="minorHAnsi" w:cstheme="minorHAnsi"/>
          <w:i/>
          <w:sz w:val="24"/>
          <w:szCs w:val="24"/>
        </w:rPr>
        <w:t xml:space="preserve"> available, the MTFP and the reserves position</w:t>
      </w:r>
      <w:r w:rsidR="00656A64" w:rsidRPr="00280E6A">
        <w:rPr>
          <w:rFonts w:asciiTheme="minorHAnsi" w:hAnsiTheme="minorHAnsi" w:cstheme="minorHAnsi"/>
          <w:i/>
          <w:sz w:val="24"/>
          <w:szCs w:val="24"/>
        </w:rPr>
        <w:t>,</w:t>
      </w:r>
      <w:r w:rsidRPr="00280E6A">
        <w:rPr>
          <w:rFonts w:asciiTheme="minorHAnsi" w:hAnsiTheme="minorHAnsi" w:cstheme="minorHAnsi"/>
          <w:i/>
          <w:sz w:val="24"/>
          <w:szCs w:val="24"/>
        </w:rPr>
        <w:t xml:space="preserve"> and still enables an element to be ring</w:t>
      </w:r>
      <w:r w:rsidR="00280E6A" w:rsidRPr="00280E6A">
        <w:rPr>
          <w:rFonts w:asciiTheme="minorHAnsi" w:hAnsiTheme="minorHAnsi" w:cstheme="minorHAnsi"/>
          <w:i/>
          <w:sz w:val="24"/>
          <w:szCs w:val="24"/>
        </w:rPr>
        <w:t>-</w:t>
      </w:r>
      <w:r w:rsidRPr="00280E6A">
        <w:rPr>
          <w:rFonts w:asciiTheme="minorHAnsi" w:hAnsiTheme="minorHAnsi" w:cstheme="minorHAnsi"/>
          <w:i/>
          <w:sz w:val="24"/>
          <w:szCs w:val="24"/>
        </w:rPr>
        <w:t>fenced for investment</w:t>
      </w:r>
      <w:r w:rsidR="00F7017D" w:rsidRPr="00280E6A">
        <w:rPr>
          <w:rFonts w:asciiTheme="minorHAnsi" w:hAnsiTheme="minorHAnsi" w:cstheme="minorHAnsi"/>
          <w:i/>
          <w:sz w:val="24"/>
          <w:szCs w:val="24"/>
        </w:rPr>
        <w:t>.</w:t>
      </w:r>
    </w:p>
    <w:bookmarkEnd w:id="20"/>
    <w:p w14:paraId="27474665" w14:textId="77777777" w:rsidR="000D1925" w:rsidRPr="00280E6A" w:rsidRDefault="000D1925" w:rsidP="0003142E">
      <w:pPr>
        <w:spacing w:after="0" w:line="240" w:lineRule="auto"/>
        <w:jc w:val="both"/>
        <w:rPr>
          <w:rFonts w:asciiTheme="minorHAnsi" w:hAnsiTheme="minorHAnsi" w:cstheme="minorHAnsi"/>
          <w:i/>
          <w:sz w:val="24"/>
          <w:szCs w:val="24"/>
        </w:rPr>
      </w:pPr>
    </w:p>
    <w:p w14:paraId="7464521A" w14:textId="2B416361" w:rsidR="000D1925" w:rsidRPr="00280E6A" w:rsidRDefault="000D1925" w:rsidP="0003142E">
      <w:pPr>
        <w:spacing w:after="0" w:line="240" w:lineRule="auto"/>
        <w:jc w:val="both"/>
        <w:rPr>
          <w:rFonts w:asciiTheme="minorHAnsi" w:hAnsiTheme="minorHAnsi" w:cstheme="minorHAnsi"/>
          <w:i/>
          <w:sz w:val="24"/>
          <w:szCs w:val="24"/>
        </w:rPr>
      </w:pPr>
      <w:r w:rsidRPr="00280E6A">
        <w:rPr>
          <w:rFonts w:asciiTheme="minorHAnsi" w:hAnsiTheme="minorHAnsi" w:cstheme="minorHAnsi"/>
          <w:i/>
          <w:sz w:val="24"/>
          <w:szCs w:val="24"/>
        </w:rPr>
        <w:t xml:space="preserve">The </w:t>
      </w:r>
      <w:r w:rsidR="00696B85" w:rsidRPr="00280E6A">
        <w:rPr>
          <w:rFonts w:asciiTheme="minorHAnsi" w:hAnsiTheme="minorHAnsi" w:cstheme="minorHAnsi"/>
          <w:i/>
          <w:sz w:val="24"/>
          <w:szCs w:val="24"/>
        </w:rPr>
        <w:t xml:space="preserve">Chief Constable </w:t>
      </w:r>
      <w:r w:rsidRPr="00280E6A">
        <w:rPr>
          <w:rFonts w:asciiTheme="minorHAnsi" w:hAnsiTheme="minorHAnsi" w:cstheme="minorHAnsi"/>
          <w:i/>
          <w:sz w:val="24"/>
          <w:szCs w:val="24"/>
        </w:rPr>
        <w:t xml:space="preserve">and his team have been fully involved in the budget discussions and have discussed revenue and capital requirements for </w:t>
      </w:r>
      <w:r w:rsidR="00220144" w:rsidRPr="00280E6A">
        <w:rPr>
          <w:rFonts w:asciiTheme="minorHAnsi" w:hAnsiTheme="minorHAnsi" w:cstheme="minorHAnsi"/>
          <w:i/>
          <w:sz w:val="24"/>
          <w:szCs w:val="24"/>
        </w:rPr>
        <w:t>202</w:t>
      </w:r>
      <w:r w:rsidR="00280E6A" w:rsidRPr="00280E6A">
        <w:rPr>
          <w:rFonts w:asciiTheme="minorHAnsi" w:hAnsiTheme="minorHAnsi" w:cstheme="minorHAnsi"/>
          <w:i/>
          <w:sz w:val="24"/>
          <w:szCs w:val="24"/>
        </w:rPr>
        <w:t>4</w:t>
      </w:r>
      <w:r w:rsidR="00220144" w:rsidRPr="00280E6A">
        <w:rPr>
          <w:rFonts w:asciiTheme="minorHAnsi" w:hAnsiTheme="minorHAnsi" w:cstheme="minorHAnsi"/>
          <w:i/>
          <w:sz w:val="24"/>
          <w:szCs w:val="24"/>
        </w:rPr>
        <w:t>/2</w:t>
      </w:r>
      <w:r w:rsidR="00280E6A" w:rsidRPr="00280E6A">
        <w:rPr>
          <w:rFonts w:asciiTheme="minorHAnsi" w:hAnsiTheme="minorHAnsi" w:cstheme="minorHAnsi"/>
          <w:i/>
          <w:sz w:val="24"/>
          <w:szCs w:val="24"/>
        </w:rPr>
        <w:t>5</w:t>
      </w:r>
      <w:r w:rsidRPr="00280E6A">
        <w:rPr>
          <w:rFonts w:asciiTheme="minorHAnsi" w:hAnsiTheme="minorHAnsi" w:cstheme="minorHAnsi"/>
          <w:i/>
          <w:sz w:val="24"/>
          <w:szCs w:val="24"/>
        </w:rPr>
        <w:t xml:space="preserve"> and future years with the PFCC. </w:t>
      </w:r>
    </w:p>
    <w:p w14:paraId="47AE9F3D" w14:textId="77777777" w:rsidR="000D1925" w:rsidRPr="00280E6A" w:rsidRDefault="000D1925" w:rsidP="0003142E">
      <w:pPr>
        <w:spacing w:after="0" w:line="240" w:lineRule="auto"/>
        <w:jc w:val="both"/>
        <w:rPr>
          <w:rFonts w:asciiTheme="minorHAnsi" w:hAnsiTheme="minorHAnsi" w:cstheme="minorHAnsi"/>
          <w:i/>
          <w:sz w:val="24"/>
          <w:szCs w:val="24"/>
        </w:rPr>
      </w:pPr>
    </w:p>
    <w:p w14:paraId="1C6B3D2D" w14:textId="4172EFAB" w:rsidR="000D1925" w:rsidRPr="00280E6A" w:rsidRDefault="000D1925" w:rsidP="0003142E">
      <w:pPr>
        <w:spacing w:after="0" w:line="240" w:lineRule="auto"/>
        <w:jc w:val="both"/>
        <w:rPr>
          <w:rFonts w:asciiTheme="minorHAnsi" w:hAnsiTheme="minorHAnsi" w:cstheme="minorHAnsi"/>
          <w:i/>
          <w:sz w:val="24"/>
          <w:szCs w:val="24"/>
        </w:rPr>
      </w:pPr>
      <w:r w:rsidRPr="00280E6A">
        <w:rPr>
          <w:rFonts w:asciiTheme="minorHAnsi" w:hAnsiTheme="minorHAnsi" w:cstheme="minorHAnsi"/>
          <w:i/>
          <w:sz w:val="24"/>
          <w:szCs w:val="24"/>
        </w:rPr>
        <w:t xml:space="preserve">The budget for </w:t>
      </w:r>
      <w:r w:rsidR="00220144" w:rsidRPr="00280E6A">
        <w:rPr>
          <w:rFonts w:asciiTheme="minorHAnsi" w:hAnsiTheme="minorHAnsi" w:cstheme="minorHAnsi"/>
          <w:i/>
          <w:sz w:val="24"/>
          <w:szCs w:val="24"/>
        </w:rPr>
        <w:t>202</w:t>
      </w:r>
      <w:r w:rsidR="00280E6A" w:rsidRPr="00280E6A">
        <w:rPr>
          <w:rFonts w:asciiTheme="minorHAnsi" w:hAnsiTheme="minorHAnsi" w:cstheme="minorHAnsi"/>
          <w:i/>
          <w:sz w:val="24"/>
          <w:szCs w:val="24"/>
        </w:rPr>
        <w:t>4</w:t>
      </w:r>
      <w:r w:rsidR="00220144" w:rsidRPr="00280E6A">
        <w:rPr>
          <w:rFonts w:asciiTheme="minorHAnsi" w:hAnsiTheme="minorHAnsi" w:cstheme="minorHAnsi"/>
          <w:i/>
          <w:sz w:val="24"/>
          <w:szCs w:val="24"/>
        </w:rPr>
        <w:t>/2</w:t>
      </w:r>
      <w:r w:rsidR="00280E6A" w:rsidRPr="00280E6A">
        <w:rPr>
          <w:rFonts w:asciiTheme="minorHAnsi" w:hAnsiTheme="minorHAnsi" w:cstheme="minorHAnsi"/>
          <w:i/>
          <w:sz w:val="24"/>
          <w:szCs w:val="24"/>
        </w:rPr>
        <w:t>5</w:t>
      </w:r>
      <w:r w:rsidRPr="00280E6A">
        <w:rPr>
          <w:rFonts w:asciiTheme="minorHAnsi" w:hAnsiTheme="minorHAnsi" w:cstheme="minorHAnsi"/>
          <w:i/>
          <w:sz w:val="24"/>
          <w:szCs w:val="24"/>
        </w:rPr>
        <w:t xml:space="preserve"> has been </w:t>
      </w:r>
      <w:r w:rsidR="00656A64" w:rsidRPr="00280E6A">
        <w:rPr>
          <w:rFonts w:asciiTheme="minorHAnsi" w:hAnsiTheme="minorHAnsi" w:cstheme="minorHAnsi"/>
          <w:i/>
          <w:sz w:val="24"/>
          <w:szCs w:val="24"/>
        </w:rPr>
        <w:t xml:space="preserve">created through </w:t>
      </w:r>
      <w:r w:rsidRPr="00280E6A">
        <w:rPr>
          <w:rFonts w:asciiTheme="minorHAnsi" w:hAnsiTheme="minorHAnsi" w:cstheme="minorHAnsi"/>
          <w:i/>
          <w:sz w:val="24"/>
          <w:szCs w:val="24"/>
        </w:rPr>
        <w:t xml:space="preserve">a zero-based budget approach and only previously agreed growth, contractual commitments or unavoidable pressures have been built in. </w:t>
      </w:r>
      <w:r w:rsidR="00280E6A" w:rsidRPr="00280E6A">
        <w:rPr>
          <w:rFonts w:asciiTheme="minorHAnsi" w:hAnsiTheme="minorHAnsi" w:cstheme="minorHAnsi"/>
          <w:i/>
          <w:sz w:val="24"/>
          <w:szCs w:val="24"/>
        </w:rPr>
        <w:t xml:space="preserve"> </w:t>
      </w:r>
      <w:r w:rsidRPr="00280E6A">
        <w:rPr>
          <w:rFonts w:asciiTheme="minorHAnsi" w:hAnsiTheme="minorHAnsi" w:cstheme="minorHAnsi"/>
          <w:i/>
          <w:sz w:val="24"/>
          <w:szCs w:val="24"/>
        </w:rPr>
        <w:t>It is a structured and consistent process and I have received</w:t>
      </w:r>
      <w:r w:rsidR="00280E6A" w:rsidRPr="00280E6A">
        <w:rPr>
          <w:rFonts w:asciiTheme="minorHAnsi" w:hAnsiTheme="minorHAnsi" w:cstheme="minorHAnsi"/>
          <w:i/>
          <w:sz w:val="24"/>
          <w:szCs w:val="24"/>
        </w:rPr>
        <w:t xml:space="preserve"> informative</w:t>
      </w:r>
      <w:r w:rsidRPr="00280E6A">
        <w:rPr>
          <w:rFonts w:asciiTheme="minorHAnsi" w:hAnsiTheme="minorHAnsi" w:cstheme="minorHAnsi"/>
          <w:i/>
          <w:sz w:val="24"/>
          <w:szCs w:val="24"/>
        </w:rPr>
        <w:t xml:space="preserve"> responses to queries and/or points of clarification. </w:t>
      </w:r>
      <w:r w:rsidR="00280E6A" w:rsidRPr="00280E6A">
        <w:rPr>
          <w:rFonts w:asciiTheme="minorHAnsi" w:hAnsiTheme="minorHAnsi" w:cstheme="minorHAnsi"/>
          <w:i/>
          <w:sz w:val="24"/>
          <w:szCs w:val="24"/>
        </w:rPr>
        <w:t xml:space="preserve"> </w:t>
      </w:r>
      <w:r w:rsidRPr="00280E6A">
        <w:rPr>
          <w:rFonts w:asciiTheme="minorHAnsi" w:hAnsiTheme="minorHAnsi" w:cstheme="minorHAnsi"/>
          <w:i/>
          <w:sz w:val="24"/>
          <w:szCs w:val="24"/>
        </w:rPr>
        <w:t>Where I have sought changes, they have been incorporated.</w:t>
      </w:r>
    </w:p>
    <w:p w14:paraId="5916ADA1" w14:textId="77777777" w:rsidR="000D1925" w:rsidRPr="00280E6A" w:rsidRDefault="000D1925" w:rsidP="0003142E">
      <w:pPr>
        <w:spacing w:after="0" w:line="240" w:lineRule="auto"/>
        <w:jc w:val="both"/>
        <w:rPr>
          <w:rFonts w:asciiTheme="minorHAnsi" w:hAnsiTheme="minorHAnsi" w:cstheme="minorHAnsi"/>
          <w:i/>
          <w:sz w:val="24"/>
          <w:szCs w:val="24"/>
        </w:rPr>
      </w:pPr>
    </w:p>
    <w:p w14:paraId="560FE1DD" w14:textId="77777777" w:rsidR="000D1925" w:rsidRPr="00280E6A" w:rsidRDefault="000D1925" w:rsidP="0003142E">
      <w:pPr>
        <w:spacing w:after="0" w:line="240" w:lineRule="auto"/>
        <w:jc w:val="both"/>
        <w:rPr>
          <w:rFonts w:asciiTheme="minorHAnsi" w:hAnsiTheme="minorHAnsi" w:cstheme="minorHAnsi"/>
          <w:i/>
          <w:sz w:val="24"/>
          <w:szCs w:val="24"/>
        </w:rPr>
      </w:pPr>
      <w:r w:rsidRPr="00280E6A">
        <w:rPr>
          <w:rFonts w:asciiTheme="minorHAnsi" w:hAnsiTheme="minorHAnsi" w:cstheme="minorHAnsi"/>
          <w:i/>
          <w:sz w:val="24"/>
          <w:szCs w:val="24"/>
        </w:rPr>
        <w:t xml:space="preserve">I have worked with the PFCC to agree or require changes to base budget pressures proposed by the Force. </w:t>
      </w:r>
    </w:p>
    <w:p w14:paraId="3A58B619" w14:textId="77777777" w:rsidR="000D1925" w:rsidRPr="00280E6A" w:rsidRDefault="000D1925" w:rsidP="0003142E">
      <w:pPr>
        <w:spacing w:after="0" w:line="240" w:lineRule="auto"/>
        <w:ind w:hanging="540"/>
        <w:jc w:val="both"/>
        <w:rPr>
          <w:rFonts w:asciiTheme="minorHAnsi" w:hAnsiTheme="minorHAnsi" w:cstheme="minorHAnsi"/>
          <w:i/>
          <w:sz w:val="24"/>
          <w:szCs w:val="24"/>
        </w:rPr>
      </w:pPr>
    </w:p>
    <w:p w14:paraId="784EBC9D" w14:textId="71614610" w:rsidR="000D1925" w:rsidRPr="00280E6A" w:rsidRDefault="00B4779C" w:rsidP="0003142E">
      <w:pPr>
        <w:spacing w:after="0" w:line="240" w:lineRule="auto"/>
        <w:ind w:hanging="540"/>
        <w:jc w:val="both"/>
        <w:rPr>
          <w:rFonts w:asciiTheme="minorHAnsi" w:hAnsiTheme="minorHAnsi" w:cstheme="minorHAnsi"/>
          <w:i/>
          <w:sz w:val="24"/>
          <w:szCs w:val="24"/>
        </w:rPr>
      </w:pPr>
      <w:r w:rsidRPr="00280E6A">
        <w:rPr>
          <w:rFonts w:asciiTheme="minorHAnsi" w:hAnsiTheme="minorHAnsi" w:cstheme="minorHAnsi"/>
          <w:i/>
          <w:sz w:val="24"/>
          <w:szCs w:val="24"/>
        </w:rPr>
        <w:tab/>
      </w:r>
      <w:r w:rsidR="00357925" w:rsidRPr="00280E6A">
        <w:rPr>
          <w:rFonts w:asciiTheme="minorHAnsi" w:hAnsiTheme="minorHAnsi" w:cstheme="minorHAnsi"/>
          <w:i/>
          <w:sz w:val="24"/>
          <w:szCs w:val="24"/>
        </w:rPr>
        <w:t>As par</w:t>
      </w:r>
      <w:r w:rsidRPr="00280E6A">
        <w:rPr>
          <w:rFonts w:asciiTheme="minorHAnsi" w:hAnsiTheme="minorHAnsi" w:cstheme="minorHAnsi"/>
          <w:i/>
          <w:sz w:val="24"/>
          <w:szCs w:val="24"/>
        </w:rPr>
        <w:t>t</w:t>
      </w:r>
      <w:r w:rsidR="00357925" w:rsidRPr="00280E6A">
        <w:rPr>
          <w:rFonts w:asciiTheme="minorHAnsi" w:hAnsiTheme="minorHAnsi" w:cstheme="minorHAnsi"/>
          <w:i/>
          <w:sz w:val="24"/>
          <w:szCs w:val="24"/>
        </w:rPr>
        <w:t xml:space="preserve"> of the budget proposals, the </w:t>
      </w:r>
      <w:r w:rsidRPr="00280E6A">
        <w:rPr>
          <w:rFonts w:asciiTheme="minorHAnsi" w:hAnsiTheme="minorHAnsi" w:cstheme="minorHAnsi"/>
          <w:i/>
          <w:sz w:val="24"/>
          <w:szCs w:val="24"/>
        </w:rPr>
        <w:t>P</w:t>
      </w:r>
      <w:r w:rsidR="00357925" w:rsidRPr="00280E6A">
        <w:rPr>
          <w:rFonts w:asciiTheme="minorHAnsi" w:hAnsiTheme="minorHAnsi" w:cstheme="minorHAnsi"/>
          <w:i/>
          <w:sz w:val="24"/>
          <w:szCs w:val="24"/>
        </w:rPr>
        <w:t xml:space="preserve">FCC has agreed to investment proposals put forward by the </w:t>
      </w:r>
      <w:r w:rsidR="00696B85" w:rsidRPr="00280E6A">
        <w:rPr>
          <w:rFonts w:asciiTheme="minorHAnsi" w:hAnsiTheme="minorHAnsi" w:cstheme="minorHAnsi"/>
          <w:i/>
          <w:sz w:val="24"/>
          <w:szCs w:val="24"/>
        </w:rPr>
        <w:t>Chief Con</w:t>
      </w:r>
      <w:r w:rsidR="00E32160" w:rsidRPr="00280E6A">
        <w:rPr>
          <w:rFonts w:asciiTheme="minorHAnsi" w:hAnsiTheme="minorHAnsi" w:cstheme="minorHAnsi"/>
          <w:i/>
          <w:sz w:val="24"/>
          <w:szCs w:val="24"/>
        </w:rPr>
        <w:t>s</w:t>
      </w:r>
      <w:r w:rsidR="00696B85" w:rsidRPr="00280E6A">
        <w:rPr>
          <w:rFonts w:asciiTheme="minorHAnsi" w:hAnsiTheme="minorHAnsi" w:cstheme="minorHAnsi"/>
          <w:i/>
          <w:sz w:val="24"/>
          <w:szCs w:val="24"/>
        </w:rPr>
        <w:t>table</w:t>
      </w:r>
      <w:r w:rsidR="00357925" w:rsidRPr="00280E6A">
        <w:rPr>
          <w:rFonts w:asciiTheme="minorHAnsi" w:hAnsiTheme="minorHAnsi" w:cstheme="minorHAnsi"/>
          <w:i/>
          <w:sz w:val="24"/>
          <w:szCs w:val="24"/>
        </w:rPr>
        <w:t>.</w:t>
      </w:r>
      <w:r w:rsidR="00280E6A" w:rsidRPr="00280E6A">
        <w:rPr>
          <w:rFonts w:asciiTheme="minorHAnsi" w:hAnsiTheme="minorHAnsi" w:cstheme="minorHAnsi"/>
          <w:i/>
          <w:sz w:val="24"/>
          <w:szCs w:val="24"/>
        </w:rPr>
        <w:t xml:space="preserve"> </w:t>
      </w:r>
      <w:r w:rsidR="00357925" w:rsidRPr="00280E6A">
        <w:rPr>
          <w:rFonts w:asciiTheme="minorHAnsi" w:hAnsiTheme="minorHAnsi" w:cstheme="minorHAnsi"/>
          <w:i/>
          <w:sz w:val="24"/>
          <w:szCs w:val="24"/>
        </w:rPr>
        <w:t xml:space="preserve"> I will support</w:t>
      </w:r>
      <w:r w:rsidRPr="00280E6A">
        <w:rPr>
          <w:rFonts w:asciiTheme="minorHAnsi" w:hAnsiTheme="minorHAnsi" w:cstheme="minorHAnsi"/>
          <w:i/>
          <w:sz w:val="24"/>
          <w:szCs w:val="24"/>
        </w:rPr>
        <w:t xml:space="preserve"> </w:t>
      </w:r>
      <w:r w:rsidR="00357925" w:rsidRPr="00280E6A">
        <w:rPr>
          <w:rFonts w:asciiTheme="minorHAnsi" w:hAnsiTheme="minorHAnsi" w:cstheme="minorHAnsi"/>
          <w:i/>
          <w:sz w:val="24"/>
          <w:szCs w:val="24"/>
        </w:rPr>
        <w:t>t</w:t>
      </w:r>
      <w:r w:rsidRPr="00280E6A">
        <w:rPr>
          <w:rFonts w:asciiTheme="minorHAnsi" w:hAnsiTheme="minorHAnsi" w:cstheme="minorHAnsi"/>
          <w:i/>
          <w:sz w:val="24"/>
          <w:szCs w:val="24"/>
        </w:rPr>
        <w:t>h</w:t>
      </w:r>
      <w:r w:rsidR="00357925" w:rsidRPr="00280E6A">
        <w:rPr>
          <w:rFonts w:asciiTheme="minorHAnsi" w:hAnsiTheme="minorHAnsi" w:cstheme="minorHAnsi"/>
          <w:i/>
          <w:sz w:val="24"/>
          <w:szCs w:val="24"/>
        </w:rPr>
        <w:t xml:space="preserve">e PFCC in monitoring these agreed investments to ensure they are delivered in accordance with the timescales and </w:t>
      </w:r>
      <w:r w:rsidRPr="00280E6A">
        <w:rPr>
          <w:rFonts w:asciiTheme="minorHAnsi" w:hAnsiTheme="minorHAnsi" w:cstheme="minorHAnsi"/>
          <w:i/>
          <w:sz w:val="24"/>
          <w:szCs w:val="24"/>
        </w:rPr>
        <w:t>financial envelopes agreed.</w:t>
      </w:r>
    </w:p>
    <w:p w14:paraId="7FA6C393" w14:textId="77777777" w:rsidR="000D1925" w:rsidRPr="00280E6A" w:rsidRDefault="000D1925" w:rsidP="0003142E">
      <w:pPr>
        <w:spacing w:after="0" w:line="240" w:lineRule="auto"/>
        <w:ind w:hanging="540"/>
        <w:jc w:val="both"/>
        <w:rPr>
          <w:rFonts w:asciiTheme="minorHAnsi" w:hAnsiTheme="minorHAnsi" w:cstheme="minorHAnsi"/>
          <w:i/>
          <w:sz w:val="24"/>
          <w:szCs w:val="24"/>
        </w:rPr>
      </w:pPr>
    </w:p>
    <w:p w14:paraId="3BA9D803" w14:textId="25D5C87A" w:rsidR="000D1925" w:rsidRPr="00280E6A" w:rsidRDefault="000D1925" w:rsidP="0003142E">
      <w:pPr>
        <w:spacing w:after="0" w:line="240" w:lineRule="auto"/>
        <w:ind w:hanging="540"/>
        <w:jc w:val="both"/>
        <w:rPr>
          <w:rFonts w:asciiTheme="minorHAnsi" w:hAnsiTheme="minorHAnsi" w:cstheme="minorHAnsi"/>
          <w:i/>
          <w:sz w:val="24"/>
          <w:szCs w:val="24"/>
        </w:rPr>
      </w:pPr>
      <w:r w:rsidRPr="00280E6A">
        <w:rPr>
          <w:rFonts w:asciiTheme="minorHAnsi" w:hAnsiTheme="minorHAnsi" w:cstheme="minorHAnsi"/>
          <w:i/>
          <w:sz w:val="24"/>
          <w:szCs w:val="24"/>
        </w:rPr>
        <w:tab/>
        <w:t>In preparing the MTFP, working with the Force S151 Officer</w:t>
      </w:r>
      <w:r w:rsidR="00656A64" w:rsidRPr="00280E6A">
        <w:rPr>
          <w:rFonts w:asciiTheme="minorHAnsi" w:hAnsiTheme="minorHAnsi" w:cstheme="minorHAnsi"/>
          <w:i/>
          <w:sz w:val="24"/>
          <w:szCs w:val="24"/>
        </w:rPr>
        <w:t>,</w:t>
      </w:r>
      <w:r w:rsidRPr="00280E6A">
        <w:rPr>
          <w:rFonts w:asciiTheme="minorHAnsi" w:hAnsiTheme="minorHAnsi" w:cstheme="minorHAnsi"/>
          <w:i/>
          <w:sz w:val="24"/>
          <w:szCs w:val="24"/>
        </w:rPr>
        <w:t xml:space="preserve"> we modelled scenarios across council taxbase assumptions and precept increases ranging from 1.99% to £1</w:t>
      </w:r>
      <w:r w:rsidR="00B4779C" w:rsidRPr="00280E6A">
        <w:rPr>
          <w:rFonts w:asciiTheme="minorHAnsi" w:hAnsiTheme="minorHAnsi" w:cstheme="minorHAnsi"/>
          <w:i/>
          <w:sz w:val="24"/>
          <w:szCs w:val="24"/>
        </w:rPr>
        <w:t>5</w:t>
      </w:r>
      <w:r w:rsidRPr="00280E6A">
        <w:rPr>
          <w:rFonts w:asciiTheme="minorHAnsi" w:hAnsiTheme="minorHAnsi" w:cstheme="minorHAnsi"/>
          <w:i/>
          <w:sz w:val="24"/>
          <w:szCs w:val="24"/>
        </w:rPr>
        <w:t xml:space="preserve"> to help inform the PFCC considerations in determining his precept proposal for </w:t>
      </w:r>
      <w:r w:rsidR="00220144" w:rsidRPr="00280E6A">
        <w:rPr>
          <w:rFonts w:asciiTheme="minorHAnsi" w:hAnsiTheme="minorHAnsi" w:cstheme="minorHAnsi"/>
          <w:i/>
          <w:sz w:val="24"/>
          <w:szCs w:val="24"/>
        </w:rPr>
        <w:t>202</w:t>
      </w:r>
      <w:r w:rsidR="00280E6A" w:rsidRPr="00280E6A">
        <w:rPr>
          <w:rFonts w:asciiTheme="minorHAnsi" w:hAnsiTheme="minorHAnsi" w:cstheme="minorHAnsi"/>
          <w:i/>
          <w:sz w:val="24"/>
          <w:szCs w:val="24"/>
        </w:rPr>
        <w:t>4</w:t>
      </w:r>
      <w:r w:rsidR="00220144" w:rsidRPr="00280E6A">
        <w:rPr>
          <w:rFonts w:asciiTheme="minorHAnsi" w:hAnsiTheme="minorHAnsi" w:cstheme="minorHAnsi"/>
          <w:i/>
          <w:sz w:val="24"/>
          <w:szCs w:val="24"/>
        </w:rPr>
        <w:t>/2</w:t>
      </w:r>
      <w:r w:rsidR="00280E6A" w:rsidRPr="00280E6A">
        <w:rPr>
          <w:rFonts w:asciiTheme="minorHAnsi" w:hAnsiTheme="minorHAnsi" w:cstheme="minorHAnsi"/>
          <w:i/>
          <w:sz w:val="24"/>
          <w:szCs w:val="24"/>
        </w:rPr>
        <w:t>5</w:t>
      </w:r>
      <w:r w:rsidRPr="00280E6A">
        <w:rPr>
          <w:rFonts w:asciiTheme="minorHAnsi" w:hAnsiTheme="minorHAnsi" w:cstheme="minorHAnsi"/>
          <w:i/>
          <w:sz w:val="24"/>
          <w:szCs w:val="24"/>
        </w:rPr>
        <w:t xml:space="preserve">. </w:t>
      </w:r>
      <w:r w:rsidR="00280E6A" w:rsidRPr="00280E6A">
        <w:rPr>
          <w:rFonts w:asciiTheme="minorHAnsi" w:hAnsiTheme="minorHAnsi" w:cstheme="minorHAnsi"/>
          <w:i/>
          <w:sz w:val="24"/>
          <w:szCs w:val="24"/>
        </w:rPr>
        <w:t xml:space="preserve"> </w:t>
      </w:r>
      <w:r w:rsidRPr="00280E6A">
        <w:rPr>
          <w:rFonts w:asciiTheme="minorHAnsi" w:hAnsiTheme="minorHAnsi" w:cstheme="minorHAnsi"/>
          <w:i/>
          <w:sz w:val="24"/>
          <w:szCs w:val="24"/>
        </w:rPr>
        <w:t>As the information from the settlement and taxbase became clearer, we continued to review and refine the MTFP.</w:t>
      </w:r>
    </w:p>
    <w:p w14:paraId="32B1B999" w14:textId="6729EE68" w:rsidR="0003142E" w:rsidRPr="00280E6A" w:rsidRDefault="0003142E" w:rsidP="0003142E">
      <w:pPr>
        <w:spacing w:after="0" w:line="240" w:lineRule="auto"/>
        <w:ind w:hanging="540"/>
        <w:jc w:val="both"/>
        <w:rPr>
          <w:rFonts w:asciiTheme="minorHAnsi" w:hAnsiTheme="minorHAnsi" w:cstheme="minorHAnsi"/>
          <w:i/>
          <w:sz w:val="24"/>
          <w:szCs w:val="24"/>
        </w:rPr>
      </w:pPr>
    </w:p>
    <w:p w14:paraId="4EAC0517" w14:textId="276EA3F9" w:rsidR="0003142E" w:rsidRPr="00280E6A" w:rsidRDefault="0003142E" w:rsidP="0003142E">
      <w:pPr>
        <w:spacing w:after="0" w:line="240" w:lineRule="auto"/>
        <w:ind w:hanging="540"/>
        <w:jc w:val="both"/>
        <w:rPr>
          <w:rFonts w:asciiTheme="minorHAnsi" w:hAnsiTheme="minorHAnsi" w:cstheme="minorHAnsi"/>
          <w:i/>
          <w:sz w:val="24"/>
          <w:szCs w:val="24"/>
        </w:rPr>
      </w:pPr>
      <w:r w:rsidRPr="00280E6A">
        <w:rPr>
          <w:rFonts w:asciiTheme="minorHAnsi" w:hAnsiTheme="minorHAnsi" w:cstheme="minorHAnsi"/>
          <w:i/>
          <w:sz w:val="24"/>
          <w:szCs w:val="24"/>
        </w:rPr>
        <w:tab/>
        <w:t>Whilst Police grant allocations we</w:t>
      </w:r>
      <w:r w:rsidR="00B40836" w:rsidRPr="00280E6A">
        <w:rPr>
          <w:rFonts w:asciiTheme="minorHAnsi" w:hAnsiTheme="minorHAnsi" w:cstheme="minorHAnsi"/>
          <w:i/>
          <w:sz w:val="24"/>
          <w:szCs w:val="24"/>
        </w:rPr>
        <w:t>r</w:t>
      </w:r>
      <w:r w:rsidRPr="00280E6A">
        <w:rPr>
          <w:rFonts w:asciiTheme="minorHAnsi" w:hAnsiTheme="minorHAnsi" w:cstheme="minorHAnsi"/>
          <w:i/>
          <w:sz w:val="24"/>
          <w:szCs w:val="24"/>
        </w:rPr>
        <w:t xml:space="preserve">e </w:t>
      </w:r>
      <w:r w:rsidR="00B4779C" w:rsidRPr="00280E6A">
        <w:rPr>
          <w:rFonts w:asciiTheme="minorHAnsi" w:hAnsiTheme="minorHAnsi" w:cstheme="minorHAnsi"/>
          <w:i/>
          <w:sz w:val="24"/>
          <w:szCs w:val="24"/>
        </w:rPr>
        <w:t xml:space="preserve">slightly higher than forecast, they </w:t>
      </w:r>
      <w:r w:rsidR="00280E6A" w:rsidRPr="00280E6A">
        <w:rPr>
          <w:rFonts w:asciiTheme="minorHAnsi" w:hAnsiTheme="minorHAnsi" w:cstheme="minorHAnsi"/>
          <w:i/>
          <w:sz w:val="24"/>
          <w:szCs w:val="24"/>
        </w:rPr>
        <w:t xml:space="preserve">still </w:t>
      </w:r>
      <w:r w:rsidR="00B4779C" w:rsidRPr="00280E6A">
        <w:rPr>
          <w:rFonts w:asciiTheme="minorHAnsi" w:hAnsiTheme="minorHAnsi" w:cstheme="minorHAnsi"/>
          <w:i/>
          <w:sz w:val="24"/>
          <w:szCs w:val="24"/>
        </w:rPr>
        <w:t xml:space="preserve">do not reflect the pressures of inflation being experienced </w:t>
      </w:r>
      <w:r w:rsidR="00280E6A" w:rsidRPr="00280E6A">
        <w:rPr>
          <w:rFonts w:asciiTheme="minorHAnsi" w:hAnsiTheme="minorHAnsi" w:cstheme="minorHAnsi"/>
          <w:i/>
          <w:sz w:val="24"/>
          <w:szCs w:val="24"/>
        </w:rPr>
        <w:t>since</w:t>
      </w:r>
      <w:r w:rsidR="00B4779C" w:rsidRPr="00280E6A">
        <w:rPr>
          <w:rFonts w:asciiTheme="minorHAnsi" w:hAnsiTheme="minorHAnsi" w:cstheme="minorHAnsi"/>
          <w:i/>
          <w:sz w:val="24"/>
          <w:szCs w:val="24"/>
        </w:rPr>
        <w:t xml:space="preserve"> 202</w:t>
      </w:r>
      <w:r w:rsidR="00280E6A" w:rsidRPr="00280E6A">
        <w:rPr>
          <w:rFonts w:asciiTheme="minorHAnsi" w:hAnsiTheme="minorHAnsi" w:cstheme="minorHAnsi"/>
          <w:i/>
          <w:sz w:val="24"/>
          <w:szCs w:val="24"/>
        </w:rPr>
        <w:t>2</w:t>
      </w:r>
      <w:r w:rsidR="00B4779C" w:rsidRPr="00280E6A">
        <w:rPr>
          <w:rFonts w:asciiTheme="minorHAnsi" w:hAnsiTheme="minorHAnsi" w:cstheme="minorHAnsi"/>
          <w:i/>
          <w:sz w:val="24"/>
          <w:szCs w:val="24"/>
        </w:rPr>
        <w:t>/23 and</w:t>
      </w:r>
      <w:r w:rsidR="00280E6A" w:rsidRPr="00280E6A">
        <w:rPr>
          <w:rFonts w:asciiTheme="minorHAnsi" w:hAnsiTheme="minorHAnsi" w:cstheme="minorHAnsi"/>
          <w:i/>
          <w:sz w:val="24"/>
          <w:szCs w:val="24"/>
        </w:rPr>
        <w:t xml:space="preserve">, as very little </w:t>
      </w:r>
      <w:r w:rsidR="00B4779C" w:rsidRPr="00280E6A">
        <w:rPr>
          <w:rFonts w:asciiTheme="minorHAnsi" w:hAnsiTheme="minorHAnsi" w:cstheme="minorHAnsi"/>
          <w:i/>
          <w:sz w:val="24"/>
          <w:szCs w:val="24"/>
        </w:rPr>
        <w:t xml:space="preserve">indicative funding information is available </w:t>
      </w:r>
      <w:r w:rsidR="00280E6A" w:rsidRPr="00280E6A">
        <w:rPr>
          <w:rFonts w:asciiTheme="minorHAnsi" w:hAnsiTheme="minorHAnsi" w:cstheme="minorHAnsi"/>
          <w:i/>
          <w:sz w:val="24"/>
          <w:szCs w:val="24"/>
        </w:rPr>
        <w:t xml:space="preserve">beyond </w:t>
      </w:r>
      <w:r w:rsidR="00B4779C" w:rsidRPr="00280E6A">
        <w:rPr>
          <w:rFonts w:asciiTheme="minorHAnsi" w:hAnsiTheme="minorHAnsi" w:cstheme="minorHAnsi"/>
          <w:i/>
          <w:sz w:val="24"/>
          <w:szCs w:val="24"/>
        </w:rPr>
        <w:t>2024/2</w:t>
      </w:r>
      <w:r w:rsidR="00280E6A" w:rsidRPr="00280E6A">
        <w:rPr>
          <w:rFonts w:asciiTheme="minorHAnsi" w:hAnsiTheme="minorHAnsi" w:cstheme="minorHAnsi"/>
          <w:i/>
          <w:sz w:val="24"/>
          <w:szCs w:val="24"/>
        </w:rPr>
        <w:t>5</w:t>
      </w:r>
      <w:r w:rsidR="00B4779C" w:rsidRPr="00280E6A">
        <w:rPr>
          <w:rFonts w:asciiTheme="minorHAnsi" w:hAnsiTheme="minorHAnsi" w:cstheme="minorHAnsi"/>
          <w:i/>
          <w:sz w:val="24"/>
          <w:szCs w:val="24"/>
        </w:rPr>
        <w:t xml:space="preserve">, </w:t>
      </w:r>
      <w:r w:rsidR="00280E6A" w:rsidRPr="00280E6A">
        <w:rPr>
          <w:rFonts w:asciiTheme="minorHAnsi" w:hAnsiTheme="minorHAnsi" w:cstheme="minorHAnsi"/>
          <w:i/>
          <w:sz w:val="24"/>
          <w:szCs w:val="24"/>
        </w:rPr>
        <w:t>there is a high level of uncertainty around affordability of the current MTFP in the future.</w:t>
      </w:r>
      <w:r w:rsidR="00B4779C" w:rsidRPr="00280E6A">
        <w:rPr>
          <w:rFonts w:asciiTheme="minorHAnsi" w:hAnsiTheme="minorHAnsi" w:cstheme="minorHAnsi"/>
          <w:i/>
          <w:sz w:val="24"/>
          <w:szCs w:val="24"/>
        </w:rPr>
        <w:t xml:space="preserve"> </w:t>
      </w:r>
      <w:r w:rsidRPr="00280E6A">
        <w:rPr>
          <w:rFonts w:asciiTheme="minorHAnsi" w:hAnsiTheme="minorHAnsi" w:cstheme="minorHAnsi"/>
          <w:i/>
          <w:sz w:val="24"/>
          <w:szCs w:val="24"/>
        </w:rPr>
        <w:t xml:space="preserve"> </w:t>
      </w:r>
    </w:p>
    <w:p w14:paraId="7DD0BD6F" w14:textId="129C0839" w:rsidR="000D1925" w:rsidRPr="00280E6A" w:rsidRDefault="000D1925" w:rsidP="0003142E">
      <w:pPr>
        <w:spacing w:after="0" w:line="240" w:lineRule="auto"/>
        <w:ind w:hanging="540"/>
        <w:jc w:val="both"/>
        <w:rPr>
          <w:rFonts w:asciiTheme="minorHAnsi" w:hAnsiTheme="minorHAnsi" w:cstheme="minorHAnsi"/>
          <w:i/>
          <w:sz w:val="24"/>
          <w:szCs w:val="24"/>
        </w:rPr>
      </w:pPr>
    </w:p>
    <w:p w14:paraId="422B065D" w14:textId="2C8964DE" w:rsidR="00B4779C" w:rsidRPr="00280E6A" w:rsidRDefault="00B4779C" w:rsidP="00B4779C">
      <w:pPr>
        <w:spacing w:after="0" w:line="240" w:lineRule="auto"/>
        <w:jc w:val="both"/>
        <w:rPr>
          <w:rFonts w:asciiTheme="minorHAnsi" w:hAnsiTheme="minorHAnsi" w:cs="Arial"/>
          <w:i/>
          <w:sz w:val="24"/>
          <w:szCs w:val="24"/>
        </w:rPr>
      </w:pPr>
      <w:r w:rsidRPr="00280E6A">
        <w:rPr>
          <w:rFonts w:asciiTheme="minorHAnsi" w:hAnsiTheme="minorHAnsi" w:cs="Arial"/>
          <w:i/>
          <w:sz w:val="24"/>
          <w:szCs w:val="24"/>
        </w:rPr>
        <w:t>It is my recommendation that financially</w:t>
      </w:r>
      <w:r w:rsidR="00656A64" w:rsidRPr="00280E6A">
        <w:rPr>
          <w:rFonts w:asciiTheme="minorHAnsi" w:hAnsiTheme="minorHAnsi" w:cs="Arial"/>
          <w:i/>
          <w:sz w:val="24"/>
          <w:szCs w:val="24"/>
        </w:rPr>
        <w:t>,</w:t>
      </w:r>
      <w:r w:rsidRPr="00280E6A">
        <w:rPr>
          <w:rFonts w:asciiTheme="minorHAnsi" w:hAnsiTheme="minorHAnsi" w:cs="Arial"/>
          <w:i/>
          <w:sz w:val="24"/>
          <w:szCs w:val="24"/>
        </w:rPr>
        <w:t xml:space="preserve"> it is essential to take forward the £1</w:t>
      </w:r>
      <w:r w:rsidR="00280E6A" w:rsidRPr="00280E6A">
        <w:rPr>
          <w:rFonts w:asciiTheme="minorHAnsi" w:hAnsiTheme="minorHAnsi" w:cs="Arial"/>
          <w:i/>
          <w:sz w:val="24"/>
          <w:szCs w:val="24"/>
        </w:rPr>
        <w:t>3</w:t>
      </w:r>
      <w:r w:rsidRPr="00280E6A">
        <w:rPr>
          <w:rFonts w:asciiTheme="minorHAnsi" w:hAnsiTheme="minorHAnsi" w:cs="Arial"/>
          <w:i/>
          <w:sz w:val="24"/>
          <w:szCs w:val="24"/>
        </w:rPr>
        <w:t xml:space="preserve"> precept flexibility afforded to Northamptonshire for 202</w:t>
      </w:r>
      <w:r w:rsidR="00280E6A" w:rsidRPr="00280E6A">
        <w:rPr>
          <w:rFonts w:asciiTheme="minorHAnsi" w:hAnsiTheme="minorHAnsi" w:cs="Arial"/>
          <w:i/>
          <w:sz w:val="24"/>
          <w:szCs w:val="24"/>
        </w:rPr>
        <w:t>4</w:t>
      </w:r>
      <w:r w:rsidRPr="00280E6A">
        <w:rPr>
          <w:rFonts w:asciiTheme="minorHAnsi" w:hAnsiTheme="minorHAnsi" w:cs="Arial"/>
          <w:i/>
          <w:sz w:val="24"/>
          <w:szCs w:val="24"/>
        </w:rPr>
        <w:t>/2</w:t>
      </w:r>
      <w:r w:rsidR="00280E6A" w:rsidRPr="00280E6A">
        <w:rPr>
          <w:rFonts w:asciiTheme="minorHAnsi" w:hAnsiTheme="minorHAnsi" w:cs="Arial"/>
          <w:i/>
          <w:sz w:val="24"/>
          <w:szCs w:val="24"/>
        </w:rPr>
        <w:t>5</w:t>
      </w:r>
      <w:r w:rsidRPr="00280E6A">
        <w:rPr>
          <w:rFonts w:asciiTheme="minorHAnsi" w:hAnsiTheme="minorHAnsi" w:cs="Arial"/>
          <w:i/>
          <w:sz w:val="24"/>
          <w:szCs w:val="24"/>
        </w:rPr>
        <w:t xml:space="preserve">. </w:t>
      </w:r>
      <w:r w:rsidR="00280E6A" w:rsidRPr="00280E6A">
        <w:rPr>
          <w:rFonts w:asciiTheme="minorHAnsi" w:hAnsiTheme="minorHAnsi" w:cs="Arial"/>
          <w:i/>
          <w:sz w:val="24"/>
          <w:szCs w:val="24"/>
        </w:rPr>
        <w:t xml:space="preserve"> </w:t>
      </w:r>
      <w:r w:rsidRPr="00280E6A">
        <w:rPr>
          <w:rFonts w:asciiTheme="minorHAnsi" w:hAnsiTheme="minorHAnsi" w:cs="Arial"/>
          <w:i/>
          <w:sz w:val="24"/>
          <w:szCs w:val="24"/>
        </w:rPr>
        <w:t xml:space="preserve">This will be built into the base budget and help provide </w:t>
      </w:r>
      <w:r w:rsidR="00280E6A" w:rsidRPr="00280E6A">
        <w:rPr>
          <w:rFonts w:asciiTheme="minorHAnsi" w:hAnsiTheme="minorHAnsi" w:cs="Arial"/>
          <w:i/>
          <w:sz w:val="24"/>
          <w:szCs w:val="24"/>
        </w:rPr>
        <w:t>the most</w:t>
      </w:r>
      <w:r w:rsidRPr="00280E6A">
        <w:rPr>
          <w:rFonts w:asciiTheme="minorHAnsi" w:hAnsiTheme="minorHAnsi" w:cs="Arial"/>
          <w:i/>
          <w:sz w:val="24"/>
          <w:szCs w:val="24"/>
        </w:rPr>
        <w:t xml:space="preserve"> resilient position </w:t>
      </w:r>
      <w:r w:rsidR="00280E6A" w:rsidRPr="00280E6A">
        <w:rPr>
          <w:rFonts w:asciiTheme="minorHAnsi" w:hAnsiTheme="minorHAnsi" w:cs="Arial"/>
          <w:i/>
          <w:sz w:val="24"/>
          <w:szCs w:val="24"/>
        </w:rPr>
        <w:t xml:space="preserve">possible </w:t>
      </w:r>
      <w:r w:rsidRPr="00280E6A">
        <w:rPr>
          <w:rFonts w:asciiTheme="minorHAnsi" w:hAnsiTheme="minorHAnsi" w:cs="Arial"/>
          <w:i/>
          <w:sz w:val="24"/>
          <w:szCs w:val="24"/>
        </w:rPr>
        <w:t xml:space="preserve">for the medium term. </w:t>
      </w:r>
    </w:p>
    <w:p w14:paraId="5BD57304" w14:textId="26AA3786" w:rsidR="00B4779C" w:rsidRPr="00280E6A" w:rsidRDefault="00B4779C" w:rsidP="00B4779C">
      <w:pPr>
        <w:spacing w:after="0" w:line="240" w:lineRule="auto"/>
        <w:jc w:val="both"/>
        <w:rPr>
          <w:rFonts w:asciiTheme="minorHAnsi" w:hAnsiTheme="minorHAnsi" w:cs="Arial"/>
          <w:i/>
          <w:sz w:val="24"/>
          <w:szCs w:val="24"/>
        </w:rPr>
      </w:pPr>
    </w:p>
    <w:p w14:paraId="634D62CE" w14:textId="2182F31E" w:rsidR="00B4779C" w:rsidRPr="00280E6A" w:rsidRDefault="00B4779C" w:rsidP="00B4779C">
      <w:pPr>
        <w:spacing w:after="0" w:line="240" w:lineRule="auto"/>
        <w:jc w:val="both"/>
        <w:rPr>
          <w:rFonts w:asciiTheme="minorHAnsi" w:hAnsiTheme="minorHAnsi" w:cs="Arial"/>
          <w:i/>
          <w:sz w:val="24"/>
          <w:szCs w:val="24"/>
        </w:rPr>
      </w:pPr>
      <w:r w:rsidRPr="00280E6A">
        <w:rPr>
          <w:rFonts w:asciiTheme="minorHAnsi" w:hAnsiTheme="minorHAnsi" w:cs="Arial"/>
          <w:i/>
          <w:sz w:val="24"/>
          <w:szCs w:val="24"/>
        </w:rPr>
        <w:t>The MTFP does require efficiencies to be made and assumes efficiencies</w:t>
      </w:r>
      <w:r w:rsidR="00656A64" w:rsidRPr="00280E6A">
        <w:rPr>
          <w:rFonts w:asciiTheme="minorHAnsi" w:hAnsiTheme="minorHAnsi" w:cs="Arial"/>
          <w:i/>
          <w:sz w:val="24"/>
          <w:szCs w:val="24"/>
        </w:rPr>
        <w:t xml:space="preserve"> will be delivered</w:t>
      </w:r>
      <w:r w:rsidRPr="00280E6A">
        <w:rPr>
          <w:rFonts w:asciiTheme="minorHAnsi" w:hAnsiTheme="minorHAnsi" w:cs="Arial"/>
          <w:i/>
          <w:sz w:val="24"/>
          <w:szCs w:val="24"/>
        </w:rPr>
        <w:t xml:space="preserve"> in 2024/25 and </w:t>
      </w:r>
      <w:r w:rsidR="00280E6A" w:rsidRPr="00280E6A">
        <w:rPr>
          <w:rFonts w:asciiTheme="minorHAnsi" w:hAnsiTheme="minorHAnsi" w:cs="Arial"/>
          <w:i/>
          <w:sz w:val="24"/>
          <w:szCs w:val="24"/>
        </w:rPr>
        <w:t>each year thereafter</w:t>
      </w:r>
      <w:r w:rsidRPr="00280E6A">
        <w:rPr>
          <w:rFonts w:asciiTheme="minorHAnsi" w:hAnsiTheme="minorHAnsi" w:cs="Arial"/>
          <w:i/>
          <w:sz w:val="24"/>
          <w:szCs w:val="24"/>
        </w:rPr>
        <w:t xml:space="preserve">. </w:t>
      </w:r>
      <w:r w:rsidR="00280E6A" w:rsidRPr="00280E6A">
        <w:rPr>
          <w:rFonts w:asciiTheme="minorHAnsi" w:hAnsiTheme="minorHAnsi" w:cs="Arial"/>
          <w:i/>
          <w:sz w:val="24"/>
          <w:szCs w:val="24"/>
        </w:rPr>
        <w:t xml:space="preserve"> </w:t>
      </w:r>
      <w:r w:rsidRPr="00280E6A">
        <w:rPr>
          <w:rFonts w:asciiTheme="minorHAnsi" w:hAnsiTheme="minorHAnsi" w:cs="Arial"/>
          <w:i/>
          <w:sz w:val="24"/>
          <w:szCs w:val="24"/>
        </w:rPr>
        <w:t xml:space="preserve">However, even after these efficiencies, there are shortfalls in the MTFP. </w:t>
      </w:r>
      <w:r w:rsidR="00280E6A" w:rsidRPr="00280E6A">
        <w:rPr>
          <w:rFonts w:asciiTheme="minorHAnsi" w:hAnsiTheme="minorHAnsi" w:cs="Arial"/>
          <w:i/>
          <w:sz w:val="24"/>
          <w:szCs w:val="24"/>
        </w:rPr>
        <w:t xml:space="preserve"> </w:t>
      </w:r>
      <w:r w:rsidRPr="00280E6A">
        <w:rPr>
          <w:rFonts w:asciiTheme="minorHAnsi" w:hAnsiTheme="minorHAnsi" w:cs="Arial"/>
          <w:i/>
          <w:sz w:val="24"/>
          <w:szCs w:val="24"/>
        </w:rPr>
        <w:t>I am assured that the Chief Constable will work to identify efficiencies and ways of working which will address these challenges over the medium term.</w:t>
      </w:r>
      <w:r w:rsidR="00280E6A" w:rsidRPr="00280E6A">
        <w:rPr>
          <w:rFonts w:asciiTheme="minorHAnsi" w:hAnsiTheme="minorHAnsi" w:cs="Arial"/>
          <w:i/>
          <w:sz w:val="24"/>
          <w:szCs w:val="24"/>
        </w:rPr>
        <w:t xml:space="preserve"> </w:t>
      </w:r>
      <w:r w:rsidRPr="00280E6A">
        <w:rPr>
          <w:rFonts w:asciiTheme="minorHAnsi" w:hAnsiTheme="minorHAnsi" w:cs="Arial"/>
          <w:i/>
          <w:sz w:val="24"/>
          <w:szCs w:val="24"/>
        </w:rPr>
        <w:t xml:space="preserve"> I will support the PFCC in ensuring the Chief Constable and Force S151 Chief Finance Officer provide regular updates to the Accountability Board.</w:t>
      </w:r>
    </w:p>
    <w:p w14:paraId="54B0A88B" w14:textId="60C5D0EE" w:rsidR="000D1925" w:rsidRPr="005857F1" w:rsidRDefault="000D1925" w:rsidP="005857F1">
      <w:pPr>
        <w:spacing w:after="0" w:line="240" w:lineRule="auto"/>
        <w:jc w:val="both"/>
        <w:rPr>
          <w:rFonts w:asciiTheme="minorHAnsi" w:hAnsiTheme="minorHAnsi" w:cstheme="minorHAnsi"/>
          <w:i/>
          <w:sz w:val="24"/>
          <w:szCs w:val="24"/>
        </w:rPr>
      </w:pPr>
    </w:p>
    <w:p w14:paraId="183EB058" w14:textId="06B32E35" w:rsidR="000D1925" w:rsidRPr="005857F1" w:rsidRDefault="000D1925" w:rsidP="0003142E">
      <w:pPr>
        <w:spacing w:after="0" w:line="240" w:lineRule="auto"/>
        <w:jc w:val="both"/>
        <w:rPr>
          <w:rFonts w:asciiTheme="minorHAnsi" w:hAnsiTheme="minorHAnsi" w:cstheme="minorHAnsi"/>
          <w:i/>
          <w:sz w:val="24"/>
          <w:szCs w:val="24"/>
        </w:rPr>
      </w:pPr>
      <w:r w:rsidRPr="005857F1">
        <w:rPr>
          <w:rFonts w:asciiTheme="minorHAnsi" w:hAnsiTheme="minorHAnsi" w:cstheme="minorHAnsi"/>
          <w:i/>
          <w:sz w:val="24"/>
          <w:szCs w:val="24"/>
        </w:rPr>
        <w:t>It has been possible for the PFCC to develop a budget that supports most of the Force operational pressures and demands, balances the views of the public from the consultation and gives the opportunity for further investment to support the delivery of the priorities set out in the Police</w:t>
      </w:r>
      <w:r w:rsidR="00541FBF" w:rsidRPr="005857F1">
        <w:rPr>
          <w:rFonts w:asciiTheme="minorHAnsi" w:hAnsiTheme="minorHAnsi" w:cstheme="minorHAnsi"/>
          <w:i/>
          <w:sz w:val="24"/>
          <w:szCs w:val="24"/>
        </w:rPr>
        <w:t>, Fire</w:t>
      </w:r>
      <w:r w:rsidRPr="005857F1">
        <w:rPr>
          <w:rFonts w:asciiTheme="minorHAnsi" w:hAnsiTheme="minorHAnsi" w:cstheme="minorHAnsi"/>
          <w:i/>
          <w:sz w:val="24"/>
          <w:szCs w:val="24"/>
        </w:rPr>
        <w:t xml:space="preserve"> and Crime Plan.</w:t>
      </w:r>
    </w:p>
    <w:p w14:paraId="37FFDD43" w14:textId="77777777" w:rsidR="000D1925" w:rsidRPr="005857F1" w:rsidRDefault="000D1925" w:rsidP="0003142E">
      <w:pPr>
        <w:spacing w:after="0" w:line="240" w:lineRule="auto"/>
        <w:ind w:hanging="540"/>
        <w:jc w:val="both"/>
        <w:rPr>
          <w:rFonts w:asciiTheme="minorHAnsi" w:hAnsiTheme="minorHAnsi" w:cstheme="minorHAnsi"/>
          <w:sz w:val="24"/>
          <w:szCs w:val="24"/>
        </w:rPr>
      </w:pPr>
    </w:p>
    <w:p w14:paraId="6DD81D24" w14:textId="1FED31F9" w:rsidR="000D1925" w:rsidRPr="005857F1" w:rsidRDefault="000D1925" w:rsidP="0003142E">
      <w:pPr>
        <w:spacing w:after="0" w:line="240" w:lineRule="auto"/>
        <w:ind w:left="27" w:hanging="27"/>
        <w:jc w:val="both"/>
        <w:rPr>
          <w:rFonts w:asciiTheme="minorHAnsi" w:hAnsiTheme="minorHAnsi" w:cstheme="minorHAnsi"/>
          <w:i/>
          <w:sz w:val="24"/>
          <w:szCs w:val="24"/>
        </w:rPr>
      </w:pPr>
      <w:r w:rsidRPr="005857F1">
        <w:rPr>
          <w:rFonts w:asciiTheme="minorHAnsi" w:hAnsiTheme="minorHAnsi" w:cstheme="minorHAnsi"/>
          <w:i/>
          <w:sz w:val="24"/>
          <w:szCs w:val="24"/>
        </w:rPr>
        <w:t>There is an operational contingency available to the Chief Constable, and sufficient general reserves available should operational demands require access to these.</w:t>
      </w:r>
      <w:r w:rsidR="005857F1" w:rsidRPr="005857F1">
        <w:rPr>
          <w:rFonts w:asciiTheme="minorHAnsi" w:hAnsiTheme="minorHAnsi" w:cstheme="minorHAnsi"/>
          <w:i/>
          <w:sz w:val="24"/>
          <w:szCs w:val="24"/>
        </w:rPr>
        <w:t xml:space="preserve"> </w:t>
      </w:r>
      <w:r w:rsidRPr="005857F1">
        <w:rPr>
          <w:rFonts w:asciiTheme="minorHAnsi" w:hAnsiTheme="minorHAnsi" w:cstheme="minorHAnsi"/>
          <w:i/>
          <w:sz w:val="24"/>
          <w:szCs w:val="24"/>
        </w:rPr>
        <w:t xml:space="preserve"> Earmarked reserves are in place for specific requirements and in his budget the PFCC has identified further priority areas for earmarked reserves, </w:t>
      </w:r>
      <w:r w:rsidR="00541FBF" w:rsidRPr="005857F1">
        <w:rPr>
          <w:rFonts w:asciiTheme="minorHAnsi" w:hAnsiTheme="minorHAnsi" w:cstheme="minorHAnsi"/>
          <w:i/>
          <w:sz w:val="24"/>
          <w:szCs w:val="24"/>
        </w:rPr>
        <w:t>in line with Police Fire and Crime Plan priorities.</w:t>
      </w:r>
    </w:p>
    <w:p w14:paraId="16E2EB10" w14:textId="77777777" w:rsidR="000D1925" w:rsidRPr="005857F1" w:rsidRDefault="000D1925" w:rsidP="0003142E">
      <w:pPr>
        <w:spacing w:after="0" w:line="240" w:lineRule="auto"/>
        <w:ind w:left="540" w:hanging="540"/>
        <w:jc w:val="both"/>
        <w:rPr>
          <w:rFonts w:asciiTheme="minorHAnsi" w:hAnsiTheme="minorHAnsi" w:cstheme="minorHAnsi"/>
          <w:i/>
          <w:sz w:val="24"/>
          <w:szCs w:val="24"/>
        </w:rPr>
      </w:pPr>
    </w:p>
    <w:p w14:paraId="1A607764" w14:textId="5A5E7E51" w:rsidR="000D1925" w:rsidRPr="005857F1" w:rsidRDefault="000D1925" w:rsidP="0003142E">
      <w:pPr>
        <w:spacing w:after="0" w:line="240" w:lineRule="auto"/>
        <w:ind w:left="27" w:hanging="27"/>
        <w:jc w:val="both"/>
        <w:rPr>
          <w:rFonts w:asciiTheme="minorHAnsi" w:hAnsiTheme="minorHAnsi" w:cstheme="minorHAnsi"/>
          <w:i/>
          <w:sz w:val="24"/>
          <w:szCs w:val="24"/>
        </w:rPr>
      </w:pPr>
      <w:r w:rsidRPr="005857F1">
        <w:rPr>
          <w:rFonts w:asciiTheme="minorHAnsi" w:hAnsiTheme="minorHAnsi" w:cstheme="minorHAnsi"/>
          <w:i/>
          <w:sz w:val="24"/>
          <w:szCs w:val="24"/>
        </w:rPr>
        <w:t xml:space="preserve">The </w:t>
      </w:r>
      <w:r w:rsidR="005857F1" w:rsidRPr="005857F1">
        <w:rPr>
          <w:rFonts w:asciiTheme="minorHAnsi" w:hAnsiTheme="minorHAnsi" w:cstheme="minorHAnsi"/>
          <w:i/>
          <w:sz w:val="24"/>
          <w:szCs w:val="24"/>
        </w:rPr>
        <w:t>detail within the above report</w:t>
      </w:r>
      <w:r w:rsidRPr="005857F1">
        <w:rPr>
          <w:rFonts w:asciiTheme="minorHAnsi" w:hAnsiTheme="minorHAnsi" w:cstheme="minorHAnsi"/>
          <w:i/>
          <w:sz w:val="24"/>
          <w:szCs w:val="24"/>
        </w:rPr>
        <w:t xml:space="preserve"> highlight</w:t>
      </w:r>
      <w:r w:rsidR="005857F1" w:rsidRPr="005857F1">
        <w:rPr>
          <w:rFonts w:asciiTheme="minorHAnsi" w:hAnsiTheme="minorHAnsi" w:cstheme="minorHAnsi"/>
          <w:i/>
          <w:sz w:val="24"/>
          <w:szCs w:val="24"/>
        </w:rPr>
        <w:t>s</w:t>
      </w:r>
      <w:r w:rsidRPr="005857F1">
        <w:rPr>
          <w:rFonts w:asciiTheme="minorHAnsi" w:hAnsiTheme="minorHAnsi" w:cstheme="minorHAnsi"/>
          <w:i/>
          <w:sz w:val="24"/>
          <w:szCs w:val="24"/>
        </w:rPr>
        <w:t xml:space="preserve"> significant </w:t>
      </w:r>
      <w:r w:rsidR="005857F1" w:rsidRPr="005857F1">
        <w:rPr>
          <w:rFonts w:asciiTheme="minorHAnsi" w:hAnsiTheme="minorHAnsi" w:cstheme="minorHAnsi"/>
          <w:i/>
          <w:sz w:val="24"/>
          <w:szCs w:val="24"/>
        </w:rPr>
        <w:t>unknowns</w:t>
      </w:r>
      <w:r w:rsidRPr="005857F1">
        <w:rPr>
          <w:rFonts w:asciiTheme="minorHAnsi" w:hAnsiTheme="minorHAnsi" w:cstheme="minorHAnsi"/>
          <w:i/>
          <w:sz w:val="24"/>
          <w:szCs w:val="24"/>
        </w:rPr>
        <w:t xml:space="preserve"> in the medium term.</w:t>
      </w:r>
      <w:r w:rsidR="005857F1" w:rsidRPr="005857F1">
        <w:rPr>
          <w:rFonts w:asciiTheme="minorHAnsi" w:hAnsiTheme="minorHAnsi" w:cstheme="minorHAnsi"/>
          <w:i/>
          <w:sz w:val="24"/>
          <w:szCs w:val="24"/>
        </w:rPr>
        <w:t xml:space="preserve"> </w:t>
      </w:r>
      <w:r w:rsidRPr="005857F1">
        <w:rPr>
          <w:rFonts w:asciiTheme="minorHAnsi" w:hAnsiTheme="minorHAnsi" w:cstheme="minorHAnsi"/>
          <w:i/>
          <w:sz w:val="24"/>
          <w:szCs w:val="24"/>
        </w:rPr>
        <w:t xml:space="preserve"> The continuing impact of </w:t>
      </w:r>
      <w:r w:rsidR="005857F1" w:rsidRPr="005857F1">
        <w:rPr>
          <w:rFonts w:asciiTheme="minorHAnsi" w:hAnsiTheme="minorHAnsi" w:cstheme="minorHAnsi"/>
          <w:i/>
          <w:sz w:val="24"/>
          <w:szCs w:val="24"/>
        </w:rPr>
        <w:t>inflationary pressures</w:t>
      </w:r>
      <w:r w:rsidRPr="005857F1">
        <w:rPr>
          <w:rFonts w:asciiTheme="minorHAnsi" w:hAnsiTheme="minorHAnsi" w:cstheme="minorHAnsi"/>
          <w:i/>
          <w:sz w:val="24"/>
          <w:szCs w:val="24"/>
        </w:rPr>
        <w:t xml:space="preserve">, the impact of a future funding formula and the </w:t>
      </w:r>
      <w:r w:rsidR="00541FBF" w:rsidRPr="005857F1">
        <w:rPr>
          <w:rFonts w:asciiTheme="minorHAnsi" w:hAnsiTheme="minorHAnsi" w:cstheme="minorHAnsi"/>
          <w:i/>
          <w:sz w:val="24"/>
          <w:szCs w:val="24"/>
        </w:rPr>
        <w:t>future economic climate are currently un</w:t>
      </w:r>
      <w:r w:rsidR="005857F1" w:rsidRPr="005857F1">
        <w:rPr>
          <w:rFonts w:asciiTheme="minorHAnsi" w:hAnsiTheme="minorHAnsi" w:cstheme="minorHAnsi"/>
          <w:i/>
          <w:sz w:val="24"/>
          <w:szCs w:val="24"/>
        </w:rPr>
        <w:t>certain</w:t>
      </w:r>
      <w:r w:rsidR="00541FBF" w:rsidRPr="005857F1">
        <w:rPr>
          <w:rFonts w:asciiTheme="minorHAnsi" w:hAnsiTheme="minorHAnsi" w:cstheme="minorHAnsi"/>
          <w:i/>
          <w:sz w:val="24"/>
          <w:szCs w:val="24"/>
        </w:rPr>
        <w:t>.</w:t>
      </w:r>
      <w:r w:rsidRPr="005857F1">
        <w:rPr>
          <w:rFonts w:asciiTheme="minorHAnsi" w:hAnsiTheme="minorHAnsi" w:cstheme="minorHAnsi"/>
          <w:i/>
          <w:sz w:val="24"/>
          <w:szCs w:val="24"/>
        </w:rPr>
        <w:t xml:space="preserve"> </w:t>
      </w:r>
      <w:r w:rsidR="005857F1" w:rsidRPr="005857F1">
        <w:rPr>
          <w:rFonts w:asciiTheme="minorHAnsi" w:hAnsiTheme="minorHAnsi" w:cstheme="minorHAnsi"/>
          <w:i/>
          <w:sz w:val="24"/>
          <w:szCs w:val="24"/>
        </w:rPr>
        <w:t xml:space="preserve"> </w:t>
      </w:r>
      <w:r w:rsidRPr="005857F1">
        <w:rPr>
          <w:rFonts w:asciiTheme="minorHAnsi" w:hAnsiTheme="minorHAnsi" w:cstheme="minorHAnsi"/>
          <w:i/>
          <w:sz w:val="24"/>
          <w:szCs w:val="24"/>
        </w:rPr>
        <w:t>Where possible forecasts and estimates are included within the MTFP and all opportunities for government funding are pursued to ensure any financial impact on Policing is minimised.</w:t>
      </w:r>
    </w:p>
    <w:p w14:paraId="01D1021C" w14:textId="77777777" w:rsidR="000D1925" w:rsidRPr="005857F1" w:rsidRDefault="000D1925" w:rsidP="0003142E">
      <w:pPr>
        <w:spacing w:after="0" w:line="240" w:lineRule="auto"/>
        <w:jc w:val="both"/>
        <w:rPr>
          <w:rFonts w:asciiTheme="minorHAnsi" w:hAnsiTheme="minorHAnsi" w:cstheme="minorHAnsi"/>
          <w:i/>
          <w:sz w:val="24"/>
          <w:szCs w:val="24"/>
        </w:rPr>
      </w:pPr>
    </w:p>
    <w:p w14:paraId="4A4AAA4A" w14:textId="209A1467" w:rsidR="000D1925" w:rsidRPr="005857F1" w:rsidRDefault="000D1925" w:rsidP="0003142E">
      <w:pPr>
        <w:spacing w:after="0" w:line="240" w:lineRule="auto"/>
        <w:ind w:left="27" w:hanging="27"/>
        <w:jc w:val="both"/>
        <w:rPr>
          <w:rFonts w:asciiTheme="minorHAnsi" w:hAnsiTheme="minorHAnsi" w:cstheme="minorHAnsi"/>
          <w:i/>
          <w:sz w:val="24"/>
          <w:szCs w:val="24"/>
        </w:rPr>
      </w:pPr>
      <w:r w:rsidRPr="005857F1">
        <w:rPr>
          <w:rFonts w:asciiTheme="minorHAnsi" w:hAnsiTheme="minorHAnsi" w:cstheme="minorHAnsi"/>
          <w:i/>
          <w:sz w:val="24"/>
          <w:szCs w:val="24"/>
        </w:rPr>
        <w:t>In coming to my conclusion on the robustness of the budget</w:t>
      </w:r>
      <w:r w:rsidR="00656A64" w:rsidRPr="005857F1">
        <w:rPr>
          <w:rFonts w:asciiTheme="minorHAnsi" w:hAnsiTheme="minorHAnsi" w:cstheme="minorHAnsi"/>
          <w:i/>
          <w:sz w:val="24"/>
          <w:szCs w:val="24"/>
        </w:rPr>
        <w:t>,</w:t>
      </w:r>
      <w:r w:rsidRPr="005857F1">
        <w:rPr>
          <w:rFonts w:asciiTheme="minorHAnsi" w:hAnsiTheme="minorHAnsi" w:cstheme="minorHAnsi"/>
          <w:i/>
          <w:sz w:val="24"/>
          <w:szCs w:val="24"/>
        </w:rPr>
        <w:t xml:space="preserve"> I have also reviewed the </w:t>
      </w:r>
      <w:r w:rsidR="00F57399" w:rsidRPr="005857F1">
        <w:rPr>
          <w:rFonts w:asciiTheme="minorHAnsi" w:hAnsiTheme="minorHAnsi" w:cstheme="minorHAnsi"/>
          <w:i/>
          <w:sz w:val="24"/>
          <w:szCs w:val="24"/>
        </w:rPr>
        <w:t>c</w:t>
      </w:r>
      <w:r w:rsidRPr="005857F1">
        <w:rPr>
          <w:rFonts w:asciiTheme="minorHAnsi" w:hAnsiTheme="minorHAnsi" w:cstheme="minorHAnsi"/>
          <w:i/>
          <w:sz w:val="24"/>
          <w:szCs w:val="24"/>
        </w:rPr>
        <w:t xml:space="preserve">apital </w:t>
      </w:r>
      <w:r w:rsidR="00F57399" w:rsidRPr="005857F1">
        <w:rPr>
          <w:rFonts w:asciiTheme="minorHAnsi" w:hAnsiTheme="minorHAnsi" w:cstheme="minorHAnsi"/>
          <w:i/>
          <w:sz w:val="24"/>
          <w:szCs w:val="24"/>
        </w:rPr>
        <w:t>p</w:t>
      </w:r>
      <w:r w:rsidRPr="005857F1">
        <w:rPr>
          <w:rFonts w:asciiTheme="minorHAnsi" w:hAnsiTheme="minorHAnsi" w:cstheme="minorHAnsi"/>
          <w:i/>
          <w:sz w:val="24"/>
          <w:szCs w:val="24"/>
        </w:rPr>
        <w:t xml:space="preserve">rogramme and </w:t>
      </w:r>
      <w:r w:rsidR="00F57399" w:rsidRPr="005857F1">
        <w:rPr>
          <w:rFonts w:asciiTheme="minorHAnsi" w:hAnsiTheme="minorHAnsi" w:cstheme="minorHAnsi"/>
          <w:i/>
          <w:sz w:val="24"/>
          <w:szCs w:val="24"/>
        </w:rPr>
        <w:t>r</w:t>
      </w:r>
      <w:r w:rsidRPr="005857F1">
        <w:rPr>
          <w:rFonts w:asciiTheme="minorHAnsi" w:hAnsiTheme="minorHAnsi" w:cstheme="minorHAnsi"/>
          <w:i/>
          <w:sz w:val="24"/>
          <w:szCs w:val="24"/>
        </w:rPr>
        <w:t xml:space="preserve">eserves </w:t>
      </w:r>
      <w:r w:rsidR="00F57399" w:rsidRPr="005857F1">
        <w:rPr>
          <w:rFonts w:asciiTheme="minorHAnsi" w:hAnsiTheme="minorHAnsi" w:cstheme="minorHAnsi"/>
          <w:i/>
          <w:sz w:val="24"/>
          <w:szCs w:val="24"/>
        </w:rPr>
        <w:t>s</w:t>
      </w:r>
      <w:r w:rsidRPr="005857F1">
        <w:rPr>
          <w:rFonts w:asciiTheme="minorHAnsi" w:hAnsiTheme="minorHAnsi" w:cstheme="minorHAnsi"/>
          <w:i/>
          <w:sz w:val="24"/>
          <w:szCs w:val="24"/>
        </w:rPr>
        <w:t>trategy.</w:t>
      </w:r>
    </w:p>
    <w:p w14:paraId="2D73A29E" w14:textId="77777777" w:rsidR="000D1925" w:rsidRPr="005857F1" w:rsidRDefault="000D1925" w:rsidP="0003142E">
      <w:pPr>
        <w:spacing w:after="0" w:line="240" w:lineRule="auto"/>
        <w:ind w:left="27" w:hanging="27"/>
        <w:jc w:val="both"/>
        <w:rPr>
          <w:rFonts w:asciiTheme="minorHAnsi" w:hAnsiTheme="minorHAnsi" w:cstheme="minorHAnsi"/>
          <w:i/>
          <w:sz w:val="24"/>
          <w:szCs w:val="24"/>
        </w:rPr>
      </w:pPr>
    </w:p>
    <w:p w14:paraId="483247B0" w14:textId="5AAB5F55" w:rsidR="000D1925" w:rsidRPr="005857F1" w:rsidRDefault="000D1925" w:rsidP="0003142E">
      <w:pPr>
        <w:spacing w:after="0" w:line="240" w:lineRule="auto"/>
        <w:ind w:left="27" w:hanging="27"/>
        <w:jc w:val="both"/>
        <w:rPr>
          <w:rFonts w:asciiTheme="minorHAnsi" w:hAnsiTheme="minorHAnsi" w:cstheme="minorHAnsi"/>
          <w:i/>
          <w:sz w:val="24"/>
          <w:szCs w:val="24"/>
        </w:rPr>
      </w:pPr>
      <w:r w:rsidRPr="005857F1">
        <w:rPr>
          <w:rFonts w:asciiTheme="minorHAnsi" w:hAnsiTheme="minorHAnsi" w:cstheme="minorHAnsi"/>
          <w:i/>
          <w:sz w:val="24"/>
          <w:szCs w:val="24"/>
        </w:rPr>
        <w:t xml:space="preserve">The </w:t>
      </w:r>
      <w:r w:rsidR="00E32160" w:rsidRPr="005857F1">
        <w:rPr>
          <w:rFonts w:asciiTheme="minorHAnsi" w:hAnsiTheme="minorHAnsi" w:cstheme="minorHAnsi"/>
          <w:i/>
          <w:sz w:val="24"/>
          <w:szCs w:val="24"/>
        </w:rPr>
        <w:t>c</w:t>
      </w:r>
      <w:r w:rsidRPr="005857F1">
        <w:rPr>
          <w:rFonts w:asciiTheme="minorHAnsi" w:hAnsiTheme="minorHAnsi" w:cstheme="minorHAnsi"/>
          <w:i/>
          <w:sz w:val="24"/>
          <w:szCs w:val="24"/>
        </w:rPr>
        <w:t xml:space="preserve">apital </w:t>
      </w:r>
      <w:r w:rsidR="00E32160" w:rsidRPr="005857F1">
        <w:rPr>
          <w:rFonts w:asciiTheme="minorHAnsi" w:hAnsiTheme="minorHAnsi" w:cstheme="minorHAnsi"/>
          <w:i/>
          <w:sz w:val="24"/>
          <w:szCs w:val="24"/>
        </w:rPr>
        <w:t>p</w:t>
      </w:r>
      <w:r w:rsidRPr="005857F1">
        <w:rPr>
          <w:rFonts w:asciiTheme="minorHAnsi" w:hAnsiTheme="minorHAnsi" w:cstheme="minorHAnsi"/>
          <w:i/>
          <w:sz w:val="24"/>
          <w:szCs w:val="24"/>
        </w:rPr>
        <w:t xml:space="preserve">rogramme is regularly </w:t>
      </w:r>
      <w:r w:rsidR="005857F1" w:rsidRPr="005857F1">
        <w:rPr>
          <w:rFonts w:asciiTheme="minorHAnsi" w:hAnsiTheme="minorHAnsi" w:cstheme="minorHAnsi"/>
          <w:i/>
          <w:sz w:val="24"/>
          <w:szCs w:val="24"/>
        </w:rPr>
        <w:t>updat</w:t>
      </w:r>
      <w:r w:rsidRPr="005857F1">
        <w:rPr>
          <w:rFonts w:asciiTheme="minorHAnsi" w:hAnsiTheme="minorHAnsi" w:cstheme="minorHAnsi"/>
          <w:i/>
          <w:sz w:val="24"/>
          <w:szCs w:val="24"/>
        </w:rPr>
        <w:t>ed</w:t>
      </w:r>
      <w:r w:rsidR="005857F1" w:rsidRPr="005857F1">
        <w:rPr>
          <w:rFonts w:asciiTheme="minorHAnsi" w:hAnsiTheme="minorHAnsi" w:cstheme="minorHAnsi"/>
          <w:i/>
          <w:sz w:val="24"/>
          <w:szCs w:val="24"/>
        </w:rPr>
        <w:t>,</w:t>
      </w:r>
      <w:r w:rsidRPr="005857F1">
        <w:rPr>
          <w:rFonts w:asciiTheme="minorHAnsi" w:hAnsiTheme="minorHAnsi" w:cstheme="minorHAnsi"/>
          <w:i/>
          <w:sz w:val="24"/>
          <w:szCs w:val="24"/>
        </w:rPr>
        <w:t xml:space="preserve"> and all opportunities are taken to rephase the programme, seek external funding and apply for grants. </w:t>
      </w:r>
      <w:r w:rsidR="005857F1" w:rsidRPr="005857F1">
        <w:rPr>
          <w:rFonts w:asciiTheme="minorHAnsi" w:hAnsiTheme="minorHAnsi" w:cstheme="minorHAnsi"/>
          <w:i/>
          <w:sz w:val="24"/>
          <w:szCs w:val="24"/>
        </w:rPr>
        <w:t xml:space="preserve"> </w:t>
      </w:r>
      <w:r w:rsidRPr="005857F1">
        <w:rPr>
          <w:rFonts w:asciiTheme="minorHAnsi" w:hAnsiTheme="minorHAnsi" w:cstheme="minorHAnsi"/>
          <w:i/>
          <w:sz w:val="24"/>
          <w:szCs w:val="24"/>
        </w:rPr>
        <w:t>All of these would assist in mitigating costs on the revenue budget.</w:t>
      </w:r>
    </w:p>
    <w:p w14:paraId="4BF4FEEF" w14:textId="77777777" w:rsidR="000D1925" w:rsidRPr="005857F1" w:rsidRDefault="000D1925" w:rsidP="0003142E">
      <w:pPr>
        <w:spacing w:after="0" w:line="240" w:lineRule="auto"/>
        <w:ind w:left="27" w:hanging="27"/>
        <w:jc w:val="both"/>
        <w:rPr>
          <w:rFonts w:asciiTheme="minorHAnsi" w:hAnsiTheme="minorHAnsi" w:cstheme="minorHAnsi"/>
          <w:i/>
          <w:sz w:val="24"/>
          <w:szCs w:val="24"/>
        </w:rPr>
      </w:pPr>
    </w:p>
    <w:p w14:paraId="10E4E20E" w14:textId="2E177C1F" w:rsidR="000D1925" w:rsidRPr="005857F1" w:rsidRDefault="000D1925" w:rsidP="0003142E">
      <w:pPr>
        <w:spacing w:after="0" w:line="240" w:lineRule="auto"/>
        <w:ind w:left="27" w:hanging="27"/>
        <w:jc w:val="both"/>
        <w:rPr>
          <w:rFonts w:asciiTheme="minorHAnsi" w:hAnsiTheme="minorHAnsi" w:cstheme="minorHAnsi"/>
          <w:i/>
          <w:sz w:val="24"/>
          <w:szCs w:val="24"/>
        </w:rPr>
      </w:pPr>
      <w:r w:rsidRPr="005857F1">
        <w:rPr>
          <w:rFonts w:asciiTheme="minorHAnsi" w:hAnsiTheme="minorHAnsi" w:cstheme="minorHAnsi"/>
          <w:i/>
          <w:sz w:val="24"/>
          <w:szCs w:val="24"/>
        </w:rPr>
        <w:t xml:space="preserve">General </w:t>
      </w:r>
      <w:r w:rsidR="00F57399" w:rsidRPr="005857F1">
        <w:rPr>
          <w:rFonts w:asciiTheme="minorHAnsi" w:hAnsiTheme="minorHAnsi" w:cstheme="minorHAnsi"/>
          <w:i/>
          <w:sz w:val="24"/>
          <w:szCs w:val="24"/>
        </w:rPr>
        <w:t>r</w:t>
      </w:r>
      <w:r w:rsidRPr="005857F1">
        <w:rPr>
          <w:rFonts w:asciiTheme="minorHAnsi" w:hAnsiTheme="minorHAnsi" w:cstheme="minorHAnsi"/>
          <w:i/>
          <w:sz w:val="24"/>
          <w:szCs w:val="24"/>
        </w:rPr>
        <w:t xml:space="preserve">eserves </w:t>
      </w:r>
      <w:r w:rsidR="00541FBF" w:rsidRPr="005857F1">
        <w:rPr>
          <w:rFonts w:asciiTheme="minorHAnsi" w:hAnsiTheme="minorHAnsi" w:cstheme="minorHAnsi"/>
          <w:i/>
          <w:sz w:val="24"/>
          <w:szCs w:val="24"/>
        </w:rPr>
        <w:t>are established at £5</w:t>
      </w:r>
      <w:r w:rsidR="005857F1" w:rsidRPr="005857F1">
        <w:rPr>
          <w:rFonts w:asciiTheme="minorHAnsi" w:hAnsiTheme="minorHAnsi" w:cstheme="minorHAnsi"/>
          <w:i/>
          <w:sz w:val="24"/>
          <w:szCs w:val="24"/>
        </w:rPr>
        <w:t>.3</w:t>
      </w:r>
      <w:r w:rsidR="00541FBF" w:rsidRPr="005857F1">
        <w:rPr>
          <w:rFonts w:asciiTheme="minorHAnsi" w:hAnsiTheme="minorHAnsi" w:cstheme="minorHAnsi"/>
          <w:i/>
          <w:sz w:val="24"/>
          <w:szCs w:val="24"/>
        </w:rPr>
        <w:t xml:space="preserve">m </w:t>
      </w:r>
      <w:r w:rsidR="00B4779C" w:rsidRPr="005857F1">
        <w:rPr>
          <w:rFonts w:asciiTheme="minorHAnsi" w:hAnsiTheme="minorHAnsi" w:cstheme="minorHAnsi"/>
          <w:i/>
          <w:sz w:val="24"/>
          <w:szCs w:val="24"/>
        </w:rPr>
        <w:t xml:space="preserve">which is </w:t>
      </w:r>
      <w:r w:rsidR="00541FBF" w:rsidRPr="005857F1">
        <w:rPr>
          <w:rFonts w:asciiTheme="minorHAnsi" w:hAnsiTheme="minorHAnsi" w:cstheme="minorHAnsi"/>
          <w:i/>
          <w:sz w:val="24"/>
          <w:szCs w:val="24"/>
        </w:rPr>
        <w:t xml:space="preserve">above the guideline </w:t>
      </w:r>
      <w:r w:rsidR="005857F1" w:rsidRPr="005857F1">
        <w:rPr>
          <w:rFonts w:asciiTheme="minorHAnsi" w:hAnsiTheme="minorHAnsi" w:cstheme="minorHAnsi"/>
          <w:i/>
          <w:sz w:val="24"/>
          <w:szCs w:val="24"/>
        </w:rPr>
        <w:t xml:space="preserve">minimum </w:t>
      </w:r>
      <w:r w:rsidR="00541FBF" w:rsidRPr="005857F1">
        <w:rPr>
          <w:rFonts w:asciiTheme="minorHAnsi" w:hAnsiTheme="minorHAnsi" w:cstheme="minorHAnsi"/>
          <w:i/>
          <w:sz w:val="24"/>
          <w:szCs w:val="24"/>
        </w:rPr>
        <w:t xml:space="preserve">level and </w:t>
      </w:r>
      <w:r w:rsidRPr="005857F1">
        <w:rPr>
          <w:rFonts w:asciiTheme="minorHAnsi" w:hAnsiTheme="minorHAnsi" w:cstheme="minorHAnsi"/>
          <w:i/>
          <w:sz w:val="24"/>
          <w:szCs w:val="24"/>
        </w:rPr>
        <w:t xml:space="preserve">as at the </w:t>
      </w:r>
      <w:r w:rsidR="00B40836" w:rsidRPr="005857F1">
        <w:rPr>
          <w:rFonts w:asciiTheme="minorHAnsi" w:hAnsiTheme="minorHAnsi" w:cstheme="minorHAnsi"/>
          <w:i/>
          <w:sz w:val="24"/>
          <w:szCs w:val="24"/>
        </w:rPr>
        <w:t>31 March 2025</w:t>
      </w:r>
      <w:r w:rsidR="00541FBF" w:rsidRPr="005857F1">
        <w:rPr>
          <w:rFonts w:asciiTheme="minorHAnsi" w:hAnsiTheme="minorHAnsi" w:cstheme="minorHAnsi"/>
          <w:i/>
          <w:sz w:val="24"/>
          <w:szCs w:val="24"/>
        </w:rPr>
        <w:t>,</w:t>
      </w:r>
      <w:r w:rsidRPr="005857F1">
        <w:rPr>
          <w:rFonts w:asciiTheme="minorHAnsi" w:hAnsiTheme="minorHAnsi" w:cstheme="minorHAnsi"/>
          <w:i/>
          <w:sz w:val="24"/>
          <w:szCs w:val="24"/>
        </w:rPr>
        <w:t xml:space="preserve"> it is estimated that there will be </w:t>
      </w:r>
      <w:r w:rsidR="005857F1" w:rsidRPr="005857F1">
        <w:rPr>
          <w:rFonts w:asciiTheme="minorHAnsi" w:hAnsiTheme="minorHAnsi" w:cstheme="minorHAnsi"/>
          <w:i/>
          <w:sz w:val="24"/>
          <w:szCs w:val="24"/>
        </w:rPr>
        <w:t>almost</w:t>
      </w:r>
      <w:r w:rsidRPr="005857F1">
        <w:rPr>
          <w:rFonts w:asciiTheme="minorHAnsi" w:hAnsiTheme="minorHAnsi" w:cstheme="minorHAnsi"/>
          <w:i/>
          <w:sz w:val="24"/>
          <w:szCs w:val="24"/>
        </w:rPr>
        <w:t xml:space="preserve"> £1</w:t>
      </w:r>
      <w:r w:rsidR="005857F1" w:rsidRPr="005857F1">
        <w:rPr>
          <w:rFonts w:asciiTheme="minorHAnsi" w:hAnsiTheme="minorHAnsi" w:cstheme="minorHAnsi"/>
          <w:i/>
          <w:sz w:val="24"/>
          <w:szCs w:val="24"/>
        </w:rPr>
        <w:t>8.5</w:t>
      </w:r>
      <w:r w:rsidRPr="005857F1">
        <w:rPr>
          <w:rFonts w:asciiTheme="minorHAnsi" w:hAnsiTheme="minorHAnsi" w:cstheme="minorHAnsi"/>
          <w:i/>
          <w:sz w:val="24"/>
          <w:szCs w:val="24"/>
        </w:rPr>
        <w:t xml:space="preserve">m of revenue reserves </w:t>
      </w:r>
      <w:r w:rsidR="005857F1" w:rsidRPr="005857F1">
        <w:rPr>
          <w:rFonts w:asciiTheme="minorHAnsi" w:hAnsiTheme="minorHAnsi" w:cstheme="minorHAnsi"/>
          <w:i/>
          <w:sz w:val="24"/>
          <w:szCs w:val="24"/>
        </w:rPr>
        <w:t xml:space="preserve">in total </w:t>
      </w:r>
      <w:r w:rsidRPr="005857F1">
        <w:rPr>
          <w:rFonts w:asciiTheme="minorHAnsi" w:hAnsiTheme="minorHAnsi" w:cstheme="minorHAnsi"/>
          <w:i/>
          <w:sz w:val="24"/>
          <w:szCs w:val="24"/>
        </w:rPr>
        <w:t>available to support the budget and mitigate challenges if required.</w:t>
      </w:r>
    </w:p>
    <w:p w14:paraId="37C0F4A6" w14:textId="77777777" w:rsidR="000D1925" w:rsidRPr="005857F1" w:rsidRDefault="000D1925" w:rsidP="0003142E">
      <w:pPr>
        <w:spacing w:after="0" w:line="240" w:lineRule="auto"/>
        <w:ind w:left="27" w:hanging="27"/>
        <w:jc w:val="both"/>
        <w:rPr>
          <w:rFonts w:asciiTheme="minorHAnsi" w:hAnsiTheme="minorHAnsi" w:cstheme="minorHAnsi"/>
          <w:i/>
          <w:sz w:val="24"/>
          <w:szCs w:val="24"/>
        </w:rPr>
      </w:pPr>
    </w:p>
    <w:p w14:paraId="57A7A761" w14:textId="7A009BE4" w:rsidR="000D1925" w:rsidRPr="005857F1" w:rsidRDefault="000D1925" w:rsidP="0003142E">
      <w:pPr>
        <w:spacing w:after="0" w:line="240" w:lineRule="auto"/>
        <w:ind w:left="27" w:hanging="27"/>
        <w:jc w:val="both"/>
        <w:rPr>
          <w:rFonts w:asciiTheme="minorHAnsi" w:hAnsiTheme="minorHAnsi" w:cstheme="minorHAnsi"/>
          <w:i/>
          <w:sz w:val="24"/>
          <w:szCs w:val="24"/>
        </w:rPr>
      </w:pPr>
      <w:r w:rsidRPr="005857F1">
        <w:rPr>
          <w:rFonts w:asciiTheme="minorHAnsi" w:hAnsiTheme="minorHAnsi" w:cstheme="minorHAnsi"/>
          <w:i/>
          <w:sz w:val="24"/>
          <w:szCs w:val="24"/>
        </w:rPr>
        <w:t xml:space="preserve">Whilst a balanced budget is </w:t>
      </w:r>
      <w:r w:rsidR="005857F1" w:rsidRPr="005857F1">
        <w:rPr>
          <w:rFonts w:asciiTheme="minorHAnsi" w:hAnsiTheme="minorHAnsi" w:cstheme="minorHAnsi"/>
          <w:i/>
          <w:sz w:val="24"/>
          <w:szCs w:val="24"/>
        </w:rPr>
        <w:t>possible</w:t>
      </w:r>
      <w:r w:rsidRPr="005857F1">
        <w:rPr>
          <w:rFonts w:asciiTheme="minorHAnsi" w:hAnsiTheme="minorHAnsi" w:cstheme="minorHAnsi"/>
          <w:i/>
          <w:sz w:val="24"/>
          <w:szCs w:val="24"/>
        </w:rPr>
        <w:t xml:space="preserve"> for</w:t>
      </w:r>
      <w:r w:rsidR="00541FBF" w:rsidRPr="005857F1">
        <w:rPr>
          <w:rFonts w:asciiTheme="minorHAnsi" w:hAnsiTheme="minorHAnsi" w:cstheme="minorHAnsi"/>
          <w:i/>
          <w:sz w:val="24"/>
          <w:szCs w:val="24"/>
        </w:rPr>
        <w:t xml:space="preserve"> the next three years, </w:t>
      </w:r>
      <w:r w:rsidRPr="005857F1">
        <w:rPr>
          <w:rFonts w:asciiTheme="minorHAnsi" w:hAnsiTheme="minorHAnsi" w:cstheme="minorHAnsi"/>
          <w:i/>
          <w:sz w:val="24"/>
          <w:szCs w:val="24"/>
        </w:rPr>
        <w:t>after that time, the landscape is less certain</w:t>
      </w:r>
      <w:r w:rsidR="00547E86">
        <w:rPr>
          <w:rFonts w:asciiTheme="minorHAnsi" w:hAnsiTheme="minorHAnsi" w:cstheme="minorHAnsi"/>
          <w:i/>
          <w:sz w:val="24"/>
          <w:szCs w:val="24"/>
        </w:rPr>
        <w:t>,</w:t>
      </w:r>
      <w:r w:rsidRPr="005857F1">
        <w:rPr>
          <w:rFonts w:asciiTheme="minorHAnsi" w:hAnsiTheme="minorHAnsi" w:cstheme="minorHAnsi"/>
          <w:i/>
          <w:sz w:val="24"/>
          <w:szCs w:val="24"/>
        </w:rPr>
        <w:t xml:space="preserve"> and it is reasonable to assume that the operational and financial challenges will continue</w:t>
      </w:r>
      <w:r w:rsidR="006F130B">
        <w:rPr>
          <w:rFonts w:asciiTheme="minorHAnsi" w:hAnsiTheme="minorHAnsi" w:cstheme="minorHAnsi"/>
          <w:i/>
          <w:sz w:val="24"/>
          <w:szCs w:val="24"/>
        </w:rPr>
        <w:t>,</w:t>
      </w:r>
      <w:r w:rsidRPr="005857F1">
        <w:rPr>
          <w:rFonts w:asciiTheme="minorHAnsi" w:hAnsiTheme="minorHAnsi" w:cstheme="minorHAnsi"/>
          <w:i/>
          <w:sz w:val="24"/>
          <w:szCs w:val="24"/>
        </w:rPr>
        <w:t xml:space="preserve"> and these are reflected as best estimates in the MTFP. </w:t>
      </w:r>
    </w:p>
    <w:p w14:paraId="0CEA51EC" w14:textId="77777777" w:rsidR="00B40836" w:rsidRPr="005857F1" w:rsidRDefault="00B40836" w:rsidP="0003142E">
      <w:pPr>
        <w:spacing w:after="0" w:line="240" w:lineRule="auto"/>
        <w:ind w:left="27" w:hanging="27"/>
        <w:jc w:val="both"/>
        <w:rPr>
          <w:rFonts w:asciiTheme="minorHAnsi" w:hAnsiTheme="minorHAnsi" w:cstheme="minorHAnsi"/>
          <w:i/>
          <w:sz w:val="24"/>
          <w:szCs w:val="24"/>
        </w:rPr>
      </w:pPr>
    </w:p>
    <w:p w14:paraId="55CD2288" w14:textId="10D9AE84" w:rsidR="000D1925" w:rsidRPr="00655DA1" w:rsidRDefault="000D1925" w:rsidP="0003142E">
      <w:pPr>
        <w:spacing w:after="0" w:line="240" w:lineRule="auto"/>
        <w:jc w:val="both"/>
        <w:rPr>
          <w:rFonts w:asciiTheme="minorHAnsi" w:hAnsiTheme="minorHAnsi" w:cstheme="minorHAnsi"/>
          <w:i/>
          <w:sz w:val="24"/>
          <w:szCs w:val="24"/>
        </w:rPr>
      </w:pPr>
      <w:r w:rsidRPr="00655DA1">
        <w:rPr>
          <w:rFonts w:asciiTheme="minorHAnsi" w:hAnsiTheme="minorHAnsi" w:cstheme="minorHAnsi"/>
          <w:i/>
          <w:sz w:val="24"/>
          <w:szCs w:val="24"/>
        </w:rPr>
        <w:t xml:space="preserve">I conclude, therefore, that the budget for </w:t>
      </w:r>
      <w:r w:rsidR="00220144" w:rsidRPr="00655DA1">
        <w:rPr>
          <w:rFonts w:asciiTheme="minorHAnsi" w:hAnsiTheme="minorHAnsi" w:cstheme="minorHAnsi"/>
          <w:i/>
          <w:sz w:val="24"/>
          <w:szCs w:val="24"/>
        </w:rPr>
        <w:t>202</w:t>
      </w:r>
      <w:r w:rsidR="00655DA1" w:rsidRPr="00655DA1">
        <w:rPr>
          <w:rFonts w:asciiTheme="minorHAnsi" w:hAnsiTheme="minorHAnsi" w:cstheme="minorHAnsi"/>
          <w:i/>
          <w:sz w:val="24"/>
          <w:szCs w:val="24"/>
        </w:rPr>
        <w:t>4</w:t>
      </w:r>
      <w:r w:rsidR="00220144" w:rsidRPr="00655DA1">
        <w:rPr>
          <w:rFonts w:asciiTheme="minorHAnsi" w:hAnsiTheme="minorHAnsi" w:cstheme="minorHAnsi"/>
          <w:i/>
          <w:sz w:val="24"/>
          <w:szCs w:val="24"/>
        </w:rPr>
        <w:t>/2</w:t>
      </w:r>
      <w:r w:rsidR="00655DA1" w:rsidRPr="00655DA1">
        <w:rPr>
          <w:rFonts w:asciiTheme="minorHAnsi" w:hAnsiTheme="minorHAnsi" w:cstheme="minorHAnsi"/>
          <w:i/>
          <w:sz w:val="24"/>
          <w:szCs w:val="24"/>
        </w:rPr>
        <w:t>5</w:t>
      </w:r>
      <w:r w:rsidRPr="00655DA1">
        <w:rPr>
          <w:rFonts w:asciiTheme="minorHAnsi" w:hAnsiTheme="minorHAnsi" w:cstheme="minorHAnsi"/>
          <w:i/>
          <w:sz w:val="24"/>
          <w:szCs w:val="24"/>
        </w:rPr>
        <w:t>:</w:t>
      </w:r>
    </w:p>
    <w:p w14:paraId="39B2AF19" w14:textId="77777777" w:rsidR="000D1925" w:rsidRPr="00655DA1" w:rsidRDefault="000D1925" w:rsidP="0003142E">
      <w:pPr>
        <w:spacing w:after="0" w:line="240" w:lineRule="auto"/>
        <w:ind w:left="27" w:hanging="27"/>
        <w:jc w:val="both"/>
        <w:rPr>
          <w:rFonts w:asciiTheme="minorHAnsi" w:hAnsiTheme="minorHAnsi" w:cstheme="minorHAnsi"/>
          <w:i/>
          <w:sz w:val="24"/>
          <w:szCs w:val="24"/>
        </w:rPr>
      </w:pPr>
    </w:p>
    <w:p w14:paraId="16F416F2" w14:textId="50EE3295" w:rsidR="000D1925" w:rsidRPr="00655DA1" w:rsidRDefault="000D1925" w:rsidP="001722C3">
      <w:pPr>
        <w:pStyle w:val="ListParagraph"/>
        <w:numPr>
          <w:ilvl w:val="0"/>
          <w:numId w:val="3"/>
        </w:numPr>
        <w:spacing w:after="0" w:line="240" w:lineRule="auto"/>
        <w:ind w:left="284" w:hanging="284"/>
        <w:jc w:val="both"/>
        <w:rPr>
          <w:rFonts w:asciiTheme="minorHAnsi" w:hAnsiTheme="minorHAnsi" w:cstheme="minorHAnsi"/>
          <w:i/>
          <w:sz w:val="24"/>
          <w:szCs w:val="24"/>
        </w:rPr>
      </w:pPr>
      <w:r w:rsidRPr="00655DA1">
        <w:rPr>
          <w:rFonts w:asciiTheme="minorHAnsi" w:hAnsiTheme="minorHAnsi" w:cstheme="minorHAnsi"/>
          <w:i/>
          <w:sz w:val="24"/>
          <w:szCs w:val="24"/>
        </w:rPr>
        <w:t>Has been prepared on a robust basis</w:t>
      </w:r>
      <w:r w:rsidR="006F130B">
        <w:rPr>
          <w:rFonts w:asciiTheme="minorHAnsi" w:hAnsiTheme="minorHAnsi" w:cstheme="minorHAnsi"/>
          <w:i/>
          <w:sz w:val="24"/>
          <w:szCs w:val="24"/>
        </w:rPr>
        <w:t>.</w:t>
      </w:r>
    </w:p>
    <w:p w14:paraId="2D20F29E" w14:textId="77777777" w:rsidR="000D1925" w:rsidRPr="00655DA1" w:rsidRDefault="000D1925" w:rsidP="0003142E">
      <w:pPr>
        <w:spacing w:after="0" w:line="240" w:lineRule="auto"/>
        <w:ind w:hanging="27"/>
        <w:jc w:val="both"/>
        <w:rPr>
          <w:rFonts w:asciiTheme="minorHAnsi" w:hAnsiTheme="minorHAnsi" w:cstheme="minorHAnsi"/>
          <w:i/>
          <w:sz w:val="24"/>
          <w:szCs w:val="24"/>
        </w:rPr>
      </w:pPr>
    </w:p>
    <w:p w14:paraId="334EBE70" w14:textId="1F562732" w:rsidR="000D1925" w:rsidRPr="00655DA1" w:rsidRDefault="000D1925" w:rsidP="001722C3">
      <w:pPr>
        <w:pStyle w:val="ListParagraph"/>
        <w:numPr>
          <w:ilvl w:val="0"/>
          <w:numId w:val="3"/>
        </w:numPr>
        <w:spacing w:after="0" w:line="240" w:lineRule="auto"/>
        <w:ind w:left="284" w:hanging="284"/>
        <w:jc w:val="both"/>
        <w:rPr>
          <w:rFonts w:asciiTheme="minorHAnsi" w:hAnsiTheme="minorHAnsi" w:cstheme="minorHAnsi"/>
          <w:i/>
          <w:sz w:val="24"/>
          <w:szCs w:val="24"/>
        </w:rPr>
      </w:pPr>
      <w:r w:rsidRPr="00655DA1">
        <w:rPr>
          <w:rFonts w:asciiTheme="minorHAnsi" w:hAnsiTheme="minorHAnsi" w:cstheme="minorHAnsi"/>
          <w:i/>
          <w:sz w:val="24"/>
          <w:szCs w:val="24"/>
        </w:rPr>
        <w:t xml:space="preserve">Continues with the intention to </w:t>
      </w:r>
      <w:r w:rsidR="00B4779C" w:rsidRPr="00655DA1">
        <w:rPr>
          <w:rFonts w:asciiTheme="minorHAnsi" w:hAnsiTheme="minorHAnsi" w:cstheme="minorHAnsi"/>
          <w:i/>
          <w:sz w:val="24"/>
          <w:szCs w:val="24"/>
        </w:rPr>
        <w:t xml:space="preserve">maintain </w:t>
      </w:r>
      <w:r w:rsidRPr="00655DA1">
        <w:rPr>
          <w:rFonts w:asciiTheme="minorHAnsi" w:hAnsiTheme="minorHAnsi" w:cstheme="minorHAnsi"/>
          <w:i/>
          <w:sz w:val="24"/>
          <w:szCs w:val="24"/>
        </w:rPr>
        <w:t xml:space="preserve">additional police officers in line with the national uplift, </w:t>
      </w:r>
      <w:r w:rsidR="00655DA1" w:rsidRPr="00655DA1">
        <w:rPr>
          <w:rFonts w:asciiTheme="minorHAnsi" w:hAnsiTheme="minorHAnsi" w:cstheme="minorHAnsi"/>
          <w:i/>
          <w:sz w:val="24"/>
          <w:szCs w:val="24"/>
        </w:rPr>
        <w:t>at</w:t>
      </w:r>
      <w:r w:rsidRPr="00655DA1">
        <w:rPr>
          <w:rFonts w:asciiTheme="minorHAnsi" w:hAnsiTheme="minorHAnsi" w:cstheme="minorHAnsi"/>
          <w:i/>
          <w:sz w:val="24"/>
          <w:szCs w:val="24"/>
        </w:rPr>
        <w:t xml:space="preserve"> to over 1500. </w:t>
      </w:r>
    </w:p>
    <w:p w14:paraId="75125C20" w14:textId="77777777" w:rsidR="00541FBF" w:rsidRPr="00655DA1" w:rsidRDefault="00541FBF" w:rsidP="00541FBF">
      <w:pPr>
        <w:pStyle w:val="ListParagraph"/>
        <w:spacing w:after="0" w:line="240" w:lineRule="auto"/>
        <w:ind w:left="284"/>
        <w:jc w:val="both"/>
        <w:rPr>
          <w:rFonts w:asciiTheme="minorHAnsi" w:hAnsiTheme="minorHAnsi" w:cstheme="minorHAnsi"/>
          <w:i/>
          <w:sz w:val="24"/>
          <w:szCs w:val="24"/>
        </w:rPr>
      </w:pPr>
    </w:p>
    <w:p w14:paraId="6EEC8F0C" w14:textId="77777777" w:rsidR="000D1925" w:rsidRPr="00655DA1" w:rsidRDefault="000D1925" w:rsidP="001722C3">
      <w:pPr>
        <w:pStyle w:val="ListParagraph"/>
        <w:numPr>
          <w:ilvl w:val="0"/>
          <w:numId w:val="3"/>
        </w:numPr>
        <w:spacing w:after="0" w:line="240" w:lineRule="auto"/>
        <w:ind w:left="284" w:hanging="284"/>
        <w:jc w:val="both"/>
        <w:rPr>
          <w:rFonts w:asciiTheme="minorHAnsi" w:hAnsiTheme="minorHAnsi" w:cstheme="minorHAnsi"/>
          <w:i/>
          <w:sz w:val="24"/>
          <w:szCs w:val="24"/>
        </w:rPr>
      </w:pPr>
      <w:r w:rsidRPr="00655DA1">
        <w:rPr>
          <w:rFonts w:asciiTheme="minorHAnsi" w:hAnsiTheme="minorHAnsi" w:cstheme="minorHAnsi"/>
          <w:i/>
          <w:sz w:val="24"/>
          <w:szCs w:val="24"/>
        </w:rPr>
        <w:t>Includes investment to help manage demand and increase efficiency and/or capacity.</w:t>
      </w:r>
    </w:p>
    <w:p w14:paraId="0438C0B1" w14:textId="77777777" w:rsidR="000D1925" w:rsidRPr="00655DA1" w:rsidRDefault="000D1925" w:rsidP="0003142E">
      <w:pPr>
        <w:pStyle w:val="ListParagraph"/>
        <w:spacing w:after="0" w:line="240" w:lineRule="auto"/>
        <w:ind w:left="284" w:hanging="284"/>
        <w:jc w:val="both"/>
        <w:rPr>
          <w:rFonts w:asciiTheme="minorHAnsi" w:hAnsiTheme="minorHAnsi" w:cstheme="minorHAnsi"/>
          <w:i/>
          <w:sz w:val="24"/>
          <w:szCs w:val="24"/>
        </w:rPr>
      </w:pPr>
    </w:p>
    <w:p w14:paraId="1044E733" w14:textId="03A3F83C" w:rsidR="000D1925" w:rsidRPr="00655DA1" w:rsidRDefault="000D1925" w:rsidP="001722C3">
      <w:pPr>
        <w:pStyle w:val="ListParagraph"/>
        <w:numPr>
          <w:ilvl w:val="0"/>
          <w:numId w:val="3"/>
        </w:numPr>
        <w:spacing w:after="0" w:line="240" w:lineRule="auto"/>
        <w:ind w:left="284" w:hanging="284"/>
        <w:jc w:val="both"/>
        <w:rPr>
          <w:rFonts w:asciiTheme="minorHAnsi" w:hAnsiTheme="minorHAnsi" w:cstheme="minorHAnsi"/>
          <w:i/>
          <w:sz w:val="24"/>
          <w:szCs w:val="24"/>
        </w:rPr>
      </w:pPr>
      <w:r w:rsidRPr="00655DA1">
        <w:rPr>
          <w:rFonts w:asciiTheme="minorHAnsi" w:hAnsiTheme="minorHAnsi" w:cstheme="minorHAnsi"/>
          <w:i/>
          <w:sz w:val="24"/>
          <w:szCs w:val="24"/>
        </w:rPr>
        <w:t xml:space="preserve">The budget can be balanced for the next </w:t>
      </w:r>
      <w:r w:rsidR="00541FBF" w:rsidRPr="00655DA1">
        <w:rPr>
          <w:rFonts w:asciiTheme="minorHAnsi" w:hAnsiTheme="minorHAnsi" w:cstheme="minorHAnsi"/>
          <w:i/>
          <w:sz w:val="24"/>
          <w:szCs w:val="24"/>
        </w:rPr>
        <w:t>three</w:t>
      </w:r>
      <w:r w:rsidRPr="00655DA1">
        <w:rPr>
          <w:rFonts w:asciiTheme="minorHAnsi" w:hAnsiTheme="minorHAnsi" w:cstheme="minorHAnsi"/>
          <w:i/>
          <w:sz w:val="24"/>
          <w:szCs w:val="24"/>
        </w:rPr>
        <w:t xml:space="preserve"> financial years</w:t>
      </w:r>
      <w:r w:rsidR="00541FBF" w:rsidRPr="00655DA1">
        <w:rPr>
          <w:rFonts w:asciiTheme="minorHAnsi" w:hAnsiTheme="minorHAnsi" w:cstheme="minorHAnsi"/>
          <w:i/>
          <w:sz w:val="24"/>
          <w:szCs w:val="24"/>
        </w:rPr>
        <w:t xml:space="preserve">, with a savings plan and work </w:t>
      </w:r>
      <w:r w:rsidRPr="00655DA1">
        <w:rPr>
          <w:rFonts w:asciiTheme="minorHAnsi" w:hAnsiTheme="minorHAnsi" w:cstheme="minorHAnsi"/>
          <w:i/>
          <w:sz w:val="24"/>
          <w:szCs w:val="24"/>
        </w:rPr>
        <w:t>is already underway by the Chief Constable to identify the balance</w:t>
      </w:r>
      <w:r w:rsidR="00541FBF" w:rsidRPr="00655DA1">
        <w:rPr>
          <w:rFonts w:asciiTheme="minorHAnsi" w:hAnsiTheme="minorHAnsi" w:cstheme="minorHAnsi"/>
          <w:i/>
          <w:sz w:val="24"/>
          <w:szCs w:val="24"/>
        </w:rPr>
        <w:t xml:space="preserve"> after that time. </w:t>
      </w:r>
      <w:r w:rsidRPr="00655DA1">
        <w:rPr>
          <w:rFonts w:asciiTheme="minorHAnsi" w:hAnsiTheme="minorHAnsi" w:cstheme="minorHAnsi"/>
          <w:i/>
          <w:sz w:val="24"/>
          <w:szCs w:val="24"/>
        </w:rPr>
        <w:t xml:space="preserve">Furthermore, reserves are adequate to mitigate the impact of the shortfalls in the MTFP over the </w:t>
      </w:r>
      <w:r w:rsidR="00696B85" w:rsidRPr="00655DA1">
        <w:rPr>
          <w:rFonts w:asciiTheme="minorHAnsi" w:hAnsiTheme="minorHAnsi" w:cstheme="minorHAnsi"/>
          <w:i/>
          <w:sz w:val="24"/>
          <w:szCs w:val="24"/>
        </w:rPr>
        <w:t>five-year</w:t>
      </w:r>
      <w:r w:rsidRPr="00655DA1">
        <w:rPr>
          <w:rFonts w:asciiTheme="minorHAnsi" w:hAnsiTheme="minorHAnsi" w:cstheme="minorHAnsi"/>
          <w:i/>
          <w:sz w:val="24"/>
          <w:szCs w:val="24"/>
        </w:rPr>
        <w:t xml:space="preserve"> period if </w:t>
      </w:r>
      <w:r w:rsidR="00541FBF" w:rsidRPr="00655DA1">
        <w:rPr>
          <w:rFonts w:asciiTheme="minorHAnsi" w:hAnsiTheme="minorHAnsi" w:cstheme="minorHAnsi"/>
          <w:i/>
          <w:sz w:val="24"/>
          <w:szCs w:val="24"/>
        </w:rPr>
        <w:t xml:space="preserve">full </w:t>
      </w:r>
      <w:r w:rsidRPr="00655DA1">
        <w:rPr>
          <w:rFonts w:asciiTheme="minorHAnsi" w:hAnsiTheme="minorHAnsi" w:cstheme="minorHAnsi"/>
          <w:i/>
          <w:sz w:val="24"/>
          <w:szCs w:val="24"/>
        </w:rPr>
        <w:t>savings are not forthcoming.</w:t>
      </w:r>
    </w:p>
    <w:p w14:paraId="3E66390A" w14:textId="77777777" w:rsidR="000D1925" w:rsidRPr="00655DA1" w:rsidRDefault="000D1925" w:rsidP="0003142E">
      <w:pPr>
        <w:spacing w:after="0" w:line="240" w:lineRule="auto"/>
        <w:ind w:left="284" w:hanging="284"/>
        <w:jc w:val="both"/>
        <w:rPr>
          <w:rFonts w:asciiTheme="minorHAnsi" w:hAnsiTheme="minorHAnsi" w:cstheme="minorHAnsi"/>
          <w:i/>
          <w:sz w:val="24"/>
          <w:szCs w:val="24"/>
        </w:rPr>
      </w:pPr>
    </w:p>
    <w:p w14:paraId="72A7003C" w14:textId="50576D0C" w:rsidR="000D1925" w:rsidRDefault="000D1925" w:rsidP="001722C3">
      <w:pPr>
        <w:pStyle w:val="ListParagraph"/>
        <w:numPr>
          <w:ilvl w:val="0"/>
          <w:numId w:val="3"/>
        </w:numPr>
        <w:spacing w:after="0" w:line="240" w:lineRule="auto"/>
        <w:ind w:left="284" w:hanging="284"/>
        <w:jc w:val="both"/>
        <w:rPr>
          <w:rFonts w:asciiTheme="minorHAnsi" w:hAnsiTheme="minorHAnsi" w:cstheme="minorHAnsi"/>
          <w:i/>
          <w:sz w:val="24"/>
          <w:szCs w:val="24"/>
        </w:rPr>
      </w:pPr>
      <w:r w:rsidRPr="00655DA1">
        <w:rPr>
          <w:rFonts w:asciiTheme="minorHAnsi" w:hAnsiTheme="minorHAnsi" w:cstheme="minorHAnsi"/>
          <w:i/>
          <w:sz w:val="24"/>
          <w:szCs w:val="24"/>
        </w:rPr>
        <w:t xml:space="preserve">The financial landscape after </w:t>
      </w:r>
      <w:r w:rsidR="00220144" w:rsidRPr="00655DA1">
        <w:rPr>
          <w:rFonts w:asciiTheme="minorHAnsi" w:hAnsiTheme="minorHAnsi" w:cstheme="minorHAnsi"/>
          <w:i/>
          <w:sz w:val="24"/>
          <w:szCs w:val="24"/>
        </w:rPr>
        <w:t>202</w:t>
      </w:r>
      <w:r w:rsidR="00655DA1" w:rsidRPr="00655DA1">
        <w:rPr>
          <w:rFonts w:asciiTheme="minorHAnsi" w:hAnsiTheme="minorHAnsi" w:cstheme="minorHAnsi"/>
          <w:i/>
          <w:sz w:val="24"/>
          <w:szCs w:val="24"/>
        </w:rPr>
        <w:t>4</w:t>
      </w:r>
      <w:r w:rsidR="00220144" w:rsidRPr="00655DA1">
        <w:rPr>
          <w:rFonts w:asciiTheme="minorHAnsi" w:hAnsiTheme="minorHAnsi" w:cstheme="minorHAnsi"/>
          <w:i/>
          <w:sz w:val="24"/>
          <w:szCs w:val="24"/>
        </w:rPr>
        <w:t>/2</w:t>
      </w:r>
      <w:r w:rsidR="00655DA1" w:rsidRPr="00655DA1">
        <w:rPr>
          <w:rFonts w:asciiTheme="minorHAnsi" w:hAnsiTheme="minorHAnsi" w:cstheme="minorHAnsi"/>
          <w:i/>
          <w:sz w:val="24"/>
          <w:szCs w:val="24"/>
        </w:rPr>
        <w:t>5</w:t>
      </w:r>
      <w:r w:rsidRPr="00655DA1">
        <w:rPr>
          <w:rFonts w:asciiTheme="minorHAnsi" w:hAnsiTheme="minorHAnsi" w:cstheme="minorHAnsi"/>
          <w:i/>
          <w:sz w:val="24"/>
          <w:szCs w:val="24"/>
        </w:rPr>
        <w:t xml:space="preserve"> is less certain and the PFCC will continue to push for certainty.</w:t>
      </w:r>
      <w:r w:rsidR="00655DA1" w:rsidRPr="00655DA1">
        <w:rPr>
          <w:rFonts w:asciiTheme="minorHAnsi" w:hAnsiTheme="minorHAnsi" w:cstheme="minorHAnsi"/>
          <w:i/>
          <w:sz w:val="24"/>
          <w:szCs w:val="24"/>
        </w:rPr>
        <w:t xml:space="preserve"> </w:t>
      </w:r>
      <w:r w:rsidRPr="00655DA1">
        <w:rPr>
          <w:rFonts w:asciiTheme="minorHAnsi" w:hAnsiTheme="minorHAnsi" w:cstheme="minorHAnsi"/>
          <w:i/>
          <w:sz w:val="24"/>
          <w:szCs w:val="24"/>
        </w:rPr>
        <w:t xml:space="preserve"> The MTFP will be under regular review as savings plans progress.</w:t>
      </w:r>
    </w:p>
    <w:p w14:paraId="44FF3AB4" w14:textId="163F2FB5" w:rsidR="006F130B" w:rsidRDefault="006F130B" w:rsidP="006F130B">
      <w:pPr>
        <w:spacing w:after="0" w:line="240" w:lineRule="auto"/>
        <w:jc w:val="both"/>
        <w:rPr>
          <w:rFonts w:asciiTheme="minorHAnsi" w:hAnsiTheme="minorHAnsi" w:cstheme="minorHAnsi"/>
          <w:i/>
          <w:sz w:val="24"/>
          <w:szCs w:val="24"/>
        </w:rPr>
      </w:pPr>
    </w:p>
    <w:p w14:paraId="1115F4D8" w14:textId="77777777" w:rsidR="00AD13FA" w:rsidRDefault="00AD13FA" w:rsidP="006F130B">
      <w:pPr>
        <w:spacing w:after="0" w:line="240" w:lineRule="auto"/>
        <w:jc w:val="both"/>
        <w:rPr>
          <w:rFonts w:asciiTheme="minorHAnsi" w:hAnsiTheme="minorHAnsi" w:cstheme="minorHAnsi"/>
          <w:i/>
          <w:sz w:val="24"/>
          <w:szCs w:val="24"/>
        </w:rPr>
      </w:pPr>
    </w:p>
    <w:p w14:paraId="3C46DA27" w14:textId="33F7BC70" w:rsidR="006F130B" w:rsidRPr="006F130B" w:rsidRDefault="006F130B" w:rsidP="006F130B">
      <w:pPr>
        <w:spacing w:after="0" w:line="240" w:lineRule="auto"/>
        <w:jc w:val="both"/>
        <w:rPr>
          <w:rFonts w:asciiTheme="minorHAnsi" w:hAnsiTheme="minorHAnsi" w:cstheme="minorHAnsi"/>
          <w:b/>
          <w:bCs/>
          <w:iCs/>
          <w:sz w:val="24"/>
          <w:szCs w:val="24"/>
        </w:rPr>
      </w:pPr>
      <w:r w:rsidRPr="006F130B">
        <w:rPr>
          <w:rFonts w:asciiTheme="minorHAnsi" w:hAnsiTheme="minorHAnsi" w:cstheme="minorHAnsi"/>
          <w:b/>
          <w:bCs/>
          <w:iCs/>
          <w:sz w:val="24"/>
          <w:szCs w:val="24"/>
        </w:rPr>
        <w:t>Vaughan Ashcroft</w:t>
      </w:r>
    </w:p>
    <w:p w14:paraId="4204D6A0" w14:textId="3A9251DB" w:rsidR="006F130B" w:rsidRPr="006F130B" w:rsidRDefault="006F130B" w:rsidP="006F130B">
      <w:pPr>
        <w:spacing w:after="0" w:line="240" w:lineRule="auto"/>
        <w:jc w:val="both"/>
        <w:rPr>
          <w:rFonts w:asciiTheme="minorHAnsi" w:hAnsiTheme="minorHAnsi" w:cstheme="minorHAnsi"/>
          <w:b/>
          <w:bCs/>
          <w:iCs/>
          <w:sz w:val="24"/>
          <w:szCs w:val="24"/>
        </w:rPr>
      </w:pPr>
      <w:r w:rsidRPr="006F130B">
        <w:rPr>
          <w:rFonts w:asciiTheme="minorHAnsi" w:hAnsiTheme="minorHAnsi" w:cstheme="minorHAnsi"/>
          <w:b/>
          <w:bCs/>
          <w:iCs/>
          <w:sz w:val="24"/>
          <w:szCs w:val="24"/>
        </w:rPr>
        <w:t>Section 151 and Chief Finance Officer</w:t>
      </w:r>
    </w:p>
    <w:p w14:paraId="1A5B213E" w14:textId="49C6FF86" w:rsidR="006F130B" w:rsidRPr="006F130B" w:rsidRDefault="006F130B" w:rsidP="006F130B">
      <w:pPr>
        <w:spacing w:after="0" w:line="240" w:lineRule="auto"/>
        <w:jc w:val="both"/>
        <w:rPr>
          <w:rFonts w:asciiTheme="minorHAnsi" w:hAnsiTheme="minorHAnsi" w:cstheme="minorHAnsi"/>
          <w:b/>
          <w:bCs/>
          <w:iCs/>
          <w:sz w:val="24"/>
          <w:szCs w:val="24"/>
        </w:rPr>
      </w:pPr>
      <w:r w:rsidRPr="006F130B">
        <w:rPr>
          <w:rFonts w:asciiTheme="minorHAnsi" w:hAnsiTheme="minorHAnsi" w:cstheme="minorHAnsi"/>
          <w:b/>
          <w:bCs/>
          <w:iCs/>
          <w:sz w:val="24"/>
          <w:szCs w:val="24"/>
        </w:rPr>
        <w:t>Office for the Police, Fire and Crime Commissioner for Northamptonshire</w:t>
      </w:r>
    </w:p>
    <w:p w14:paraId="0FE439BC" w14:textId="26A6B0A8" w:rsidR="00DC1AAF" w:rsidRPr="00F42C2B" w:rsidRDefault="00DC1AAF" w:rsidP="00F42C2B">
      <w:pPr>
        <w:pStyle w:val="PanelHeading"/>
      </w:pPr>
      <w:r w:rsidRPr="00655DA1">
        <w:rPr>
          <w:i/>
          <w:iCs/>
        </w:rPr>
        <w:br w:type="page"/>
      </w:r>
      <w:bookmarkStart w:id="21" w:name="_Hlk156922346"/>
      <w:r w:rsidRPr="00F42C2B">
        <w:t>Appendix D</w:t>
      </w:r>
    </w:p>
    <w:p w14:paraId="63D3E243" w14:textId="05EC2FA2" w:rsidR="00F42C2B" w:rsidRPr="00F42C2B" w:rsidRDefault="00F42C2B" w:rsidP="00F42C2B">
      <w:pPr>
        <w:pStyle w:val="PanelHeading"/>
      </w:pPr>
      <w:r w:rsidRPr="00F42C2B">
        <w:t>Reserves Strategy</w:t>
      </w:r>
    </w:p>
    <w:p w14:paraId="4187899C" w14:textId="4EA315DE" w:rsidR="00DC1AAF" w:rsidRPr="008722B8" w:rsidRDefault="00DC1AAF" w:rsidP="00DC1AAF">
      <w:pPr>
        <w:spacing w:after="0" w:line="240" w:lineRule="auto"/>
        <w:jc w:val="center"/>
        <w:rPr>
          <w:rFonts w:ascii="Arial" w:eastAsia="Times New Roman" w:hAnsi="Arial"/>
          <w:szCs w:val="24"/>
        </w:rPr>
      </w:pPr>
      <w:r w:rsidRPr="008722B8">
        <w:rPr>
          <w:rFonts w:ascii="Arial" w:eastAsia="Times New Roman" w:hAnsi="Arial"/>
          <w:noProof/>
          <w:szCs w:val="24"/>
        </w:rPr>
        <w:drawing>
          <wp:inline distT="0" distB="0" distL="0" distR="0" wp14:anchorId="50F8430E" wp14:editId="6434390F">
            <wp:extent cx="1781175" cy="1743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1743075"/>
                    </a:xfrm>
                    <a:prstGeom prst="rect">
                      <a:avLst/>
                    </a:prstGeom>
                    <a:noFill/>
                    <a:ln>
                      <a:noFill/>
                    </a:ln>
                  </pic:spPr>
                </pic:pic>
              </a:graphicData>
            </a:graphic>
          </wp:inline>
        </w:drawing>
      </w:r>
    </w:p>
    <w:p w14:paraId="07B6F4E0" w14:textId="77777777" w:rsidR="00DC1AAF" w:rsidRPr="008722B8" w:rsidRDefault="00DC1AAF" w:rsidP="00DC1AAF">
      <w:pPr>
        <w:spacing w:after="0" w:line="240" w:lineRule="auto"/>
        <w:rPr>
          <w:rFonts w:ascii="Arial" w:eastAsia="Times New Roman" w:hAnsi="Arial"/>
          <w:szCs w:val="24"/>
        </w:rPr>
      </w:pPr>
    </w:p>
    <w:bookmarkEnd w:id="21"/>
    <w:p w14:paraId="10DCE8A1" w14:textId="133DCA4F" w:rsidR="00DC1AAF" w:rsidRPr="008722B8" w:rsidRDefault="00DC1AAF" w:rsidP="00DC1AAF">
      <w:pPr>
        <w:spacing w:after="0" w:line="240" w:lineRule="auto"/>
        <w:jc w:val="center"/>
        <w:rPr>
          <w:rFonts w:eastAsia="Times New Roman" w:cs="Calibri"/>
          <w:b/>
          <w:sz w:val="24"/>
          <w:szCs w:val="24"/>
        </w:rPr>
      </w:pPr>
      <w:r w:rsidRPr="008722B8">
        <w:rPr>
          <w:rFonts w:eastAsia="Times New Roman" w:cs="Calibri"/>
          <w:b/>
          <w:sz w:val="24"/>
          <w:szCs w:val="24"/>
        </w:rPr>
        <w:t>NORTHAMPTONSHIRE POLICE, FIRE AND CRIME COMMISSIONER</w:t>
      </w:r>
      <w:r w:rsidRPr="008722B8">
        <w:rPr>
          <w:rFonts w:eastAsia="Times New Roman" w:cs="Calibri"/>
          <w:b/>
          <w:sz w:val="24"/>
          <w:szCs w:val="24"/>
        </w:rPr>
        <w:br/>
        <w:t>RESERVES STRATEGY (</w:t>
      </w:r>
      <w:r w:rsidR="00AD13FA">
        <w:rPr>
          <w:rFonts w:eastAsia="Times New Roman" w:cs="Calibri"/>
          <w:b/>
          <w:sz w:val="24"/>
          <w:szCs w:val="24"/>
        </w:rPr>
        <w:t>UPDATED</w:t>
      </w:r>
      <w:r w:rsidRPr="008722B8">
        <w:rPr>
          <w:rFonts w:eastAsia="Times New Roman" w:cs="Calibri"/>
          <w:b/>
          <w:sz w:val="24"/>
          <w:szCs w:val="24"/>
        </w:rPr>
        <w:t xml:space="preserve"> JANUARY 202</w:t>
      </w:r>
      <w:r w:rsidR="00EE0BF8" w:rsidRPr="008722B8">
        <w:rPr>
          <w:rFonts w:eastAsia="Times New Roman" w:cs="Calibri"/>
          <w:b/>
          <w:sz w:val="24"/>
          <w:szCs w:val="24"/>
        </w:rPr>
        <w:t>4</w:t>
      </w:r>
      <w:r w:rsidRPr="008722B8">
        <w:rPr>
          <w:rFonts w:eastAsia="Times New Roman" w:cs="Calibri"/>
          <w:b/>
          <w:sz w:val="24"/>
          <w:szCs w:val="24"/>
        </w:rPr>
        <w:t>)</w:t>
      </w:r>
    </w:p>
    <w:p w14:paraId="05D52542" w14:textId="77777777" w:rsidR="00DC1AAF" w:rsidRPr="008722B8" w:rsidRDefault="00DC1AAF" w:rsidP="00DC1AAF">
      <w:pPr>
        <w:spacing w:after="0" w:line="240" w:lineRule="auto"/>
        <w:ind w:left="360"/>
        <w:jc w:val="both"/>
        <w:rPr>
          <w:rFonts w:eastAsia="Times New Roman" w:cs="Calibri"/>
          <w:b/>
          <w:bCs/>
          <w:sz w:val="24"/>
          <w:szCs w:val="24"/>
        </w:rPr>
      </w:pPr>
    </w:p>
    <w:p w14:paraId="5D03145D" w14:textId="086DB3E3" w:rsidR="00DC1AAF" w:rsidRPr="008722B8" w:rsidRDefault="00DC1AAF" w:rsidP="008722B8">
      <w:pPr>
        <w:pStyle w:val="ReservesHeading"/>
      </w:pPr>
      <w:bookmarkStart w:id="22" w:name="_Hlk156922431"/>
      <w:r w:rsidRPr="008722B8">
        <w:t>Reserves Strategy</w:t>
      </w:r>
    </w:p>
    <w:p w14:paraId="2ABB9892" w14:textId="65735DFE" w:rsidR="00DC1AAF" w:rsidRPr="008722B8" w:rsidRDefault="00DC1AAF" w:rsidP="008722B8">
      <w:pPr>
        <w:pStyle w:val="ReservesBody"/>
      </w:pPr>
      <w:r w:rsidRPr="008722B8">
        <w:t xml:space="preserve">Reserves are a key part of medium-term financial planning </w:t>
      </w:r>
      <w:r w:rsidR="002E7988" w:rsidRPr="008722B8">
        <w:t xml:space="preserve">with </w:t>
      </w:r>
      <w:r w:rsidRPr="008722B8">
        <w:t>other components includ</w:t>
      </w:r>
      <w:r w:rsidR="002E7988" w:rsidRPr="008722B8">
        <w:t>ing</w:t>
      </w:r>
      <w:r w:rsidRPr="008722B8">
        <w:t xml:space="preserve"> revenue spending plans, income forecasts, potential liabilities, capital investment plans, borrowing and council tax levels.  Decisions on these are inter-linked.  Consequently, some organisations will need to maintain reserves at higher levels than others.</w:t>
      </w:r>
    </w:p>
    <w:p w14:paraId="0E9AA513" w14:textId="04807A93" w:rsidR="00DC1AAF" w:rsidRPr="008722B8" w:rsidRDefault="00DC1AAF" w:rsidP="008722B8">
      <w:pPr>
        <w:pStyle w:val="ReservesBody"/>
      </w:pPr>
      <w:r w:rsidRPr="008722B8">
        <w:t>All publicly funded organisations should have a reserves strategy to demonstrate transparency and accountability, to comply with best practice financial management and to justify the levels of reserves held.</w:t>
      </w:r>
    </w:p>
    <w:p w14:paraId="7E2A33DF" w14:textId="4135B0A6" w:rsidR="00DC1AAF" w:rsidRPr="008722B8" w:rsidRDefault="00DC1AAF" w:rsidP="008722B8">
      <w:pPr>
        <w:pStyle w:val="ReservesBody"/>
      </w:pPr>
      <w:r w:rsidRPr="008722B8">
        <w:t>The PFCC maintains reserves to provide a measure of protection against risk.  Without this protection, any unforeseen expenditure would have to be met either by increases in Council Tax or immediate savings (potentially through reductions in service levels).</w:t>
      </w:r>
    </w:p>
    <w:p w14:paraId="20B44FB7" w14:textId="6300EA2E" w:rsidR="00DC1AAF" w:rsidRPr="008722B8" w:rsidRDefault="00DC1AAF" w:rsidP="008722B8">
      <w:pPr>
        <w:pStyle w:val="ReservesBody"/>
      </w:pPr>
      <w:r w:rsidRPr="008722B8">
        <w:t xml:space="preserve">The term "reserves" has a variety of technical and everyday meanings, depending on the context in which it is used. </w:t>
      </w:r>
      <w:r w:rsidR="0075574D" w:rsidRPr="008722B8">
        <w:t xml:space="preserve"> In this</w:t>
      </w:r>
      <w:r w:rsidRPr="008722B8">
        <w:t xml:space="preserve"> </w:t>
      </w:r>
      <w:r w:rsidR="00360A96" w:rsidRPr="008722B8">
        <w:t>strategy</w:t>
      </w:r>
      <w:r w:rsidRPr="008722B8">
        <w:t xml:space="preserve">, it is taken to mean funds set-aside at the PFCC’s discretion for general or specific future purposes. </w:t>
      </w:r>
    </w:p>
    <w:p w14:paraId="2CBF1619" w14:textId="284671C1" w:rsidR="00DC1AAF" w:rsidRPr="008722B8" w:rsidRDefault="00DC1AAF" w:rsidP="008722B8">
      <w:pPr>
        <w:pStyle w:val="ReservesBody"/>
      </w:pPr>
      <w:bookmarkStart w:id="23" w:name="_Hlk156922462"/>
      <w:bookmarkEnd w:id="22"/>
      <w:r w:rsidRPr="008722B8">
        <w:t>Reserves are required to protect and enhance the financial viability and in particular:</w:t>
      </w:r>
    </w:p>
    <w:p w14:paraId="6ABF6536" w14:textId="77777777" w:rsidR="0075574D" w:rsidRPr="008722B8" w:rsidRDefault="00DC1AAF" w:rsidP="008722B8">
      <w:pPr>
        <w:pStyle w:val="Reservesbullet"/>
      </w:pPr>
      <w:r w:rsidRPr="008722B8">
        <w:t xml:space="preserve">To maintain a degree of in-year financial </w:t>
      </w:r>
      <w:r w:rsidR="00360A96" w:rsidRPr="008722B8">
        <w:t>flexibility.</w:t>
      </w:r>
    </w:p>
    <w:p w14:paraId="2BC9CAC7" w14:textId="77777777" w:rsidR="0075574D" w:rsidRPr="008722B8" w:rsidRDefault="00DC1AAF" w:rsidP="008722B8">
      <w:pPr>
        <w:pStyle w:val="Reservesbullet"/>
      </w:pPr>
      <w:r w:rsidRPr="008722B8">
        <w:t>To enable the PFCC to deal with unforeseen circumstances and incidents</w:t>
      </w:r>
      <w:r w:rsidR="00360A96" w:rsidRPr="008722B8">
        <w:t>.</w:t>
      </w:r>
    </w:p>
    <w:p w14:paraId="54F73EEE" w14:textId="77777777" w:rsidR="0075574D" w:rsidRPr="008722B8" w:rsidRDefault="00DC1AAF" w:rsidP="008722B8">
      <w:pPr>
        <w:pStyle w:val="Reservesbullet"/>
      </w:pPr>
      <w:r w:rsidRPr="008722B8">
        <w:t>To set aside monies to fund major developments in future years</w:t>
      </w:r>
      <w:r w:rsidR="00360A96" w:rsidRPr="008722B8">
        <w:t>.</w:t>
      </w:r>
    </w:p>
    <w:p w14:paraId="52126006" w14:textId="77777777" w:rsidR="0075574D" w:rsidRPr="008722B8" w:rsidRDefault="00DC1AAF" w:rsidP="008722B8">
      <w:pPr>
        <w:pStyle w:val="Reservesbullet"/>
      </w:pPr>
      <w:r w:rsidRPr="008722B8">
        <w:t>To enable the PFCC to invest to transform and achieve improved service effectiveness and efficiency</w:t>
      </w:r>
      <w:r w:rsidR="00360A96" w:rsidRPr="008722B8">
        <w:t>.</w:t>
      </w:r>
    </w:p>
    <w:p w14:paraId="375EAE7F" w14:textId="77777777" w:rsidR="0075574D" w:rsidRPr="008722B8" w:rsidRDefault="00DC1AAF" w:rsidP="008722B8">
      <w:pPr>
        <w:pStyle w:val="Reservesbullet"/>
      </w:pPr>
      <w:r w:rsidRPr="008722B8">
        <w:t>To set aside sums for known and potential liabilities</w:t>
      </w:r>
      <w:r w:rsidR="00360A96" w:rsidRPr="008722B8">
        <w:t>.</w:t>
      </w:r>
    </w:p>
    <w:p w14:paraId="289FD6CF" w14:textId="4A4E429F" w:rsidR="00DC1AAF" w:rsidRPr="008722B8" w:rsidRDefault="00DC1AAF" w:rsidP="008722B8">
      <w:pPr>
        <w:pStyle w:val="Reservesbullet"/>
      </w:pPr>
      <w:r w:rsidRPr="008722B8">
        <w:t>To provide an operational contingency at service level.</w:t>
      </w:r>
    </w:p>
    <w:p w14:paraId="74E5E9D4" w14:textId="69DF15DE" w:rsidR="0075574D" w:rsidRPr="008722B8" w:rsidRDefault="00DC1AAF" w:rsidP="008722B8">
      <w:pPr>
        <w:pStyle w:val="ReservesBody"/>
      </w:pPr>
      <w:r w:rsidRPr="008722B8">
        <w:t>Reserves should not be held to fund ongoing revenue expenditure as this is unsustainable in the long term</w:t>
      </w:r>
      <w:r w:rsidR="0075574D" w:rsidRPr="008722B8">
        <w:t>.  H</w:t>
      </w:r>
      <w:r w:rsidRPr="008722B8">
        <w:t xml:space="preserve">owever, they may be important in smoothing a major financial imbalance (revenue or capital) over a longer timescale. </w:t>
      </w:r>
      <w:r w:rsidR="0075574D" w:rsidRPr="008722B8">
        <w:t xml:space="preserve"> </w:t>
      </w:r>
      <w:r w:rsidR="00A1226A" w:rsidRPr="008722B8">
        <w:t xml:space="preserve">CIPFA Bulletin 13 – Local Authority Reserves and Balances (Updated) </w:t>
      </w:r>
      <w:r w:rsidRPr="008722B8">
        <w:t xml:space="preserve">published </w:t>
      </w:r>
      <w:r w:rsidR="00A1226A" w:rsidRPr="008722B8">
        <w:t>March</w:t>
      </w:r>
      <w:r w:rsidRPr="008722B8">
        <w:t xml:space="preserve"> 20</w:t>
      </w:r>
      <w:r w:rsidR="00A1226A" w:rsidRPr="008722B8">
        <w:t>23</w:t>
      </w:r>
      <w:r w:rsidRPr="008722B8">
        <w:t xml:space="preserve"> states:</w:t>
      </w:r>
    </w:p>
    <w:p w14:paraId="5E43C9B0" w14:textId="7734E8D0" w:rsidR="00DC1AAF" w:rsidRPr="00AD13FA" w:rsidRDefault="00DC1AAF" w:rsidP="008722B8">
      <w:pPr>
        <w:pStyle w:val="ReservesBody"/>
        <w:numPr>
          <w:ilvl w:val="0"/>
          <w:numId w:val="0"/>
        </w:numPr>
        <w:ind w:left="567"/>
        <w:rPr>
          <w:i/>
          <w:iCs/>
        </w:rPr>
      </w:pPr>
      <w:r w:rsidRPr="00AD13FA">
        <w:rPr>
          <w:i/>
          <w:iCs/>
        </w:rPr>
        <w:t xml:space="preserve">“Balancing the annual budget by drawing on general reserves may be viewed as a legitimate short-term option. </w:t>
      </w:r>
      <w:r w:rsidR="0075574D" w:rsidRPr="00AD13FA">
        <w:rPr>
          <w:i/>
          <w:iCs/>
        </w:rPr>
        <w:t xml:space="preserve"> </w:t>
      </w:r>
      <w:r w:rsidRPr="00AD13FA">
        <w:rPr>
          <w:i/>
          <w:iCs/>
        </w:rPr>
        <w:t xml:space="preserve">However, it is not normally prudent for reserves to be deployed to finance recurrent expenditure. </w:t>
      </w:r>
      <w:r w:rsidR="0075574D" w:rsidRPr="00AD13FA">
        <w:rPr>
          <w:i/>
          <w:iCs/>
        </w:rPr>
        <w:t xml:space="preserve"> </w:t>
      </w:r>
      <w:r w:rsidRPr="00AD13FA">
        <w:rPr>
          <w:i/>
          <w:iCs/>
        </w:rPr>
        <w:t xml:space="preserve">CIPFA has commented that </w:t>
      </w:r>
      <w:r w:rsidR="00A1226A" w:rsidRPr="00AD13FA">
        <w:rPr>
          <w:i/>
          <w:iCs/>
        </w:rPr>
        <w:t>c</w:t>
      </w:r>
      <w:r w:rsidRPr="00AD13FA">
        <w:rPr>
          <w:i/>
          <w:iCs/>
        </w:rPr>
        <w:t xml:space="preserve">ouncils should be particularly wary about using one off </w:t>
      </w:r>
      <w:proofErr w:type="gramStart"/>
      <w:r w:rsidRPr="00AD13FA">
        <w:rPr>
          <w:i/>
          <w:iCs/>
        </w:rPr>
        <w:t>reserves</w:t>
      </w:r>
      <w:proofErr w:type="gramEnd"/>
      <w:r w:rsidRPr="00AD13FA">
        <w:rPr>
          <w:i/>
          <w:iCs/>
        </w:rPr>
        <w:t xml:space="preserve"> to deal with shortfalls in current funding.</w:t>
      </w:r>
      <w:r w:rsidR="0075574D" w:rsidRPr="00AD13FA">
        <w:rPr>
          <w:i/>
          <w:iCs/>
        </w:rPr>
        <w:t xml:space="preserve"> </w:t>
      </w:r>
      <w:r w:rsidRPr="00AD13FA">
        <w:rPr>
          <w:i/>
          <w:iCs/>
        </w:rPr>
        <w:t xml:space="preserve"> Where such action is to be taken, this should be made explicit, and an explanation given as to how such expenditure will be funded in the medium to long term</w:t>
      </w:r>
      <w:r w:rsidR="0075574D" w:rsidRPr="00AD13FA">
        <w:rPr>
          <w:i/>
          <w:iCs/>
        </w:rPr>
        <w:t>.</w:t>
      </w:r>
      <w:r w:rsidRPr="00AD13FA">
        <w:rPr>
          <w:i/>
          <w:iCs/>
        </w:rPr>
        <w:t>”</w:t>
      </w:r>
    </w:p>
    <w:p w14:paraId="50084F44" w14:textId="28838E43" w:rsidR="00DC1AAF" w:rsidRPr="008722B8" w:rsidRDefault="00DC1AAF" w:rsidP="008722B8">
      <w:pPr>
        <w:pStyle w:val="ReservesBody"/>
      </w:pPr>
      <w:bookmarkStart w:id="24" w:name="_Hlk156922608"/>
      <w:bookmarkEnd w:id="23"/>
      <w:r w:rsidRPr="008722B8">
        <w:t xml:space="preserve">The </w:t>
      </w:r>
      <w:r w:rsidR="00F57399" w:rsidRPr="008722B8">
        <w:t>r</w:t>
      </w:r>
      <w:r w:rsidRPr="008722B8">
        <w:t xml:space="preserve">eserves </w:t>
      </w:r>
      <w:r w:rsidR="00F57399" w:rsidRPr="008722B8">
        <w:t>s</w:t>
      </w:r>
      <w:r w:rsidRPr="008722B8">
        <w:t xml:space="preserve">trategy assumes that the </w:t>
      </w:r>
      <w:r w:rsidR="00360A96" w:rsidRPr="008722B8">
        <w:t>Medium-Term</w:t>
      </w:r>
      <w:r w:rsidRPr="008722B8">
        <w:t xml:space="preserve"> Financial Plan </w:t>
      </w:r>
      <w:r w:rsidR="0075574D" w:rsidRPr="008722B8">
        <w:t>(</w:t>
      </w:r>
      <w:r w:rsidRPr="008722B8">
        <w:t>MTFP</w:t>
      </w:r>
      <w:r w:rsidR="0075574D" w:rsidRPr="008722B8">
        <w:t>)</w:t>
      </w:r>
      <w:r w:rsidRPr="008722B8">
        <w:t xml:space="preserve"> is broadly balanced on a sustainable basis across the five year planning period. </w:t>
      </w:r>
      <w:r w:rsidR="0075574D" w:rsidRPr="008722B8">
        <w:t xml:space="preserve"> </w:t>
      </w:r>
      <w:r w:rsidRPr="008722B8">
        <w:t xml:space="preserve">If the financial impact of </w:t>
      </w:r>
      <w:r w:rsidR="0075574D" w:rsidRPr="008722B8">
        <w:t>current economic conditions</w:t>
      </w:r>
      <w:r w:rsidRPr="008722B8">
        <w:t xml:space="preserve"> continues to impact on taxbase and council tax levels over the medium term</w:t>
      </w:r>
      <w:r w:rsidR="00360A96" w:rsidRPr="008722B8">
        <w:t>,</w:t>
      </w:r>
      <w:r w:rsidRPr="008722B8">
        <w:t xml:space="preserve"> then this could impact on those assumptions. </w:t>
      </w:r>
    </w:p>
    <w:p w14:paraId="49C8190F" w14:textId="68C5A006" w:rsidR="0075574D" w:rsidRPr="008722B8" w:rsidRDefault="00DC1AAF" w:rsidP="008722B8">
      <w:pPr>
        <w:pStyle w:val="ReservesBody"/>
      </w:pPr>
      <w:bookmarkStart w:id="25" w:name="_Hlk156922713"/>
      <w:bookmarkEnd w:id="24"/>
      <w:r w:rsidRPr="008722B8">
        <w:t>Reserves should reflect the agreed financial strategy and should represent the quantified impact of risks and opportunities over the planning period, weighted for their probability.</w:t>
      </w:r>
    </w:p>
    <w:p w14:paraId="37EA8012" w14:textId="0CA1E2C8" w:rsidR="00DC1AAF" w:rsidRPr="008722B8" w:rsidRDefault="00DC1AAF" w:rsidP="008722B8">
      <w:pPr>
        <w:pStyle w:val="ReservesHeading"/>
      </w:pPr>
      <w:bookmarkStart w:id="26" w:name="_Hlk156922756"/>
      <w:bookmarkEnd w:id="25"/>
      <w:r w:rsidRPr="008722B8">
        <w:t xml:space="preserve">National Guidance and Compliance with Home Office Guidance on Police Reserves </w:t>
      </w:r>
    </w:p>
    <w:p w14:paraId="4735EAC1" w14:textId="6DD1624F" w:rsidR="00DC1AAF" w:rsidRPr="008722B8" w:rsidRDefault="00A1226A" w:rsidP="008722B8">
      <w:pPr>
        <w:pStyle w:val="ReservesBody"/>
      </w:pPr>
      <w:r w:rsidRPr="008722B8">
        <w:t xml:space="preserve">The </w:t>
      </w:r>
      <w:r w:rsidR="00DC1AAF" w:rsidRPr="008722B8">
        <w:t>CIPFA</w:t>
      </w:r>
      <w:r w:rsidRPr="008722B8">
        <w:t xml:space="preserve"> Bulletin </w:t>
      </w:r>
      <w:r w:rsidR="00DC1AAF" w:rsidRPr="008722B8">
        <w:t>include</w:t>
      </w:r>
      <w:r w:rsidRPr="008722B8">
        <w:t>s guidance on</w:t>
      </w:r>
      <w:r w:rsidR="00DC1AAF" w:rsidRPr="008722B8">
        <w:t xml:space="preserve"> the establishment and maintenance of local authority reserves and balances, setting out the key factors that should be taken into account locally in making an assessment of the appropriate level of reserves and balances to be held. </w:t>
      </w:r>
    </w:p>
    <w:bookmarkEnd w:id="26"/>
    <w:p w14:paraId="7911B48D" w14:textId="14B56E48" w:rsidR="00DC1AAF" w:rsidRPr="008722B8" w:rsidRDefault="00DC1AAF" w:rsidP="008722B8">
      <w:pPr>
        <w:pStyle w:val="ReservesBody"/>
      </w:pPr>
      <w:r w:rsidRPr="008722B8">
        <w:t>In the written statement that accompanied the Provisional Police Grant report on 19</w:t>
      </w:r>
      <w:r w:rsidRPr="008722B8">
        <w:rPr>
          <w:vertAlign w:val="superscript"/>
        </w:rPr>
        <w:t>th</w:t>
      </w:r>
      <w:r w:rsidRPr="008722B8">
        <w:t xml:space="preserve"> December 2017, the</w:t>
      </w:r>
      <w:r w:rsidR="00E32160" w:rsidRPr="008722B8">
        <w:t xml:space="preserve"> then Policing</w:t>
      </w:r>
      <w:r w:rsidRPr="008722B8">
        <w:t xml:space="preserve"> Minister stated</w:t>
      </w:r>
      <w:r w:rsidR="0075574D" w:rsidRPr="008722B8">
        <w:t>:</w:t>
      </w:r>
    </w:p>
    <w:p w14:paraId="743EF7D3" w14:textId="28F0B6A8" w:rsidR="00DC1AAF" w:rsidRPr="008722B8" w:rsidRDefault="00DC1AAF" w:rsidP="008722B8">
      <w:pPr>
        <w:pStyle w:val="ReservesBody"/>
        <w:numPr>
          <w:ilvl w:val="0"/>
          <w:numId w:val="0"/>
        </w:numPr>
        <w:ind w:left="567"/>
      </w:pPr>
      <w:r w:rsidRPr="008722B8">
        <w:t>“</w:t>
      </w:r>
      <w:proofErr w:type="gramStart"/>
      <w:r w:rsidRPr="008722B8">
        <w:t>you</w:t>
      </w:r>
      <w:proofErr w:type="gramEnd"/>
      <w:r w:rsidRPr="008722B8">
        <w:t xml:space="preserve"> may be aware that police reserves currently stand at around £1.6bn, which compares to £1.4bn in 2011. We will be changing guidance to PFCCs to ensure that police officers and the public have access to more detailed information on how PFCCs intend to use this public money.” </w:t>
      </w:r>
    </w:p>
    <w:p w14:paraId="2323A995" w14:textId="588FDB74" w:rsidR="00DC1AAF" w:rsidRPr="008722B8" w:rsidRDefault="00DC1AAF" w:rsidP="008722B8">
      <w:pPr>
        <w:pStyle w:val="ReservesBody"/>
        <w:numPr>
          <w:ilvl w:val="0"/>
          <w:numId w:val="0"/>
        </w:numPr>
        <w:ind w:left="567"/>
      </w:pPr>
      <w:r w:rsidRPr="008722B8">
        <w:t>This strategy complies with the Ministerial requirement.</w:t>
      </w:r>
    </w:p>
    <w:p w14:paraId="6A181C88" w14:textId="2370677A" w:rsidR="0075574D" w:rsidRPr="008722B8" w:rsidRDefault="00DC1AAF" w:rsidP="008722B8">
      <w:pPr>
        <w:pStyle w:val="ReservesBody"/>
      </w:pPr>
      <w:r w:rsidRPr="008722B8">
        <w:t xml:space="preserve">On 31 March 2018, the Minister for Policing and the Fire Service published new guidance on the information that each PFCC must publish in terms of </w:t>
      </w:r>
      <w:r w:rsidR="00DF635B" w:rsidRPr="008722B8">
        <w:t>p</w:t>
      </w:r>
      <w:r w:rsidRPr="008722B8">
        <w:t xml:space="preserve">olice </w:t>
      </w:r>
      <w:r w:rsidR="00F57399" w:rsidRPr="008722B8">
        <w:t>r</w:t>
      </w:r>
      <w:r w:rsidRPr="008722B8">
        <w:t>eserves</w:t>
      </w:r>
      <w:r w:rsidR="0075574D" w:rsidRPr="008722B8">
        <w:t xml:space="preserve"> which is still relevant today</w:t>
      </w:r>
      <w:r w:rsidRPr="008722B8">
        <w:t>.</w:t>
      </w:r>
      <w:r w:rsidR="0075574D" w:rsidRPr="008722B8">
        <w:t xml:space="preserve"> </w:t>
      </w:r>
      <w:r w:rsidRPr="008722B8">
        <w:t xml:space="preserve"> </w:t>
      </w:r>
      <w:bookmarkStart w:id="27" w:name="_Hlk156922863"/>
      <w:r w:rsidRPr="008722B8">
        <w:t>One of the key requirements is that the information on each reserve should make clear how much of the funding falls into each of the following three categories:</w:t>
      </w:r>
    </w:p>
    <w:p w14:paraId="273488A1" w14:textId="77777777" w:rsidR="0075574D" w:rsidRPr="008722B8" w:rsidRDefault="00DC1AAF" w:rsidP="008722B8">
      <w:pPr>
        <w:pStyle w:val="Reservesbullet"/>
      </w:pPr>
      <w:r w:rsidRPr="008722B8">
        <w:t>Funding for planned expenditure on projects and programmes over the period of the current medium term financial plan.</w:t>
      </w:r>
    </w:p>
    <w:p w14:paraId="6C24CAE8" w14:textId="2A15A439" w:rsidR="00DC1AAF" w:rsidRPr="008722B8" w:rsidRDefault="00DC1AAF" w:rsidP="008722B8">
      <w:pPr>
        <w:pStyle w:val="Reservesbullet"/>
      </w:pPr>
      <w:r w:rsidRPr="008722B8">
        <w:t>Funding for specific projects and programmes beyond the current planning period.</w:t>
      </w:r>
    </w:p>
    <w:p w14:paraId="1824692E" w14:textId="6CE164AD" w:rsidR="00D04A86" w:rsidRPr="008722B8" w:rsidRDefault="00DC1AAF" w:rsidP="008722B8">
      <w:pPr>
        <w:pStyle w:val="Reservesbullet"/>
      </w:pPr>
      <w:r w:rsidRPr="008722B8">
        <w:t>As a general contingency to meet other expenditure needs held in accordance with sound principles of good financial management.</w:t>
      </w:r>
    </w:p>
    <w:p w14:paraId="6DCB61CB" w14:textId="3BBFA8FD" w:rsidR="00DC1AAF" w:rsidRPr="008722B8" w:rsidRDefault="00DC1AAF" w:rsidP="008722B8">
      <w:pPr>
        <w:pStyle w:val="ReservesBody"/>
      </w:pPr>
      <w:r w:rsidRPr="008722B8">
        <w:t xml:space="preserve">This information is summarised across the </w:t>
      </w:r>
      <w:proofErr w:type="gramStart"/>
      <w:r w:rsidRPr="008722B8">
        <w:t>Home</w:t>
      </w:r>
      <w:proofErr w:type="gramEnd"/>
      <w:r w:rsidRPr="008722B8">
        <w:t xml:space="preserve"> Office headings as at 31/3/2</w:t>
      </w:r>
      <w:r w:rsidR="0075574D" w:rsidRPr="008722B8">
        <w:t>4</w:t>
      </w:r>
      <w:r w:rsidRPr="008722B8">
        <w:t>, together with the proposed use of the reserves held at that date as follows:</w:t>
      </w:r>
    </w:p>
    <w:tbl>
      <w:tblPr>
        <w:tblW w:w="9880" w:type="dxa"/>
        <w:tblLook w:val="04A0" w:firstRow="1" w:lastRow="0" w:firstColumn="1" w:lastColumn="0" w:noHBand="0" w:noVBand="1"/>
      </w:tblPr>
      <w:tblGrid>
        <w:gridCol w:w="2980"/>
        <w:gridCol w:w="1380"/>
        <w:gridCol w:w="1380"/>
        <w:gridCol w:w="1380"/>
        <w:gridCol w:w="1380"/>
        <w:gridCol w:w="1380"/>
      </w:tblGrid>
      <w:tr w:rsidR="00DF635B" w:rsidRPr="00DF635B" w14:paraId="4D43872F" w14:textId="77777777" w:rsidTr="00DF635B">
        <w:trPr>
          <w:trHeight w:val="1680"/>
        </w:trPr>
        <w:tc>
          <w:tcPr>
            <w:tcW w:w="2980" w:type="dxa"/>
            <w:tcBorders>
              <w:top w:val="single" w:sz="4" w:space="0" w:color="auto"/>
              <w:left w:val="single" w:sz="4" w:space="0" w:color="auto"/>
              <w:bottom w:val="nil"/>
              <w:right w:val="nil"/>
            </w:tcBorders>
            <w:shd w:val="clear" w:color="000000" w:fill="BDD7EE"/>
            <w:noWrap/>
            <w:hideMark/>
          </w:tcPr>
          <w:bookmarkEnd w:id="27"/>
          <w:p w14:paraId="68D66869"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Reserve</w:t>
            </w:r>
          </w:p>
        </w:tc>
        <w:tc>
          <w:tcPr>
            <w:tcW w:w="1380" w:type="dxa"/>
            <w:tcBorders>
              <w:top w:val="single" w:sz="4" w:space="0" w:color="auto"/>
              <w:left w:val="single" w:sz="4" w:space="0" w:color="auto"/>
              <w:bottom w:val="nil"/>
              <w:right w:val="single" w:sz="4" w:space="0" w:color="auto"/>
            </w:tcBorders>
            <w:shd w:val="clear" w:color="000000" w:fill="BDD7EE"/>
            <w:hideMark/>
          </w:tcPr>
          <w:p w14:paraId="04706149"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Forecast Balance as at 31/3/2024</w:t>
            </w:r>
          </w:p>
        </w:tc>
        <w:tc>
          <w:tcPr>
            <w:tcW w:w="1380" w:type="dxa"/>
            <w:tcBorders>
              <w:top w:val="single" w:sz="4" w:space="0" w:color="auto"/>
              <w:left w:val="nil"/>
              <w:bottom w:val="nil"/>
              <w:right w:val="nil"/>
            </w:tcBorders>
            <w:shd w:val="clear" w:color="000000" w:fill="BDD7EE"/>
            <w:hideMark/>
          </w:tcPr>
          <w:p w14:paraId="6650D887"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Funding for planned expenditure on projects and programmes over the MTFP (24/25-28/29)</w:t>
            </w:r>
          </w:p>
        </w:tc>
        <w:tc>
          <w:tcPr>
            <w:tcW w:w="1380" w:type="dxa"/>
            <w:tcBorders>
              <w:top w:val="single" w:sz="4" w:space="0" w:color="auto"/>
              <w:left w:val="single" w:sz="4" w:space="0" w:color="auto"/>
              <w:bottom w:val="nil"/>
              <w:right w:val="single" w:sz="4" w:space="0" w:color="auto"/>
            </w:tcBorders>
            <w:shd w:val="clear" w:color="000000" w:fill="BDD7EE"/>
            <w:hideMark/>
          </w:tcPr>
          <w:p w14:paraId="468F96EC"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Total Forecast Revenue and Capital Reserves as at 31 March 2029</w:t>
            </w:r>
          </w:p>
        </w:tc>
        <w:tc>
          <w:tcPr>
            <w:tcW w:w="1380" w:type="dxa"/>
            <w:tcBorders>
              <w:top w:val="single" w:sz="4" w:space="0" w:color="auto"/>
              <w:left w:val="nil"/>
              <w:bottom w:val="nil"/>
              <w:right w:val="nil"/>
            </w:tcBorders>
            <w:shd w:val="clear" w:color="000000" w:fill="BDD7EE"/>
            <w:hideMark/>
          </w:tcPr>
          <w:p w14:paraId="0D9DBA72"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Funding for specific projects and programmes beyond the current planning period</w:t>
            </w:r>
          </w:p>
        </w:tc>
        <w:tc>
          <w:tcPr>
            <w:tcW w:w="1380" w:type="dxa"/>
            <w:tcBorders>
              <w:top w:val="single" w:sz="4" w:space="0" w:color="auto"/>
              <w:left w:val="single" w:sz="4" w:space="0" w:color="auto"/>
              <w:bottom w:val="nil"/>
              <w:right w:val="single" w:sz="4" w:space="0" w:color="auto"/>
            </w:tcBorders>
            <w:shd w:val="clear" w:color="000000" w:fill="BDD7EE"/>
            <w:hideMark/>
          </w:tcPr>
          <w:p w14:paraId="770671AA"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 xml:space="preserve">As a general contingency to meet other expenditure needs </w:t>
            </w:r>
          </w:p>
        </w:tc>
      </w:tr>
      <w:tr w:rsidR="00DF635B" w:rsidRPr="00DF635B" w14:paraId="3F78B0AA" w14:textId="77777777" w:rsidTr="00DF635B">
        <w:trPr>
          <w:trHeight w:val="300"/>
        </w:trPr>
        <w:tc>
          <w:tcPr>
            <w:tcW w:w="2980" w:type="dxa"/>
            <w:tcBorders>
              <w:top w:val="nil"/>
              <w:left w:val="single" w:sz="4" w:space="0" w:color="auto"/>
              <w:bottom w:val="single" w:sz="4" w:space="0" w:color="auto"/>
              <w:right w:val="nil"/>
            </w:tcBorders>
            <w:shd w:val="clear" w:color="000000" w:fill="BDD7EE"/>
            <w:noWrap/>
            <w:vAlign w:val="bottom"/>
            <w:hideMark/>
          </w:tcPr>
          <w:p w14:paraId="32A5FCCD" w14:textId="77777777" w:rsidR="00DF635B" w:rsidRPr="00DF635B" w:rsidRDefault="00DF635B" w:rsidP="00DF635B">
            <w:pPr>
              <w:spacing w:after="0" w:line="240" w:lineRule="auto"/>
              <w:rPr>
                <w:rFonts w:eastAsia="Times New Roman" w:cs="Calibri"/>
                <w:color w:val="000000"/>
                <w:sz w:val="18"/>
                <w:szCs w:val="18"/>
                <w:lang w:eastAsia="en-GB"/>
              </w:rPr>
            </w:pPr>
            <w:r w:rsidRPr="00DF635B">
              <w:rPr>
                <w:rFonts w:eastAsia="Times New Roman" w:cs="Calibri"/>
                <w:color w:val="000000"/>
                <w:sz w:val="18"/>
                <w:szCs w:val="18"/>
                <w:lang w:eastAsia="en-GB"/>
              </w:rPr>
              <w:t> </w:t>
            </w:r>
          </w:p>
        </w:tc>
        <w:tc>
          <w:tcPr>
            <w:tcW w:w="1380" w:type="dxa"/>
            <w:tcBorders>
              <w:top w:val="nil"/>
              <w:left w:val="single" w:sz="4" w:space="0" w:color="auto"/>
              <w:bottom w:val="single" w:sz="4" w:space="0" w:color="auto"/>
              <w:right w:val="single" w:sz="4" w:space="0" w:color="auto"/>
            </w:tcBorders>
            <w:shd w:val="clear" w:color="000000" w:fill="BDD7EE"/>
            <w:noWrap/>
            <w:vAlign w:val="bottom"/>
            <w:hideMark/>
          </w:tcPr>
          <w:p w14:paraId="24E01F70"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£m</w:t>
            </w:r>
          </w:p>
        </w:tc>
        <w:tc>
          <w:tcPr>
            <w:tcW w:w="1380" w:type="dxa"/>
            <w:tcBorders>
              <w:top w:val="nil"/>
              <w:left w:val="nil"/>
              <w:bottom w:val="single" w:sz="4" w:space="0" w:color="auto"/>
              <w:right w:val="nil"/>
            </w:tcBorders>
            <w:shd w:val="clear" w:color="000000" w:fill="BDD7EE"/>
            <w:noWrap/>
            <w:vAlign w:val="bottom"/>
            <w:hideMark/>
          </w:tcPr>
          <w:p w14:paraId="4522D2CB"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£m</w:t>
            </w:r>
          </w:p>
        </w:tc>
        <w:tc>
          <w:tcPr>
            <w:tcW w:w="1380" w:type="dxa"/>
            <w:tcBorders>
              <w:top w:val="nil"/>
              <w:left w:val="single" w:sz="4" w:space="0" w:color="auto"/>
              <w:bottom w:val="single" w:sz="4" w:space="0" w:color="auto"/>
              <w:right w:val="single" w:sz="4" w:space="0" w:color="auto"/>
            </w:tcBorders>
            <w:shd w:val="clear" w:color="000000" w:fill="BDD7EE"/>
            <w:noWrap/>
            <w:vAlign w:val="bottom"/>
            <w:hideMark/>
          </w:tcPr>
          <w:p w14:paraId="63FD9E0B"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£m</w:t>
            </w:r>
          </w:p>
        </w:tc>
        <w:tc>
          <w:tcPr>
            <w:tcW w:w="1380" w:type="dxa"/>
            <w:tcBorders>
              <w:top w:val="nil"/>
              <w:left w:val="nil"/>
              <w:bottom w:val="single" w:sz="4" w:space="0" w:color="auto"/>
              <w:right w:val="nil"/>
            </w:tcBorders>
            <w:shd w:val="clear" w:color="000000" w:fill="BDD7EE"/>
            <w:noWrap/>
            <w:vAlign w:val="bottom"/>
            <w:hideMark/>
          </w:tcPr>
          <w:p w14:paraId="13A50635"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£m</w:t>
            </w:r>
          </w:p>
        </w:tc>
        <w:tc>
          <w:tcPr>
            <w:tcW w:w="1380" w:type="dxa"/>
            <w:tcBorders>
              <w:top w:val="nil"/>
              <w:left w:val="single" w:sz="4" w:space="0" w:color="auto"/>
              <w:bottom w:val="single" w:sz="4" w:space="0" w:color="auto"/>
              <w:right w:val="single" w:sz="4" w:space="0" w:color="auto"/>
            </w:tcBorders>
            <w:shd w:val="clear" w:color="000000" w:fill="BDD7EE"/>
            <w:noWrap/>
            <w:vAlign w:val="bottom"/>
            <w:hideMark/>
          </w:tcPr>
          <w:p w14:paraId="3CEBDC8C"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£m</w:t>
            </w:r>
          </w:p>
        </w:tc>
      </w:tr>
      <w:tr w:rsidR="00DF635B" w:rsidRPr="00DF635B" w14:paraId="17B4AB8C" w14:textId="77777777" w:rsidTr="00DF635B">
        <w:trPr>
          <w:trHeight w:val="300"/>
        </w:trPr>
        <w:tc>
          <w:tcPr>
            <w:tcW w:w="2980" w:type="dxa"/>
            <w:tcBorders>
              <w:top w:val="nil"/>
              <w:left w:val="single" w:sz="4" w:space="0" w:color="auto"/>
              <w:bottom w:val="single" w:sz="4" w:space="0" w:color="auto"/>
              <w:right w:val="nil"/>
            </w:tcBorders>
            <w:shd w:val="clear" w:color="auto" w:fill="auto"/>
            <w:noWrap/>
            <w:vAlign w:val="bottom"/>
            <w:hideMark/>
          </w:tcPr>
          <w:p w14:paraId="141E4061"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General Fund</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7987BD0"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5.300</w:t>
            </w:r>
          </w:p>
        </w:tc>
        <w:tc>
          <w:tcPr>
            <w:tcW w:w="1380" w:type="dxa"/>
            <w:tcBorders>
              <w:top w:val="nil"/>
              <w:left w:val="nil"/>
              <w:bottom w:val="single" w:sz="4" w:space="0" w:color="auto"/>
              <w:right w:val="nil"/>
            </w:tcBorders>
            <w:shd w:val="clear" w:color="auto" w:fill="auto"/>
            <w:noWrap/>
            <w:vAlign w:val="bottom"/>
            <w:hideMark/>
          </w:tcPr>
          <w:p w14:paraId="5FD2CBB4"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4DD9CDF"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5.300</w:t>
            </w:r>
          </w:p>
        </w:tc>
        <w:tc>
          <w:tcPr>
            <w:tcW w:w="1380" w:type="dxa"/>
            <w:tcBorders>
              <w:top w:val="nil"/>
              <w:left w:val="nil"/>
              <w:bottom w:val="single" w:sz="4" w:space="0" w:color="auto"/>
              <w:right w:val="single" w:sz="4" w:space="0" w:color="auto"/>
            </w:tcBorders>
            <w:shd w:val="clear" w:color="auto" w:fill="auto"/>
            <w:noWrap/>
            <w:vAlign w:val="bottom"/>
            <w:hideMark/>
          </w:tcPr>
          <w:p w14:paraId="34D7E0BE"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single" w:sz="4" w:space="0" w:color="auto"/>
              <w:right w:val="single" w:sz="4" w:space="0" w:color="auto"/>
            </w:tcBorders>
            <w:shd w:val="clear" w:color="auto" w:fill="auto"/>
            <w:noWrap/>
            <w:vAlign w:val="bottom"/>
            <w:hideMark/>
          </w:tcPr>
          <w:p w14:paraId="58D5A8AC"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5.300</w:t>
            </w:r>
          </w:p>
        </w:tc>
      </w:tr>
      <w:tr w:rsidR="00DF635B" w:rsidRPr="00DF635B" w14:paraId="1BD5A4E9"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0925E444"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single" w:sz="4" w:space="0" w:color="auto"/>
              <w:bottom w:val="nil"/>
              <w:right w:val="single" w:sz="4" w:space="0" w:color="auto"/>
            </w:tcBorders>
            <w:shd w:val="clear" w:color="auto" w:fill="auto"/>
            <w:noWrap/>
            <w:vAlign w:val="bottom"/>
            <w:hideMark/>
          </w:tcPr>
          <w:p w14:paraId="0DB2C658"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1E6FD5F1" w14:textId="77777777" w:rsidR="00DF635B" w:rsidRPr="00DF635B" w:rsidRDefault="00DF635B" w:rsidP="00DF635B">
            <w:pPr>
              <w:spacing w:after="0" w:line="240" w:lineRule="auto"/>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436F4C54"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1FCFFAD3"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08D62EFF"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r>
      <w:tr w:rsidR="00DF635B" w:rsidRPr="00DF635B" w14:paraId="2C1444E6"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6E2441ED"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Earmarked Revenue:</w:t>
            </w:r>
          </w:p>
        </w:tc>
        <w:tc>
          <w:tcPr>
            <w:tcW w:w="1380" w:type="dxa"/>
            <w:tcBorders>
              <w:top w:val="nil"/>
              <w:left w:val="single" w:sz="4" w:space="0" w:color="auto"/>
              <w:bottom w:val="nil"/>
              <w:right w:val="single" w:sz="4" w:space="0" w:color="auto"/>
            </w:tcBorders>
            <w:shd w:val="clear" w:color="auto" w:fill="auto"/>
            <w:noWrap/>
            <w:vAlign w:val="bottom"/>
            <w:hideMark/>
          </w:tcPr>
          <w:p w14:paraId="000225A6"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6D6B1137" w14:textId="77777777" w:rsidR="00DF635B" w:rsidRPr="00DF635B" w:rsidRDefault="00DF635B" w:rsidP="00DF635B">
            <w:pPr>
              <w:spacing w:after="0" w:line="240" w:lineRule="auto"/>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3F8068DD"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3C43ADB1"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0B6B3D1D"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r>
      <w:tr w:rsidR="00DF635B" w:rsidRPr="00DF635B" w14:paraId="596FA759"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20A3EA59"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Insurance</w:t>
            </w:r>
          </w:p>
        </w:tc>
        <w:tc>
          <w:tcPr>
            <w:tcW w:w="1380" w:type="dxa"/>
            <w:tcBorders>
              <w:top w:val="nil"/>
              <w:left w:val="single" w:sz="4" w:space="0" w:color="auto"/>
              <w:bottom w:val="nil"/>
              <w:right w:val="single" w:sz="4" w:space="0" w:color="auto"/>
            </w:tcBorders>
            <w:shd w:val="clear" w:color="auto" w:fill="auto"/>
            <w:noWrap/>
            <w:vAlign w:val="bottom"/>
            <w:hideMark/>
          </w:tcPr>
          <w:p w14:paraId="4B62140D"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3.624</w:t>
            </w:r>
          </w:p>
        </w:tc>
        <w:tc>
          <w:tcPr>
            <w:tcW w:w="1380" w:type="dxa"/>
            <w:tcBorders>
              <w:top w:val="nil"/>
              <w:left w:val="nil"/>
              <w:bottom w:val="nil"/>
              <w:right w:val="nil"/>
            </w:tcBorders>
            <w:shd w:val="clear" w:color="auto" w:fill="auto"/>
            <w:noWrap/>
            <w:vAlign w:val="bottom"/>
            <w:hideMark/>
          </w:tcPr>
          <w:p w14:paraId="0CA807A6" w14:textId="77777777" w:rsidR="00DF635B" w:rsidRPr="00DF635B" w:rsidRDefault="00DF635B" w:rsidP="00DF635B">
            <w:pPr>
              <w:spacing w:after="0" w:line="240" w:lineRule="auto"/>
              <w:jc w:val="right"/>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253A2560"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3.624</w:t>
            </w:r>
          </w:p>
        </w:tc>
        <w:tc>
          <w:tcPr>
            <w:tcW w:w="1380" w:type="dxa"/>
            <w:tcBorders>
              <w:top w:val="nil"/>
              <w:left w:val="nil"/>
              <w:bottom w:val="nil"/>
              <w:right w:val="single" w:sz="4" w:space="0" w:color="auto"/>
            </w:tcBorders>
            <w:shd w:val="clear" w:color="auto" w:fill="auto"/>
            <w:noWrap/>
            <w:vAlign w:val="bottom"/>
            <w:hideMark/>
          </w:tcPr>
          <w:p w14:paraId="42B8A4F3"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409CC649"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3.624</w:t>
            </w:r>
          </w:p>
        </w:tc>
      </w:tr>
      <w:tr w:rsidR="00DF635B" w:rsidRPr="00DF635B" w14:paraId="05185B6A"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2B73F074"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Operational Equipment</w:t>
            </w:r>
          </w:p>
        </w:tc>
        <w:tc>
          <w:tcPr>
            <w:tcW w:w="1380" w:type="dxa"/>
            <w:tcBorders>
              <w:top w:val="nil"/>
              <w:left w:val="single" w:sz="4" w:space="0" w:color="auto"/>
              <w:bottom w:val="nil"/>
              <w:right w:val="single" w:sz="4" w:space="0" w:color="auto"/>
            </w:tcBorders>
            <w:shd w:val="clear" w:color="auto" w:fill="auto"/>
            <w:noWrap/>
            <w:vAlign w:val="bottom"/>
            <w:hideMark/>
          </w:tcPr>
          <w:p w14:paraId="19DC53EE"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0.400</w:t>
            </w:r>
          </w:p>
        </w:tc>
        <w:tc>
          <w:tcPr>
            <w:tcW w:w="1380" w:type="dxa"/>
            <w:tcBorders>
              <w:top w:val="nil"/>
              <w:left w:val="nil"/>
              <w:bottom w:val="nil"/>
              <w:right w:val="nil"/>
            </w:tcBorders>
            <w:shd w:val="clear" w:color="auto" w:fill="auto"/>
            <w:noWrap/>
            <w:vAlign w:val="bottom"/>
            <w:hideMark/>
          </w:tcPr>
          <w:p w14:paraId="348C975F"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(0.200)</w:t>
            </w:r>
          </w:p>
        </w:tc>
        <w:tc>
          <w:tcPr>
            <w:tcW w:w="1380" w:type="dxa"/>
            <w:tcBorders>
              <w:top w:val="nil"/>
              <w:left w:val="single" w:sz="4" w:space="0" w:color="auto"/>
              <w:bottom w:val="nil"/>
              <w:right w:val="single" w:sz="4" w:space="0" w:color="auto"/>
            </w:tcBorders>
            <w:shd w:val="clear" w:color="auto" w:fill="auto"/>
            <w:noWrap/>
            <w:vAlign w:val="bottom"/>
            <w:hideMark/>
          </w:tcPr>
          <w:p w14:paraId="1097DD0C"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0.200</w:t>
            </w:r>
          </w:p>
        </w:tc>
        <w:tc>
          <w:tcPr>
            <w:tcW w:w="1380" w:type="dxa"/>
            <w:tcBorders>
              <w:top w:val="nil"/>
              <w:left w:val="nil"/>
              <w:bottom w:val="nil"/>
              <w:right w:val="single" w:sz="4" w:space="0" w:color="auto"/>
            </w:tcBorders>
            <w:shd w:val="clear" w:color="auto" w:fill="auto"/>
            <w:noWrap/>
            <w:vAlign w:val="bottom"/>
            <w:hideMark/>
          </w:tcPr>
          <w:p w14:paraId="2D07DE6A"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21EC662C"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0.200</w:t>
            </w:r>
          </w:p>
        </w:tc>
      </w:tr>
      <w:tr w:rsidR="00DF635B" w:rsidRPr="00DF635B" w14:paraId="09227E17"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1277922E"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Carry Forwards</w:t>
            </w:r>
          </w:p>
        </w:tc>
        <w:tc>
          <w:tcPr>
            <w:tcW w:w="1380" w:type="dxa"/>
            <w:tcBorders>
              <w:top w:val="nil"/>
              <w:left w:val="single" w:sz="4" w:space="0" w:color="auto"/>
              <w:bottom w:val="nil"/>
              <w:right w:val="single" w:sz="4" w:space="0" w:color="auto"/>
            </w:tcBorders>
            <w:shd w:val="clear" w:color="auto" w:fill="auto"/>
            <w:noWrap/>
            <w:vAlign w:val="bottom"/>
            <w:hideMark/>
          </w:tcPr>
          <w:p w14:paraId="102FA9AF"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0.200</w:t>
            </w:r>
          </w:p>
        </w:tc>
        <w:tc>
          <w:tcPr>
            <w:tcW w:w="1380" w:type="dxa"/>
            <w:tcBorders>
              <w:top w:val="nil"/>
              <w:left w:val="nil"/>
              <w:bottom w:val="nil"/>
              <w:right w:val="nil"/>
            </w:tcBorders>
            <w:shd w:val="clear" w:color="auto" w:fill="auto"/>
            <w:noWrap/>
            <w:vAlign w:val="bottom"/>
            <w:hideMark/>
          </w:tcPr>
          <w:p w14:paraId="0F8D502E"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(0.200)</w:t>
            </w:r>
          </w:p>
        </w:tc>
        <w:tc>
          <w:tcPr>
            <w:tcW w:w="1380" w:type="dxa"/>
            <w:tcBorders>
              <w:top w:val="nil"/>
              <w:left w:val="single" w:sz="4" w:space="0" w:color="auto"/>
              <w:bottom w:val="nil"/>
              <w:right w:val="single" w:sz="4" w:space="0" w:color="auto"/>
            </w:tcBorders>
            <w:shd w:val="clear" w:color="auto" w:fill="auto"/>
            <w:noWrap/>
            <w:vAlign w:val="bottom"/>
            <w:hideMark/>
          </w:tcPr>
          <w:p w14:paraId="3B49B1A1"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c>
          <w:tcPr>
            <w:tcW w:w="1380" w:type="dxa"/>
            <w:tcBorders>
              <w:top w:val="nil"/>
              <w:left w:val="nil"/>
              <w:bottom w:val="nil"/>
              <w:right w:val="single" w:sz="4" w:space="0" w:color="auto"/>
            </w:tcBorders>
            <w:shd w:val="clear" w:color="auto" w:fill="auto"/>
            <w:noWrap/>
            <w:vAlign w:val="bottom"/>
            <w:hideMark/>
          </w:tcPr>
          <w:p w14:paraId="15303AD1"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764D28C8"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r>
      <w:tr w:rsidR="00DF635B" w:rsidRPr="00DF635B" w14:paraId="09BA75D0"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0B4BEE88"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Pensions</w:t>
            </w:r>
          </w:p>
        </w:tc>
        <w:tc>
          <w:tcPr>
            <w:tcW w:w="1380" w:type="dxa"/>
            <w:tcBorders>
              <w:top w:val="nil"/>
              <w:left w:val="single" w:sz="4" w:space="0" w:color="auto"/>
              <w:bottom w:val="nil"/>
              <w:right w:val="single" w:sz="4" w:space="0" w:color="auto"/>
            </w:tcBorders>
            <w:shd w:val="clear" w:color="auto" w:fill="auto"/>
            <w:noWrap/>
            <w:vAlign w:val="bottom"/>
            <w:hideMark/>
          </w:tcPr>
          <w:p w14:paraId="7B0A9764"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0.215</w:t>
            </w:r>
          </w:p>
        </w:tc>
        <w:tc>
          <w:tcPr>
            <w:tcW w:w="1380" w:type="dxa"/>
            <w:tcBorders>
              <w:top w:val="nil"/>
              <w:left w:val="nil"/>
              <w:bottom w:val="nil"/>
              <w:right w:val="nil"/>
            </w:tcBorders>
            <w:shd w:val="clear" w:color="auto" w:fill="auto"/>
            <w:noWrap/>
            <w:vAlign w:val="bottom"/>
            <w:hideMark/>
          </w:tcPr>
          <w:p w14:paraId="605EDC2D" w14:textId="77777777" w:rsidR="00DF635B" w:rsidRPr="00DF635B" w:rsidRDefault="00DF635B" w:rsidP="00DF635B">
            <w:pPr>
              <w:spacing w:after="0" w:line="240" w:lineRule="auto"/>
              <w:jc w:val="right"/>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32318623"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0.215</w:t>
            </w:r>
          </w:p>
        </w:tc>
        <w:tc>
          <w:tcPr>
            <w:tcW w:w="1380" w:type="dxa"/>
            <w:tcBorders>
              <w:top w:val="nil"/>
              <w:left w:val="nil"/>
              <w:bottom w:val="nil"/>
              <w:right w:val="single" w:sz="4" w:space="0" w:color="auto"/>
            </w:tcBorders>
            <w:shd w:val="clear" w:color="auto" w:fill="auto"/>
            <w:noWrap/>
            <w:vAlign w:val="bottom"/>
            <w:hideMark/>
          </w:tcPr>
          <w:p w14:paraId="30F3B3C0"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104387B9"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0.215</w:t>
            </w:r>
          </w:p>
        </w:tc>
      </w:tr>
      <w:tr w:rsidR="00DF635B" w:rsidRPr="00DF635B" w14:paraId="3B231CAF"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5146697A"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Smoothing</w:t>
            </w:r>
          </w:p>
        </w:tc>
        <w:tc>
          <w:tcPr>
            <w:tcW w:w="1380" w:type="dxa"/>
            <w:tcBorders>
              <w:top w:val="nil"/>
              <w:left w:val="single" w:sz="4" w:space="0" w:color="auto"/>
              <w:bottom w:val="nil"/>
              <w:right w:val="single" w:sz="4" w:space="0" w:color="auto"/>
            </w:tcBorders>
            <w:shd w:val="clear" w:color="auto" w:fill="auto"/>
            <w:noWrap/>
            <w:vAlign w:val="bottom"/>
            <w:hideMark/>
          </w:tcPr>
          <w:p w14:paraId="15496103"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3.028</w:t>
            </w:r>
          </w:p>
        </w:tc>
        <w:tc>
          <w:tcPr>
            <w:tcW w:w="1380" w:type="dxa"/>
            <w:tcBorders>
              <w:top w:val="nil"/>
              <w:left w:val="nil"/>
              <w:bottom w:val="nil"/>
              <w:right w:val="nil"/>
            </w:tcBorders>
            <w:shd w:val="clear" w:color="auto" w:fill="auto"/>
            <w:noWrap/>
            <w:vAlign w:val="bottom"/>
            <w:hideMark/>
          </w:tcPr>
          <w:p w14:paraId="3B1B74F3"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(0.889)</w:t>
            </w:r>
          </w:p>
        </w:tc>
        <w:tc>
          <w:tcPr>
            <w:tcW w:w="1380" w:type="dxa"/>
            <w:tcBorders>
              <w:top w:val="nil"/>
              <w:left w:val="single" w:sz="4" w:space="0" w:color="auto"/>
              <w:bottom w:val="nil"/>
              <w:right w:val="single" w:sz="4" w:space="0" w:color="auto"/>
            </w:tcBorders>
            <w:shd w:val="clear" w:color="auto" w:fill="auto"/>
            <w:noWrap/>
            <w:vAlign w:val="bottom"/>
            <w:hideMark/>
          </w:tcPr>
          <w:p w14:paraId="27626559"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2.139</w:t>
            </w:r>
          </w:p>
        </w:tc>
        <w:tc>
          <w:tcPr>
            <w:tcW w:w="1380" w:type="dxa"/>
            <w:tcBorders>
              <w:top w:val="nil"/>
              <w:left w:val="nil"/>
              <w:bottom w:val="nil"/>
              <w:right w:val="single" w:sz="4" w:space="0" w:color="auto"/>
            </w:tcBorders>
            <w:shd w:val="clear" w:color="auto" w:fill="auto"/>
            <w:noWrap/>
            <w:vAlign w:val="bottom"/>
            <w:hideMark/>
          </w:tcPr>
          <w:p w14:paraId="04D6BD5C"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3D2B2479"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2.139</w:t>
            </w:r>
          </w:p>
        </w:tc>
      </w:tr>
      <w:tr w:rsidR="00DF635B" w:rsidRPr="00DF635B" w14:paraId="063E5BA9"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4D104089"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PFCC Initiatives</w:t>
            </w:r>
          </w:p>
        </w:tc>
        <w:tc>
          <w:tcPr>
            <w:tcW w:w="1380" w:type="dxa"/>
            <w:tcBorders>
              <w:top w:val="nil"/>
              <w:left w:val="single" w:sz="4" w:space="0" w:color="auto"/>
              <w:bottom w:val="nil"/>
              <w:right w:val="single" w:sz="4" w:space="0" w:color="auto"/>
            </w:tcBorders>
            <w:shd w:val="clear" w:color="auto" w:fill="auto"/>
            <w:noWrap/>
            <w:vAlign w:val="bottom"/>
            <w:hideMark/>
          </w:tcPr>
          <w:p w14:paraId="0388B53E"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3.908</w:t>
            </w:r>
          </w:p>
        </w:tc>
        <w:tc>
          <w:tcPr>
            <w:tcW w:w="1380" w:type="dxa"/>
            <w:tcBorders>
              <w:top w:val="nil"/>
              <w:left w:val="nil"/>
              <w:bottom w:val="nil"/>
              <w:right w:val="nil"/>
            </w:tcBorders>
            <w:shd w:val="clear" w:color="auto" w:fill="auto"/>
            <w:noWrap/>
            <w:vAlign w:val="bottom"/>
            <w:hideMark/>
          </w:tcPr>
          <w:p w14:paraId="2E9DCD76"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(1.240)</w:t>
            </w:r>
          </w:p>
        </w:tc>
        <w:tc>
          <w:tcPr>
            <w:tcW w:w="1380" w:type="dxa"/>
            <w:tcBorders>
              <w:top w:val="nil"/>
              <w:left w:val="single" w:sz="4" w:space="0" w:color="auto"/>
              <w:bottom w:val="nil"/>
              <w:right w:val="single" w:sz="4" w:space="0" w:color="auto"/>
            </w:tcBorders>
            <w:shd w:val="clear" w:color="auto" w:fill="auto"/>
            <w:noWrap/>
            <w:vAlign w:val="bottom"/>
            <w:hideMark/>
          </w:tcPr>
          <w:p w14:paraId="76DFFBB5"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2.668</w:t>
            </w:r>
          </w:p>
        </w:tc>
        <w:tc>
          <w:tcPr>
            <w:tcW w:w="1380" w:type="dxa"/>
            <w:tcBorders>
              <w:top w:val="nil"/>
              <w:left w:val="nil"/>
              <w:bottom w:val="nil"/>
              <w:right w:val="single" w:sz="4" w:space="0" w:color="auto"/>
            </w:tcBorders>
            <w:shd w:val="clear" w:color="auto" w:fill="auto"/>
            <w:noWrap/>
            <w:vAlign w:val="bottom"/>
            <w:hideMark/>
          </w:tcPr>
          <w:p w14:paraId="09C858C7"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(2.668)</w:t>
            </w:r>
          </w:p>
        </w:tc>
        <w:tc>
          <w:tcPr>
            <w:tcW w:w="1380" w:type="dxa"/>
            <w:tcBorders>
              <w:top w:val="nil"/>
              <w:left w:val="nil"/>
              <w:bottom w:val="nil"/>
              <w:right w:val="single" w:sz="4" w:space="0" w:color="auto"/>
            </w:tcBorders>
            <w:shd w:val="clear" w:color="auto" w:fill="auto"/>
            <w:noWrap/>
            <w:vAlign w:val="bottom"/>
            <w:hideMark/>
          </w:tcPr>
          <w:p w14:paraId="66026DE2"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r>
      <w:tr w:rsidR="00DF635B" w:rsidRPr="00DF635B" w14:paraId="08DB8247"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214F0CBB"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Transformation</w:t>
            </w:r>
          </w:p>
        </w:tc>
        <w:tc>
          <w:tcPr>
            <w:tcW w:w="1380" w:type="dxa"/>
            <w:tcBorders>
              <w:top w:val="nil"/>
              <w:left w:val="single" w:sz="4" w:space="0" w:color="auto"/>
              <w:bottom w:val="nil"/>
              <w:right w:val="single" w:sz="4" w:space="0" w:color="auto"/>
            </w:tcBorders>
            <w:shd w:val="clear" w:color="auto" w:fill="auto"/>
            <w:noWrap/>
            <w:vAlign w:val="bottom"/>
            <w:hideMark/>
          </w:tcPr>
          <w:p w14:paraId="70A82D75"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2.458</w:t>
            </w:r>
          </w:p>
        </w:tc>
        <w:tc>
          <w:tcPr>
            <w:tcW w:w="1380" w:type="dxa"/>
            <w:tcBorders>
              <w:top w:val="nil"/>
              <w:left w:val="nil"/>
              <w:bottom w:val="nil"/>
              <w:right w:val="nil"/>
            </w:tcBorders>
            <w:shd w:val="clear" w:color="auto" w:fill="auto"/>
            <w:noWrap/>
            <w:vAlign w:val="bottom"/>
            <w:hideMark/>
          </w:tcPr>
          <w:p w14:paraId="7EE4E54D"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(1.582)</w:t>
            </w:r>
          </w:p>
        </w:tc>
        <w:tc>
          <w:tcPr>
            <w:tcW w:w="1380" w:type="dxa"/>
            <w:tcBorders>
              <w:top w:val="nil"/>
              <w:left w:val="single" w:sz="4" w:space="0" w:color="auto"/>
              <w:bottom w:val="nil"/>
              <w:right w:val="single" w:sz="4" w:space="0" w:color="auto"/>
            </w:tcBorders>
            <w:shd w:val="clear" w:color="auto" w:fill="auto"/>
            <w:noWrap/>
            <w:vAlign w:val="bottom"/>
            <w:hideMark/>
          </w:tcPr>
          <w:p w14:paraId="2E3DA84B"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0.876</w:t>
            </w:r>
          </w:p>
        </w:tc>
        <w:tc>
          <w:tcPr>
            <w:tcW w:w="1380" w:type="dxa"/>
            <w:tcBorders>
              <w:top w:val="nil"/>
              <w:left w:val="nil"/>
              <w:bottom w:val="nil"/>
              <w:right w:val="single" w:sz="4" w:space="0" w:color="auto"/>
            </w:tcBorders>
            <w:shd w:val="clear" w:color="auto" w:fill="auto"/>
            <w:noWrap/>
            <w:vAlign w:val="bottom"/>
            <w:hideMark/>
          </w:tcPr>
          <w:p w14:paraId="0E6E1FB0"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(0.876)</w:t>
            </w:r>
          </w:p>
        </w:tc>
        <w:tc>
          <w:tcPr>
            <w:tcW w:w="1380" w:type="dxa"/>
            <w:tcBorders>
              <w:top w:val="nil"/>
              <w:left w:val="nil"/>
              <w:bottom w:val="nil"/>
              <w:right w:val="single" w:sz="4" w:space="0" w:color="auto"/>
            </w:tcBorders>
            <w:shd w:val="clear" w:color="auto" w:fill="auto"/>
            <w:noWrap/>
            <w:vAlign w:val="bottom"/>
            <w:hideMark/>
          </w:tcPr>
          <w:p w14:paraId="31C25FA1"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r>
      <w:tr w:rsidR="00DF635B" w:rsidRPr="00DF635B" w14:paraId="47A8F64C"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682188A6"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Safer Roads</w:t>
            </w:r>
          </w:p>
        </w:tc>
        <w:tc>
          <w:tcPr>
            <w:tcW w:w="1380" w:type="dxa"/>
            <w:tcBorders>
              <w:top w:val="nil"/>
              <w:left w:val="single" w:sz="4" w:space="0" w:color="auto"/>
              <w:bottom w:val="nil"/>
              <w:right w:val="single" w:sz="4" w:space="0" w:color="auto"/>
            </w:tcBorders>
            <w:shd w:val="clear" w:color="auto" w:fill="auto"/>
            <w:noWrap/>
            <w:vAlign w:val="bottom"/>
            <w:hideMark/>
          </w:tcPr>
          <w:p w14:paraId="6984449C"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0.501</w:t>
            </w:r>
          </w:p>
        </w:tc>
        <w:tc>
          <w:tcPr>
            <w:tcW w:w="1380" w:type="dxa"/>
            <w:tcBorders>
              <w:top w:val="nil"/>
              <w:left w:val="nil"/>
              <w:bottom w:val="nil"/>
              <w:right w:val="nil"/>
            </w:tcBorders>
            <w:shd w:val="clear" w:color="auto" w:fill="auto"/>
            <w:noWrap/>
            <w:vAlign w:val="bottom"/>
            <w:hideMark/>
          </w:tcPr>
          <w:p w14:paraId="1248FBA0"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(0.330)</w:t>
            </w:r>
          </w:p>
        </w:tc>
        <w:tc>
          <w:tcPr>
            <w:tcW w:w="1380" w:type="dxa"/>
            <w:tcBorders>
              <w:top w:val="nil"/>
              <w:left w:val="single" w:sz="4" w:space="0" w:color="auto"/>
              <w:bottom w:val="nil"/>
              <w:right w:val="single" w:sz="4" w:space="0" w:color="auto"/>
            </w:tcBorders>
            <w:shd w:val="clear" w:color="auto" w:fill="auto"/>
            <w:noWrap/>
            <w:vAlign w:val="bottom"/>
            <w:hideMark/>
          </w:tcPr>
          <w:p w14:paraId="14E9F2A2"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0.171</w:t>
            </w:r>
          </w:p>
        </w:tc>
        <w:tc>
          <w:tcPr>
            <w:tcW w:w="1380" w:type="dxa"/>
            <w:tcBorders>
              <w:top w:val="nil"/>
              <w:left w:val="nil"/>
              <w:bottom w:val="nil"/>
              <w:right w:val="single" w:sz="4" w:space="0" w:color="auto"/>
            </w:tcBorders>
            <w:shd w:val="clear" w:color="auto" w:fill="auto"/>
            <w:noWrap/>
            <w:vAlign w:val="bottom"/>
            <w:hideMark/>
          </w:tcPr>
          <w:p w14:paraId="6E0DEB98"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(0.171)</w:t>
            </w:r>
          </w:p>
        </w:tc>
        <w:tc>
          <w:tcPr>
            <w:tcW w:w="1380" w:type="dxa"/>
            <w:tcBorders>
              <w:top w:val="nil"/>
              <w:left w:val="nil"/>
              <w:bottom w:val="nil"/>
              <w:right w:val="single" w:sz="4" w:space="0" w:color="auto"/>
            </w:tcBorders>
            <w:shd w:val="clear" w:color="auto" w:fill="auto"/>
            <w:noWrap/>
            <w:vAlign w:val="bottom"/>
            <w:hideMark/>
          </w:tcPr>
          <w:p w14:paraId="27140FA5"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r>
      <w:tr w:rsidR="00DF635B" w:rsidRPr="00DF635B" w14:paraId="3CB6227E"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37FD94C8"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Neighbourhood</w:t>
            </w:r>
          </w:p>
        </w:tc>
        <w:tc>
          <w:tcPr>
            <w:tcW w:w="1380" w:type="dxa"/>
            <w:tcBorders>
              <w:top w:val="nil"/>
              <w:left w:val="single" w:sz="4" w:space="0" w:color="auto"/>
              <w:bottom w:val="nil"/>
              <w:right w:val="single" w:sz="4" w:space="0" w:color="auto"/>
            </w:tcBorders>
            <w:shd w:val="clear" w:color="auto" w:fill="auto"/>
            <w:noWrap/>
            <w:vAlign w:val="bottom"/>
            <w:hideMark/>
          </w:tcPr>
          <w:p w14:paraId="164187F6"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3.937</w:t>
            </w:r>
          </w:p>
        </w:tc>
        <w:tc>
          <w:tcPr>
            <w:tcW w:w="1380" w:type="dxa"/>
            <w:tcBorders>
              <w:top w:val="nil"/>
              <w:left w:val="nil"/>
              <w:bottom w:val="nil"/>
              <w:right w:val="nil"/>
            </w:tcBorders>
            <w:shd w:val="clear" w:color="auto" w:fill="auto"/>
            <w:noWrap/>
            <w:vAlign w:val="bottom"/>
            <w:hideMark/>
          </w:tcPr>
          <w:p w14:paraId="6B09B0E5"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(2.363)</w:t>
            </w:r>
          </w:p>
        </w:tc>
        <w:tc>
          <w:tcPr>
            <w:tcW w:w="1380" w:type="dxa"/>
            <w:tcBorders>
              <w:top w:val="nil"/>
              <w:left w:val="single" w:sz="4" w:space="0" w:color="auto"/>
              <w:bottom w:val="nil"/>
              <w:right w:val="single" w:sz="4" w:space="0" w:color="auto"/>
            </w:tcBorders>
            <w:shd w:val="clear" w:color="auto" w:fill="auto"/>
            <w:noWrap/>
            <w:vAlign w:val="bottom"/>
            <w:hideMark/>
          </w:tcPr>
          <w:p w14:paraId="6DD43ACC"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1.574</w:t>
            </w:r>
          </w:p>
        </w:tc>
        <w:tc>
          <w:tcPr>
            <w:tcW w:w="1380" w:type="dxa"/>
            <w:tcBorders>
              <w:top w:val="nil"/>
              <w:left w:val="nil"/>
              <w:bottom w:val="nil"/>
              <w:right w:val="single" w:sz="4" w:space="0" w:color="auto"/>
            </w:tcBorders>
            <w:shd w:val="clear" w:color="auto" w:fill="auto"/>
            <w:noWrap/>
            <w:vAlign w:val="bottom"/>
            <w:hideMark/>
          </w:tcPr>
          <w:p w14:paraId="01E09CD3"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20ECEFBE"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1.574</w:t>
            </w:r>
          </w:p>
        </w:tc>
      </w:tr>
      <w:tr w:rsidR="00DF635B" w:rsidRPr="00DF635B" w14:paraId="4631856A" w14:textId="77777777" w:rsidTr="00DF635B">
        <w:trPr>
          <w:trHeight w:val="30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61DC8"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Total Earmarked</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CC14B9D"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18.271</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E7E843B"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(6.804)</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6A375C5"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11.467</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7E9D218"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(3.715)</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102DC028"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7.752</w:t>
            </w:r>
          </w:p>
        </w:tc>
      </w:tr>
      <w:tr w:rsidR="00DF635B" w:rsidRPr="00DF635B" w14:paraId="220BF887"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74D806E6"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single" w:sz="4" w:space="0" w:color="auto"/>
              <w:bottom w:val="nil"/>
              <w:right w:val="single" w:sz="4" w:space="0" w:color="auto"/>
            </w:tcBorders>
            <w:shd w:val="clear" w:color="auto" w:fill="auto"/>
            <w:noWrap/>
            <w:vAlign w:val="bottom"/>
            <w:hideMark/>
          </w:tcPr>
          <w:p w14:paraId="1E8DAC21"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3C112A28" w14:textId="77777777" w:rsidR="00DF635B" w:rsidRPr="00DF635B" w:rsidRDefault="00DF635B" w:rsidP="00DF635B">
            <w:pPr>
              <w:spacing w:after="0" w:line="240" w:lineRule="auto"/>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798B14E6"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67ADA99F"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0C513286"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r>
      <w:tr w:rsidR="00DF635B" w:rsidRPr="00DF635B" w14:paraId="40261D6E"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404A0F36"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Collaboration</w:t>
            </w:r>
          </w:p>
        </w:tc>
        <w:tc>
          <w:tcPr>
            <w:tcW w:w="1380" w:type="dxa"/>
            <w:tcBorders>
              <w:top w:val="nil"/>
              <w:left w:val="single" w:sz="4" w:space="0" w:color="auto"/>
              <w:bottom w:val="nil"/>
              <w:right w:val="single" w:sz="4" w:space="0" w:color="auto"/>
            </w:tcBorders>
            <w:shd w:val="clear" w:color="auto" w:fill="auto"/>
            <w:noWrap/>
            <w:vAlign w:val="bottom"/>
            <w:hideMark/>
          </w:tcPr>
          <w:p w14:paraId="74365EFC"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0.575</w:t>
            </w:r>
          </w:p>
        </w:tc>
        <w:tc>
          <w:tcPr>
            <w:tcW w:w="1380" w:type="dxa"/>
            <w:tcBorders>
              <w:top w:val="nil"/>
              <w:left w:val="nil"/>
              <w:bottom w:val="nil"/>
              <w:right w:val="nil"/>
            </w:tcBorders>
            <w:shd w:val="clear" w:color="auto" w:fill="auto"/>
            <w:noWrap/>
            <w:vAlign w:val="bottom"/>
            <w:hideMark/>
          </w:tcPr>
          <w:p w14:paraId="64E6D79D" w14:textId="77777777" w:rsidR="00DF635B" w:rsidRPr="00DF635B" w:rsidRDefault="00DF635B" w:rsidP="00DF635B">
            <w:pPr>
              <w:spacing w:after="0" w:line="240" w:lineRule="auto"/>
              <w:jc w:val="right"/>
              <w:rPr>
                <w:rFonts w:eastAsia="Times New Roman" w:cs="Calibri"/>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06EA9BCC"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0.575</w:t>
            </w:r>
          </w:p>
        </w:tc>
        <w:tc>
          <w:tcPr>
            <w:tcW w:w="1380" w:type="dxa"/>
            <w:tcBorders>
              <w:top w:val="nil"/>
              <w:left w:val="nil"/>
              <w:bottom w:val="nil"/>
              <w:right w:val="single" w:sz="4" w:space="0" w:color="auto"/>
            </w:tcBorders>
            <w:shd w:val="clear" w:color="auto" w:fill="auto"/>
            <w:noWrap/>
            <w:vAlign w:val="bottom"/>
            <w:hideMark/>
          </w:tcPr>
          <w:p w14:paraId="71679AF4"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(0.575)</w:t>
            </w:r>
          </w:p>
        </w:tc>
        <w:tc>
          <w:tcPr>
            <w:tcW w:w="1380" w:type="dxa"/>
            <w:tcBorders>
              <w:top w:val="nil"/>
              <w:left w:val="nil"/>
              <w:bottom w:val="nil"/>
              <w:right w:val="single" w:sz="4" w:space="0" w:color="auto"/>
            </w:tcBorders>
            <w:shd w:val="clear" w:color="auto" w:fill="auto"/>
            <w:noWrap/>
            <w:vAlign w:val="bottom"/>
            <w:hideMark/>
          </w:tcPr>
          <w:p w14:paraId="2EB0652C"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r>
      <w:tr w:rsidR="00DF635B" w:rsidRPr="00DF635B" w14:paraId="79E7833F" w14:textId="77777777" w:rsidTr="00DF635B">
        <w:trPr>
          <w:trHeight w:val="300"/>
        </w:trPr>
        <w:tc>
          <w:tcPr>
            <w:tcW w:w="2980" w:type="dxa"/>
            <w:tcBorders>
              <w:top w:val="single" w:sz="4" w:space="0" w:color="auto"/>
              <w:left w:val="single" w:sz="4" w:space="0" w:color="auto"/>
              <w:bottom w:val="single" w:sz="4" w:space="0" w:color="auto"/>
              <w:right w:val="nil"/>
            </w:tcBorders>
            <w:shd w:val="clear" w:color="auto" w:fill="auto"/>
            <w:noWrap/>
            <w:vAlign w:val="bottom"/>
            <w:hideMark/>
          </w:tcPr>
          <w:p w14:paraId="1143D3A4"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Total Revenue</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AE369"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18.846</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C933320"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(6.804)</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61D0F65"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12.042</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3E45515"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(4.290)</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9A0D3BC"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7.752</w:t>
            </w:r>
          </w:p>
        </w:tc>
      </w:tr>
      <w:tr w:rsidR="00DF635B" w:rsidRPr="00DF635B" w14:paraId="660AD92B"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41A311AE"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single" w:sz="4" w:space="0" w:color="auto"/>
              <w:bottom w:val="nil"/>
              <w:right w:val="single" w:sz="4" w:space="0" w:color="auto"/>
            </w:tcBorders>
            <w:shd w:val="clear" w:color="auto" w:fill="auto"/>
            <w:noWrap/>
            <w:vAlign w:val="bottom"/>
            <w:hideMark/>
          </w:tcPr>
          <w:p w14:paraId="27EA1B8D"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5B2FB3CF" w14:textId="77777777" w:rsidR="00DF635B" w:rsidRPr="00DF635B" w:rsidRDefault="00DF635B" w:rsidP="00DF635B">
            <w:pPr>
              <w:spacing w:after="0" w:line="240" w:lineRule="auto"/>
              <w:jc w:val="right"/>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5011DFE5"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58C729E8"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6B9FA1B0"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 </w:t>
            </w:r>
          </w:p>
        </w:tc>
      </w:tr>
      <w:tr w:rsidR="00DF635B" w:rsidRPr="00DF635B" w14:paraId="54FD20BE"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493A26C1"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Capital:</w:t>
            </w:r>
          </w:p>
        </w:tc>
        <w:tc>
          <w:tcPr>
            <w:tcW w:w="1380" w:type="dxa"/>
            <w:tcBorders>
              <w:top w:val="nil"/>
              <w:left w:val="single" w:sz="4" w:space="0" w:color="auto"/>
              <w:bottom w:val="nil"/>
              <w:right w:val="single" w:sz="4" w:space="0" w:color="auto"/>
            </w:tcBorders>
            <w:shd w:val="clear" w:color="auto" w:fill="auto"/>
            <w:noWrap/>
            <w:vAlign w:val="bottom"/>
            <w:hideMark/>
          </w:tcPr>
          <w:p w14:paraId="56ED95AD"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7393E656" w14:textId="77777777" w:rsidR="00DF635B" w:rsidRPr="00DF635B" w:rsidRDefault="00DF635B" w:rsidP="00DF635B">
            <w:pPr>
              <w:spacing w:after="0" w:line="240" w:lineRule="auto"/>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0BF85EF1"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525EF407"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1FC49E64"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r>
      <w:tr w:rsidR="00DF635B" w:rsidRPr="00DF635B" w14:paraId="205E2814"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0DDDFEA1"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Capital Reserve</w:t>
            </w:r>
          </w:p>
        </w:tc>
        <w:tc>
          <w:tcPr>
            <w:tcW w:w="1380" w:type="dxa"/>
            <w:tcBorders>
              <w:top w:val="nil"/>
              <w:left w:val="single" w:sz="4" w:space="0" w:color="auto"/>
              <w:bottom w:val="nil"/>
              <w:right w:val="single" w:sz="4" w:space="0" w:color="auto"/>
            </w:tcBorders>
            <w:shd w:val="clear" w:color="auto" w:fill="auto"/>
            <w:noWrap/>
            <w:vAlign w:val="bottom"/>
            <w:hideMark/>
          </w:tcPr>
          <w:p w14:paraId="187E25A8"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0.077</w:t>
            </w:r>
          </w:p>
        </w:tc>
        <w:tc>
          <w:tcPr>
            <w:tcW w:w="1380" w:type="dxa"/>
            <w:tcBorders>
              <w:top w:val="nil"/>
              <w:left w:val="nil"/>
              <w:bottom w:val="nil"/>
              <w:right w:val="nil"/>
            </w:tcBorders>
            <w:shd w:val="clear" w:color="auto" w:fill="auto"/>
            <w:noWrap/>
            <w:vAlign w:val="bottom"/>
            <w:hideMark/>
          </w:tcPr>
          <w:p w14:paraId="3A77563A" w14:textId="77777777" w:rsidR="00DF635B" w:rsidRPr="00DF635B" w:rsidRDefault="00DF635B" w:rsidP="00DF635B">
            <w:pPr>
              <w:spacing w:after="0" w:line="240" w:lineRule="auto"/>
              <w:jc w:val="right"/>
              <w:rPr>
                <w:rFonts w:eastAsia="Times New Roman" w:cs="Calibri"/>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0F33D1C1"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0.077</w:t>
            </w:r>
          </w:p>
        </w:tc>
        <w:tc>
          <w:tcPr>
            <w:tcW w:w="1380" w:type="dxa"/>
            <w:tcBorders>
              <w:top w:val="nil"/>
              <w:left w:val="nil"/>
              <w:bottom w:val="nil"/>
              <w:right w:val="single" w:sz="4" w:space="0" w:color="auto"/>
            </w:tcBorders>
            <w:shd w:val="clear" w:color="auto" w:fill="auto"/>
            <w:noWrap/>
            <w:vAlign w:val="bottom"/>
            <w:hideMark/>
          </w:tcPr>
          <w:p w14:paraId="5202950E"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(0.077)</w:t>
            </w:r>
          </w:p>
        </w:tc>
        <w:tc>
          <w:tcPr>
            <w:tcW w:w="1380" w:type="dxa"/>
            <w:tcBorders>
              <w:top w:val="nil"/>
              <w:left w:val="nil"/>
              <w:bottom w:val="nil"/>
              <w:right w:val="single" w:sz="4" w:space="0" w:color="auto"/>
            </w:tcBorders>
            <w:shd w:val="clear" w:color="auto" w:fill="auto"/>
            <w:noWrap/>
            <w:vAlign w:val="bottom"/>
            <w:hideMark/>
          </w:tcPr>
          <w:p w14:paraId="481D1FEA"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r>
      <w:tr w:rsidR="00DF635B" w:rsidRPr="00DF635B" w14:paraId="2B9BC413"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57345976"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S106 Developer Contributions</w:t>
            </w:r>
          </w:p>
        </w:tc>
        <w:tc>
          <w:tcPr>
            <w:tcW w:w="1380" w:type="dxa"/>
            <w:tcBorders>
              <w:top w:val="nil"/>
              <w:left w:val="single" w:sz="4" w:space="0" w:color="auto"/>
              <w:bottom w:val="nil"/>
              <w:right w:val="single" w:sz="4" w:space="0" w:color="auto"/>
            </w:tcBorders>
            <w:shd w:val="clear" w:color="auto" w:fill="auto"/>
            <w:noWrap/>
            <w:vAlign w:val="bottom"/>
            <w:hideMark/>
          </w:tcPr>
          <w:p w14:paraId="0E58E7AD"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0.191</w:t>
            </w:r>
          </w:p>
        </w:tc>
        <w:tc>
          <w:tcPr>
            <w:tcW w:w="1380" w:type="dxa"/>
            <w:tcBorders>
              <w:top w:val="nil"/>
              <w:left w:val="nil"/>
              <w:bottom w:val="nil"/>
              <w:right w:val="nil"/>
            </w:tcBorders>
            <w:shd w:val="clear" w:color="auto" w:fill="auto"/>
            <w:noWrap/>
            <w:vAlign w:val="bottom"/>
            <w:hideMark/>
          </w:tcPr>
          <w:p w14:paraId="03BC893B"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(0.191)</w:t>
            </w:r>
          </w:p>
        </w:tc>
        <w:tc>
          <w:tcPr>
            <w:tcW w:w="1380" w:type="dxa"/>
            <w:tcBorders>
              <w:top w:val="nil"/>
              <w:left w:val="single" w:sz="4" w:space="0" w:color="auto"/>
              <w:bottom w:val="nil"/>
              <w:right w:val="single" w:sz="4" w:space="0" w:color="auto"/>
            </w:tcBorders>
            <w:shd w:val="clear" w:color="auto" w:fill="auto"/>
            <w:noWrap/>
            <w:vAlign w:val="bottom"/>
            <w:hideMark/>
          </w:tcPr>
          <w:p w14:paraId="72E94471"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c>
          <w:tcPr>
            <w:tcW w:w="1380" w:type="dxa"/>
            <w:tcBorders>
              <w:top w:val="nil"/>
              <w:left w:val="nil"/>
              <w:bottom w:val="nil"/>
              <w:right w:val="single" w:sz="4" w:space="0" w:color="auto"/>
            </w:tcBorders>
            <w:shd w:val="clear" w:color="auto" w:fill="auto"/>
            <w:noWrap/>
            <w:vAlign w:val="bottom"/>
            <w:hideMark/>
          </w:tcPr>
          <w:p w14:paraId="79F3A31A"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12C5069F"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r>
      <w:tr w:rsidR="00DF635B" w:rsidRPr="00DF635B" w14:paraId="6C439D2F" w14:textId="77777777" w:rsidTr="00DF635B">
        <w:trPr>
          <w:trHeight w:val="300"/>
        </w:trPr>
        <w:tc>
          <w:tcPr>
            <w:tcW w:w="2980" w:type="dxa"/>
            <w:tcBorders>
              <w:top w:val="single" w:sz="4" w:space="0" w:color="auto"/>
              <w:left w:val="single" w:sz="4" w:space="0" w:color="auto"/>
              <w:bottom w:val="single" w:sz="4" w:space="0" w:color="auto"/>
              <w:right w:val="nil"/>
            </w:tcBorders>
            <w:shd w:val="clear" w:color="auto" w:fill="auto"/>
            <w:noWrap/>
            <w:vAlign w:val="bottom"/>
            <w:hideMark/>
          </w:tcPr>
          <w:p w14:paraId="11BDDD3B"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Total Capital</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CC91F"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0.268</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01C75F1"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(0.191)</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7EE5638E"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0.077</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412949F4"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(0.077)</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806E9C8"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r>
      <w:tr w:rsidR="00DF635B" w:rsidRPr="00DF635B" w14:paraId="71F95A9F" w14:textId="77777777" w:rsidTr="00DF635B">
        <w:trPr>
          <w:trHeight w:val="300"/>
        </w:trPr>
        <w:tc>
          <w:tcPr>
            <w:tcW w:w="2980" w:type="dxa"/>
            <w:tcBorders>
              <w:top w:val="nil"/>
              <w:left w:val="single" w:sz="4" w:space="0" w:color="auto"/>
              <w:bottom w:val="single" w:sz="4" w:space="0" w:color="auto"/>
              <w:right w:val="nil"/>
            </w:tcBorders>
            <w:shd w:val="clear" w:color="auto" w:fill="auto"/>
            <w:noWrap/>
            <w:vAlign w:val="bottom"/>
            <w:hideMark/>
          </w:tcPr>
          <w:p w14:paraId="78F1F3C1"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52131AA"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single" w:sz="4" w:space="0" w:color="auto"/>
              <w:right w:val="nil"/>
            </w:tcBorders>
            <w:shd w:val="clear" w:color="auto" w:fill="auto"/>
            <w:noWrap/>
            <w:vAlign w:val="bottom"/>
            <w:hideMark/>
          </w:tcPr>
          <w:p w14:paraId="157B3F05"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42D6AD3"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single" w:sz="4" w:space="0" w:color="auto"/>
              <w:right w:val="single" w:sz="4" w:space="0" w:color="auto"/>
            </w:tcBorders>
            <w:shd w:val="clear" w:color="auto" w:fill="auto"/>
            <w:noWrap/>
            <w:vAlign w:val="bottom"/>
            <w:hideMark/>
          </w:tcPr>
          <w:p w14:paraId="4D67E97B"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single" w:sz="4" w:space="0" w:color="auto"/>
              <w:right w:val="single" w:sz="4" w:space="0" w:color="auto"/>
            </w:tcBorders>
            <w:shd w:val="clear" w:color="auto" w:fill="auto"/>
            <w:noWrap/>
            <w:vAlign w:val="bottom"/>
            <w:hideMark/>
          </w:tcPr>
          <w:p w14:paraId="267502CE"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r>
      <w:tr w:rsidR="00DF635B" w:rsidRPr="00DF635B" w14:paraId="514ED114" w14:textId="77777777" w:rsidTr="00DF635B">
        <w:trPr>
          <w:trHeight w:val="300"/>
        </w:trPr>
        <w:tc>
          <w:tcPr>
            <w:tcW w:w="2980" w:type="dxa"/>
            <w:tcBorders>
              <w:top w:val="nil"/>
              <w:left w:val="single" w:sz="4" w:space="0" w:color="auto"/>
              <w:bottom w:val="single" w:sz="4" w:space="0" w:color="auto"/>
              <w:right w:val="nil"/>
            </w:tcBorders>
            <w:shd w:val="clear" w:color="auto" w:fill="auto"/>
            <w:noWrap/>
            <w:vAlign w:val="bottom"/>
            <w:hideMark/>
          </w:tcPr>
          <w:p w14:paraId="06167209"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Total Reserves</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62188E1"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24.414</w:t>
            </w:r>
          </w:p>
        </w:tc>
        <w:tc>
          <w:tcPr>
            <w:tcW w:w="1380" w:type="dxa"/>
            <w:tcBorders>
              <w:top w:val="nil"/>
              <w:left w:val="nil"/>
              <w:bottom w:val="single" w:sz="4" w:space="0" w:color="auto"/>
              <w:right w:val="single" w:sz="4" w:space="0" w:color="auto"/>
            </w:tcBorders>
            <w:shd w:val="clear" w:color="auto" w:fill="auto"/>
            <w:noWrap/>
            <w:vAlign w:val="bottom"/>
            <w:hideMark/>
          </w:tcPr>
          <w:p w14:paraId="6F8CEFC2"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(6.995)</w:t>
            </w:r>
          </w:p>
        </w:tc>
        <w:tc>
          <w:tcPr>
            <w:tcW w:w="1380" w:type="dxa"/>
            <w:tcBorders>
              <w:top w:val="nil"/>
              <w:left w:val="nil"/>
              <w:bottom w:val="single" w:sz="4" w:space="0" w:color="auto"/>
              <w:right w:val="single" w:sz="4" w:space="0" w:color="auto"/>
            </w:tcBorders>
            <w:shd w:val="clear" w:color="auto" w:fill="auto"/>
            <w:noWrap/>
            <w:vAlign w:val="bottom"/>
            <w:hideMark/>
          </w:tcPr>
          <w:p w14:paraId="0CD6E562"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17.419</w:t>
            </w:r>
          </w:p>
        </w:tc>
        <w:tc>
          <w:tcPr>
            <w:tcW w:w="1380" w:type="dxa"/>
            <w:tcBorders>
              <w:top w:val="nil"/>
              <w:left w:val="nil"/>
              <w:bottom w:val="single" w:sz="4" w:space="0" w:color="auto"/>
              <w:right w:val="single" w:sz="4" w:space="0" w:color="auto"/>
            </w:tcBorders>
            <w:shd w:val="clear" w:color="auto" w:fill="auto"/>
            <w:noWrap/>
            <w:vAlign w:val="bottom"/>
            <w:hideMark/>
          </w:tcPr>
          <w:p w14:paraId="2B2A967A"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(4.367)</w:t>
            </w:r>
          </w:p>
        </w:tc>
        <w:tc>
          <w:tcPr>
            <w:tcW w:w="1380" w:type="dxa"/>
            <w:tcBorders>
              <w:top w:val="nil"/>
              <w:left w:val="nil"/>
              <w:bottom w:val="single" w:sz="4" w:space="0" w:color="auto"/>
              <w:right w:val="single" w:sz="4" w:space="0" w:color="auto"/>
            </w:tcBorders>
            <w:shd w:val="clear" w:color="auto" w:fill="auto"/>
            <w:noWrap/>
            <w:vAlign w:val="bottom"/>
            <w:hideMark/>
          </w:tcPr>
          <w:p w14:paraId="1BDB90CD"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13.052</w:t>
            </w:r>
          </w:p>
        </w:tc>
      </w:tr>
    </w:tbl>
    <w:p w14:paraId="1C52314A" w14:textId="77777777" w:rsidR="008A7480" w:rsidRDefault="008A7480" w:rsidP="00DF635B">
      <w:pPr>
        <w:spacing w:after="0" w:line="240" w:lineRule="auto"/>
        <w:jc w:val="both"/>
        <w:rPr>
          <w:rFonts w:ascii="Arial" w:eastAsia="Times New Roman" w:hAnsi="Arial" w:cs="Arial"/>
          <w:bCs/>
          <w:i/>
          <w:iCs/>
        </w:rPr>
      </w:pPr>
      <w:bookmarkStart w:id="28" w:name="_Hlk156922954"/>
    </w:p>
    <w:p w14:paraId="22FAA87F" w14:textId="5DB8F9C0" w:rsidR="00DC1AAF" w:rsidRPr="008A7480" w:rsidRDefault="00DC1AAF" w:rsidP="00DF635B">
      <w:pPr>
        <w:spacing w:after="0" w:line="240" w:lineRule="auto"/>
        <w:jc w:val="both"/>
        <w:rPr>
          <w:rFonts w:ascii="Arial" w:eastAsia="Times New Roman" w:hAnsi="Arial" w:cs="Arial"/>
          <w:bCs/>
          <w:i/>
          <w:iCs/>
        </w:rPr>
      </w:pPr>
      <w:r w:rsidRPr="008A7480">
        <w:rPr>
          <w:rFonts w:ascii="Arial" w:eastAsia="Times New Roman" w:hAnsi="Arial" w:cs="Arial"/>
          <w:bCs/>
          <w:i/>
          <w:iCs/>
        </w:rPr>
        <w:t>Note: numbers may not sum due to rounding</w:t>
      </w:r>
    </w:p>
    <w:bookmarkEnd w:id="28"/>
    <w:p w14:paraId="0FD80AC7" w14:textId="41EE14D1" w:rsidR="008A7480" w:rsidRDefault="008A7480" w:rsidP="00D52E21">
      <w:pPr>
        <w:spacing w:after="0" w:line="240" w:lineRule="auto"/>
        <w:jc w:val="both"/>
        <w:rPr>
          <w:rFonts w:ascii="Arial" w:eastAsia="Times New Roman" w:hAnsi="Arial" w:cs="Arial"/>
          <w:b/>
          <w:sz w:val="24"/>
          <w:szCs w:val="24"/>
          <w:highlight w:val="yellow"/>
        </w:rPr>
      </w:pPr>
    </w:p>
    <w:p w14:paraId="65A17B60" w14:textId="7F070FD3" w:rsidR="00D52E21" w:rsidRDefault="00D52E21" w:rsidP="00D52E21">
      <w:pPr>
        <w:spacing w:after="0" w:line="240" w:lineRule="auto"/>
        <w:jc w:val="both"/>
        <w:rPr>
          <w:rFonts w:ascii="Arial" w:eastAsia="Times New Roman" w:hAnsi="Arial" w:cs="Arial"/>
          <w:b/>
          <w:sz w:val="24"/>
          <w:szCs w:val="24"/>
          <w:highlight w:val="yellow"/>
        </w:rPr>
      </w:pPr>
    </w:p>
    <w:p w14:paraId="4CF71ED1" w14:textId="1306DFF6" w:rsidR="00D52E21" w:rsidRDefault="00D52E21" w:rsidP="00D52E21">
      <w:pPr>
        <w:spacing w:after="0" w:line="240" w:lineRule="auto"/>
        <w:jc w:val="both"/>
        <w:rPr>
          <w:rFonts w:ascii="Arial" w:eastAsia="Times New Roman" w:hAnsi="Arial" w:cs="Arial"/>
          <w:b/>
          <w:sz w:val="24"/>
          <w:szCs w:val="24"/>
          <w:highlight w:val="yellow"/>
        </w:rPr>
      </w:pPr>
    </w:p>
    <w:p w14:paraId="09CA8A55" w14:textId="77777777" w:rsidR="00D52E21" w:rsidRPr="008722B8" w:rsidRDefault="00D52E21" w:rsidP="00D52E21">
      <w:pPr>
        <w:spacing w:after="0" w:line="240" w:lineRule="auto"/>
        <w:jc w:val="both"/>
        <w:rPr>
          <w:rFonts w:ascii="Arial" w:eastAsia="Times New Roman" w:hAnsi="Arial" w:cs="Arial"/>
          <w:b/>
          <w:sz w:val="24"/>
          <w:szCs w:val="24"/>
          <w:highlight w:val="yellow"/>
        </w:rPr>
      </w:pPr>
    </w:p>
    <w:p w14:paraId="2BBA143B" w14:textId="6F965A25" w:rsidR="00DC1AAF" w:rsidRPr="008722B8" w:rsidRDefault="00DC1AAF" w:rsidP="008722B8">
      <w:pPr>
        <w:pStyle w:val="ReservesHeading"/>
      </w:pPr>
      <w:bookmarkStart w:id="29" w:name="_Hlk156923085"/>
      <w:r w:rsidRPr="008722B8">
        <w:t>General Reserve</w:t>
      </w:r>
    </w:p>
    <w:p w14:paraId="4C2D8F53" w14:textId="606F291E" w:rsidR="00DC1AAF" w:rsidRPr="008722B8" w:rsidRDefault="00DC1AAF" w:rsidP="008722B8">
      <w:pPr>
        <w:pStyle w:val="ReservesBody"/>
      </w:pPr>
      <w:bookmarkStart w:id="30" w:name="_Hlk156923135"/>
      <w:bookmarkEnd w:id="29"/>
      <w:r w:rsidRPr="008722B8">
        <w:t xml:space="preserve">In order to assess the adequacy of the unallocated general reserve when setting the budget, the PFCC, on the advice of the two Chief Finance Officers, should take account of the strategic, operational and financial risks facing the authority. </w:t>
      </w:r>
      <w:r w:rsidR="00DF635B" w:rsidRPr="008722B8">
        <w:t xml:space="preserve"> </w:t>
      </w:r>
      <w:r w:rsidRPr="008722B8">
        <w:t xml:space="preserve">This assessment of risk should include external risks, as well as internal risks, for example the ability to deliver planned efficiency savings. </w:t>
      </w:r>
    </w:p>
    <w:p w14:paraId="598A972F" w14:textId="62C1D0F4" w:rsidR="00DC1AAF" w:rsidRPr="008722B8" w:rsidRDefault="00DC1AAF" w:rsidP="008722B8">
      <w:pPr>
        <w:pStyle w:val="ReservesBody"/>
      </w:pPr>
      <w:r w:rsidRPr="008722B8">
        <w:t xml:space="preserve">Whilst there is no prescribed level of reserves that PFCCs should hold; it is influenced by individual discretion, local circumstances, advice from external auditors, risk management arrangements and risk appetite. </w:t>
      </w:r>
      <w:r w:rsidR="00DF635B" w:rsidRPr="008722B8">
        <w:t xml:space="preserve"> </w:t>
      </w:r>
      <w:r w:rsidRPr="008722B8">
        <w:t>CIPFA guidance specifically cautions against prescriptive national guidance for a minimum or maximum level of reserves and states:</w:t>
      </w:r>
    </w:p>
    <w:p w14:paraId="67D4B318" w14:textId="3D178054" w:rsidR="00F57399" w:rsidRPr="008A7480" w:rsidRDefault="00DC1AAF" w:rsidP="008722B8">
      <w:pPr>
        <w:pStyle w:val="ReservesBody"/>
        <w:numPr>
          <w:ilvl w:val="0"/>
          <w:numId w:val="0"/>
        </w:numPr>
        <w:ind w:left="567"/>
        <w:rPr>
          <w:i/>
          <w:iCs/>
        </w:rPr>
      </w:pPr>
      <w:r w:rsidRPr="008A7480">
        <w:rPr>
          <w:i/>
          <w:iCs/>
        </w:rPr>
        <w:t>“The many factors involved when considering appropriate levels of reserves can only be assessed properly at a local level. A considerable degree of professional judgement is required. The chief finance officer may choose to express advice on the level of balances in cash and/or as a percentage of budget (to aid understanding) so long as that advice is tailored to the circumstances of the authority</w:t>
      </w:r>
      <w:r w:rsidR="008722B8" w:rsidRPr="008A7480">
        <w:rPr>
          <w:i/>
          <w:iCs/>
        </w:rPr>
        <w:t>.</w:t>
      </w:r>
      <w:r w:rsidRPr="008A7480">
        <w:rPr>
          <w:i/>
          <w:iCs/>
        </w:rPr>
        <w:t xml:space="preserve">” </w:t>
      </w:r>
    </w:p>
    <w:p w14:paraId="38EE72B5" w14:textId="3C63F6EC" w:rsidR="00DC1AAF" w:rsidRPr="008722B8" w:rsidRDefault="00DC1AAF" w:rsidP="008722B8">
      <w:pPr>
        <w:pStyle w:val="ReservesBody"/>
        <w:rPr>
          <w:i/>
        </w:rPr>
      </w:pPr>
      <w:r w:rsidRPr="008722B8">
        <w:t xml:space="preserve">However, the minimum level of reserves may be set for the authority by the Ministers in England and Wales where an authority </w:t>
      </w:r>
      <w:r w:rsidR="00360A96" w:rsidRPr="008722B8">
        <w:t xml:space="preserve">does not </w:t>
      </w:r>
      <w:r w:rsidRPr="008722B8">
        <w:t>act prudently, disregards the advice of its chief finance officer or is heading for financial difficulties.</w:t>
      </w:r>
    </w:p>
    <w:p w14:paraId="3459805F" w14:textId="6536867D" w:rsidR="00DC1AAF" w:rsidRPr="008722B8" w:rsidRDefault="00DC1AAF" w:rsidP="008722B8">
      <w:pPr>
        <w:pStyle w:val="ReservesBody"/>
      </w:pPr>
      <w:r w:rsidRPr="008722B8">
        <w:t xml:space="preserve">CIPFA indicate a minimum general reserve level is typically between 2% and 3% of net budget requirement. </w:t>
      </w:r>
    </w:p>
    <w:bookmarkEnd w:id="30"/>
    <w:p w14:paraId="278A85E7" w14:textId="3F89DFDD" w:rsidR="00DC1AAF" w:rsidRPr="008722B8" w:rsidRDefault="00DC1AAF" w:rsidP="008722B8">
      <w:pPr>
        <w:pStyle w:val="ReservesBody"/>
      </w:pPr>
      <w:r w:rsidRPr="008722B8">
        <w:t xml:space="preserve">In Policing, average general reserves are around 5% whilst in the Fire sector there are a higher level of both general and earmarked reserves held. </w:t>
      </w:r>
    </w:p>
    <w:p w14:paraId="0FD22580" w14:textId="5E90B98C" w:rsidR="00DC1AAF" w:rsidRPr="008722B8" w:rsidRDefault="00DC1AAF" w:rsidP="008722B8">
      <w:pPr>
        <w:pStyle w:val="ReservesBody"/>
      </w:pPr>
      <w:bookmarkStart w:id="31" w:name="_Hlk156924943"/>
      <w:r w:rsidRPr="008722B8">
        <w:t>In December 2022, prior to the provisional Local Government Settlement, the Department of Levelling Up, Housing and Communities (DLUHC) issued a policy statement.</w:t>
      </w:r>
      <w:r w:rsidR="00DF635B" w:rsidRPr="008722B8">
        <w:t xml:space="preserve"> </w:t>
      </w:r>
      <w:r w:rsidRPr="008722B8">
        <w:t xml:space="preserve"> The statement included specific mention of the level of reserves built up during the pandemic and which applies to Fire and Police as follows:</w:t>
      </w:r>
    </w:p>
    <w:p w14:paraId="5DBC4FA5" w14:textId="2A151944" w:rsidR="00DC1AAF" w:rsidRPr="000B124D" w:rsidRDefault="00DC1AAF" w:rsidP="008722B8">
      <w:pPr>
        <w:pStyle w:val="ReservesBody"/>
        <w:numPr>
          <w:ilvl w:val="0"/>
          <w:numId w:val="0"/>
        </w:numPr>
        <w:ind w:left="567"/>
        <w:rPr>
          <w:i/>
          <w:iCs/>
        </w:rPr>
      </w:pPr>
      <w:r w:rsidRPr="000B124D">
        <w:rPr>
          <w:i/>
          <w:iCs/>
        </w:rPr>
        <w:t xml:space="preserve">“The government notes the significant increase in some local authority reserves over the 2 years of the pandemic. We encourage local authorities to consider how they can use their reserves to maintain services in the face of immediate inflationary pressures., taking account, of course, of the need to maintain appropriate levels of reserves to support councils’ financial sustainability and future investment. In order to support council members and local electorates to understand the reserves that their local authorities are holding and what they are used for, we will also explore releasing a user-friendly publication of the reserves data currently collected in the Local Authority Revenue Expenditure and Financing Outturn Statistics. We will consult with trusted partners, including the Local Government Association, about doing this”. </w:t>
      </w:r>
    </w:p>
    <w:p w14:paraId="1F680EF2" w14:textId="108695FE" w:rsidR="00DC1AAF" w:rsidRPr="008722B8" w:rsidRDefault="00DC1AAF" w:rsidP="008722B8">
      <w:pPr>
        <w:pStyle w:val="ReservesBody"/>
      </w:pPr>
      <w:bookmarkStart w:id="32" w:name="_Hlk156924983"/>
      <w:bookmarkEnd w:id="31"/>
      <w:r w:rsidRPr="008722B8">
        <w:t>The PFCC has considered his reserves strategy and wishes to hold a sufficient but not excessive level of reserves.</w:t>
      </w:r>
      <w:r w:rsidR="00DF635B" w:rsidRPr="008722B8">
        <w:t xml:space="preserve"> </w:t>
      </w:r>
      <w:r w:rsidRPr="008722B8">
        <w:t xml:space="preserve"> In determining this position, Annexe 1 outlines how the PFCC complies with the 7 key CIPFA principles which can be used to assess the adequacy of reserves.</w:t>
      </w:r>
    </w:p>
    <w:bookmarkEnd w:id="32"/>
    <w:p w14:paraId="00C11FFD" w14:textId="0EBBFD5F" w:rsidR="00F57399" w:rsidRPr="008722B8" w:rsidRDefault="00DC1AAF" w:rsidP="008722B8">
      <w:pPr>
        <w:pStyle w:val="ReservesBody"/>
      </w:pPr>
      <w:r w:rsidRPr="008722B8">
        <w:t xml:space="preserve">Given that the PFCC is required to meet the first 1% of any special grant requirement, and the level and range of earmarked reserves available to the PFCC, it seems prudent that the current policy is to maintain general reserves at a guideline level of </w:t>
      </w:r>
      <w:r w:rsidR="008F7527" w:rsidRPr="008722B8">
        <w:t xml:space="preserve">around </w:t>
      </w:r>
      <w:r w:rsidRPr="008722B8">
        <w:t xml:space="preserve">3% of annual net revenue expenditure, with a minimum of 2.5%. </w:t>
      </w:r>
    </w:p>
    <w:p w14:paraId="0403FE3A" w14:textId="76CC9399" w:rsidR="00DC1AAF" w:rsidRPr="008722B8" w:rsidRDefault="00DC1AAF" w:rsidP="008722B8">
      <w:pPr>
        <w:pStyle w:val="ReservesBody"/>
      </w:pPr>
      <w:bookmarkStart w:id="33" w:name="_Hlk156925276"/>
      <w:r w:rsidRPr="008722B8">
        <w:t xml:space="preserve">At present, there are no plans to use the </w:t>
      </w:r>
      <w:r w:rsidR="00F57399" w:rsidRPr="008722B8">
        <w:t>g</w:t>
      </w:r>
      <w:r w:rsidRPr="008722B8">
        <w:t xml:space="preserve">eneral </w:t>
      </w:r>
      <w:r w:rsidR="00F57399" w:rsidRPr="008722B8">
        <w:t>r</w:t>
      </w:r>
      <w:r w:rsidRPr="008722B8">
        <w:t xml:space="preserve">eserve during the period of the MTFP. </w:t>
      </w:r>
      <w:bookmarkEnd w:id="33"/>
      <w:r w:rsidRPr="008722B8">
        <w:t xml:space="preserve">However, with forecast budget increases, there is a need to ensure the level of general reserves keeps pace to ensure minimum and guideline levels are achieved as follows: </w:t>
      </w:r>
    </w:p>
    <w:tbl>
      <w:tblPr>
        <w:tblW w:w="4140" w:type="dxa"/>
        <w:tblInd w:w="562" w:type="dxa"/>
        <w:tblLook w:val="04A0" w:firstRow="1" w:lastRow="0" w:firstColumn="1" w:lastColumn="0" w:noHBand="0" w:noVBand="1"/>
      </w:tblPr>
      <w:tblGrid>
        <w:gridCol w:w="1380"/>
        <w:gridCol w:w="1380"/>
        <w:gridCol w:w="1380"/>
      </w:tblGrid>
      <w:tr w:rsidR="008F7527" w:rsidRPr="008F7527" w14:paraId="4A2916BC" w14:textId="77777777" w:rsidTr="008F7527">
        <w:trPr>
          <w:trHeight w:val="600"/>
        </w:trPr>
        <w:tc>
          <w:tcPr>
            <w:tcW w:w="1380" w:type="dxa"/>
            <w:tcBorders>
              <w:top w:val="single" w:sz="4" w:space="0" w:color="auto"/>
              <w:left w:val="single" w:sz="4" w:space="0" w:color="auto"/>
              <w:bottom w:val="single" w:sz="4" w:space="0" w:color="auto"/>
              <w:right w:val="nil"/>
            </w:tcBorders>
            <w:shd w:val="clear" w:color="000000" w:fill="BDD7EE"/>
            <w:noWrap/>
            <w:vAlign w:val="center"/>
            <w:hideMark/>
          </w:tcPr>
          <w:p w14:paraId="1F2562B8" w14:textId="77777777" w:rsidR="008F7527" w:rsidRPr="008F7527" w:rsidRDefault="008F7527" w:rsidP="008F7527">
            <w:pPr>
              <w:spacing w:after="0" w:line="240" w:lineRule="auto"/>
              <w:jc w:val="center"/>
              <w:rPr>
                <w:rFonts w:eastAsia="Times New Roman" w:cs="Calibri"/>
                <w:b/>
                <w:bCs/>
                <w:color w:val="000000"/>
                <w:lang w:eastAsia="en-GB"/>
              </w:rPr>
            </w:pPr>
            <w:r w:rsidRPr="008F7527">
              <w:rPr>
                <w:rFonts w:eastAsia="Times New Roman" w:cs="Calibri"/>
                <w:b/>
                <w:bCs/>
                <w:color w:val="000000"/>
                <w:lang w:eastAsia="en-GB"/>
              </w:rPr>
              <w:t>Year</w:t>
            </w:r>
          </w:p>
        </w:tc>
        <w:tc>
          <w:tcPr>
            <w:tcW w:w="138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848FC31" w14:textId="77777777" w:rsidR="008F7527" w:rsidRPr="008F7527" w:rsidRDefault="008F7527" w:rsidP="008F7527">
            <w:pPr>
              <w:spacing w:after="0" w:line="240" w:lineRule="auto"/>
              <w:jc w:val="center"/>
              <w:rPr>
                <w:rFonts w:eastAsia="Times New Roman" w:cs="Calibri"/>
                <w:b/>
                <w:bCs/>
                <w:color w:val="000000"/>
                <w:lang w:eastAsia="en-GB"/>
              </w:rPr>
            </w:pPr>
            <w:r w:rsidRPr="008F7527">
              <w:rPr>
                <w:rFonts w:eastAsia="Times New Roman" w:cs="Calibri"/>
                <w:b/>
                <w:bCs/>
                <w:color w:val="000000"/>
                <w:lang w:eastAsia="en-GB"/>
              </w:rPr>
              <w:t>£m</w:t>
            </w:r>
          </w:p>
        </w:tc>
        <w:tc>
          <w:tcPr>
            <w:tcW w:w="1380" w:type="dxa"/>
            <w:tcBorders>
              <w:top w:val="single" w:sz="4" w:space="0" w:color="auto"/>
              <w:left w:val="nil"/>
              <w:bottom w:val="single" w:sz="4" w:space="0" w:color="auto"/>
              <w:right w:val="single" w:sz="4" w:space="0" w:color="auto"/>
            </w:tcBorders>
            <w:shd w:val="clear" w:color="000000" w:fill="BDD7EE"/>
            <w:noWrap/>
            <w:vAlign w:val="center"/>
            <w:hideMark/>
          </w:tcPr>
          <w:p w14:paraId="22FFCB5B" w14:textId="77777777" w:rsidR="008F7527" w:rsidRPr="008F7527" w:rsidRDefault="008F7527" w:rsidP="008F7527">
            <w:pPr>
              <w:spacing w:after="0" w:line="240" w:lineRule="auto"/>
              <w:jc w:val="center"/>
              <w:rPr>
                <w:rFonts w:eastAsia="Times New Roman" w:cs="Calibri"/>
                <w:b/>
                <w:bCs/>
                <w:color w:val="000000"/>
                <w:lang w:eastAsia="en-GB"/>
              </w:rPr>
            </w:pPr>
            <w:r w:rsidRPr="008F7527">
              <w:rPr>
                <w:rFonts w:eastAsia="Times New Roman" w:cs="Calibri"/>
                <w:b/>
                <w:bCs/>
                <w:color w:val="000000"/>
                <w:lang w:eastAsia="en-GB"/>
              </w:rPr>
              <w:t>%</w:t>
            </w:r>
          </w:p>
        </w:tc>
      </w:tr>
      <w:tr w:rsidR="008F7527" w:rsidRPr="008F7527" w14:paraId="6B367872" w14:textId="77777777" w:rsidTr="008F7527">
        <w:trPr>
          <w:trHeight w:val="300"/>
        </w:trPr>
        <w:tc>
          <w:tcPr>
            <w:tcW w:w="1380" w:type="dxa"/>
            <w:tcBorders>
              <w:top w:val="nil"/>
              <w:left w:val="single" w:sz="4" w:space="0" w:color="auto"/>
              <w:bottom w:val="nil"/>
              <w:right w:val="nil"/>
            </w:tcBorders>
            <w:shd w:val="clear" w:color="000000" w:fill="FFFFFF"/>
            <w:noWrap/>
            <w:vAlign w:val="bottom"/>
            <w:hideMark/>
          </w:tcPr>
          <w:p w14:paraId="2559F860"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2024/25</w:t>
            </w:r>
          </w:p>
        </w:tc>
        <w:tc>
          <w:tcPr>
            <w:tcW w:w="1380" w:type="dxa"/>
            <w:tcBorders>
              <w:top w:val="nil"/>
              <w:left w:val="single" w:sz="4" w:space="0" w:color="auto"/>
              <w:bottom w:val="nil"/>
              <w:right w:val="single" w:sz="4" w:space="0" w:color="auto"/>
            </w:tcBorders>
            <w:shd w:val="clear" w:color="000000" w:fill="FFFFFF"/>
            <w:noWrap/>
            <w:vAlign w:val="bottom"/>
            <w:hideMark/>
          </w:tcPr>
          <w:p w14:paraId="079A38B2" w14:textId="77777777" w:rsidR="008F7527" w:rsidRPr="008F7527" w:rsidRDefault="008F7527" w:rsidP="008F7527">
            <w:pPr>
              <w:spacing w:after="0" w:line="240" w:lineRule="auto"/>
              <w:jc w:val="center"/>
              <w:rPr>
                <w:rFonts w:eastAsia="Times New Roman" w:cs="Calibri"/>
                <w:b/>
                <w:bCs/>
                <w:color w:val="000000"/>
                <w:lang w:eastAsia="en-GB"/>
              </w:rPr>
            </w:pPr>
            <w:r w:rsidRPr="008F7527">
              <w:rPr>
                <w:rFonts w:eastAsia="Times New Roman" w:cs="Calibri"/>
                <w:b/>
                <w:bCs/>
                <w:color w:val="000000"/>
                <w:lang w:eastAsia="en-GB"/>
              </w:rPr>
              <w:t>5.300</w:t>
            </w:r>
          </w:p>
        </w:tc>
        <w:tc>
          <w:tcPr>
            <w:tcW w:w="1380" w:type="dxa"/>
            <w:tcBorders>
              <w:top w:val="nil"/>
              <w:left w:val="nil"/>
              <w:bottom w:val="nil"/>
              <w:right w:val="single" w:sz="4" w:space="0" w:color="auto"/>
            </w:tcBorders>
            <w:shd w:val="clear" w:color="000000" w:fill="FFFFFF"/>
            <w:noWrap/>
            <w:vAlign w:val="bottom"/>
            <w:hideMark/>
          </w:tcPr>
          <w:p w14:paraId="427DB285"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2.9%</w:t>
            </w:r>
          </w:p>
        </w:tc>
      </w:tr>
      <w:tr w:rsidR="008F7527" w:rsidRPr="008F7527" w14:paraId="32091822" w14:textId="77777777" w:rsidTr="008F7527">
        <w:trPr>
          <w:trHeight w:val="300"/>
        </w:trPr>
        <w:tc>
          <w:tcPr>
            <w:tcW w:w="1380" w:type="dxa"/>
            <w:tcBorders>
              <w:top w:val="nil"/>
              <w:left w:val="single" w:sz="4" w:space="0" w:color="auto"/>
              <w:bottom w:val="nil"/>
              <w:right w:val="nil"/>
            </w:tcBorders>
            <w:shd w:val="clear" w:color="auto" w:fill="auto"/>
            <w:noWrap/>
            <w:vAlign w:val="bottom"/>
            <w:hideMark/>
          </w:tcPr>
          <w:p w14:paraId="23B7AF57"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2025/26</w:t>
            </w:r>
          </w:p>
        </w:tc>
        <w:tc>
          <w:tcPr>
            <w:tcW w:w="1380" w:type="dxa"/>
            <w:tcBorders>
              <w:top w:val="nil"/>
              <w:left w:val="single" w:sz="4" w:space="0" w:color="auto"/>
              <w:bottom w:val="nil"/>
              <w:right w:val="single" w:sz="4" w:space="0" w:color="auto"/>
            </w:tcBorders>
            <w:shd w:val="clear" w:color="auto" w:fill="auto"/>
            <w:noWrap/>
            <w:vAlign w:val="bottom"/>
            <w:hideMark/>
          </w:tcPr>
          <w:p w14:paraId="58CE753F" w14:textId="77777777" w:rsidR="008F7527" w:rsidRPr="008F7527" w:rsidRDefault="008F7527" w:rsidP="008F7527">
            <w:pPr>
              <w:spacing w:after="0" w:line="240" w:lineRule="auto"/>
              <w:jc w:val="center"/>
              <w:rPr>
                <w:rFonts w:eastAsia="Times New Roman" w:cs="Calibri"/>
                <w:b/>
                <w:bCs/>
                <w:color w:val="000000"/>
                <w:lang w:eastAsia="en-GB"/>
              </w:rPr>
            </w:pPr>
            <w:r w:rsidRPr="008F7527">
              <w:rPr>
                <w:rFonts w:eastAsia="Times New Roman" w:cs="Calibri"/>
                <w:b/>
                <w:bCs/>
                <w:color w:val="000000"/>
                <w:lang w:eastAsia="en-GB"/>
              </w:rPr>
              <w:t>5.300</w:t>
            </w:r>
          </w:p>
        </w:tc>
        <w:tc>
          <w:tcPr>
            <w:tcW w:w="1380" w:type="dxa"/>
            <w:tcBorders>
              <w:top w:val="nil"/>
              <w:left w:val="nil"/>
              <w:bottom w:val="nil"/>
              <w:right w:val="single" w:sz="4" w:space="0" w:color="auto"/>
            </w:tcBorders>
            <w:shd w:val="clear" w:color="auto" w:fill="auto"/>
            <w:noWrap/>
            <w:vAlign w:val="bottom"/>
            <w:hideMark/>
          </w:tcPr>
          <w:p w14:paraId="0374C729"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2.8%</w:t>
            </w:r>
          </w:p>
        </w:tc>
      </w:tr>
      <w:tr w:rsidR="008F7527" w:rsidRPr="008F7527" w14:paraId="4827370F" w14:textId="77777777" w:rsidTr="008F7527">
        <w:trPr>
          <w:trHeight w:val="300"/>
        </w:trPr>
        <w:tc>
          <w:tcPr>
            <w:tcW w:w="1380" w:type="dxa"/>
            <w:tcBorders>
              <w:top w:val="nil"/>
              <w:left w:val="single" w:sz="4" w:space="0" w:color="auto"/>
              <w:bottom w:val="nil"/>
              <w:right w:val="nil"/>
            </w:tcBorders>
            <w:shd w:val="clear" w:color="auto" w:fill="auto"/>
            <w:noWrap/>
            <w:vAlign w:val="bottom"/>
            <w:hideMark/>
          </w:tcPr>
          <w:p w14:paraId="21EF9896"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2026/27</w:t>
            </w:r>
          </w:p>
        </w:tc>
        <w:tc>
          <w:tcPr>
            <w:tcW w:w="1380" w:type="dxa"/>
            <w:tcBorders>
              <w:top w:val="nil"/>
              <w:left w:val="single" w:sz="4" w:space="0" w:color="auto"/>
              <w:bottom w:val="nil"/>
              <w:right w:val="single" w:sz="4" w:space="0" w:color="auto"/>
            </w:tcBorders>
            <w:shd w:val="clear" w:color="auto" w:fill="auto"/>
            <w:noWrap/>
            <w:vAlign w:val="bottom"/>
            <w:hideMark/>
          </w:tcPr>
          <w:p w14:paraId="7FBD69DC" w14:textId="77777777" w:rsidR="008F7527" w:rsidRPr="008F7527" w:rsidRDefault="008F7527" w:rsidP="008F7527">
            <w:pPr>
              <w:spacing w:after="0" w:line="240" w:lineRule="auto"/>
              <w:jc w:val="center"/>
              <w:rPr>
                <w:rFonts w:eastAsia="Times New Roman" w:cs="Calibri"/>
                <w:b/>
                <w:bCs/>
                <w:color w:val="000000"/>
                <w:lang w:eastAsia="en-GB"/>
              </w:rPr>
            </w:pPr>
            <w:r w:rsidRPr="008F7527">
              <w:rPr>
                <w:rFonts w:eastAsia="Times New Roman" w:cs="Calibri"/>
                <w:b/>
                <w:bCs/>
                <w:color w:val="000000"/>
                <w:lang w:eastAsia="en-GB"/>
              </w:rPr>
              <w:t>5.300</w:t>
            </w:r>
          </w:p>
        </w:tc>
        <w:tc>
          <w:tcPr>
            <w:tcW w:w="1380" w:type="dxa"/>
            <w:tcBorders>
              <w:top w:val="nil"/>
              <w:left w:val="nil"/>
              <w:bottom w:val="nil"/>
              <w:right w:val="single" w:sz="4" w:space="0" w:color="auto"/>
            </w:tcBorders>
            <w:shd w:val="clear" w:color="auto" w:fill="auto"/>
            <w:noWrap/>
            <w:vAlign w:val="bottom"/>
            <w:hideMark/>
          </w:tcPr>
          <w:p w14:paraId="2093260B"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2.7%</w:t>
            </w:r>
          </w:p>
        </w:tc>
      </w:tr>
      <w:tr w:rsidR="008F7527" w:rsidRPr="008F7527" w14:paraId="2F7C343C" w14:textId="77777777" w:rsidTr="008F7527">
        <w:trPr>
          <w:trHeight w:val="300"/>
        </w:trPr>
        <w:tc>
          <w:tcPr>
            <w:tcW w:w="1380" w:type="dxa"/>
            <w:tcBorders>
              <w:top w:val="nil"/>
              <w:left w:val="single" w:sz="4" w:space="0" w:color="auto"/>
              <w:bottom w:val="nil"/>
              <w:right w:val="nil"/>
            </w:tcBorders>
            <w:shd w:val="clear" w:color="auto" w:fill="auto"/>
            <w:noWrap/>
            <w:vAlign w:val="bottom"/>
            <w:hideMark/>
          </w:tcPr>
          <w:p w14:paraId="237803BB"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2027/28</w:t>
            </w:r>
          </w:p>
        </w:tc>
        <w:tc>
          <w:tcPr>
            <w:tcW w:w="1380" w:type="dxa"/>
            <w:tcBorders>
              <w:top w:val="nil"/>
              <w:left w:val="single" w:sz="4" w:space="0" w:color="auto"/>
              <w:bottom w:val="nil"/>
              <w:right w:val="single" w:sz="4" w:space="0" w:color="auto"/>
            </w:tcBorders>
            <w:shd w:val="clear" w:color="auto" w:fill="auto"/>
            <w:noWrap/>
            <w:vAlign w:val="bottom"/>
            <w:hideMark/>
          </w:tcPr>
          <w:p w14:paraId="4E33E923" w14:textId="77777777" w:rsidR="008F7527" w:rsidRPr="008F7527" w:rsidRDefault="008F7527" w:rsidP="008F7527">
            <w:pPr>
              <w:spacing w:after="0" w:line="240" w:lineRule="auto"/>
              <w:jc w:val="center"/>
              <w:rPr>
                <w:rFonts w:eastAsia="Times New Roman" w:cs="Calibri"/>
                <w:b/>
                <w:bCs/>
                <w:color w:val="000000"/>
                <w:lang w:eastAsia="en-GB"/>
              </w:rPr>
            </w:pPr>
            <w:r w:rsidRPr="008F7527">
              <w:rPr>
                <w:rFonts w:eastAsia="Times New Roman" w:cs="Calibri"/>
                <w:b/>
                <w:bCs/>
                <w:color w:val="000000"/>
                <w:lang w:eastAsia="en-GB"/>
              </w:rPr>
              <w:t>5.300</w:t>
            </w:r>
          </w:p>
        </w:tc>
        <w:tc>
          <w:tcPr>
            <w:tcW w:w="1380" w:type="dxa"/>
            <w:tcBorders>
              <w:top w:val="nil"/>
              <w:left w:val="nil"/>
              <w:bottom w:val="nil"/>
              <w:right w:val="single" w:sz="4" w:space="0" w:color="auto"/>
            </w:tcBorders>
            <w:shd w:val="clear" w:color="auto" w:fill="auto"/>
            <w:noWrap/>
            <w:vAlign w:val="bottom"/>
            <w:hideMark/>
          </w:tcPr>
          <w:p w14:paraId="3883B324"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2.7%</w:t>
            </w:r>
          </w:p>
        </w:tc>
      </w:tr>
      <w:tr w:rsidR="008F7527" w:rsidRPr="008F7527" w14:paraId="03846579" w14:textId="77777777" w:rsidTr="008F7527">
        <w:trPr>
          <w:trHeight w:val="300"/>
        </w:trPr>
        <w:tc>
          <w:tcPr>
            <w:tcW w:w="1380" w:type="dxa"/>
            <w:tcBorders>
              <w:top w:val="nil"/>
              <w:left w:val="single" w:sz="4" w:space="0" w:color="auto"/>
              <w:bottom w:val="single" w:sz="4" w:space="0" w:color="auto"/>
              <w:right w:val="nil"/>
            </w:tcBorders>
            <w:shd w:val="clear" w:color="auto" w:fill="auto"/>
            <w:noWrap/>
            <w:vAlign w:val="bottom"/>
            <w:hideMark/>
          </w:tcPr>
          <w:p w14:paraId="4AECB890"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2028/29</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6715330" w14:textId="77777777" w:rsidR="008F7527" w:rsidRPr="008F7527" w:rsidRDefault="008F7527" w:rsidP="008F7527">
            <w:pPr>
              <w:spacing w:after="0" w:line="240" w:lineRule="auto"/>
              <w:jc w:val="center"/>
              <w:rPr>
                <w:rFonts w:eastAsia="Times New Roman" w:cs="Calibri"/>
                <w:b/>
                <w:bCs/>
                <w:color w:val="000000"/>
                <w:lang w:eastAsia="en-GB"/>
              </w:rPr>
            </w:pPr>
            <w:r w:rsidRPr="008F7527">
              <w:rPr>
                <w:rFonts w:eastAsia="Times New Roman" w:cs="Calibri"/>
                <w:b/>
                <w:bCs/>
                <w:color w:val="000000"/>
                <w:lang w:eastAsia="en-GB"/>
              </w:rPr>
              <w:t>5.300</w:t>
            </w:r>
          </w:p>
        </w:tc>
        <w:tc>
          <w:tcPr>
            <w:tcW w:w="1380" w:type="dxa"/>
            <w:tcBorders>
              <w:top w:val="nil"/>
              <w:left w:val="nil"/>
              <w:bottom w:val="single" w:sz="4" w:space="0" w:color="auto"/>
              <w:right w:val="single" w:sz="4" w:space="0" w:color="auto"/>
            </w:tcBorders>
            <w:shd w:val="clear" w:color="auto" w:fill="auto"/>
            <w:noWrap/>
            <w:vAlign w:val="bottom"/>
            <w:hideMark/>
          </w:tcPr>
          <w:p w14:paraId="74914156"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2.6%</w:t>
            </w:r>
          </w:p>
        </w:tc>
      </w:tr>
    </w:tbl>
    <w:p w14:paraId="62C73C76" w14:textId="77777777" w:rsidR="00DC1AAF" w:rsidRPr="008722B8" w:rsidRDefault="00DC1AAF" w:rsidP="00DC1AAF">
      <w:pPr>
        <w:spacing w:after="0" w:line="240" w:lineRule="auto"/>
        <w:ind w:left="1440" w:hanging="720"/>
        <w:jc w:val="both"/>
        <w:rPr>
          <w:rFonts w:eastAsia="Times New Roman" w:cs="Calibri"/>
          <w:sz w:val="24"/>
          <w:szCs w:val="24"/>
        </w:rPr>
      </w:pPr>
    </w:p>
    <w:p w14:paraId="10676CFC" w14:textId="7B80FA51" w:rsidR="00DC1AAF" w:rsidRPr="008722B8" w:rsidRDefault="008F7527" w:rsidP="008722B8">
      <w:pPr>
        <w:pStyle w:val="ReservesBody"/>
      </w:pPr>
      <w:r w:rsidRPr="008722B8">
        <w:t>W</w:t>
      </w:r>
      <w:r w:rsidR="00DC1AAF" w:rsidRPr="008722B8">
        <w:t xml:space="preserve">here appropriate and if budget levels are higher than those forecast in the MTFP, the PFCC will </w:t>
      </w:r>
      <w:r w:rsidR="008722B8" w:rsidRPr="008722B8">
        <w:t>endeavour</w:t>
      </w:r>
      <w:r w:rsidR="00DC1AAF" w:rsidRPr="008722B8">
        <w:t xml:space="preserve"> to increase general reserves from 202</w:t>
      </w:r>
      <w:r w:rsidRPr="008722B8">
        <w:t>5</w:t>
      </w:r>
      <w:r w:rsidR="00DC1AAF" w:rsidRPr="008722B8">
        <w:t>/2</w:t>
      </w:r>
      <w:r w:rsidRPr="008722B8">
        <w:t>6</w:t>
      </w:r>
      <w:r w:rsidR="00DC1AAF" w:rsidRPr="008722B8">
        <w:t xml:space="preserve">. </w:t>
      </w:r>
      <w:r w:rsidRPr="008722B8">
        <w:t xml:space="preserve"> </w:t>
      </w:r>
      <w:r w:rsidR="00DC1AAF" w:rsidRPr="008722B8">
        <w:t>Based on current forecasts, an additional £0.</w:t>
      </w:r>
      <w:r w:rsidRPr="008722B8">
        <w:t>7</w:t>
      </w:r>
      <w:r w:rsidR="00DC1AAF" w:rsidRPr="008722B8">
        <w:t>m would increase levels to above 3% throughout the life of the MTFP.</w:t>
      </w:r>
    </w:p>
    <w:p w14:paraId="4DA8B490" w14:textId="62AED014" w:rsidR="00DC1AAF" w:rsidRPr="008722B8" w:rsidRDefault="00DC1AAF" w:rsidP="008722B8">
      <w:pPr>
        <w:pStyle w:val="ReservesHeading"/>
      </w:pPr>
      <w:bookmarkStart w:id="34" w:name="_Hlk156925482"/>
      <w:r w:rsidRPr="008722B8">
        <w:t>Earmarked Reserves</w:t>
      </w:r>
    </w:p>
    <w:p w14:paraId="6478BCE4" w14:textId="7CC73538" w:rsidR="00DC1AAF" w:rsidRPr="008722B8" w:rsidRDefault="00DC1AAF" w:rsidP="008722B8">
      <w:pPr>
        <w:pStyle w:val="ReservesBody"/>
      </w:pPr>
      <w:r w:rsidRPr="008722B8">
        <w:t xml:space="preserve">In addition to the </w:t>
      </w:r>
      <w:r w:rsidR="00F57399" w:rsidRPr="008722B8">
        <w:t>g</w:t>
      </w:r>
      <w:r w:rsidRPr="008722B8">
        <w:t xml:space="preserve">eneral </w:t>
      </w:r>
      <w:r w:rsidR="00F57399" w:rsidRPr="008722B8">
        <w:t>r</w:t>
      </w:r>
      <w:r w:rsidRPr="008722B8">
        <w:t>eserve, the PFCC holds a number of reserves which are earmarked for specific purposes.</w:t>
      </w:r>
    </w:p>
    <w:p w14:paraId="06F36427" w14:textId="7EB307EC" w:rsidR="00DC1AAF" w:rsidRPr="008722B8" w:rsidRDefault="00DC1AAF" w:rsidP="008722B8">
      <w:pPr>
        <w:pStyle w:val="ReservesBody"/>
      </w:pPr>
      <w:r w:rsidRPr="008722B8">
        <w:t>The predicted position for each earmarked reserve as at 31/3/202</w:t>
      </w:r>
      <w:r w:rsidR="000B124D">
        <w:t>4</w:t>
      </w:r>
      <w:r w:rsidRPr="008722B8">
        <w:t xml:space="preserve">, together with an outline of its specific purpose is attached at Annexe 2. </w:t>
      </w:r>
    </w:p>
    <w:p w14:paraId="6A65DBA8" w14:textId="30364764" w:rsidR="00DC1AAF" w:rsidRPr="008722B8" w:rsidRDefault="00DC1AAF" w:rsidP="008722B8">
      <w:pPr>
        <w:pStyle w:val="ReservesBody"/>
      </w:pPr>
      <w:r w:rsidRPr="008722B8">
        <w:t>At the 31/3/202</w:t>
      </w:r>
      <w:r w:rsidR="008F7527" w:rsidRPr="008722B8">
        <w:t>4</w:t>
      </w:r>
      <w:r w:rsidRPr="008722B8">
        <w:t>, it is estimated that the PFCC will hold £1</w:t>
      </w:r>
      <w:r w:rsidR="008F7527" w:rsidRPr="008722B8">
        <w:t>9.114</w:t>
      </w:r>
      <w:r w:rsidRPr="008722B8">
        <w:t xml:space="preserve">m in </w:t>
      </w:r>
      <w:r w:rsidR="00F57399" w:rsidRPr="008722B8">
        <w:t>e</w:t>
      </w:r>
      <w:r w:rsidRPr="008722B8">
        <w:t xml:space="preserve">armarked </w:t>
      </w:r>
      <w:r w:rsidR="00F57399" w:rsidRPr="008722B8">
        <w:t>r</w:t>
      </w:r>
      <w:r w:rsidRPr="008722B8">
        <w:t>eserves which are as follows</w:t>
      </w:r>
      <w:r w:rsidR="008722B8" w:rsidRPr="008722B8">
        <w:t xml:space="preserve"> and detailed in Annexe 3</w:t>
      </w:r>
      <w:r w:rsidRPr="008722B8">
        <w:t>:</w:t>
      </w:r>
    </w:p>
    <w:p w14:paraId="60A8B33E" w14:textId="4C71B9B4" w:rsidR="00DC1AAF" w:rsidRPr="008722B8" w:rsidRDefault="00DC1AAF" w:rsidP="008722B8">
      <w:pPr>
        <w:pStyle w:val="Reservesbullet"/>
      </w:pPr>
      <w:bookmarkStart w:id="35" w:name="_Hlk156925575"/>
      <w:bookmarkEnd w:id="34"/>
      <w:r w:rsidRPr="008722B8">
        <w:rPr>
          <w:b/>
          <w:bCs/>
        </w:rPr>
        <w:t>Insurance</w:t>
      </w:r>
      <w:r w:rsidRPr="008722B8">
        <w:t xml:space="preserve"> – </w:t>
      </w:r>
      <w:r w:rsidR="008F7527" w:rsidRPr="008722B8">
        <w:t>To</w:t>
      </w:r>
      <w:r w:rsidRPr="008722B8">
        <w:t xml:space="preserve"> hold funds set aside </w:t>
      </w:r>
      <w:r w:rsidR="00D52E21">
        <w:t>if</w:t>
      </w:r>
      <w:r w:rsidRPr="008722B8">
        <w:t xml:space="preserve"> considered prudent for </w:t>
      </w:r>
      <w:r w:rsidR="00F57399" w:rsidRPr="008722B8">
        <w:t>c</w:t>
      </w:r>
      <w:r w:rsidRPr="008722B8">
        <w:t xml:space="preserve">ivil </w:t>
      </w:r>
      <w:r w:rsidR="00F57399" w:rsidRPr="008722B8">
        <w:t>c</w:t>
      </w:r>
      <w:r w:rsidRPr="008722B8">
        <w:t>laims (Public and Employer liability) in line with professional advice.</w:t>
      </w:r>
    </w:p>
    <w:bookmarkEnd w:id="35"/>
    <w:p w14:paraId="76363070" w14:textId="7620A6A9" w:rsidR="00DC1AAF" w:rsidRPr="008722B8" w:rsidRDefault="00DC1AAF" w:rsidP="008722B8">
      <w:pPr>
        <w:pStyle w:val="Reservesbullet"/>
      </w:pPr>
      <w:r w:rsidRPr="008722B8">
        <w:rPr>
          <w:b/>
          <w:bCs/>
        </w:rPr>
        <w:t>Operational Equipment</w:t>
      </w:r>
      <w:r w:rsidRPr="008722B8">
        <w:t xml:space="preserve"> –</w:t>
      </w:r>
      <w:r w:rsidR="008F7527" w:rsidRPr="008722B8">
        <w:t xml:space="preserve"> T</w:t>
      </w:r>
      <w:r w:rsidRPr="008722B8">
        <w:t>o smooth the impact on the revenue budget in respect of the cost of replacing operational equipment, rather than impacting disproportionately on the budget in any one year.</w:t>
      </w:r>
    </w:p>
    <w:p w14:paraId="52CB7D72" w14:textId="460E7B63" w:rsidR="00DC1AAF" w:rsidRPr="008722B8" w:rsidRDefault="00DC1AAF" w:rsidP="008722B8">
      <w:pPr>
        <w:pStyle w:val="Reservesbullet"/>
      </w:pPr>
      <w:r w:rsidRPr="008722B8">
        <w:rPr>
          <w:b/>
          <w:bCs/>
        </w:rPr>
        <w:t xml:space="preserve">Earmarked </w:t>
      </w:r>
      <w:r w:rsidR="008F7527" w:rsidRPr="008722B8">
        <w:rPr>
          <w:b/>
          <w:bCs/>
        </w:rPr>
        <w:t>(</w:t>
      </w:r>
      <w:proofErr w:type="gramStart"/>
      <w:r w:rsidR="008F7527" w:rsidRPr="008722B8">
        <w:rPr>
          <w:b/>
          <w:bCs/>
        </w:rPr>
        <w:t>Carry-Forwards</w:t>
      </w:r>
      <w:proofErr w:type="gramEnd"/>
      <w:r w:rsidR="008F7527" w:rsidRPr="008722B8">
        <w:rPr>
          <w:b/>
          <w:bCs/>
        </w:rPr>
        <w:t>)</w:t>
      </w:r>
      <w:r w:rsidR="008F7527" w:rsidRPr="008722B8">
        <w:t xml:space="preserve"> </w:t>
      </w:r>
      <w:r w:rsidRPr="008722B8">
        <w:t xml:space="preserve">– </w:t>
      </w:r>
      <w:bookmarkStart w:id="36" w:name="_Hlk156925622"/>
      <w:r w:rsidR="008F7527" w:rsidRPr="008722B8">
        <w:t>T</w:t>
      </w:r>
      <w:r w:rsidRPr="008722B8">
        <w:t xml:space="preserve">o </w:t>
      </w:r>
      <w:r w:rsidR="008F7527" w:rsidRPr="008722B8">
        <w:t xml:space="preserve">hold </w:t>
      </w:r>
      <w:r w:rsidRPr="008722B8">
        <w:t>previous years underspends which are ring</w:t>
      </w:r>
      <w:r w:rsidR="008F7527" w:rsidRPr="008722B8">
        <w:t>-</w:t>
      </w:r>
      <w:r w:rsidRPr="008722B8">
        <w:t>fence</w:t>
      </w:r>
      <w:r w:rsidR="008F7527" w:rsidRPr="008722B8">
        <w:t>d</w:t>
      </w:r>
      <w:r w:rsidRPr="008722B8">
        <w:t xml:space="preserve"> and carried forward for specific purposes in the medium term.</w:t>
      </w:r>
      <w:bookmarkEnd w:id="36"/>
    </w:p>
    <w:p w14:paraId="692C1867" w14:textId="588860AE" w:rsidR="00DC1AAF" w:rsidRPr="008722B8" w:rsidRDefault="00DC1AAF" w:rsidP="008722B8">
      <w:pPr>
        <w:pStyle w:val="Reservesbullet"/>
      </w:pPr>
      <w:r w:rsidRPr="008722B8">
        <w:rPr>
          <w:b/>
          <w:bCs/>
        </w:rPr>
        <w:t>Pensions</w:t>
      </w:r>
      <w:r w:rsidRPr="008722B8">
        <w:t xml:space="preserve"> –</w:t>
      </w:r>
      <w:r w:rsidR="008F7527" w:rsidRPr="008722B8">
        <w:t xml:space="preserve"> T</w:t>
      </w:r>
      <w:r w:rsidRPr="008722B8">
        <w:t xml:space="preserve">o smooth the impact of ill-health retirements and to meet the costs of any </w:t>
      </w:r>
      <w:r w:rsidR="008F7527" w:rsidRPr="008722B8">
        <w:t>unexpected pension-related pressures in excess of budget provision where the timing of such pressures are uncertain</w:t>
      </w:r>
      <w:r w:rsidRPr="008722B8">
        <w:t>.</w:t>
      </w:r>
    </w:p>
    <w:p w14:paraId="5F584EAE" w14:textId="68007013" w:rsidR="00DC1AAF" w:rsidRPr="008722B8" w:rsidRDefault="00DC1AAF" w:rsidP="008722B8">
      <w:pPr>
        <w:pStyle w:val="Reservesbullet"/>
      </w:pPr>
      <w:bookmarkStart w:id="37" w:name="_Hlk156925786"/>
      <w:r w:rsidRPr="008722B8">
        <w:rPr>
          <w:b/>
          <w:bCs/>
        </w:rPr>
        <w:t>Smoothing</w:t>
      </w:r>
      <w:r w:rsidR="00856914" w:rsidRPr="008722B8">
        <w:rPr>
          <w:b/>
          <w:bCs/>
        </w:rPr>
        <w:t xml:space="preserve"> </w:t>
      </w:r>
      <w:r w:rsidRPr="008722B8">
        <w:t>–</w:t>
      </w:r>
      <w:r w:rsidR="00856914" w:rsidRPr="008722B8">
        <w:t xml:space="preserve"> T</w:t>
      </w:r>
      <w:r w:rsidRPr="008722B8">
        <w:t xml:space="preserve">o enable the savings generated to be </w:t>
      </w:r>
      <w:r w:rsidR="004F632E">
        <w:t>earmarked</w:t>
      </w:r>
      <w:r w:rsidRPr="008722B8">
        <w:t xml:space="preserve"> and released over future years as needed, smoothing the impact of </w:t>
      </w:r>
      <w:r w:rsidR="004F632E">
        <w:t>uncertain</w:t>
      </w:r>
      <w:r w:rsidRPr="008722B8">
        <w:t xml:space="preserve"> variations </w:t>
      </w:r>
      <w:r w:rsidR="004F632E">
        <w:t>and timing of savings programmes on</w:t>
      </w:r>
      <w:r w:rsidRPr="008722B8">
        <w:t xml:space="preserve"> the revenue budget. </w:t>
      </w:r>
    </w:p>
    <w:bookmarkEnd w:id="37"/>
    <w:p w14:paraId="02BBB3D3" w14:textId="2BE2E311" w:rsidR="00DC1AAF" w:rsidRPr="008722B8" w:rsidRDefault="00DC1AAF" w:rsidP="008722B8">
      <w:pPr>
        <w:pStyle w:val="Reservesbullet"/>
      </w:pPr>
      <w:r w:rsidRPr="008722B8">
        <w:rPr>
          <w:b/>
          <w:bCs/>
        </w:rPr>
        <w:t>PFCC Initiatives</w:t>
      </w:r>
      <w:r w:rsidRPr="008722B8">
        <w:t xml:space="preserve"> –</w:t>
      </w:r>
      <w:r w:rsidR="00856914" w:rsidRPr="008722B8">
        <w:t xml:space="preserve"> T</w:t>
      </w:r>
      <w:r w:rsidRPr="008722B8">
        <w:t>o deliver funding towards the specific initiatives of the PFCC arising from the Police, Fire and Crime Plan.</w:t>
      </w:r>
    </w:p>
    <w:p w14:paraId="548A90E7" w14:textId="530AF1B0" w:rsidR="00DC1AAF" w:rsidRPr="008722B8" w:rsidRDefault="00DC1AAF" w:rsidP="008722B8">
      <w:pPr>
        <w:pStyle w:val="Reservesbullet"/>
      </w:pPr>
      <w:bookmarkStart w:id="38" w:name="_Hlk156925798"/>
      <w:r w:rsidRPr="008722B8">
        <w:rPr>
          <w:b/>
          <w:bCs/>
        </w:rPr>
        <w:t>Transformation</w:t>
      </w:r>
      <w:r w:rsidR="00856914" w:rsidRPr="008722B8">
        <w:t xml:space="preserve"> </w:t>
      </w:r>
      <w:r w:rsidRPr="008722B8">
        <w:t>–</w:t>
      </w:r>
      <w:r w:rsidR="00856914" w:rsidRPr="008722B8">
        <w:t xml:space="preserve"> T</w:t>
      </w:r>
      <w:r w:rsidRPr="008722B8">
        <w:t xml:space="preserve">o support initiatives and transformative activities such as </w:t>
      </w:r>
      <w:r w:rsidR="00856914" w:rsidRPr="008722B8">
        <w:t>investments in technology and other innovation</w:t>
      </w:r>
      <w:r w:rsidRPr="008722B8">
        <w:t>.</w:t>
      </w:r>
    </w:p>
    <w:bookmarkEnd w:id="38"/>
    <w:p w14:paraId="3A51DA4C" w14:textId="77777777" w:rsidR="00856914" w:rsidRPr="008722B8" w:rsidRDefault="00DC1AAF" w:rsidP="008722B8">
      <w:pPr>
        <w:pStyle w:val="Reservesbullet"/>
      </w:pPr>
      <w:r w:rsidRPr="008722B8">
        <w:rPr>
          <w:b/>
        </w:rPr>
        <w:t xml:space="preserve">Safer Roads </w:t>
      </w:r>
      <w:r w:rsidRPr="008722B8">
        <w:t xml:space="preserve">– </w:t>
      </w:r>
      <w:r w:rsidR="00856914" w:rsidRPr="008722B8">
        <w:t>To</w:t>
      </w:r>
      <w:r w:rsidRPr="008722B8">
        <w:t xml:space="preserve"> use in line with specific criteria for equipment or road safety initiatives.</w:t>
      </w:r>
      <w:r w:rsidR="00856914" w:rsidRPr="008722B8">
        <w:t xml:space="preserve">  </w:t>
      </w:r>
      <w:r w:rsidRPr="008722B8">
        <w:t xml:space="preserve">Following the 2018/19 budget initiatives, a Road Safety Alliance </w:t>
      </w:r>
      <w:r w:rsidR="00856914" w:rsidRPr="008722B8">
        <w:t>w</w:t>
      </w:r>
      <w:r w:rsidRPr="008722B8">
        <w:t xml:space="preserve">as set up with partners </w:t>
      </w:r>
      <w:r w:rsidR="00856914" w:rsidRPr="008722B8">
        <w:t>to</w:t>
      </w:r>
      <w:r w:rsidRPr="008722B8">
        <w:t xml:space="preserve"> produce priorities and the PFCC’s reserve is used to fund specific road safety grants and is used to fund the policing priorities from this.</w:t>
      </w:r>
    </w:p>
    <w:p w14:paraId="474EF0CB" w14:textId="495D2B42" w:rsidR="00856914" w:rsidRPr="008722B8" w:rsidRDefault="00DC1AAF" w:rsidP="008722B8">
      <w:pPr>
        <w:pStyle w:val="Reservesbullet"/>
      </w:pPr>
      <w:r w:rsidRPr="008722B8">
        <w:rPr>
          <w:b/>
        </w:rPr>
        <w:t xml:space="preserve">Neighbourhood </w:t>
      </w:r>
      <w:r w:rsidRPr="008722B8">
        <w:t>–</w:t>
      </w:r>
      <w:r w:rsidR="00856914" w:rsidRPr="008722B8">
        <w:t xml:space="preserve"> T</w:t>
      </w:r>
      <w:r w:rsidRPr="008722B8">
        <w:t xml:space="preserve">o capture any underspends from the in-year </w:t>
      </w:r>
      <w:r w:rsidR="00856914" w:rsidRPr="008722B8">
        <w:t xml:space="preserve">Police Officer and </w:t>
      </w:r>
      <w:r w:rsidRPr="008722B8">
        <w:t>Police Community Support Officers (PCSO) budget</w:t>
      </w:r>
      <w:r w:rsidR="00856914" w:rsidRPr="008722B8">
        <w:t>s</w:t>
      </w:r>
      <w:r w:rsidRPr="008722B8">
        <w:t>.</w:t>
      </w:r>
      <w:r w:rsidR="00856914" w:rsidRPr="008722B8">
        <w:t xml:space="preserve"> </w:t>
      </w:r>
      <w:r w:rsidRPr="008722B8">
        <w:t xml:space="preserve"> It is intended that the </w:t>
      </w:r>
      <w:r w:rsidR="00856914" w:rsidRPr="008722B8">
        <w:t xml:space="preserve">PCSO </w:t>
      </w:r>
      <w:r w:rsidRPr="008722B8">
        <w:t>proceeds of this reserve will be</w:t>
      </w:r>
      <w:r w:rsidR="00856914" w:rsidRPr="008722B8">
        <w:t xml:space="preserve"> specifically</w:t>
      </w:r>
      <w:r w:rsidRPr="008722B8">
        <w:t xml:space="preserve"> used to support neighbourhoods</w:t>
      </w:r>
      <w:r w:rsidR="00856914" w:rsidRPr="008722B8">
        <w:t>, and that Police Officer funds are used to maintain officer strength where needed.</w:t>
      </w:r>
    </w:p>
    <w:p w14:paraId="5BBCB2D7" w14:textId="1DC2D799" w:rsidR="00856914" w:rsidRPr="008722B8" w:rsidRDefault="00856914" w:rsidP="008722B8">
      <w:pPr>
        <w:pStyle w:val="Reservesbullet"/>
      </w:pPr>
      <w:bookmarkStart w:id="39" w:name="_Hlk156926061"/>
      <w:r w:rsidRPr="008722B8">
        <w:rPr>
          <w:b/>
          <w:bCs/>
        </w:rPr>
        <w:t>Developer Contributions (S106)</w:t>
      </w:r>
      <w:r w:rsidRPr="008722B8">
        <w:t xml:space="preserve"> – To collect the drawn down developer contributions awarded to the PFCC in line with S106 planning arrangements.  These funds will be released in accordance with the terms of the agreements, usually to fund capital expenditure.  The reserve only accounts for funds once they have been drawn down.</w:t>
      </w:r>
    </w:p>
    <w:bookmarkEnd w:id="39"/>
    <w:p w14:paraId="56D5BD41" w14:textId="5982862C" w:rsidR="00856914" w:rsidRPr="008722B8" w:rsidRDefault="00856914" w:rsidP="008722B8">
      <w:pPr>
        <w:pStyle w:val="Reservesbullet"/>
      </w:pPr>
      <w:r w:rsidRPr="008722B8">
        <w:rPr>
          <w:b/>
          <w:bCs/>
        </w:rPr>
        <w:t xml:space="preserve">Capital </w:t>
      </w:r>
      <w:r w:rsidRPr="008722B8">
        <w:t>– To hold capital financing underspends or disposal proceeds</w:t>
      </w:r>
      <w:r w:rsidR="008722B8" w:rsidRPr="008722B8">
        <w:t>.  These are to be used to fund the capital programme and minimise borrowing in line with the Treasury Management Strategy.</w:t>
      </w:r>
    </w:p>
    <w:p w14:paraId="4509B363" w14:textId="3835D2B9" w:rsidR="00DC1AAF" w:rsidRPr="008722B8" w:rsidRDefault="00DC1AAF" w:rsidP="008722B8">
      <w:pPr>
        <w:pStyle w:val="Reservesbullet"/>
      </w:pPr>
      <w:r w:rsidRPr="008722B8">
        <w:rPr>
          <w:b/>
          <w:bCs/>
        </w:rPr>
        <w:t>Collaboration</w:t>
      </w:r>
      <w:r w:rsidRPr="008722B8">
        <w:rPr>
          <w:b/>
        </w:rPr>
        <w:t xml:space="preserve"> </w:t>
      </w:r>
      <w:r w:rsidRPr="008722B8">
        <w:t>–</w:t>
      </w:r>
      <w:r w:rsidR="008722B8" w:rsidRPr="008722B8">
        <w:t xml:space="preserve"> T</w:t>
      </w:r>
      <w:r w:rsidRPr="008722B8">
        <w:t xml:space="preserve">o </w:t>
      </w:r>
      <w:r w:rsidR="008722B8" w:rsidRPr="008722B8">
        <w:t xml:space="preserve">hold </w:t>
      </w:r>
      <w:r w:rsidRPr="008722B8">
        <w:t xml:space="preserve">previous years underspends on regional collaboration </w:t>
      </w:r>
      <w:r w:rsidR="008722B8" w:rsidRPr="008722B8">
        <w:t>to</w:t>
      </w:r>
      <w:r w:rsidRPr="008722B8">
        <w:t xml:space="preserve"> fund regional asset replacements. </w:t>
      </w:r>
      <w:r w:rsidR="008722B8" w:rsidRPr="008722B8">
        <w:t xml:space="preserve"> </w:t>
      </w:r>
      <w:r w:rsidRPr="008722B8">
        <w:t>Each PCC holds their share of the regional reserves</w:t>
      </w:r>
      <w:r w:rsidR="008722B8" w:rsidRPr="008722B8">
        <w:t>,</w:t>
      </w:r>
      <w:r w:rsidRPr="008722B8">
        <w:t xml:space="preserve"> set aside to meet future regional costs.</w:t>
      </w:r>
    </w:p>
    <w:p w14:paraId="43C179E1" w14:textId="35BA4298" w:rsidR="00360A96" w:rsidRPr="008722B8" w:rsidRDefault="00DC1AAF" w:rsidP="008722B8">
      <w:pPr>
        <w:pStyle w:val="ReservesBody"/>
      </w:pPr>
      <w:bookmarkStart w:id="40" w:name="_Hlk156926190"/>
      <w:r w:rsidRPr="008722B8">
        <w:t>The forecast balance on the reserves, taking into account a prudent estimate of timings for proposals which are currently being developed is detailed within Annexe 3.</w:t>
      </w:r>
    </w:p>
    <w:p w14:paraId="63EEE0E5" w14:textId="6C48BB14" w:rsidR="00DC1AAF" w:rsidRPr="008722B8" w:rsidRDefault="00DC1AAF" w:rsidP="008722B8">
      <w:pPr>
        <w:pStyle w:val="ReservesHeading"/>
      </w:pPr>
      <w:bookmarkStart w:id="41" w:name="_Hlk156926258"/>
      <w:bookmarkEnd w:id="40"/>
      <w:r w:rsidRPr="008722B8">
        <w:t>Provisions</w:t>
      </w:r>
    </w:p>
    <w:p w14:paraId="71A253FC" w14:textId="22CF1512" w:rsidR="00DC1AAF" w:rsidRDefault="00DC1AAF" w:rsidP="008722B8">
      <w:pPr>
        <w:pStyle w:val="ReservesBody"/>
      </w:pPr>
      <w:r w:rsidRPr="008722B8">
        <w:t xml:space="preserve">The CIPFA Statement of Recommended Practice is prescriptive about when provisions are required (and when they are not permitted). </w:t>
      </w:r>
      <w:r w:rsidR="008722B8" w:rsidRPr="008722B8">
        <w:t xml:space="preserve"> A</w:t>
      </w:r>
      <w:r w:rsidRPr="008722B8">
        <w:t xml:space="preserve"> provision must be established for any material liabilities of uncertain timings or amount, to be settled by the transfer of economic benefits.</w:t>
      </w:r>
      <w:r w:rsidR="008722B8" w:rsidRPr="008722B8">
        <w:t xml:space="preserve"> </w:t>
      </w:r>
      <w:r w:rsidRPr="008722B8">
        <w:t xml:space="preserve"> In accordance with this statutory guidance, the Force hold an established ‘Insurance Provision’ which is reviewed as part of the closedown process for each year</w:t>
      </w:r>
      <w:r w:rsidR="008722B8">
        <w:t>.</w:t>
      </w:r>
    </w:p>
    <w:p w14:paraId="7D68122D" w14:textId="77777777" w:rsidR="00D52E21" w:rsidRPr="008722B8" w:rsidRDefault="00D52E21" w:rsidP="00D52E21">
      <w:pPr>
        <w:pStyle w:val="ReservesBody"/>
        <w:numPr>
          <w:ilvl w:val="0"/>
          <w:numId w:val="0"/>
        </w:numPr>
        <w:ind w:left="567"/>
      </w:pPr>
    </w:p>
    <w:p w14:paraId="7F277D72" w14:textId="23411909" w:rsidR="00DC1AAF" w:rsidRPr="00396F75" w:rsidRDefault="00DC1AAF" w:rsidP="00396F75">
      <w:pPr>
        <w:pStyle w:val="ReservesHeading"/>
      </w:pPr>
      <w:bookmarkStart w:id="42" w:name="_Hlk156926281"/>
      <w:bookmarkEnd w:id="41"/>
      <w:r w:rsidRPr="008722B8">
        <w:t>Procedures for management and control</w:t>
      </w:r>
    </w:p>
    <w:p w14:paraId="2CAE02D2" w14:textId="785F6766" w:rsidR="00DC1AAF" w:rsidRPr="008722B8" w:rsidRDefault="00DC1AAF" w:rsidP="008722B8">
      <w:pPr>
        <w:pStyle w:val="ReservesBody"/>
        <w:rPr>
          <w:lang w:val="en-US"/>
        </w:rPr>
      </w:pPr>
      <w:r w:rsidRPr="008722B8">
        <w:rPr>
          <w:lang w:val="en-US"/>
        </w:rPr>
        <w:t xml:space="preserve">Any drawdown from </w:t>
      </w:r>
      <w:r w:rsidR="00F57399" w:rsidRPr="008722B8">
        <w:rPr>
          <w:lang w:val="en-US"/>
        </w:rPr>
        <w:t>r</w:t>
      </w:r>
      <w:r w:rsidRPr="008722B8">
        <w:rPr>
          <w:lang w:val="en-US"/>
        </w:rPr>
        <w:t>eserves is subject to the approval of the PFCC, on advice from the PFCC’s Chief Finance Officer (</w:t>
      </w:r>
      <w:r w:rsidR="002E221A" w:rsidRPr="008722B8">
        <w:rPr>
          <w:lang w:val="en-US"/>
        </w:rPr>
        <w:t xml:space="preserve">OPFCC </w:t>
      </w:r>
      <w:r w:rsidRPr="008722B8">
        <w:rPr>
          <w:lang w:val="en-US"/>
        </w:rPr>
        <w:t xml:space="preserve">CFO); or under the delegated authority of the OPFCC CFO. </w:t>
      </w:r>
    </w:p>
    <w:p w14:paraId="140D323B" w14:textId="0185A226" w:rsidR="00DC1AAF" w:rsidRPr="008722B8" w:rsidRDefault="00DC1AAF" w:rsidP="008722B8">
      <w:pPr>
        <w:pStyle w:val="ReservesBody"/>
        <w:rPr>
          <w:lang w:val="en"/>
        </w:rPr>
      </w:pPr>
      <w:r w:rsidRPr="008722B8">
        <w:rPr>
          <w:lang w:val="en"/>
        </w:rPr>
        <w:t xml:space="preserve">The Local Government Act 2003 requires the S151 officer to report annually on the adequacy of the reserves and this is included within the statement on the robustness of the estimates used for the budget and the adequacy of the proposed financial reserves. </w:t>
      </w:r>
    </w:p>
    <w:p w14:paraId="6EB6C0F6" w14:textId="0551443B" w:rsidR="00DC1AAF" w:rsidRPr="008722B8" w:rsidRDefault="00DC1AAF" w:rsidP="008722B8">
      <w:pPr>
        <w:pStyle w:val="ReservesBody"/>
        <w:rPr>
          <w:lang w:val="en"/>
        </w:rPr>
      </w:pPr>
      <w:r w:rsidRPr="008722B8">
        <w:t xml:space="preserve">The Strategy will be reviewed annually by the OPFCC CFO as part of the Budget and Precept process. </w:t>
      </w:r>
      <w:r w:rsidRPr="008722B8">
        <w:rPr>
          <w:bCs/>
          <w:color w:val="FF0000"/>
          <w:lang w:val="en-US"/>
        </w:rPr>
        <w:t xml:space="preserve"> </w:t>
      </w:r>
    </w:p>
    <w:bookmarkEnd w:id="42"/>
    <w:p w14:paraId="74158B5C" w14:textId="77777777" w:rsidR="00DC1AAF" w:rsidRPr="00E70CEB" w:rsidRDefault="00DC1AAF" w:rsidP="008722B8">
      <w:pPr>
        <w:spacing w:after="0" w:line="240" w:lineRule="auto"/>
        <w:rPr>
          <w:rFonts w:eastAsia="Times New Roman" w:cs="Calibri"/>
          <w:b/>
          <w:sz w:val="24"/>
          <w:szCs w:val="24"/>
        </w:rPr>
      </w:pPr>
      <w:r w:rsidRPr="008722B8">
        <w:rPr>
          <w:rFonts w:eastAsia="Times New Roman" w:cs="Calibri"/>
          <w:sz w:val="24"/>
          <w:szCs w:val="24"/>
        </w:rPr>
        <w:br w:type="page"/>
      </w:r>
      <w:r w:rsidRPr="00E70CEB">
        <w:rPr>
          <w:rFonts w:eastAsia="Times New Roman" w:cs="Calibri"/>
          <w:b/>
          <w:sz w:val="24"/>
          <w:szCs w:val="24"/>
        </w:rPr>
        <w:t>Annexe 1</w:t>
      </w:r>
    </w:p>
    <w:p w14:paraId="79903B22" w14:textId="77777777" w:rsidR="00DC1AAF" w:rsidRPr="00E70CEB" w:rsidRDefault="00DC1AAF" w:rsidP="00DC1AAF">
      <w:pPr>
        <w:spacing w:after="0" w:line="240" w:lineRule="auto"/>
        <w:rPr>
          <w:rFonts w:eastAsia="Times New Roman" w:cs="Calibri"/>
          <w:sz w:val="24"/>
          <w:szCs w:val="24"/>
        </w:rPr>
      </w:pPr>
    </w:p>
    <w:p w14:paraId="2D398B27" w14:textId="407E9099" w:rsidR="00DC1AAF" w:rsidRPr="00E70CEB" w:rsidRDefault="00DC1AAF" w:rsidP="008722B8">
      <w:pPr>
        <w:spacing w:after="0" w:line="240" w:lineRule="auto"/>
        <w:rPr>
          <w:rFonts w:eastAsia="Times New Roman" w:cs="Calibri"/>
          <w:b/>
          <w:sz w:val="24"/>
          <w:szCs w:val="24"/>
        </w:rPr>
      </w:pPr>
      <w:r w:rsidRPr="00E70CEB">
        <w:rPr>
          <w:rFonts w:eastAsia="Times New Roman" w:cs="Calibri"/>
          <w:b/>
          <w:sz w:val="24"/>
          <w:szCs w:val="24"/>
        </w:rPr>
        <w:t xml:space="preserve">Northamptonshire </w:t>
      </w:r>
      <w:r w:rsidR="008722B8" w:rsidRPr="00E70CEB">
        <w:rPr>
          <w:rFonts w:eastAsia="Times New Roman" w:cs="Calibri"/>
          <w:b/>
          <w:sz w:val="24"/>
          <w:szCs w:val="24"/>
        </w:rPr>
        <w:t xml:space="preserve">OPFCC - </w:t>
      </w:r>
      <w:r w:rsidRPr="00E70CEB">
        <w:rPr>
          <w:rFonts w:eastAsia="Times New Roman" w:cs="Calibri"/>
          <w:b/>
          <w:sz w:val="24"/>
          <w:szCs w:val="24"/>
        </w:rPr>
        <w:t xml:space="preserve">Compliance with the 7 Key CIPFA Principles to assess the adequacy of </w:t>
      </w:r>
      <w:proofErr w:type="gramStart"/>
      <w:r w:rsidRPr="00E70CEB">
        <w:rPr>
          <w:rFonts w:eastAsia="Times New Roman" w:cs="Calibri"/>
          <w:b/>
          <w:sz w:val="24"/>
          <w:szCs w:val="24"/>
        </w:rPr>
        <w:t>reserves</w:t>
      </w:r>
      <w:proofErr w:type="gramEnd"/>
    </w:p>
    <w:p w14:paraId="139C1E21" w14:textId="77777777" w:rsidR="00DC1AAF" w:rsidRPr="0074575D" w:rsidRDefault="00DC1AAF" w:rsidP="00DC1AAF">
      <w:pPr>
        <w:spacing w:after="0" w:line="240" w:lineRule="auto"/>
        <w:jc w:val="center"/>
        <w:rPr>
          <w:rFonts w:eastAsia="Times New Roman" w:cs="Calibri"/>
          <w:b/>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5762"/>
      </w:tblGrid>
      <w:tr w:rsidR="00DC1AAF" w:rsidRPr="00E70CEB" w14:paraId="7C0ACD8A" w14:textId="77777777" w:rsidTr="000C6617">
        <w:tc>
          <w:tcPr>
            <w:tcW w:w="3936" w:type="dxa"/>
            <w:shd w:val="clear" w:color="auto" w:fill="auto"/>
          </w:tcPr>
          <w:p w14:paraId="673C8BFD" w14:textId="77777777" w:rsidR="00DC1AAF" w:rsidRPr="00E70CEB" w:rsidRDefault="00DC1AAF" w:rsidP="00DC1AAF">
            <w:pPr>
              <w:spacing w:after="0" w:line="240" w:lineRule="auto"/>
              <w:jc w:val="center"/>
              <w:rPr>
                <w:rFonts w:eastAsia="Times New Roman" w:cs="Calibri"/>
                <w:b/>
                <w:sz w:val="24"/>
                <w:szCs w:val="24"/>
              </w:rPr>
            </w:pPr>
            <w:r w:rsidRPr="00E70CEB">
              <w:rPr>
                <w:rFonts w:eastAsia="Times New Roman" w:cs="Calibri"/>
                <w:b/>
                <w:sz w:val="24"/>
                <w:szCs w:val="24"/>
              </w:rPr>
              <w:t>Budget Assumptions (CIPFA Principles)</w:t>
            </w:r>
          </w:p>
        </w:tc>
        <w:tc>
          <w:tcPr>
            <w:tcW w:w="5918" w:type="dxa"/>
            <w:shd w:val="clear" w:color="auto" w:fill="auto"/>
          </w:tcPr>
          <w:p w14:paraId="18D34500" w14:textId="0E40B297" w:rsidR="00DC1AAF" w:rsidRPr="00E70CEB" w:rsidRDefault="00DC1AAF" w:rsidP="00DC1AAF">
            <w:pPr>
              <w:spacing w:after="0" w:line="240" w:lineRule="auto"/>
              <w:jc w:val="center"/>
              <w:rPr>
                <w:rFonts w:eastAsia="Times New Roman" w:cs="Calibri"/>
                <w:b/>
                <w:sz w:val="24"/>
                <w:szCs w:val="24"/>
              </w:rPr>
            </w:pPr>
            <w:r w:rsidRPr="00E70CEB">
              <w:rPr>
                <w:rFonts w:eastAsia="Times New Roman" w:cs="Calibri"/>
                <w:b/>
                <w:sz w:val="24"/>
                <w:szCs w:val="24"/>
              </w:rPr>
              <w:t>202</w:t>
            </w:r>
            <w:r w:rsidR="00E70CEB" w:rsidRPr="00E70CEB">
              <w:rPr>
                <w:rFonts w:eastAsia="Times New Roman" w:cs="Calibri"/>
                <w:b/>
                <w:sz w:val="24"/>
                <w:szCs w:val="24"/>
              </w:rPr>
              <w:t>4</w:t>
            </w:r>
            <w:r w:rsidRPr="00E70CEB">
              <w:rPr>
                <w:rFonts w:eastAsia="Times New Roman" w:cs="Calibri"/>
                <w:b/>
                <w:sz w:val="24"/>
                <w:szCs w:val="24"/>
              </w:rPr>
              <w:t>/2</w:t>
            </w:r>
            <w:r w:rsidR="00E70CEB" w:rsidRPr="00E70CEB">
              <w:rPr>
                <w:rFonts w:eastAsia="Times New Roman" w:cs="Calibri"/>
                <w:b/>
                <w:sz w:val="24"/>
                <w:szCs w:val="24"/>
              </w:rPr>
              <w:t>5</w:t>
            </w:r>
            <w:r w:rsidRPr="00E70CEB">
              <w:rPr>
                <w:rFonts w:eastAsia="Times New Roman" w:cs="Calibri"/>
                <w:b/>
                <w:sz w:val="24"/>
                <w:szCs w:val="24"/>
              </w:rPr>
              <w:t xml:space="preserve"> Situation in Northamptonshire</w:t>
            </w:r>
          </w:p>
        </w:tc>
      </w:tr>
      <w:tr w:rsidR="00DC1AAF" w:rsidRPr="0074575D" w14:paraId="739FA66A" w14:textId="77777777" w:rsidTr="000C6617">
        <w:tc>
          <w:tcPr>
            <w:tcW w:w="3936" w:type="dxa"/>
            <w:shd w:val="clear" w:color="auto" w:fill="auto"/>
          </w:tcPr>
          <w:p w14:paraId="457C1E58" w14:textId="77777777" w:rsidR="00DC1AAF" w:rsidRPr="00E70CEB" w:rsidRDefault="00DC1AAF" w:rsidP="00DC1AAF">
            <w:pPr>
              <w:spacing w:after="0" w:line="240" w:lineRule="auto"/>
              <w:rPr>
                <w:rFonts w:eastAsia="Times New Roman" w:cs="Calibri"/>
                <w:b/>
                <w:sz w:val="24"/>
                <w:szCs w:val="24"/>
              </w:rPr>
            </w:pPr>
            <w:r w:rsidRPr="00E70CEB">
              <w:rPr>
                <w:rFonts w:eastAsia="Times New Roman" w:cs="Calibri"/>
                <w:b/>
                <w:sz w:val="24"/>
                <w:szCs w:val="24"/>
              </w:rPr>
              <w:t>The treatment of inflation and interest rates</w:t>
            </w:r>
          </w:p>
        </w:tc>
        <w:tc>
          <w:tcPr>
            <w:tcW w:w="5918" w:type="dxa"/>
            <w:shd w:val="clear" w:color="auto" w:fill="auto"/>
          </w:tcPr>
          <w:p w14:paraId="45A4EF82" w14:textId="7777777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Northamptonshire makes full and appropriate provision for pay and price increases, informed by benchmarking with peers.</w:t>
            </w:r>
          </w:p>
          <w:p w14:paraId="63852A63" w14:textId="77777777" w:rsidR="00DC1AAF" w:rsidRPr="00E70CEB" w:rsidRDefault="00DC1AAF" w:rsidP="00DC1AAF">
            <w:pPr>
              <w:spacing w:after="0" w:line="240" w:lineRule="auto"/>
              <w:rPr>
                <w:rFonts w:eastAsia="Times New Roman" w:cs="Calibri"/>
                <w:sz w:val="24"/>
                <w:szCs w:val="24"/>
              </w:rPr>
            </w:pPr>
          </w:p>
          <w:p w14:paraId="06B801D8" w14:textId="7777777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An informed assessment is made in the Treasury Management Strategy of interest rate movements. </w:t>
            </w:r>
          </w:p>
          <w:p w14:paraId="5C2B61D5" w14:textId="77777777" w:rsidR="00DC1AAF" w:rsidRPr="00E70CEB" w:rsidRDefault="00DC1AAF" w:rsidP="00DC1AAF">
            <w:pPr>
              <w:spacing w:after="0" w:line="240" w:lineRule="auto"/>
              <w:rPr>
                <w:rFonts w:eastAsia="Times New Roman" w:cs="Calibri"/>
                <w:sz w:val="24"/>
                <w:szCs w:val="24"/>
              </w:rPr>
            </w:pPr>
          </w:p>
          <w:p w14:paraId="07550239" w14:textId="7777777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All income and expenditure in the budget </w:t>
            </w:r>
            <w:proofErr w:type="gramStart"/>
            <w:r w:rsidRPr="00E70CEB">
              <w:rPr>
                <w:rFonts w:eastAsia="Times New Roman" w:cs="Calibri"/>
                <w:sz w:val="24"/>
                <w:szCs w:val="24"/>
              </w:rPr>
              <w:t>is</w:t>
            </w:r>
            <w:proofErr w:type="gramEnd"/>
            <w:r w:rsidRPr="00E70CEB">
              <w:rPr>
                <w:rFonts w:eastAsia="Times New Roman" w:cs="Calibri"/>
                <w:sz w:val="24"/>
                <w:szCs w:val="24"/>
              </w:rPr>
              <w:t xml:space="preserve"> prepared and published at outturn prices.</w:t>
            </w:r>
          </w:p>
          <w:p w14:paraId="6342F004" w14:textId="77777777" w:rsidR="00DC1AAF" w:rsidRPr="00E70CEB" w:rsidRDefault="00DC1AAF" w:rsidP="00DC1AAF">
            <w:pPr>
              <w:spacing w:after="0" w:line="240" w:lineRule="auto"/>
              <w:rPr>
                <w:rFonts w:eastAsia="Times New Roman" w:cs="Calibri"/>
                <w:sz w:val="24"/>
                <w:szCs w:val="24"/>
              </w:rPr>
            </w:pPr>
          </w:p>
          <w:p w14:paraId="19FEA2D8" w14:textId="00280CA8"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Additionally, there are operational and inflation contingencies to mitigate any volatility </w:t>
            </w:r>
            <w:r w:rsidR="00E70CEB">
              <w:rPr>
                <w:rFonts w:eastAsia="Times New Roman" w:cs="Calibri"/>
                <w:sz w:val="24"/>
                <w:szCs w:val="24"/>
              </w:rPr>
              <w:t>during the year</w:t>
            </w:r>
            <w:r w:rsidRPr="00E70CEB">
              <w:rPr>
                <w:rFonts w:eastAsia="Times New Roman" w:cs="Calibri"/>
                <w:sz w:val="24"/>
                <w:szCs w:val="24"/>
              </w:rPr>
              <w:t>.</w:t>
            </w:r>
          </w:p>
          <w:p w14:paraId="58BA06B1" w14:textId="77777777" w:rsidR="00DC1AAF" w:rsidRPr="00E70CEB" w:rsidRDefault="00DC1AAF" w:rsidP="00DC1AAF">
            <w:pPr>
              <w:spacing w:after="0" w:line="240" w:lineRule="auto"/>
              <w:rPr>
                <w:rFonts w:eastAsia="Times New Roman" w:cs="Calibri"/>
                <w:sz w:val="24"/>
                <w:szCs w:val="24"/>
              </w:rPr>
            </w:pPr>
          </w:p>
        </w:tc>
      </w:tr>
      <w:tr w:rsidR="00DC1AAF" w:rsidRPr="0074575D" w14:paraId="2E653D6D" w14:textId="77777777" w:rsidTr="000C6617">
        <w:tc>
          <w:tcPr>
            <w:tcW w:w="3936" w:type="dxa"/>
            <w:shd w:val="clear" w:color="auto" w:fill="auto"/>
          </w:tcPr>
          <w:p w14:paraId="4EC022D9" w14:textId="77777777" w:rsidR="00DC1AAF" w:rsidRPr="00E70CEB" w:rsidRDefault="00DC1AAF" w:rsidP="00DC1AAF">
            <w:pPr>
              <w:spacing w:after="0" w:line="240" w:lineRule="auto"/>
              <w:rPr>
                <w:rFonts w:eastAsia="Times New Roman" w:cs="Calibri"/>
                <w:b/>
                <w:sz w:val="24"/>
                <w:szCs w:val="24"/>
              </w:rPr>
            </w:pPr>
            <w:r w:rsidRPr="00E70CEB">
              <w:rPr>
                <w:rFonts w:eastAsia="Times New Roman" w:cs="Calibri"/>
                <w:b/>
                <w:sz w:val="24"/>
                <w:szCs w:val="24"/>
              </w:rPr>
              <w:t>Estimates of the level and timing of capital receipts</w:t>
            </w:r>
          </w:p>
        </w:tc>
        <w:tc>
          <w:tcPr>
            <w:tcW w:w="5918" w:type="dxa"/>
            <w:shd w:val="clear" w:color="auto" w:fill="auto"/>
          </w:tcPr>
          <w:p w14:paraId="3C05BFDD" w14:textId="7777777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Northamptonshire has recently reviewed its estates strategy as a fundamental part of the capital programme and has made a prudent assumption of future capital receipts across the programme which are being used to fund capital expenditure and minimise the impact of borrowing on the budget.</w:t>
            </w:r>
          </w:p>
          <w:p w14:paraId="439E63BE" w14:textId="77777777" w:rsidR="00DC1AAF" w:rsidRPr="00E70CEB" w:rsidRDefault="00DC1AAF" w:rsidP="00DC1AAF">
            <w:pPr>
              <w:spacing w:after="0" w:line="240" w:lineRule="auto"/>
              <w:jc w:val="center"/>
              <w:rPr>
                <w:rFonts w:eastAsia="Times New Roman" w:cs="Calibri"/>
                <w:b/>
                <w:sz w:val="24"/>
                <w:szCs w:val="24"/>
              </w:rPr>
            </w:pPr>
          </w:p>
        </w:tc>
      </w:tr>
      <w:tr w:rsidR="00DC1AAF" w:rsidRPr="0074575D" w14:paraId="1EBF5B90" w14:textId="77777777" w:rsidTr="000C6617">
        <w:tc>
          <w:tcPr>
            <w:tcW w:w="3936" w:type="dxa"/>
            <w:shd w:val="clear" w:color="auto" w:fill="auto"/>
          </w:tcPr>
          <w:p w14:paraId="7CF24A6C" w14:textId="77777777" w:rsidR="00DC1AAF" w:rsidRPr="00E70CEB" w:rsidRDefault="00DC1AAF" w:rsidP="00DC1AAF">
            <w:pPr>
              <w:spacing w:after="0" w:line="240" w:lineRule="auto"/>
              <w:rPr>
                <w:rFonts w:eastAsia="Times New Roman" w:cs="Calibri"/>
                <w:b/>
                <w:sz w:val="24"/>
                <w:szCs w:val="24"/>
              </w:rPr>
            </w:pPr>
            <w:r w:rsidRPr="00E70CEB">
              <w:rPr>
                <w:rFonts w:eastAsia="Times New Roman" w:cs="Calibri"/>
                <w:b/>
                <w:sz w:val="24"/>
                <w:szCs w:val="24"/>
              </w:rPr>
              <w:t>The treatment of demand led pressures</w:t>
            </w:r>
          </w:p>
        </w:tc>
        <w:tc>
          <w:tcPr>
            <w:tcW w:w="5918" w:type="dxa"/>
            <w:shd w:val="clear" w:color="auto" w:fill="auto"/>
          </w:tcPr>
          <w:p w14:paraId="761E0A8A" w14:textId="1B7A3D09"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The Force is required to operate and manage within its annual budget allocation. </w:t>
            </w:r>
            <w:r w:rsidR="00E70CEB" w:rsidRPr="00E70CEB">
              <w:rPr>
                <w:rFonts w:eastAsia="Times New Roman" w:cs="Calibri"/>
                <w:sz w:val="24"/>
                <w:szCs w:val="24"/>
              </w:rPr>
              <w:t xml:space="preserve"> </w:t>
            </w:r>
            <w:r w:rsidRPr="00E70CEB">
              <w:rPr>
                <w:rFonts w:eastAsia="Times New Roman" w:cs="Calibri"/>
                <w:sz w:val="24"/>
                <w:szCs w:val="24"/>
              </w:rPr>
              <w:t xml:space="preserve">Overtime budgets are devolved within the Force to enable operational leaders to make decisions and the Chief Constable retains an operational contingency to support additional major incidents. </w:t>
            </w:r>
          </w:p>
          <w:p w14:paraId="79875354" w14:textId="77777777" w:rsidR="00DC1AAF" w:rsidRPr="00E70CEB" w:rsidRDefault="00DC1AAF" w:rsidP="00DC1AAF">
            <w:pPr>
              <w:spacing w:after="0" w:line="240" w:lineRule="auto"/>
              <w:rPr>
                <w:rFonts w:eastAsia="Times New Roman" w:cs="Calibri"/>
                <w:sz w:val="24"/>
                <w:szCs w:val="24"/>
              </w:rPr>
            </w:pPr>
          </w:p>
          <w:p w14:paraId="5794BFD1" w14:textId="7777777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On an exceptional basis, agreement is sought from the PFCC to utilise carry forwards to meet one off demand led pressures and demand led pressures are scrutinised and built into the budget set by the PFCC.</w:t>
            </w:r>
          </w:p>
          <w:p w14:paraId="008F89F9" w14:textId="77777777" w:rsidR="00DC1AAF" w:rsidRPr="00E70CEB" w:rsidRDefault="00DC1AAF" w:rsidP="00DC1AAF">
            <w:pPr>
              <w:spacing w:after="0" w:line="240" w:lineRule="auto"/>
              <w:rPr>
                <w:rFonts w:eastAsia="Times New Roman" w:cs="Calibri"/>
                <w:sz w:val="24"/>
                <w:szCs w:val="24"/>
              </w:rPr>
            </w:pPr>
          </w:p>
          <w:p w14:paraId="1DACCF27" w14:textId="7777777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Northamptonshire have identified savings in previous years which mean that opportunities for efficiencies are less than in previous years. </w:t>
            </w:r>
          </w:p>
          <w:p w14:paraId="0993DFC4" w14:textId="77777777" w:rsidR="00DC1AAF" w:rsidRPr="00E70CEB" w:rsidRDefault="00DC1AAF" w:rsidP="00DC1AAF">
            <w:pPr>
              <w:spacing w:after="0" w:line="240" w:lineRule="auto"/>
              <w:rPr>
                <w:rFonts w:eastAsia="Times New Roman" w:cs="Calibri"/>
                <w:sz w:val="24"/>
                <w:szCs w:val="24"/>
              </w:rPr>
            </w:pPr>
          </w:p>
          <w:p w14:paraId="08FC23F5" w14:textId="02CABFBC"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The PFCC is keen to ensure the Force continue to identify efficiencies where it makes sense to do so, and a 1% efficiency target</w:t>
            </w:r>
            <w:r w:rsidR="00E70CEB">
              <w:rPr>
                <w:rFonts w:eastAsia="Times New Roman" w:cs="Calibri"/>
                <w:sz w:val="24"/>
                <w:szCs w:val="24"/>
              </w:rPr>
              <w:t xml:space="preserve"> (of which half is expected to be cashable)</w:t>
            </w:r>
            <w:r w:rsidRPr="00E70CEB">
              <w:rPr>
                <w:rFonts w:eastAsia="Times New Roman" w:cs="Calibri"/>
                <w:sz w:val="24"/>
                <w:szCs w:val="24"/>
              </w:rPr>
              <w:t xml:space="preserve"> is set as part of the budget and MTFP and detailed within the annual strategic outcomes agreed with the Chief Constable.</w:t>
            </w:r>
          </w:p>
          <w:p w14:paraId="4BFC1D3F" w14:textId="77777777" w:rsidR="00DC1AAF" w:rsidRPr="00E70CEB" w:rsidRDefault="00DC1AAF" w:rsidP="00DC1AAF">
            <w:pPr>
              <w:spacing w:after="0" w:line="240" w:lineRule="auto"/>
              <w:rPr>
                <w:rFonts w:eastAsia="Times New Roman" w:cs="Calibri"/>
                <w:sz w:val="24"/>
                <w:szCs w:val="24"/>
              </w:rPr>
            </w:pPr>
          </w:p>
          <w:p w14:paraId="21FAD4AA" w14:textId="7777777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Depending on funding availability, the PFCC has and will continue to support investment in areas that reduce demand, or which increase efficiency/capacity to deal with demand.</w:t>
            </w:r>
          </w:p>
          <w:p w14:paraId="2EBD4697" w14:textId="77777777" w:rsidR="00DC1AAF" w:rsidRPr="00E70CEB" w:rsidRDefault="00DC1AAF" w:rsidP="00DC1AAF">
            <w:pPr>
              <w:spacing w:after="0" w:line="240" w:lineRule="auto"/>
              <w:rPr>
                <w:rFonts w:eastAsia="Times New Roman" w:cs="Calibri"/>
                <w:sz w:val="24"/>
                <w:szCs w:val="24"/>
              </w:rPr>
            </w:pPr>
          </w:p>
          <w:p w14:paraId="2E49D79D" w14:textId="052B32FF"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General reserves are </w:t>
            </w:r>
            <w:r w:rsidR="00E70CEB">
              <w:rPr>
                <w:rFonts w:eastAsia="Times New Roman" w:cs="Calibri"/>
                <w:sz w:val="24"/>
                <w:szCs w:val="24"/>
              </w:rPr>
              <w:t xml:space="preserve">only </w:t>
            </w:r>
            <w:r w:rsidRPr="00E70CEB">
              <w:rPr>
                <w:rFonts w:eastAsia="Times New Roman" w:cs="Calibri"/>
                <w:sz w:val="24"/>
                <w:szCs w:val="24"/>
              </w:rPr>
              <w:t>used as a last resort to manage and fund demand led pressures.</w:t>
            </w:r>
          </w:p>
          <w:p w14:paraId="61E163D2" w14:textId="77777777" w:rsidR="00DC1AAF" w:rsidRPr="00E70CEB" w:rsidRDefault="00DC1AAF" w:rsidP="00DC1AAF">
            <w:pPr>
              <w:spacing w:after="0" w:line="240" w:lineRule="auto"/>
              <w:rPr>
                <w:rFonts w:eastAsia="Times New Roman" w:cs="Calibri"/>
                <w:sz w:val="24"/>
                <w:szCs w:val="24"/>
              </w:rPr>
            </w:pPr>
          </w:p>
        </w:tc>
      </w:tr>
      <w:tr w:rsidR="00DC1AAF" w:rsidRPr="0074575D" w14:paraId="3CBE7429" w14:textId="77777777" w:rsidTr="000C6617">
        <w:tc>
          <w:tcPr>
            <w:tcW w:w="3936" w:type="dxa"/>
            <w:shd w:val="clear" w:color="auto" w:fill="auto"/>
          </w:tcPr>
          <w:p w14:paraId="2E2868D9" w14:textId="77777777" w:rsidR="00DC1AAF" w:rsidRPr="00E70CEB" w:rsidRDefault="00DC1AAF" w:rsidP="00DC1AAF">
            <w:pPr>
              <w:spacing w:after="0" w:line="240" w:lineRule="auto"/>
              <w:rPr>
                <w:rFonts w:eastAsia="Times New Roman" w:cs="Calibri"/>
                <w:b/>
                <w:sz w:val="24"/>
                <w:szCs w:val="24"/>
              </w:rPr>
            </w:pPr>
            <w:r w:rsidRPr="00E70CEB">
              <w:rPr>
                <w:rFonts w:eastAsia="Times New Roman" w:cs="Calibri"/>
                <w:b/>
                <w:sz w:val="24"/>
                <w:szCs w:val="24"/>
              </w:rPr>
              <w:t>The treatment of Planned Efficiency Savings/Productivity Gains</w:t>
            </w:r>
          </w:p>
        </w:tc>
        <w:tc>
          <w:tcPr>
            <w:tcW w:w="5918" w:type="dxa"/>
            <w:shd w:val="clear" w:color="auto" w:fill="auto"/>
          </w:tcPr>
          <w:p w14:paraId="5F4B15E3" w14:textId="126A88C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The Force have met all financial savings and challenges sought in previous years and in addition to realising efficiencies, have set a £0.</w:t>
            </w:r>
            <w:r w:rsidR="00E70CEB" w:rsidRPr="00E70CEB">
              <w:rPr>
                <w:rFonts w:eastAsia="Times New Roman" w:cs="Calibri"/>
                <w:sz w:val="24"/>
                <w:szCs w:val="24"/>
              </w:rPr>
              <w:t>8</w:t>
            </w:r>
            <w:r w:rsidRPr="00E70CEB">
              <w:rPr>
                <w:rFonts w:eastAsia="Times New Roman" w:cs="Calibri"/>
                <w:sz w:val="24"/>
                <w:szCs w:val="24"/>
              </w:rPr>
              <w:t>m efficiency target as part of the 202</w:t>
            </w:r>
            <w:r w:rsidR="00E70CEB" w:rsidRPr="00E70CEB">
              <w:rPr>
                <w:rFonts w:eastAsia="Times New Roman" w:cs="Calibri"/>
                <w:sz w:val="24"/>
                <w:szCs w:val="24"/>
              </w:rPr>
              <w:t>4</w:t>
            </w:r>
            <w:r w:rsidRPr="00E70CEB">
              <w:rPr>
                <w:rFonts w:eastAsia="Times New Roman" w:cs="Calibri"/>
                <w:sz w:val="24"/>
                <w:szCs w:val="24"/>
              </w:rPr>
              <w:t>/2</w:t>
            </w:r>
            <w:r w:rsidR="00E70CEB" w:rsidRPr="00E70CEB">
              <w:rPr>
                <w:rFonts w:eastAsia="Times New Roman" w:cs="Calibri"/>
                <w:sz w:val="24"/>
                <w:szCs w:val="24"/>
              </w:rPr>
              <w:t>5</w:t>
            </w:r>
            <w:r w:rsidRPr="00E70CEB">
              <w:rPr>
                <w:rFonts w:eastAsia="Times New Roman" w:cs="Calibri"/>
                <w:sz w:val="24"/>
                <w:szCs w:val="24"/>
              </w:rPr>
              <w:t xml:space="preserve"> budget.</w:t>
            </w:r>
          </w:p>
          <w:p w14:paraId="5E938320" w14:textId="77777777" w:rsidR="00DC1AAF" w:rsidRPr="00E70CEB" w:rsidRDefault="00DC1AAF" w:rsidP="00DC1AAF">
            <w:pPr>
              <w:spacing w:after="0" w:line="240" w:lineRule="auto"/>
              <w:rPr>
                <w:rFonts w:eastAsia="Times New Roman" w:cs="Calibri"/>
                <w:sz w:val="24"/>
                <w:szCs w:val="24"/>
              </w:rPr>
            </w:pPr>
          </w:p>
          <w:p w14:paraId="5C1A3E69" w14:textId="7777777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The Force undertake budget challenge meetings and have identified a range of efficiencies to take forward which they will discuss with the Chief Constable and PFCC as they are refined. </w:t>
            </w:r>
          </w:p>
          <w:p w14:paraId="75D92F89" w14:textId="77777777" w:rsidR="00DC1AAF" w:rsidRPr="00E70CEB" w:rsidRDefault="00DC1AAF" w:rsidP="00DC1AAF">
            <w:pPr>
              <w:spacing w:after="0" w:line="240" w:lineRule="auto"/>
              <w:rPr>
                <w:rFonts w:eastAsia="Times New Roman" w:cs="Calibri"/>
                <w:sz w:val="24"/>
                <w:szCs w:val="24"/>
              </w:rPr>
            </w:pPr>
          </w:p>
          <w:p w14:paraId="2801A277" w14:textId="71AD56D0"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The Force operates a </w:t>
            </w:r>
            <w:r w:rsidR="00E70CEB" w:rsidRPr="00E70CEB">
              <w:rPr>
                <w:rFonts w:eastAsia="Times New Roman" w:cs="Calibri"/>
                <w:sz w:val="24"/>
                <w:szCs w:val="24"/>
              </w:rPr>
              <w:t>Strategic Planning Board</w:t>
            </w:r>
            <w:r w:rsidRPr="00E70CEB">
              <w:rPr>
                <w:rFonts w:eastAsia="Times New Roman" w:cs="Calibri"/>
                <w:sz w:val="24"/>
                <w:szCs w:val="24"/>
              </w:rPr>
              <w:t xml:space="preserve"> which monitors investments, savings and efficiencies and is attended by OPFCC representatives.</w:t>
            </w:r>
          </w:p>
          <w:p w14:paraId="61C28745" w14:textId="77777777" w:rsidR="00DC1AAF" w:rsidRPr="00E70CEB" w:rsidRDefault="00DC1AAF" w:rsidP="00DC1AAF">
            <w:pPr>
              <w:spacing w:after="0" w:line="240" w:lineRule="auto"/>
              <w:rPr>
                <w:rFonts w:eastAsia="Times New Roman" w:cs="Calibri"/>
                <w:sz w:val="24"/>
                <w:szCs w:val="24"/>
              </w:rPr>
            </w:pPr>
          </w:p>
          <w:p w14:paraId="7ECC4C50" w14:textId="21E85756"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There are efficiency requirements aligned to the MTFP and any identified savings and efficiencies will be monitored and reviewed regularly by the service and are only included as achieved in budgets when confirmed and verified.</w:t>
            </w:r>
          </w:p>
          <w:p w14:paraId="7E9888A1" w14:textId="77777777" w:rsidR="00DC1AAF" w:rsidRPr="00E70CEB" w:rsidRDefault="00DC1AAF" w:rsidP="00DC1AAF">
            <w:pPr>
              <w:spacing w:after="0" w:line="240" w:lineRule="auto"/>
              <w:rPr>
                <w:rFonts w:eastAsia="Times New Roman" w:cs="Calibri"/>
                <w:sz w:val="24"/>
                <w:szCs w:val="24"/>
              </w:rPr>
            </w:pPr>
          </w:p>
        </w:tc>
      </w:tr>
      <w:tr w:rsidR="00DC1AAF" w:rsidRPr="0074575D" w14:paraId="05A3CA1F" w14:textId="77777777" w:rsidTr="000C6617">
        <w:tc>
          <w:tcPr>
            <w:tcW w:w="3936" w:type="dxa"/>
            <w:shd w:val="clear" w:color="auto" w:fill="auto"/>
          </w:tcPr>
          <w:p w14:paraId="717B237B" w14:textId="77777777" w:rsidR="00DC1AAF" w:rsidRPr="00E70CEB" w:rsidRDefault="00DC1AAF" w:rsidP="00DC1AAF">
            <w:pPr>
              <w:spacing w:after="0" w:line="240" w:lineRule="auto"/>
              <w:rPr>
                <w:rFonts w:eastAsia="Times New Roman" w:cs="Calibri"/>
                <w:b/>
                <w:sz w:val="24"/>
                <w:szCs w:val="24"/>
              </w:rPr>
            </w:pPr>
            <w:r w:rsidRPr="00E70CEB">
              <w:rPr>
                <w:rFonts w:eastAsia="Times New Roman" w:cs="Calibri"/>
                <w:b/>
                <w:sz w:val="24"/>
                <w:szCs w:val="24"/>
              </w:rPr>
              <w:t>The financial risks inherent in any significant new funding partnerships, collaboration, major outsourcing arrangements or major capital developments.</w:t>
            </w:r>
          </w:p>
        </w:tc>
        <w:tc>
          <w:tcPr>
            <w:tcW w:w="5918" w:type="dxa"/>
            <w:shd w:val="clear" w:color="auto" w:fill="auto"/>
          </w:tcPr>
          <w:p w14:paraId="1C0D16AE" w14:textId="696B35C3"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The financial consequences of partnership collaboration working outsourcing arrangements or capital investment are reported to the PFCC as part of the </w:t>
            </w:r>
            <w:r w:rsidR="00360A96" w:rsidRPr="00E70CEB">
              <w:rPr>
                <w:rFonts w:eastAsia="Times New Roman" w:cs="Calibri"/>
                <w:sz w:val="24"/>
                <w:szCs w:val="24"/>
              </w:rPr>
              <w:t>medium-term</w:t>
            </w:r>
            <w:r w:rsidRPr="00E70CEB">
              <w:rPr>
                <w:rFonts w:eastAsia="Times New Roman" w:cs="Calibri"/>
                <w:sz w:val="24"/>
                <w:szCs w:val="24"/>
              </w:rPr>
              <w:t xml:space="preserve"> planning process. </w:t>
            </w:r>
            <w:r w:rsidR="00E70CEB" w:rsidRPr="00E70CEB">
              <w:rPr>
                <w:rFonts w:eastAsia="Times New Roman" w:cs="Calibri"/>
                <w:sz w:val="24"/>
                <w:szCs w:val="24"/>
              </w:rPr>
              <w:t xml:space="preserve"> </w:t>
            </w:r>
            <w:r w:rsidRPr="00E70CEB">
              <w:rPr>
                <w:rFonts w:eastAsia="Times New Roman" w:cs="Calibri"/>
                <w:sz w:val="24"/>
                <w:szCs w:val="24"/>
              </w:rPr>
              <w:t>Where relevant, any additional costs are incorporated into the annual revenue budget and/or capital programme.</w:t>
            </w:r>
          </w:p>
          <w:p w14:paraId="3D2BC164" w14:textId="77777777" w:rsidR="00DC1AAF" w:rsidRPr="00E70CEB" w:rsidRDefault="00DC1AAF" w:rsidP="00DC1AAF">
            <w:pPr>
              <w:spacing w:after="0" w:line="240" w:lineRule="auto"/>
              <w:rPr>
                <w:rFonts w:eastAsia="Times New Roman" w:cs="Calibri"/>
                <w:sz w:val="24"/>
                <w:szCs w:val="24"/>
              </w:rPr>
            </w:pPr>
          </w:p>
          <w:p w14:paraId="52A6EB4D" w14:textId="7777777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There is a risk that partners will withdraw funding as their own budgets are squeezed, or that the continued viability of private sector commercial partners will be exposed to risk in the face of an economic recession. </w:t>
            </w:r>
          </w:p>
          <w:p w14:paraId="689DB7DF" w14:textId="77777777" w:rsidR="00DC1AAF" w:rsidRPr="00E70CEB" w:rsidRDefault="00DC1AAF" w:rsidP="00DC1AAF">
            <w:pPr>
              <w:spacing w:after="0" w:line="240" w:lineRule="auto"/>
              <w:rPr>
                <w:rFonts w:eastAsia="Times New Roman" w:cs="Calibri"/>
                <w:sz w:val="24"/>
                <w:szCs w:val="24"/>
              </w:rPr>
            </w:pPr>
          </w:p>
        </w:tc>
      </w:tr>
      <w:tr w:rsidR="00DC1AAF" w:rsidRPr="0074575D" w14:paraId="5F85B932" w14:textId="77777777" w:rsidTr="000C6617">
        <w:tc>
          <w:tcPr>
            <w:tcW w:w="3936" w:type="dxa"/>
            <w:shd w:val="clear" w:color="auto" w:fill="auto"/>
          </w:tcPr>
          <w:p w14:paraId="778DAE25" w14:textId="77777777" w:rsidR="00DC1AAF" w:rsidRPr="00E70CEB" w:rsidRDefault="00DC1AAF" w:rsidP="00DC1AAF">
            <w:pPr>
              <w:spacing w:after="0" w:line="240" w:lineRule="auto"/>
              <w:rPr>
                <w:rFonts w:eastAsia="Times New Roman" w:cs="Calibri"/>
                <w:b/>
                <w:sz w:val="24"/>
                <w:szCs w:val="24"/>
              </w:rPr>
            </w:pPr>
            <w:r w:rsidRPr="00E70CEB">
              <w:rPr>
                <w:rFonts w:eastAsia="Times New Roman" w:cs="Calibri"/>
                <w:b/>
                <w:sz w:val="24"/>
                <w:szCs w:val="24"/>
              </w:rPr>
              <w:t>The availability of reserves, government grants and other funds to deal with major contingencies and the adequacy of provisions.</w:t>
            </w:r>
          </w:p>
        </w:tc>
        <w:tc>
          <w:tcPr>
            <w:tcW w:w="5918" w:type="dxa"/>
            <w:shd w:val="clear" w:color="auto" w:fill="auto"/>
          </w:tcPr>
          <w:p w14:paraId="115ECC10" w14:textId="2BA7ED3D"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Northamptonshire </w:t>
            </w:r>
            <w:r w:rsidR="00E70CEB" w:rsidRPr="00E70CEB">
              <w:rPr>
                <w:rFonts w:eastAsia="Times New Roman" w:cs="Calibri"/>
                <w:sz w:val="24"/>
                <w:szCs w:val="24"/>
              </w:rPr>
              <w:t xml:space="preserve">OPFCC </w:t>
            </w:r>
            <w:r w:rsidRPr="00E70CEB">
              <w:rPr>
                <w:rFonts w:eastAsia="Times New Roman" w:cs="Calibri"/>
                <w:sz w:val="24"/>
                <w:szCs w:val="24"/>
              </w:rPr>
              <w:t>have created earmarked reserves and provisions to meet specific expenditure items and have added to these further in this strategy. Their use and balances are detailed in Annexe 3.</w:t>
            </w:r>
          </w:p>
          <w:p w14:paraId="7CC736C9" w14:textId="77777777" w:rsidR="00DC1AAF" w:rsidRPr="00E70CEB" w:rsidRDefault="00DC1AAF" w:rsidP="00DC1AAF">
            <w:pPr>
              <w:spacing w:after="0" w:line="240" w:lineRule="auto"/>
              <w:rPr>
                <w:rFonts w:eastAsia="Times New Roman" w:cs="Calibri"/>
                <w:sz w:val="24"/>
                <w:szCs w:val="24"/>
              </w:rPr>
            </w:pPr>
          </w:p>
          <w:p w14:paraId="018DA6F9" w14:textId="33681DDA"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Northamptonshire maintains an insurance provision, the adequacy of which is monitored in detail by the legal services insurance advisors, together with our insurance advisors. </w:t>
            </w:r>
            <w:r w:rsidR="00E70CEB" w:rsidRPr="00E70CEB">
              <w:rPr>
                <w:rFonts w:eastAsia="Times New Roman" w:cs="Calibri"/>
                <w:sz w:val="24"/>
                <w:szCs w:val="24"/>
              </w:rPr>
              <w:t xml:space="preserve"> </w:t>
            </w:r>
            <w:r w:rsidRPr="00E70CEB">
              <w:rPr>
                <w:rFonts w:eastAsia="Times New Roman" w:cs="Calibri"/>
                <w:sz w:val="24"/>
                <w:szCs w:val="24"/>
              </w:rPr>
              <w:t xml:space="preserve">The access criteria for special grants state that PFCCS may be required to fund up to 1% of their net budget requirement themselves before the Government considers </w:t>
            </w:r>
            <w:r w:rsidR="00E70CEB" w:rsidRPr="00E70CEB">
              <w:rPr>
                <w:rFonts w:eastAsia="Times New Roman" w:cs="Calibri"/>
                <w:sz w:val="24"/>
                <w:szCs w:val="24"/>
              </w:rPr>
              <w:t>g</w:t>
            </w:r>
            <w:r w:rsidRPr="00E70CEB">
              <w:rPr>
                <w:rFonts w:eastAsia="Times New Roman" w:cs="Calibri"/>
                <w:sz w:val="24"/>
                <w:szCs w:val="24"/>
              </w:rPr>
              <w:t>rant</w:t>
            </w:r>
            <w:r w:rsidR="00E70CEB" w:rsidRPr="00E70CEB">
              <w:rPr>
                <w:rFonts w:eastAsia="Times New Roman" w:cs="Calibri"/>
                <w:sz w:val="24"/>
                <w:szCs w:val="24"/>
              </w:rPr>
              <w:t xml:space="preserve"> a</w:t>
            </w:r>
            <w:r w:rsidRPr="00E70CEB">
              <w:rPr>
                <w:rFonts w:eastAsia="Times New Roman" w:cs="Calibri"/>
                <w:sz w:val="24"/>
                <w:szCs w:val="24"/>
              </w:rPr>
              <w:t xml:space="preserve">id. </w:t>
            </w:r>
            <w:r w:rsidR="00E70CEB" w:rsidRPr="00E70CEB">
              <w:rPr>
                <w:rFonts w:eastAsia="Times New Roman" w:cs="Calibri"/>
                <w:sz w:val="24"/>
                <w:szCs w:val="24"/>
              </w:rPr>
              <w:t xml:space="preserve"> </w:t>
            </w:r>
            <w:r w:rsidRPr="00E70CEB">
              <w:rPr>
                <w:rFonts w:eastAsia="Times New Roman" w:cs="Calibri"/>
                <w:sz w:val="24"/>
                <w:szCs w:val="24"/>
              </w:rPr>
              <w:t>This applies on an annual basis.</w:t>
            </w:r>
          </w:p>
          <w:p w14:paraId="324B4BF1" w14:textId="77777777" w:rsidR="00DC1AAF" w:rsidRPr="00E70CEB" w:rsidRDefault="00DC1AAF" w:rsidP="00DC1AAF">
            <w:pPr>
              <w:spacing w:after="0" w:line="240" w:lineRule="auto"/>
              <w:rPr>
                <w:rFonts w:eastAsia="Times New Roman" w:cs="Calibri"/>
                <w:sz w:val="24"/>
                <w:szCs w:val="24"/>
              </w:rPr>
            </w:pPr>
          </w:p>
          <w:p w14:paraId="0DAD19D9" w14:textId="30126EBD"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Northamptonshire’s </w:t>
            </w:r>
            <w:r w:rsidR="00F57399" w:rsidRPr="00E70CEB">
              <w:rPr>
                <w:rFonts w:eastAsia="Times New Roman" w:cs="Calibri"/>
                <w:sz w:val="24"/>
                <w:szCs w:val="24"/>
              </w:rPr>
              <w:t>g</w:t>
            </w:r>
            <w:r w:rsidRPr="00E70CEB">
              <w:rPr>
                <w:rFonts w:eastAsia="Times New Roman" w:cs="Calibri"/>
                <w:sz w:val="24"/>
                <w:szCs w:val="24"/>
              </w:rPr>
              <w:t xml:space="preserve">eneral </w:t>
            </w:r>
            <w:r w:rsidR="00F57399" w:rsidRPr="00E70CEB">
              <w:rPr>
                <w:rFonts w:eastAsia="Times New Roman" w:cs="Calibri"/>
                <w:sz w:val="24"/>
                <w:szCs w:val="24"/>
              </w:rPr>
              <w:t>r</w:t>
            </w:r>
            <w:r w:rsidRPr="00E70CEB">
              <w:rPr>
                <w:rFonts w:eastAsia="Times New Roman" w:cs="Calibri"/>
                <w:sz w:val="24"/>
                <w:szCs w:val="24"/>
              </w:rPr>
              <w:t>eserve provides sufficient scope to cover this eventuality.</w:t>
            </w:r>
          </w:p>
          <w:p w14:paraId="44C548C6" w14:textId="77777777" w:rsidR="00DC1AAF" w:rsidRPr="00E70CEB" w:rsidRDefault="00DC1AAF" w:rsidP="00DC1AAF">
            <w:pPr>
              <w:spacing w:after="0" w:line="240" w:lineRule="auto"/>
              <w:rPr>
                <w:rFonts w:eastAsia="Times New Roman" w:cs="Calibri"/>
                <w:sz w:val="24"/>
                <w:szCs w:val="24"/>
              </w:rPr>
            </w:pPr>
          </w:p>
        </w:tc>
      </w:tr>
      <w:tr w:rsidR="00DC1AAF" w:rsidRPr="0074575D" w14:paraId="2E075307" w14:textId="77777777" w:rsidTr="000C6617">
        <w:tc>
          <w:tcPr>
            <w:tcW w:w="3936" w:type="dxa"/>
            <w:shd w:val="clear" w:color="auto" w:fill="auto"/>
          </w:tcPr>
          <w:p w14:paraId="281E8C7B" w14:textId="77777777" w:rsidR="00DC1AAF" w:rsidRPr="00E70CEB" w:rsidRDefault="00DC1AAF" w:rsidP="00DC1AAF">
            <w:pPr>
              <w:spacing w:after="0" w:line="240" w:lineRule="auto"/>
              <w:rPr>
                <w:rFonts w:eastAsia="Times New Roman" w:cs="Calibri"/>
                <w:b/>
                <w:sz w:val="24"/>
                <w:szCs w:val="24"/>
              </w:rPr>
            </w:pPr>
            <w:r w:rsidRPr="00E70CEB">
              <w:rPr>
                <w:rFonts w:eastAsia="Times New Roman" w:cs="Calibri"/>
                <w:b/>
                <w:sz w:val="24"/>
                <w:szCs w:val="24"/>
              </w:rPr>
              <w:t>The general financial climate to which the Authority is subject</w:t>
            </w:r>
          </w:p>
        </w:tc>
        <w:tc>
          <w:tcPr>
            <w:tcW w:w="5918" w:type="dxa"/>
            <w:shd w:val="clear" w:color="auto" w:fill="auto"/>
          </w:tcPr>
          <w:p w14:paraId="370011F1" w14:textId="5CD9280A"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It is anticipated that the financial climate will</w:t>
            </w:r>
            <w:r w:rsidR="00E70CEB" w:rsidRPr="00E70CEB">
              <w:rPr>
                <w:rFonts w:eastAsia="Times New Roman" w:cs="Calibri"/>
                <w:sz w:val="24"/>
                <w:szCs w:val="24"/>
              </w:rPr>
              <w:t xml:space="preserve"> continue to</w:t>
            </w:r>
            <w:r w:rsidRPr="00E70CEB">
              <w:rPr>
                <w:rFonts w:eastAsia="Times New Roman" w:cs="Calibri"/>
                <w:sz w:val="24"/>
                <w:szCs w:val="24"/>
              </w:rPr>
              <w:t xml:space="preserve"> be challenging and the </w:t>
            </w:r>
            <w:r w:rsidR="00360A96" w:rsidRPr="00E70CEB">
              <w:rPr>
                <w:rFonts w:eastAsia="Times New Roman" w:cs="Calibri"/>
                <w:sz w:val="24"/>
                <w:szCs w:val="24"/>
              </w:rPr>
              <w:t>medium-term</w:t>
            </w:r>
            <w:r w:rsidRPr="00E70CEB">
              <w:rPr>
                <w:rFonts w:eastAsia="Times New Roman" w:cs="Calibri"/>
                <w:sz w:val="24"/>
                <w:szCs w:val="24"/>
              </w:rPr>
              <w:t xml:space="preserve"> financial plan reflect</w:t>
            </w:r>
            <w:r w:rsidR="00E70CEB" w:rsidRPr="00E70CEB">
              <w:rPr>
                <w:rFonts w:eastAsia="Times New Roman" w:cs="Calibri"/>
                <w:sz w:val="24"/>
                <w:szCs w:val="24"/>
              </w:rPr>
              <w:t>s</w:t>
            </w:r>
            <w:r w:rsidRPr="00E70CEB">
              <w:rPr>
                <w:rFonts w:eastAsia="Times New Roman" w:cs="Calibri"/>
                <w:sz w:val="24"/>
                <w:szCs w:val="24"/>
              </w:rPr>
              <w:t xml:space="preserve"> the “best estimate” of future inflation rates and increases in government grants and contributions.</w:t>
            </w:r>
          </w:p>
          <w:p w14:paraId="18BD1A6D" w14:textId="77777777" w:rsidR="00DC1AAF" w:rsidRPr="00E70CEB" w:rsidRDefault="00DC1AAF" w:rsidP="00DC1AAF">
            <w:pPr>
              <w:spacing w:after="0" w:line="240" w:lineRule="auto"/>
              <w:rPr>
                <w:rFonts w:eastAsia="Times New Roman" w:cs="Calibri"/>
                <w:sz w:val="24"/>
                <w:szCs w:val="24"/>
              </w:rPr>
            </w:pPr>
          </w:p>
          <w:p w14:paraId="55A83341" w14:textId="20393BC9" w:rsidR="00E70CEB" w:rsidRPr="00E70CEB" w:rsidRDefault="00E70CEB" w:rsidP="00DC1AAF">
            <w:pPr>
              <w:spacing w:after="0" w:line="240" w:lineRule="auto"/>
              <w:rPr>
                <w:rFonts w:eastAsia="Times New Roman" w:cs="Calibri"/>
                <w:sz w:val="24"/>
                <w:szCs w:val="24"/>
              </w:rPr>
            </w:pPr>
            <w:r w:rsidRPr="00E70CEB">
              <w:rPr>
                <w:rFonts w:eastAsia="Times New Roman" w:cs="Calibri"/>
                <w:sz w:val="24"/>
                <w:szCs w:val="24"/>
              </w:rPr>
              <w:t>The Commercial team keep the authority updated on matters/risks affecting large contracts and supply chain.</w:t>
            </w:r>
          </w:p>
          <w:p w14:paraId="4AD57E65" w14:textId="77777777" w:rsidR="00E70CEB" w:rsidRPr="00E70CEB" w:rsidRDefault="00E70CEB" w:rsidP="00DC1AAF">
            <w:pPr>
              <w:spacing w:after="0" w:line="240" w:lineRule="auto"/>
              <w:rPr>
                <w:rFonts w:eastAsia="Times New Roman" w:cs="Calibri"/>
                <w:sz w:val="24"/>
                <w:szCs w:val="24"/>
              </w:rPr>
            </w:pPr>
          </w:p>
          <w:p w14:paraId="0E136697" w14:textId="30C32E5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The MTFP will be regularly </w:t>
            </w:r>
            <w:r w:rsidR="00E70CEB" w:rsidRPr="00E70CEB">
              <w:rPr>
                <w:rFonts w:eastAsia="Times New Roman" w:cs="Calibri"/>
                <w:sz w:val="24"/>
                <w:szCs w:val="24"/>
              </w:rPr>
              <w:t xml:space="preserve">reviewed and </w:t>
            </w:r>
            <w:r w:rsidRPr="00E70CEB">
              <w:rPr>
                <w:rFonts w:eastAsia="Times New Roman" w:cs="Calibri"/>
                <w:sz w:val="24"/>
                <w:szCs w:val="24"/>
              </w:rPr>
              <w:t>updated to support operational decision making.</w:t>
            </w:r>
          </w:p>
          <w:p w14:paraId="19535C44" w14:textId="77777777" w:rsidR="00DC1AAF" w:rsidRPr="00E70CEB" w:rsidRDefault="00DC1AAF" w:rsidP="00DC1AAF">
            <w:pPr>
              <w:spacing w:after="0" w:line="240" w:lineRule="auto"/>
              <w:rPr>
                <w:rFonts w:eastAsia="Times New Roman" w:cs="Calibri"/>
                <w:b/>
                <w:sz w:val="24"/>
                <w:szCs w:val="24"/>
              </w:rPr>
            </w:pPr>
          </w:p>
        </w:tc>
      </w:tr>
    </w:tbl>
    <w:p w14:paraId="6A090177" w14:textId="77777777" w:rsidR="00DC1AAF" w:rsidRPr="0074575D" w:rsidRDefault="00DC1AAF" w:rsidP="00DC1AAF">
      <w:pPr>
        <w:spacing w:after="0" w:line="240" w:lineRule="auto"/>
        <w:jc w:val="center"/>
        <w:rPr>
          <w:rFonts w:ascii="Arial" w:eastAsia="Times New Roman" w:hAnsi="Arial"/>
          <w:b/>
          <w:highlight w:val="yellow"/>
        </w:rPr>
        <w:sectPr w:rsidR="00DC1AAF" w:rsidRPr="0074575D" w:rsidSect="00DA572C">
          <w:headerReference w:type="even" r:id="rId16"/>
          <w:headerReference w:type="default" r:id="rId17"/>
          <w:footerReference w:type="even" r:id="rId18"/>
          <w:footerReference w:type="default" r:id="rId19"/>
          <w:headerReference w:type="first" r:id="rId20"/>
          <w:footerReference w:type="first" r:id="rId21"/>
          <w:pgSz w:w="11906" w:h="16838" w:code="9"/>
          <w:pgMar w:top="1985" w:right="1134" w:bottom="1985" w:left="1134" w:header="709" w:footer="709" w:gutter="0"/>
          <w:cols w:space="708"/>
          <w:docGrid w:linePitch="360"/>
        </w:sectPr>
      </w:pPr>
    </w:p>
    <w:p w14:paraId="768A2ED5" w14:textId="67A61351" w:rsidR="00DC1AAF" w:rsidRPr="001F1FB5" w:rsidRDefault="00DC1AAF" w:rsidP="00E70CEB">
      <w:pPr>
        <w:spacing w:after="0" w:line="240" w:lineRule="auto"/>
        <w:rPr>
          <w:rFonts w:asciiTheme="minorHAnsi" w:eastAsia="Times New Roman" w:hAnsiTheme="minorHAnsi" w:cstheme="minorHAnsi"/>
          <w:b/>
        </w:rPr>
      </w:pPr>
      <w:r w:rsidRPr="00E70CEB">
        <w:rPr>
          <w:rFonts w:ascii="Arial" w:eastAsia="Times New Roman" w:hAnsi="Arial"/>
          <w:b/>
        </w:rPr>
        <w:t xml:space="preserve"> </w:t>
      </w:r>
      <w:r w:rsidRPr="001F1FB5">
        <w:rPr>
          <w:rFonts w:asciiTheme="minorHAnsi" w:eastAsia="Times New Roman" w:hAnsiTheme="minorHAnsi" w:cstheme="minorHAnsi"/>
          <w:b/>
        </w:rPr>
        <w:t xml:space="preserve">Annexe 2      </w:t>
      </w:r>
    </w:p>
    <w:p w14:paraId="2E33A435" w14:textId="77777777" w:rsidR="00DC1AAF" w:rsidRPr="001F1FB5" w:rsidRDefault="00DC1AAF" w:rsidP="00DC1AAF">
      <w:pPr>
        <w:spacing w:after="0" w:line="240" w:lineRule="auto"/>
        <w:rPr>
          <w:rFonts w:asciiTheme="minorHAnsi" w:eastAsia="Times New Roman" w:hAnsiTheme="minorHAnsi" w:cstheme="minorHAnsi"/>
          <w:b/>
        </w:rPr>
      </w:pPr>
    </w:p>
    <w:p w14:paraId="0E2F3E6D" w14:textId="70E305D3" w:rsidR="00DC1AAF" w:rsidRPr="001F1FB5" w:rsidRDefault="00DC1AAF" w:rsidP="00DC1AAF">
      <w:pPr>
        <w:spacing w:after="0" w:line="240" w:lineRule="auto"/>
        <w:jc w:val="center"/>
        <w:rPr>
          <w:rFonts w:asciiTheme="minorHAnsi" w:eastAsia="Times New Roman" w:hAnsiTheme="minorHAnsi" w:cstheme="minorHAnsi"/>
          <w:b/>
        </w:rPr>
      </w:pPr>
      <w:r w:rsidRPr="001F1FB5">
        <w:rPr>
          <w:rFonts w:asciiTheme="minorHAnsi" w:eastAsia="Times New Roman" w:hAnsiTheme="minorHAnsi" w:cstheme="minorHAnsi"/>
          <w:b/>
        </w:rPr>
        <w:t xml:space="preserve">RESERVES OF THE </w:t>
      </w:r>
      <w:r w:rsidR="00E70CEB" w:rsidRPr="001F1FB5">
        <w:rPr>
          <w:rFonts w:asciiTheme="minorHAnsi" w:eastAsia="Times New Roman" w:hAnsiTheme="minorHAnsi" w:cstheme="minorHAnsi"/>
          <w:b/>
        </w:rPr>
        <w:t>NORTHAMPTONSHIRE</w:t>
      </w:r>
      <w:r w:rsidRPr="001F1FB5">
        <w:rPr>
          <w:rFonts w:asciiTheme="minorHAnsi" w:eastAsia="Times New Roman" w:hAnsiTheme="minorHAnsi" w:cstheme="minorHAnsi"/>
          <w:b/>
        </w:rPr>
        <w:t xml:space="preserve"> PFCC</w:t>
      </w:r>
    </w:p>
    <w:p w14:paraId="457AA5C7" w14:textId="2755EA24" w:rsidR="00DC1AAF" w:rsidRPr="001F1FB5" w:rsidRDefault="00DC1AAF" w:rsidP="00DC1AAF">
      <w:pPr>
        <w:spacing w:after="0" w:line="240" w:lineRule="auto"/>
        <w:jc w:val="center"/>
        <w:rPr>
          <w:rFonts w:asciiTheme="minorHAnsi" w:eastAsia="Times New Roman" w:hAnsiTheme="minorHAnsi" w:cstheme="minorHAnsi"/>
          <w:b/>
        </w:rPr>
      </w:pPr>
      <w:r w:rsidRPr="001F1FB5">
        <w:rPr>
          <w:rFonts w:asciiTheme="minorHAnsi" w:eastAsia="Times New Roman" w:hAnsiTheme="minorHAnsi" w:cstheme="minorHAnsi"/>
          <w:b/>
        </w:rPr>
        <w:t>202</w:t>
      </w:r>
      <w:r w:rsidR="00E70CEB" w:rsidRPr="001F1FB5">
        <w:rPr>
          <w:rFonts w:asciiTheme="minorHAnsi" w:eastAsia="Times New Roman" w:hAnsiTheme="minorHAnsi" w:cstheme="minorHAnsi"/>
          <w:b/>
        </w:rPr>
        <w:t>4</w:t>
      </w:r>
      <w:r w:rsidRPr="001F1FB5">
        <w:rPr>
          <w:rFonts w:asciiTheme="minorHAnsi" w:eastAsia="Times New Roman" w:hAnsiTheme="minorHAnsi" w:cstheme="minorHAnsi"/>
          <w:b/>
        </w:rPr>
        <w:t>/2</w:t>
      </w:r>
      <w:r w:rsidR="00E70CEB" w:rsidRPr="001F1FB5">
        <w:rPr>
          <w:rFonts w:asciiTheme="minorHAnsi" w:eastAsia="Times New Roman" w:hAnsiTheme="minorHAnsi" w:cstheme="minorHAnsi"/>
          <w:b/>
        </w:rPr>
        <w:t>5</w:t>
      </w:r>
      <w:r w:rsidRPr="001F1FB5">
        <w:rPr>
          <w:rFonts w:asciiTheme="minorHAnsi" w:eastAsia="Times New Roman" w:hAnsiTheme="minorHAnsi" w:cstheme="minorHAnsi"/>
          <w:b/>
        </w:rPr>
        <w:t xml:space="preserve"> to 202</w:t>
      </w:r>
      <w:r w:rsidR="00E70CEB" w:rsidRPr="001F1FB5">
        <w:rPr>
          <w:rFonts w:asciiTheme="minorHAnsi" w:eastAsia="Times New Roman" w:hAnsiTheme="minorHAnsi" w:cstheme="minorHAnsi"/>
          <w:b/>
        </w:rPr>
        <w:t>8</w:t>
      </w:r>
      <w:r w:rsidRPr="001F1FB5">
        <w:rPr>
          <w:rFonts w:asciiTheme="minorHAnsi" w:eastAsia="Times New Roman" w:hAnsiTheme="minorHAnsi" w:cstheme="minorHAnsi"/>
          <w:b/>
        </w:rPr>
        <w:t>/2</w:t>
      </w:r>
      <w:r w:rsidR="00E70CEB" w:rsidRPr="001F1FB5">
        <w:rPr>
          <w:rFonts w:asciiTheme="minorHAnsi" w:eastAsia="Times New Roman" w:hAnsiTheme="minorHAnsi" w:cstheme="minorHAnsi"/>
          <w:b/>
        </w:rPr>
        <w:t>9</w:t>
      </w:r>
    </w:p>
    <w:p w14:paraId="0D369664" w14:textId="77777777" w:rsidR="00DC1AAF" w:rsidRPr="001F1FB5" w:rsidRDefault="00DC1AAF" w:rsidP="00DC1AAF">
      <w:pPr>
        <w:spacing w:after="0" w:line="240" w:lineRule="auto"/>
        <w:rPr>
          <w:rFonts w:asciiTheme="minorHAnsi" w:eastAsia="Times New Roman" w:hAnsiTheme="minorHAnsi" w:cstheme="minorHAnsi"/>
        </w:rPr>
      </w:pP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2120"/>
        <w:gridCol w:w="2118"/>
        <w:gridCol w:w="1420"/>
        <w:gridCol w:w="4494"/>
        <w:gridCol w:w="1332"/>
        <w:gridCol w:w="990"/>
      </w:tblGrid>
      <w:tr w:rsidR="001F1FB5" w:rsidRPr="001F1FB5" w14:paraId="614A2D2C" w14:textId="77777777" w:rsidTr="00655DA1">
        <w:trPr>
          <w:cantSplit/>
          <w:tblHeader/>
          <w:jc w:val="center"/>
        </w:trPr>
        <w:tc>
          <w:tcPr>
            <w:tcW w:w="1838" w:type="dxa"/>
          </w:tcPr>
          <w:p w14:paraId="02343EAB" w14:textId="77777777" w:rsidR="001F1FB5" w:rsidRPr="001F1FB5" w:rsidRDefault="001F1FB5" w:rsidP="001F1FB5">
            <w:pPr>
              <w:spacing w:after="0" w:line="240" w:lineRule="auto"/>
              <w:jc w:val="center"/>
              <w:rPr>
                <w:rFonts w:asciiTheme="minorHAnsi" w:eastAsia="Times New Roman" w:hAnsiTheme="minorHAnsi" w:cstheme="minorHAnsi"/>
                <w:b/>
                <w:bCs/>
                <w:sz w:val="20"/>
                <w:szCs w:val="20"/>
              </w:rPr>
            </w:pPr>
          </w:p>
        </w:tc>
        <w:tc>
          <w:tcPr>
            <w:tcW w:w="2120" w:type="dxa"/>
          </w:tcPr>
          <w:p w14:paraId="2954CC69" w14:textId="77777777" w:rsidR="001F1FB5" w:rsidRPr="001F1FB5" w:rsidRDefault="001F1FB5" w:rsidP="001F1FB5">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Rationale</w:t>
            </w:r>
          </w:p>
        </w:tc>
        <w:tc>
          <w:tcPr>
            <w:tcW w:w="2118" w:type="dxa"/>
          </w:tcPr>
          <w:p w14:paraId="3532AB05" w14:textId="77777777" w:rsidR="001F1FB5" w:rsidRPr="001F1FB5" w:rsidRDefault="001F1FB5" w:rsidP="001F1FB5">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How and when used</w:t>
            </w:r>
          </w:p>
        </w:tc>
        <w:tc>
          <w:tcPr>
            <w:tcW w:w="1420" w:type="dxa"/>
          </w:tcPr>
          <w:p w14:paraId="73D7A53F" w14:textId="77777777" w:rsidR="001F1FB5" w:rsidRPr="001F1FB5" w:rsidRDefault="001F1FB5" w:rsidP="001F1FB5">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Level</w:t>
            </w:r>
          </w:p>
        </w:tc>
        <w:tc>
          <w:tcPr>
            <w:tcW w:w="4494" w:type="dxa"/>
          </w:tcPr>
          <w:p w14:paraId="09A36F2D" w14:textId="77777777" w:rsidR="001F1FB5" w:rsidRPr="001F1FB5" w:rsidRDefault="001F1FB5" w:rsidP="001F1FB5">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Risk If Reserve Not Held</w:t>
            </w:r>
          </w:p>
        </w:tc>
        <w:tc>
          <w:tcPr>
            <w:tcW w:w="1332" w:type="dxa"/>
          </w:tcPr>
          <w:p w14:paraId="30B214B6" w14:textId="0FA38CD3" w:rsidR="001F1FB5" w:rsidRPr="001F1FB5" w:rsidRDefault="001F1FB5" w:rsidP="001F1FB5">
            <w:pPr>
              <w:spacing w:after="0" w:line="240" w:lineRule="auto"/>
              <w:jc w:val="center"/>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Management and control</w:t>
            </w:r>
          </w:p>
        </w:tc>
        <w:tc>
          <w:tcPr>
            <w:tcW w:w="990" w:type="dxa"/>
          </w:tcPr>
          <w:p w14:paraId="5DECD23C" w14:textId="19ECE8F7" w:rsidR="001F1FB5" w:rsidRPr="001F1FB5" w:rsidRDefault="001F1FB5" w:rsidP="001F1FB5">
            <w:pPr>
              <w:spacing w:after="0" w:line="240" w:lineRule="auto"/>
              <w:jc w:val="center"/>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Review</w:t>
            </w:r>
          </w:p>
        </w:tc>
      </w:tr>
      <w:tr w:rsidR="001F1FB5" w:rsidRPr="001F1FB5" w14:paraId="1E32431D" w14:textId="77777777" w:rsidTr="00655DA1">
        <w:trPr>
          <w:cantSplit/>
          <w:jc w:val="center"/>
        </w:trPr>
        <w:tc>
          <w:tcPr>
            <w:tcW w:w="1838" w:type="dxa"/>
          </w:tcPr>
          <w:p w14:paraId="75B3E7F8"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11D70005" w14:textId="77777777" w:rsidR="001F1FB5" w:rsidRPr="001F1FB5" w:rsidRDefault="001F1FB5" w:rsidP="001F1FB5">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GENERAL RESERVE</w:t>
            </w:r>
          </w:p>
          <w:p w14:paraId="00287B17"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2C06C878"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1B457665"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tc>
        <w:tc>
          <w:tcPr>
            <w:tcW w:w="2120" w:type="dxa"/>
          </w:tcPr>
          <w:p w14:paraId="52DBB78A"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521D0179"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To maintain a degree of in-year financial </w:t>
            </w:r>
            <w:proofErr w:type="gramStart"/>
            <w:r w:rsidRPr="001F1FB5">
              <w:rPr>
                <w:rFonts w:asciiTheme="minorHAnsi" w:eastAsia="Times New Roman" w:hAnsiTheme="minorHAnsi" w:cstheme="minorHAnsi"/>
                <w:sz w:val="20"/>
                <w:szCs w:val="20"/>
              </w:rPr>
              <w:t>flexibility;</w:t>
            </w:r>
            <w:proofErr w:type="gramEnd"/>
          </w:p>
          <w:p w14:paraId="3DCE5EB7"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31147191"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To enable the PFCC to deal with unforeseen circumstances and </w:t>
            </w:r>
            <w:proofErr w:type="gramStart"/>
            <w:r w:rsidRPr="001F1FB5">
              <w:rPr>
                <w:rFonts w:asciiTheme="minorHAnsi" w:eastAsia="Times New Roman" w:hAnsiTheme="minorHAnsi" w:cstheme="minorHAnsi"/>
                <w:sz w:val="20"/>
                <w:szCs w:val="20"/>
              </w:rPr>
              <w:t>incidents;</w:t>
            </w:r>
            <w:proofErr w:type="gramEnd"/>
          </w:p>
          <w:p w14:paraId="78558E68"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0545179B"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To set aside sums for known and potential </w:t>
            </w:r>
            <w:proofErr w:type="gramStart"/>
            <w:r w:rsidRPr="001F1FB5">
              <w:rPr>
                <w:rFonts w:asciiTheme="minorHAnsi" w:eastAsia="Times New Roman" w:hAnsiTheme="minorHAnsi" w:cstheme="minorHAnsi"/>
                <w:sz w:val="20"/>
                <w:szCs w:val="20"/>
              </w:rPr>
              <w:t>liabilities;</w:t>
            </w:r>
            <w:proofErr w:type="gramEnd"/>
          </w:p>
          <w:p w14:paraId="46A75778"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1CD37F59"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support the operational contingency held at service level if demands on them exceed the contingency levels held.</w:t>
            </w:r>
          </w:p>
          <w:p w14:paraId="78C92A42"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2118" w:type="dxa"/>
          </w:tcPr>
          <w:p w14:paraId="58671744"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05F47E1F"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To meet exceptional spending needs or overspends which are unable to be otherwise financed at the year end. </w:t>
            </w:r>
          </w:p>
          <w:p w14:paraId="0F972CC1"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359C9226"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smooth the profile of funding revenue over a medium term financial period</w:t>
            </w:r>
          </w:p>
          <w:p w14:paraId="529F91D2"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4EAA1335"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To allow higher spending without raising council tax on a one-off basis </w:t>
            </w:r>
          </w:p>
          <w:p w14:paraId="6DAFC400"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0AFF157C"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1420" w:type="dxa"/>
          </w:tcPr>
          <w:p w14:paraId="76E7F5A8"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3BC83667"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General principle of 3% of net budget requirement, with a minimum level of 2.5%</w:t>
            </w:r>
          </w:p>
          <w:p w14:paraId="0ADBD760"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2EE23C11"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4494" w:type="dxa"/>
          </w:tcPr>
          <w:p w14:paraId="33F54F5B"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64F21CF0"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The general reserve is held at a level which reflects risk, uncertainties, and volatility.</w:t>
            </w:r>
          </w:p>
          <w:p w14:paraId="374D1CF2"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245C5020"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If no reserve is held there may be insufficient resources available for major catastrophe, which could jeopardise financial status and reputation of the PFCC. </w:t>
            </w:r>
          </w:p>
          <w:p w14:paraId="047A97CC"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6E1E1B1D" w14:textId="4097FF93"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The PFCC would have recourse to Home Office discretionary special grant if costs exceed 1% of budget or CLG </w:t>
            </w:r>
            <w:proofErr w:type="spellStart"/>
            <w:r w:rsidRPr="001F1FB5">
              <w:rPr>
                <w:rFonts w:asciiTheme="minorHAnsi" w:eastAsia="Times New Roman" w:hAnsiTheme="minorHAnsi" w:cstheme="minorHAnsi"/>
                <w:sz w:val="20"/>
                <w:szCs w:val="20"/>
              </w:rPr>
              <w:t>Bel</w:t>
            </w:r>
            <w:r w:rsidR="00CC09C1">
              <w:rPr>
                <w:rFonts w:asciiTheme="minorHAnsi" w:eastAsia="Times New Roman" w:hAnsiTheme="minorHAnsi" w:cstheme="minorHAnsi"/>
                <w:sz w:val="20"/>
                <w:szCs w:val="20"/>
              </w:rPr>
              <w:t>l</w:t>
            </w:r>
            <w:r w:rsidRPr="001F1FB5">
              <w:rPr>
                <w:rFonts w:asciiTheme="minorHAnsi" w:eastAsia="Times New Roman" w:hAnsiTheme="minorHAnsi" w:cstheme="minorHAnsi"/>
                <w:sz w:val="20"/>
                <w:szCs w:val="20"/>
              </w:rPr>
              <w:t>win</w:t>
            </w:r>
            <w:proofErr w:type="spellEnd"/>
            <w:r w:rsidRPr="001F1FB5">
              <w:rPr>
                <w:rFonts w:asciiTheme="minorHAnsi" w:eastAsia="Times New Roman" w:hAnsiTheme="minorHAnsi" w:cstheme="minorHAnsi"/>
                <w:sz w:val="20"/>
                <w:szCs w:val="20"/>
              </w:rPr>
              <w:t xml:space="preserve"> scheme for natural </w:t>
            </w:r>
            <w:proofErr w:type="gramStart"/>
            <w:r w:rsidRPr="001F1FB5">
              <w:rPr>
                <w:rFonts w:asciiTheme="minorHAnsi" w:eastAsia="Times New Roman" w:hAnsiTheme="minorHAnsi" w:cstheme="minorHAnsi"/>
                <w:sz w:val="20"/>
                <w:szCs w:val="20"/>
              </w:rPr>
              <w:t>disasters</w:t>
            </w:r>
            <w:proofErr w:type="gramEnd"/>
            <w:r w:rsidRPr="001F1FB5">
              <w:rPr>
                <w:rFonts w:asciiTheme="minorHAnsi" w:eastAsia="Times New Roman" w:hAnsiTheme="minorHAnsi" w:cstheme="minorHAnsi"/>
                <w:sz w:val="20"/>
                <w:szCs w:val="20"/>
              </w:rPr>
              <w:t xml:space="preserve"> </w:t>
            </w:r>
          </w:p>
          <w:p w14:paraId="1403159C"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1332" w:type="dxa"/>
          </w:tcPr>
          <w:p w14:paraId="105E2D75"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0D7BC51C" w14:textId="08029AD4"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PFCC, on advice from PFCC CFO </w:t>
            </w:r>
          </w:p>
        </w:tc>
        <w:tc>
          <w:tcPr>
            <w:tcW w:w="990" w:type="dxa"/>
          </w:tcPr>
          <w:p w14:paraId="5560AEB4" w14:textId="3AD160CF" w:rsidR="001F1FB5" w:rsidRPr="001F1FB5" w:rsidRDefault="001F1FB5" w:rsidP="001F1FB5">
            <w:pPr>
              <w:spacing w:after="0" w:line="240" w:lineRule="auto"/>
              <w:rPr>
                <w:rFonts w:asciiTheme="minorHAnsi" w:eastAsia="Times New Roman" w:hAnsiTheme="minorHAnsi" w:cstheme="minorHAnsi"/>
                <w:sz w:val="20"/>
                <w:szCs w:val="20"/>
              </w:rPr>
            </w:pPr>
          </w:p>
          <w:p w14:paraId="791B0F98"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Annual</w:t>
            </w:r>
          </w:p>
        </w:tc>
      </w:tr>
      <w:tr w:rsidR="001F1FB5" w:rsidRPr="001F1FB5" w14:paraId="19E17DE0" w14:textId="77777777" w:rsidTr="00655DA1">
        <w:trPr>
          <w:cantSplit/>
          <w:jc w:val="center"/>
        </w:trPr>
        <w:tc>
          <w:tcPr>
            <w:tcW w:w="1838" w:type="dxa"/>
          </w:tcPr>
          <w:p w14:paraId="094583FC"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4AE502DC" w14:textId="77777777" w:rsidR="001F1FB5" w:rsidRPr="001F1FB5" w:rsidRDefault="001F1FB5" w:rsidP="001F1FB5">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 xml:space="preserve">EARMARKED - INSURANCE </w:t>
            </w:r>
          </w:p>
          <w:p w14:paraId="4EAB811F"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24855BE1"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tc>
        <w:tc>
          <w:tcPr>
            <w:tcW w:w="2120" w:type="dxa"/>
          </w:tcPr>
          <w:p w14:paraId="2B228382"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661BD19D"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cover the potential and contingent liabilities of uninsured risks as assessed annually by our insurers based on claims outstanding.</w:t>
            </w:r>
          </w:p>
        </w:tc>
        <w:tc>
          <w:tcPr>
            <w:tcW w:w="2118" w:type="dxa"/>
          </w:tcPr>
          <w:p w14:paraId="54456780"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05A06FD2"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Balance will increase or reduce annually dependent on the PFCC’s outstanding claims record.</w:t>
            </w:r>
          </w:p>
          <w:p w14:paraId="76EE885A"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00ADC1EF" w14:textId="0FE7DFD9" w:rsidR="00CC09C1"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Reviewed</w:t>
            </w:r>
            <w:r w:rsidR="00CC09C1">
              <w:rPr>
                <w:rFonts w:asciiTheme="minorHAnsi" w:eastAsia="Times New Roman" w:hAnsiTheme="minorHAnsi" w:cstheme="minorHAnsi"/>
                <w:sz w:val="20"/>
                <w:szCs w:val="20"/>
              </w:rPr>
              <w:t>/</w:t>
            </w:r>
            <w:r w:rsidRPr="001F1FB5">
              <w:rPr>
                <w:rFonts w:asciiTheme="minorHAnsi" w:eastAsia="Times New Roman" w:hAnsiTheme="minorHAnsi" w:cstheme="minorHAnsi"/>
                <w:sz w:val="20"/>
                <w:szCs w:val="20"/>
              </w:rPr>
              <w:t>scrutinised by the Joint Finance team and by legal and claims handling experts. Annual actuarial assessment determines the level of the reserve.</w:t>
            </w:r>
          </w:p>
          <w:p w14:paraId="75832BB9" w14:textId="67248FCE" w:rsidR="00CC09C1" w:rsidRPr="001F1FB5" w:rsidRDefault="00CC09C1" w:rsidP="001F1FB5">
            <w:pPr>
              <w:spacing w:after="0" w:line="240" w:lineRule="auto"/>
              <w:rPr>
                <w:rFonts w:asciiTheme="minorHAnsi" w:eastAsia="Times New Roman" w:hAnsiTheme="minorHAnsi" w:cstheme="minorHAnsi"/>
                <w:sz w:val="20"/>
                <w:szCs w:val="20"/>
              </w:rPr>
            </w:pPr>
          </w:p>
        </w:tc>
        <w:tc>
          <w:tcPr>
            <w:tcW w:w="1420" w:type="dxa"/>
          </w:tcPr>
          <w:p w14:paraId="443154E3"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33926BE5"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Will vary according to annual risk </w:t>
            </w:r>
            <w:proofErr w:type="gramStart"/>
            <w:r w:rsidRPr="001F1FB5">
              <w:rPr>
                <w:rFonts w:asciiTheme="minorHAnsi" w:eastAsia="Times New Roman" w:hAnsiTheme="minorHAnsi" w:cstheme="minorHAnsi"/>
                <w:sz w:val="20"/>
                <w:szCs w:val="20"/>
              </w:rPr>
              <w:t>assessment</w:t>
            </w:r>
            <w:proofErr w:type="gramEnd"/>
          </w:p>
          <w:p w14:paraId="13420B75"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67BE441E"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4494" w:type="dxa"/>
          </w:tcPr>
          <w:p w14:paraId="6E37B33D"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69E415A2"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The reserve is held to cover potential uninsured risks.</w:t>
            </w:r>
          </w:p>
          <w:p w14:paraId="6E1EC609"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2DA02D79"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If no reserve is held the PFCC is potentially open to significant excess and claims payments in year beyond available revenue budgets. </w:t>
            </w:r>
          </w:p>
          <w:p w14:paraId="74FD4B81"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344677D2"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Assessment by insurers needs to be realistic not unduly pessimistic.</w:t>
            </w:r>
          </w:p>
          <w:p w14:paraId="0E6F72C2"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1332" w:type="dxa"/>
          </w:tcPr>
          <w:p w14:paraId="66FA68C4"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66C56EDE" w14:textId="2F92186C"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PFCC, on advice from PFCC CFO</w:t>
            </w:r>
          </w:p>
        </w:tc>
        <w:tc>
          <w:tcPr>
            <w:tcW w:w="990" w:type="dxa"/>
          </w:tcPr>
          <w:p w14:paraId="64922A2E" w14:textId="604589D4" w:rsidR="001F1FB5" w:rsidRPr="001F1FB5" w:rsidRDefault="001F1FB5" w:rsidP="001F1FB5">
            <w:pPr>
              <w:spacing w:after="0" w:line="240" w:lineRule="auto"/>
              <w:rPr>
                <w:rFonts w:asciiTheme="minorHAnsi" w:eastAsia="Times New Roman" w:hAnsiTheme="minorHAnsi" w:cstheme="minorHAnsi"/>
                <w:sz w:val="20"/>
                <w:szCs w:val="20"/>
              </w:rPr>
            </w:pPr>
          </w:p>
          <w:p w14:paraId="56691F45"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Annual</w:t>
            </w:r>
          </w:p>
        </w:tc>
      </w:tr>
      <w:tr w:rsidR="001F1FB5" w:rsidRPr="001F1FB5" w14:paraId="24430934" w14:textId="77777777" w:rsidTr="00655DA1">
        <w:trPr>
          <w:cantSplit/>
          <w:jc w:val="center"/>
        </w:trPr>
        <w:tc>
          <w:tcPr>
            <w:tcW w:w="1838" w:type="dxa"/>
          </w:tcPr>
          <w:p w14:paraId="7AA6ABC0"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6717D97C" w14:textId="77777777" w:rsidR="001F1FB5" w:rsidRPr="001F1FB5" w:rsidRDefault="001F1FB5" w:rsidP="001F1FB5">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EARMARKED - OPERATIONAL EQUIPMENT</w:t>
            </w:r>
          </w:p>
        </w:tc>
        <w:tc>
          <w:tcPr>
            <w:tcW w:w="2120" w:type="dxa"/>
          </w:tcPr>
          <w:p w14:paraId="18FF6A40"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199BEAED"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smooth the impact of operational equipment purchases on the revenue budget</w:t>
            </w:r>
          </w:p>
        </w:tc>
        <w:tc>
          <w:tcPr>
            <w:tcW w:w="2118" w:type="dxa"/>
          </w:tcPr>
          <w:p w14:paraId="0D903921"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70EC4ED9"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access the funds a costed request has to be provided.</w:t>
            </w:r>
          </w:p>
        </w:tc>
        <w:tc>
          <w:tcPr>
            <w:tcW w:w="1420" w:type="dxa"/>
          </w:tcPr>
          <w:p w14:paraId="3499CCF3"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0B585255"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Will vary according to usage and annual risk assessment.</w:t>
            </w:r>
          </w:p>
          <w:p w14:paraId="565B485D"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4494" w:type="dxa"/>
          </w:tcPr>
          <w:p w14:paraId="114C0D4C"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2DA6E1FF"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The reserve is held to smooth the impact of operational equipment replacement rather than have significant variations in the budget.</w:t>
            </w:r>
          </w:p>
          <w:p w14:paraId="7638AEC1"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65AF0DC1" w14:textId="77777777" w:rsid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If no reserve is held, the risk is that equipment would have to be replaced from the current year’s budget or capital programme.</w:t>
            </w:r>
          </w:p>
          <w:p w14:paraId="2B615C7E" w14:textId="15547F94" w:rsidR="00CC09C1" w:rsidRPr="001F1FB5" w:rsidRDefault="00CC09C1" w:rsidP="001F1FB5">
            <w:pPr>
              <w:spacing w:after="0" w:line="240" w:lineRule="auto"/>
              <w:rPr>
                <w:rFonts w:asciiTheme="minorHAnsi" w:eastAsia="Times New Roman" w:hAnsiTheme="minorHAnsi" w:cstheme="minorHAnsi"/>
                <w:sz w:val="20"/>
                <w:szCs w:val="20"/>
              </w:rPr>
            </w:pPr>
          </w:p>
        </w:tc>
        <w:tc>
          <w:tcPr>
            <w:tcW w:w="1332" w:type="dxa"/>
          </w:tcPr>
          <w:p w14:paraId="12BFAC52"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5B5C70C0" w14:textId="5E428B65"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PFCC, on advice from PFCC CFO</w:t>
            </w:r>
          </w:p>
        </w:tc>
        <w:tc>
          <w:tcPr>
            <w:tcW w:w="990" w:type="dxa"/>
          </w:tcPr>
          <w:p w14:paraId="51261BEC" w14:textId="3F3B2738" w:rsidR="001F1FB5" w:rsidRPr="001F1FB5" w:rsidRDefault="001F1FB5" w:rsidP="001F1FB5">
            <w:pPr>
              <w:spacing w:after="0" w:line="240" w:lineRule="auto"/>
              <w:rPr>
                <w:rFonts w:asciiTheme="minorHAnsi" w:eastAsia="Times New Roman" w:hAnsiTheme="minorHAnsi" w:cstheme="minorHAnsi"/>
                <w:sz w:val="20"/>
                <w:szCs w:val="20"/>
              </w:rPr>
            </w:pPr>
          </w:p>
          <w:p w14:paraId="3E0A17E2"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Annual</w:t>
            </w:r>
          </w:p>
        </w:tc>
      </w:tr>
      <w:tr w:rsidR="001F1FB5" w:rsidRPr="001F1FB5" w14:paraId="45155CA8" w14:textId="77777777" w:rsidTr="00655DA1">
        <w:trPr>
          <w:cantSplit/>
          <w:jc w:val="center"/>
        </w:trPr>
        <w:tc>
          <w:tcPr>
            <w:tcW w:w="1838" w:type="dxa"/>
          </w:tcPr>
          <w:p w14:paraId="3AC4CA09"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2A879350" w14:textId="70DFAF74" w:rsidR="001F1FB5" w:rsidRPr="001F1FB5" w:rsidRDefault="001F1FB5" w:rsidP="001F1FB5">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EARMARKED</w:t>
            </w:r>
            <w:r w:rsidR="00655DA1">
              <w:rPr>
                <w:rFonts w:asciiTheme="minorHAnsi" w:eastAsia="Times New Roman" w:hAnsiTheme="minorHAnsi" w:cstheme="minorHAnsi"/>
                <w:b/>
                <w:bCs/>
                <w:sz w:val="20"/>
                <w:szCs w:val="20"/>
              </w:rPr>
              <w:t xml:space="preserve"> </w:t>
            </w:r>
            <w:r w:rsidRPr="001F1FB5">
              <w:rPr>
                <w:rFonts w:asciiTheme="minorHAnsi" w:eastAsia="Times New Roman" w:hAnsiTheme="minorHAnsi" w:cstheme="minorHAnsi"/>
                <w:b/>
                <w:bCs/>
                <w:sz w:val="20"/>
                <w:szCs w:val="20"/>
              </w:rPr>
              <w:t>– CARRY FORWARDS</w:t>
            </w:r>
          </w:p>
        </w:tc>
        <w:tc>
          <w:tcPr>
            <w:tcW w:w="2120" w:type="dxa"/>
          </w:tcPr>
          <w:p w14:paraId="2E2B27F3"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698B053A" w14:textId="77777777" w:rsid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fund specific expenditure requested by the force from previous year underspends or earmarked funding received.</w:t>
            </w:r>
          </w:p>
          <w:p w14:paraId="7E3D8047" w14:textId="7CE49DEA" w:rsidR="00CC09C1" w:rsidRPr="001F1FB5" w:rsidRDefault="00CC09C1" w:rsidP="001F1FB5">
            <w:pPr>
              <w:spacing w:after="0" w:line="240" w:lineRule="auto"/>
              <w:rPr>
                <w:rFonts w:asciiTheme="minorHAnsi" w:eastAsia="Times New Roman" w:hAnsiTheme="minorHAnsi" w:cstheme="minorHAnsi"/>
                <w:sz w:val="20"/>
                <w:szCs w:val="20"/>
              </w:rPr>
            </w:pPr>
          </w:p>
        </w:tc>
        <w:tc>
          <w:tcPr>
            <w:tcW w:w="2118" w:type="dxa"/>
          </w:tcPr>
          <w:p w14:paraId="186F1DB4"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79D34A3E"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Business cases provided as part of the outturn report or specific funding conditions.</w:t>
            </w:r>
          </w:p>
        </w:tc>
        <w:tc>
          <w:tcPr>
            <w:tcW w:w="1420" w:type="dxa"/>
          </w:tcPr>
          <w:p w14:paraId="39D43425"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1CE14097"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Will vary according to financial outturn.</w:t>
            </w:r>
          </w:p>
          <w:p w14:paraId="0877AFD5"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4494" w:type="dxa"/>
          </w:tcPr>
          <w:p w14:paraId="64DB83AC"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54575B83"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Establishing a reserve enables an incentive and an opportunity to utilise year end underspends in a manner which will provide additionality and benefit for the service in future years, rather than finding resources from in-year or reserves.</w:t>
            </w:r>
          </w:p>
          <w:p w14:paraId="365E9E5C"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66EE0D3B"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 </w:t>
            </w:r>
          </w:p>
        </w:tc>
        <w:tc>
          <w:tcPr>
            <w:tcW w:w="1332" w:type="dxa"/>
          </w:tcPr>
          <w:p w14:paraId="39EA9814"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31E39CBC" w14:textId="77D910CD"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PFCC, on advice from PFCC CFO</w:t>
            </w:r>
          </w:p>
        </w:tc>
        <w:tc>
          <w:tcPr>
            <w:tcW w:w="990" w:type="dxa"/>
          </w:tcPr>
          <w:p w14:paraId="557E7A28" w14:textId="045E54B0" w:rsidR="001F1FB5" w:rsidRPr="001F1FB5" w:rsidRDefault="001F1FB5" w:rsidP="001F1FB5">
            <w:pPr>
              <w:spacing w:after="0" w:line="240" w:lineRule="auto"/>
              <w:rPr>
                <w:rFonts w:asciiTheme="minorHAnsi" w:eastAsia="Times New Roman" w:hAnsiTheme="minorHAnsi" w:cstheme="minorHAnsi"/>
                <w:sz w:val="20"/>
                <w:szCs w:val="20"/>
              </w:rPr>
            </w:pPr>
          </w:p>
          <w:p w14:paraId="702135AF"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Annual</w:t>
            </w:r>
          </w:p>
        </w:tc>
      </w:tr>
      <w:tr w:rsidR="001F1FB5" w:rsidRPr="001F1FB5" w14:paraId="35215CA2" w14:textId="77777777" w:rsidTr="00655DA1">
        <w:trPr>
          <w:cantSplit/>
          <w:jc w:val="center"/>
        </w:trPr>
        <w:tc>
          <w:tcPr>
            <w:tcW w:w="1838" w:type="dxa"/>
          </w:tcPr>
          <w:p w14:paraId="3F93FC48"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2B422DE6" w14:textId="77777777" w:rsidR="001F1FB5" w:rsidRPr="001F1FB5" w:rsidRDefault="001F1FB5" w:rsidP="001F1FB5">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EARMARKED - PENSIONS</w:t>
            </w:r>
          </w:p>
          <w:p w14:paraId="24E79EEF"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64C8EA26"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0ACB9DE8"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tc>
        <w:tc>
          <w:tcPr>
            <w:tcW w:w="2120" w:type="dxa"/>
          </w:tcPr>
          <w:p w14:paraId="4075888D"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780456B2" w14:textId="7D99F24C"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meet the costs of any ill-health or injury retirements which are unbudgeted and fall directly on the PFCC.</w:t>
            </w:r>
          </w:p>
          <w:p w14:paraId="597EE3D2"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3798ABE8" w14:textId="0EA25AA2"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To cover any </w:t>
            </w:r>
            <w:proofErr w:type="gramStart"/>
            <w:r w:rsidRPr="001F1FB5">
              <w:rPr>
                <w:rFonts w:asciiTheme="minorHAnsi" w:eastAsia="Times New Roman" w:hAnsiTheme="minorHAnsi" w:cstheme="minorHAnsi"/>
                <w:sz w:val="20"/>
                <w:szCs w:val="20"/>
              </w:rPr>
              <w:t>significant</w:t>
            </w:r>
            <w:proofErr w:type="gramEnd"/>
            <w:r w:rsidRPr="001F1FB5">
              <w:rPr>
                <w:rFonts w:asciiTheme="minorHAnsi" w:eastAsia="Times New Roman" w:hAnsiTheme="minorHAnsi" w:cstheme="minorHAnsi"/>
                <w:sz w:val="20"/>
                <w:szCs w:val="20"/>
              </w:rPr>
              <w:t xml:space="preserve"> overspend on the employer contributions to the Pension Account.</w:t>
            </w:r>
          </w:p>
          <w:p w14:paraId="7B93A699"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73F6E48D" w14:textId="4F5518B9"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To cover costs in excess of budget relating to the administration of pension remedy, following changes to regulations. </w:t>
            </w:r>
          </w:p>
          <w:p w14:paraId="61AAD953"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2118" w:type="dxa"/>
          </w:tcPr>
          <w:p w14:paraId="726038C4"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706E9B74"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Annually as required.</w:t>
            </w:r>
          </w:p>
          <w:p w14:paraId="5E4EB2D7"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0C2FCC22"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Transfers out depend on the amount resulted from successful claims during the year.</w:t>
            </w:r>
          </w:p>
          <w:p w14:paraId="20B6E8A7"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24082044"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Historically there has been budget provided within the Force revenue budget for approximately 6 claims in a year. Any unused budget within a year would represent transfers in. </w:t>
            </w:r>
          </w:p>
          <w:p w14:paraId="7A571FD5"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1420" w:type="dxa"/>
          </w:tcPr>
          <w:p w14:paraId="7B6D243D"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25142DBA"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Will vary according to annual risk assessment</w:t>
            </w:r>
          </w:p>
        </w:tc>
        <w:tc>
          <w:tcPr>
            <w:tcW w:w="4494" w:type="dxa"/>
          </w:tcPr>
          <w:p w14:paraId="4633EA84"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50B8976E"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The reserve is held to collect any underspend from ill health pensions in the budget and provides an opportunity to smooth the impact of a financial pressure or overspend in subsequent years.</w:t>
            </w:r>
          </w:p>
          <w:p w14:paraId="549629C1"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1FCCC64E" w14:textId="77D35E8D"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The reserve enables a flat and realistic annual budget to be set for ill-health pensions rather than being subject to annual variances. </w:t>
            </w:r>
          </w:p>
          <w:p w14:paraId="0DE0551D"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722DE48B" w14:textId="1B18B69B"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If no reserve is held, significant pension costs beyond normal budgeted profile could create pressure on the revenue budget or general reserves. </w:t>
            </w:r>
          </w:p>
          <w:p w14:paraId="65A58C60"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1B071DA9"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1332" w:type="dxa"/>
          </w:tcPr>
          <w:p w14:paraId="5D668AFF"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27ED0F57" w14:textId="41EF42A9"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PFCC, on advice from PFCC CFO</w:t>
            </w:r>
          </w:p>
        </w:tc>
        <w:tc>
          <w:tcPr>
            <w:tcW w:w="990" w:type="dxa"/>
          </w:tcPr>
          <w:p w14:paraId="7B09AD9D" w14:textId="0400A600" w:rsidR="001F1FB5" w:rsidRPr="001F1FB5" w:rsidRDefault="001F1FB5" w:rsidP="001F1FB5">
            <w:pPr>
              <w:spacing w:after="0" w:line="240" w:lineRule="auto"/>
              <w:rPr>
                <w:rFonts w:asciiTheme="minorHAnsi" w:eastAsia="Times New Roman" w:hAnsiTheme="minorHAnsi" w:cstheme="minorHAnsi"/>
                <w:sz w:val="20"/>
                <w:szCs w:val="20"/>
              </w:rPr>
            </w:pPr>
          </w:p>
          <w:p w14:paraId="3D565C57"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Annual</w:t>
            </w:r>
          </w:p>
        </w:tc>
      </w:tr>
      <w:tr w:rsidR="001F1FB5" w:rsidRPr="001F1FB5" w14:paraId="3AE2AC25" w14:textId="77777777" w:rsidTr="00655DA1">
        <w:trPr>
          <w:cantSplit/>
          <w:jc w:val="center"/>
        </w:trPr>
        <w:tc>
          <w:tcPr>
            <w:tcW w:w="1838" w:type="dxa"/>
          </w:tcPr>
          <w:p w14:paraId="44F399C9" w14:textId="77777777" w:rsidR="001F1FB5" w:rsidRPr="00B1524E" w:rsidRDefault="001F1FB5" w:rsidP="001F1FB5">
            <w:pPr>
              <w:spacing w:after="0" w:line="240" w:lineRule="auto"/>
              <w:rPr>
                <w:rFonts w:asciiTheme="minorHAnsi" w:eastAsia="Times New Roman" w:hAnsiTheme="minorHAnsi" w:cstheme="minorHAnsi"/>
                <w:b/>
                <w:bCs/>
                <w:sz w:val="20"/>
                <w:szCs w:val="20"/>
              </w:rPr>
            </w:pPr>
          </w:p>
          <w:p w14:paraId="505FA0AA" w14:textId="302AC3E9" w:rsidR="001F1FB5" w:rsidRPr="00B1524E" w:rsidRDefault="001F1FB5" w:rsidP="001F1FB5">
            <w:pPr>
              <w:spacing w:after="0" w:line="240" w:lineRule="auto"/>
              <w:rPr>
                <w:rFonts w:asciiTheme="minorHAnsi" w:eastAsia="Times New Roman" w:hAnsiTheme="minorHAnsi" w:cstheme="minorHAnsi"/>
                <w:b/>
                <w:bCs/>
                <w:sz w:val="20"/>
                <w:szCs w:val="20"/>
              </w:rPr>
            </w:pPr>
            <w:r w:rsidRPr="00B1524E">
              <w:rPr>
                <w:rFonts w:asciiTheme="minorHAnsi" w:eastAsia="Times New Roman" w:hAnsiTheme="minorHAnsi" w:cstheme="minorHAnsi"/>
                <w:b/>
                <w:bCs/>
                <w:sz w:val="20"/>
                <w:szCs w:val="20"/>
              </w:rPr>
              <w:t xml:space="preserve">EARMARKED - SMOOTHING </w:t>
            </w:r>
          </w:p>
        </w:tc>
        <w:tc>
          <w:tcPr>
            <w:tcW w:w="2120" w:type="dxa"/>
          </w:tcPr>
          <w:p w14:paraId="7FA38221"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3EC42D2A"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To smooth the impact of fluctuations in the funding receipts from the collection fund if provided after the budget has been set.</w:t>
            </w:r>
          </w:p>
          <w:p w14:paraId="070583CC"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799DCCEC"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To collect efficiency savings realised to smooth the impact on future years budgets.</w:t>
            </w:r>
          </w:p>
          <w:p w14:paraId="35CB7332" w14:textId="77777777" w:rsidR="001F1FB5" w:rsidRPr="00B1524E" w:rsidRDefault="001F1FB5" w:rsidP="001F1FB5">
            <w:pPr>
              <w:spacing w:after="0" w:line="240" w:lineRule="auto"/>
              <w:rPr>
                <w:rFonts w:asciiTheme="minorHAnsi" w:eastAsia="Times New Roman" w:hAnsiTheme="minorHAnsi" w:cstheme="minorHAnsi"/>
                <w:sz w:val="20"/>
                <w:szCs w:val="20"/>
              </w:rPr>
            </w:pPr>
          </w:p>
        </w:tc>
        <w:tc>
          <w:tcPr>
            <w:tcW w:w="2118" w:type="dxa"/>
          </w:tcPr>
          <w:p w14:paraId="590F0993"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30EF2006"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Balance will increase or reduce annually dependent on budget levels and the savings programme.</w:t>
            </w:r>
          </w:p>
        </w:tc>
        <w:tc>
          <w:tcPr>
            <w:tcW w:w="1420" w:type="dxa"/>
          </w:tcPr>
          <w:p w14:paraId="60AC54ED"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4E4304A1"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Will vary according to usage and annual risk assessment.</w:t>
            </w:r>
          </w:p>
          <w:p w14:paraId="7C1569FA" w14:textId="77777777" w:rsidR="001F1FB5" w:rsidRPr="00B1524E" w:rsidRDefault="001F1FB5" w:rsidP="001F1FB5">
            <w:pPr>
              <w:spacing w:after="0" w:line="240" w:lineRule="auto"/>
              <w:rPr>
                <w:rFonts w:asciiTheme="minorHAnsi" w:eastAsia="Times New Roman" w:hAnsiTheme="minorHAnsi" w:cstheme="minorHAnsi"/>
                <w:sz w:val="20"/>
                <w:szCs w:val="20"/>
              </w:rPr>
            </w:pPr>
          </w:p>
        </w:tc>
        <w:tc>
          <w:tcPr>
            <w:tcW w:w="4494" w:type="dxa"/>
          </w:tcPr>
          <w:p w14:paraId="20BBD77C"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614661DF"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The reserve is held to receive any efficiencies and funding in excess of the budget set and to utilise to ensure any variations are smoothed where appropriate. Also use to smooth budget fluctuations.</w:t>
            </w:r>
          </w:p>
          <w:p w14:paraId="6425A032"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127F857E"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If funds were not maintained the PFCC and the Force could be required to balance the budget or funding shortfalls by in year savings.</w:t>
            </w:r>
          </w:p>
          <w:p w14:paraId="4130F8C2"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391CED80" w14:textId="77777777" w:rsidR="001F1FB5"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There can be significant variations each year in the revenue budget whilst the timing of efficiency savings occur</w:t>
            </w:r>
            <w:r w:rsidR="00B1524E" w:rsidRPr="00B1524E">
              <w:rPr>
                <w:rFonts w:asciiTheme="minorHAnsi" w:eastAsia="Times New Roman" w:hAnsiTheme="minorHAnsi" w:cstheme="minorHAnsi"/>
                <w:sz w:val="20"/>
                <w:szCs w:val="20"/>
              </w:rPr>
              <w:t xml:space="preserve"> </w:t>
            </w:r>
            <w:r w:rsidRPr="00B1524E">
              <w:rPr>
                <w:rFonts w:asciiTheme="minorHAnsi" w:eastAsia="Times New Roman" w:hAnsiTheme="minorHAnsi" w:cstheme="minorHAnsi"/>
                <w:sz w:val="20"/>
                <w:szCs w:val="20"/>
              </w:rPr>
              <w:t>– this smoothing reserve will assist in mitigating that.</w:t>
            </w:r>
          </w:p>
          <w:p w14:paraId="0EE6C01F" w14:textId="42A7C427" w:rsidR="00CC09C1" w:rsidRPr="00B1524E" w:rsidRDefault="00CC09C1" w:rsidP="001F1FB5">
            <w:pPr>
              <w:spacing w:after="0" w:line="240" w:lineRule="auto"/>
              <w:rPr>
                <w:rFonts w:asciiTheme="minorHAnsi" w:eastAsia="Times New Roman" w:hAnsiTheme="minorHAnsi" w:cstheme="minorHAnsi"/>
                <w:sz w:val="20"/>
                <w:szCs w:val="20"/>
              </w:rPr>
            </w:pPr>
          </w:p>
        </w:tc>
        <w:tc>
          <w:tcPr>
            <w:tcW w:w="1332" w:type="dxa"/>
          </w:tcPr>
          <w:p w14:paraId="1A3A33C8"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3AE63C90" w14:textId="45E15201"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PFCC, on advice from PFCC CFO</w:t>
            </w:r>
          </w:p>
        </w:tc>
        <w:tc>
          <w:tcPr>
            <w:tcW w:w="990" w:type="dxa"/>
          </w:tcPr>
          <w:p w14:paraId="45651CEF" w14:textId="18A9887F" w:rsidR="001F1FB5" w:rsidRPr="00B1524E" w:rsidRDefault="001F1FB5" w:rsidP="001F1FB5">
            <w:pPr>
              <w:spacing w:after="0" w:line="240" w:lineRule="auto"/>
              <w:rPr>
                <w:rFonts w:asciiTheme="minorHAnsi" w:eastAsia="Times New Roman" w:hAnsiTheme="minorHAnsi" w:cstheme="minorHAnsi"/>
                <w:sz w:val="20"/>
                <w:szCs w:val="20"/>
              </w:rPr>
            </w:pPr>
          </w:p>
          <w:p w14:paraId="5313D517"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Annual</w:t>
            </w:r>
          </w:p>
        </w:tc>
      </w:tr>
      <w:tr w:rsidR="001F1FB5" w:rsidRPr="001F1FB5" w14:paraId="651C0CD1" w14:textId="77777777" w:rsidTr="00655DA1">
        <w:trPr>
          <w:cantSplit/>
          <w:jc w:val="center"/>
        </w:trPr>
        <w:tc>
          <w:tcPr>
            <w:tcW w:w="1838" w:type="dxa"/>
          </w:tcPr>
          <w:p w14:paraId="24F2EAA6" w14:textId="77777777" w:rsidR="001F1FB5" w:rsidRPr="00CC09C1" w:rsidRDefault="001F1FB5" w:rsidP="001F1FB5">
            <w:pPr>
              <w:spacing w:after="0" w:line="240" w:lineRule="auto"/>
              <w:rPr>
                <w:rFonts w:asciiTheme="minorHAnsi" w:eastAsia="Times New Roman" w:hAnsiTheme="minorHAnsi" w:cstheme="minorHAnsi"/>
                <w:b/>
                <w:bCs/>
                <w:sz w:val="20"/>
                <w:szCs w:val="20"/>
              </w:rPr>
            </w:pPr>
          </w:p>
          <w:p w14:paraId="1620A8AA" w14:textId="77777777" w:rsidR="001F1FB5" w:rsidRPr="00CC09C1" w:rsidRDefault="001F1FB5" w:rsidP="001F1FB5">
            <w:pPr>
              <w:spacing w:after="0" w:line="240" w:lineRule="auto"/>
              <w:rPr>
                <w:rFonts w:asciiTheme="minorHAnsi" w:eastAsia="Times New Roman" w:hAnsiTheme="minorHAnsi" w:cstheme="minorHAnsi"/>
                <w:b/>
                <w:bCs/>
                <w:sz w:val="20"/>
                <w:szCs w:val="20"/>
              </w:rPr>
            </w:pPr>
            <w:r w:rsidRPr="00CC09C1">
              <w:rPr>
                <w:rFonts w:asciiTheme="minorHAnsi" w:eastAsia="Times New Roman" w:hAnsiTheme="minorHAnsi" w:cstheme="minorHAnsi"/>
                <w:b/>
                <w:bCs/>
                <w:sz w:val="20"/>
                <w:szCs w:val="20"/>
              </w:rPr>
              <w:t>EARMARKED - PFCC INITIATIVES</w:t>
            </w:r>
          </w:p>
        </w:tc>
        <w:tc>
          <w:tcPr>
            <w:tcW w:w="2120" w:type="dxa"/>
          </w:tcPr>
          <w:p w14:paraId="7DF34ABC"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79870B59"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 xml:space="preserve">To deliver funding to for specific initiatives of the PFCC arising from the Police, Fire and Crime Plan </w:t>
            </w:r>
          </w:p>
          <w:p w14:paraId="4CCB5BAE"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3088EFEA" w14:textId="23EBA244"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 xml:space="preserve">To provide funding to deliver radical solutions to </w:t>
            </w:r>
            <w:r w:rsidR="00B1524E" w:rsidRPr="00CC09C1">
              <w:rPr>
                <w:rFonts w:asciiTheme="minorHAnsi" w:eastAsia="Times New Roman" w:hAnsiTheme="minorHAnsi" w:cstheme="minorHAnsi"/>
                <w:sz w:val="20"/>
                <w:szCs w:val="20"/>
              </w:rPr>
              <w:t>support</w:t>
            </w:r>
            <w:r w:rsidRPr="00CC09C1">
              <w:rPr>
                <w:rFonts w:asciiTheme="minorHAnsi" w:eastAsia="Times New Roman" w:hAnsiTheme="minorHAnsi" w:cstheme="minorHAnsi"/>
                <w:sz w:val="20"/>
                <w:szCs w:val="20"/>
              </w:rPr>
              <w:t xml:space="preserve"> the Police, Fire and Crime Plan</w:t>
            </w:r>
          </w:p>
          <w:p w14:paraId="1068A559" w14:textId="77777777" w:rsidR="001F1FB5" w:rsidRPr="00CC09C1" w:rsidRDefault="001F1FB5" w:rsidP="001F1FB5">
            <w:pPr>
              <w:spacing w:after="0" w:line="240" w:lineRule="auto"/>
              <w:rPr>
                <w:rFonts w:asciiTheme="minorHAnsi" w:eastAsia="Times New Roman" w:hAnsiTheme="minorHAnsi" w:cstheme="minorHAnsi"/>
                <w:sz w:val="20"/>
                <w:szCs w:val="20"/>
              </w:rPr>
            </w:pPr>
          </w:p>
        </w:tc>
        <w:tc>
          <w:tcPr>
            <w:tcW w:w="2118" w:type="dxa"/>
          </w:tcPr>
          <w:p w14:paraId="199C09CC"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12308F02"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As required – typically informed by approved business cases for bids on the Fund.</w:t>
            </w:r>
          </w:p>
          <w:p w14:paraId="6BEB0688"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32668233" w14:textId="77777777" w:rsidR="001F1FB5" w:rsidRPr="00CC09C1" w:rsidRDefault="001F1FB5" w:rsidP="001F1FB5">
            <w:pPr>
              <w:spacing w:after="0" w:line="240" w:lineRule="auto"/>
              <w:rPr>
                <w:rFonts w:asciiTheme="minorHAnsi" w:eastAsia="Times New Roman" w:hAnsiTheme="minorHAnsi" w:cstheme="minorHAnsi"/>
                <w:sz w:val="20"/>
                <w:szCs w:val="20"/>
              </w:rPr>
            </w:pPr>
          </w:p>
        </w:tc>
        <w:tc>
          <w:tcPr>
            <w:tcW w:w="1420" w:type="dxa"/>
          </w:tcPr>
          <w:p w14:paraId="219D9C7F"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36896FEE"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Will vary according to outturn and annual risk assessment.</w:t>
            </w:r>
          </w:p>
          <w:p w14:paraId="5197D55A" w14:textId="77777777" w:rsidR="001F1FB5" w:rsidRPr="00CC09C1" w:rsidRDefault="001F1FB5" w:rsidP="001F1FB5">
            <w:pPr>
              <w:spacing w:after="0" w:line="240" w:lineRule="auto"/>
              <w:rPr>
                <w:rFonts w:asciiTheme="minorHAnsi" w:eastAsia="Times New Roman" w:hAnsiTheme="minorHAnsi" w:cstheme="minorHAnsi"/>
                <w:sz w:val="20"/>
                <w:szCs w:val="20"/>
              </w:rPr>
            </w:pPr>
          </w:p>
        </w:tc>
        <w:tc>
          <w:tcPr>
            <w:tcW w:w="4494" w:type="dxa"/>
          </w:tcPr>
          <w:p w14:paraId="490F72D5"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70B5301D" w14:textId="61CA3185"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The reserve is held and was established from a PFCC reserve and has been increased by in</w:t>
            </w:r>
            <w:r w:rsidR="00B1524E" w:rsidRPr="00CC09C1">
              <w:rPr>
                <w:rFonts w:asciiTheme="minorHAnsi" w:eastAsia="Times New Roman" w:hAnsiTheme="minorHAnsi" w:cstheme="minorHAnsi"/>
                <w:sz w:val="20"/>
                <w:szCs w:val="20"/>
              </w:rPr>
              <w:t>-</w:t>
            </w:r>
            <w:r w:rsidRPr="00CC09C1">
              <w:rPr>
                <w:rFonts w:asciiTheme="minorHAnsi" w:eastAsia="Times New Roman" w:hAnsiTheme="minorHAnsi" w:cstheme="minorHAnsi"/>
                <w:sz w:val="20"/>
                <w:szCs w:val="20"/>
              </w:rPr>
              <w:t>year underspends to support initiatives identified by the PFCC to support the Police, Fire and Crime Plan.</w:t>
            </w:r>
          </w:p>
          <w:p w14:paraId="7203C776"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1607EEAF" w14:textId="24DA93CF"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 xml:space="preserve">It is used to pump prime initiatives or one-off requirements, and supports the budgeted Police, Fire and Crime Plan Initiatives within the revenue budget and local grant initiatives. </w:t>
            </w:r>
          </w:p>
          <w:p w14:paraId="495C69F1"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72C31FCC" w14:textId="77777777" w:rsidR="001F1FB5"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 xml:space="preserve">If the reserve was not held initiatives would be funded either from the revenue budget or from other earmarked policing reserves. </w:t>
            </w:r>
          </w:p>
          <w:p w14:paraId="61812595" w14:textId="0F636269" w:rsidR="00CC09C1" w:rsidRPr="00CC09C1" w:rsidRDefault="00CC09C1" w:rsidP="001F1FB5">
            <w:pPr>
              <w:spacing w:after="0" w:line="240" w:lineRule="auto"/>
              <w:rPr>
                <w:rFonts w:asciiTheme="minorHAnsi" w:eastAsia="Times New Roman" w:hAnsiTheme="minorHAnsi" w:cstheme="minorHAnsi"/>
                <w:sz w:val="20"/>
                <w:szCs w:val="20"/>
              </w:rPr>
            </w:pPr>
          </w:p>
        </w:tc>
        <w:tc>
          <w:tcPr>
            <w:tcW w:w="1332" w:type="dxa"/>
          </w:tcPr>
          <w:p w14:paraId="7013BBBD"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118C29BD" w14:textId="40163786"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 xml:space="preserve">PFCC, on advice from PFCC CFO </w:t>
            </w:r>
          </w:p>
        </w:tc>
        <w:tc>
          <w:tcPr>
            <w:tcW w:w="990" w:type="dxa"/>
          </w:tcPr>
          <w:p w14:paraId="328BAD35" w14:textId="2DAE44A5" w:rsidR="001F1FB5" w:rsidRPr="00CC09C1" w:rsidRDefault="001F1FB5" w:rsidP="001F1FB5">
            <w:pPr>
              <w:spacing w:after="0" w:line="240" w:lineRule="auto"/>
              <w:rPr>
                <w:rFonts w:asciiTheme="minorHAnsi" w:eastAsia="Times New Roman" w:hAnsiTheme="minorHAnsi" w:cstheme="minorHAnsi"/>
                <w:sz w:val="20"/>
                <w:szCs w:val="20"/>
              </w:rPr>
            </w:pPr>
          </w:p>
          <w:p w14:paraId="33808932"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 xml:space="preserve">Annual </w:t>
            </w:r>
          </w:p>
        </w:tc>
      </w:tr>
      <w:tr w:rsidR="001F1FB5" w:rsidRPr="001F1FB5" w14:paraId="1A9FDF11" w14:textId="77777777" w:rsidTr="00655DA1">
        <w:trPr>
          <w:cantSplit/>
          <w:jc w:val="center"/>
        </w:trPr>
        <w:tc>
          <w:tcPr>
            <w:tcW w:w="1838" w:type="dxa"/>
          </w:tcPr>
          <w:p w14:paraId="00249CF9" w14:textId="77777777" w:rsidR="001F1FB5" w:rsidRPr="00B1524E" w:rsidRDefault="001F1FB5" w:rsidP="001F1FB5">
            <w:pPr>
              <w:spacing w:after="0" w:line="240" w:lineRule="auto"/>
              <w:rPr>
                <w:rFonts w:asciiTheme="minorHAnsi" w:eastAsia="Times New Roman" w:hAnsiTheme="minorHAnsi" w:cstheme="minorHAnsi"/>
                <w:b/>
                <w:bCs/>
                <w:sz w:val="20"/>
                <w:szCs w:val="20"/>
              </w:rPr>
            </w:pPr>
          </w:p>
          <w:p w14:paraId="17A6B747" w14:textId="3BC5D936" w:rsidR="001F1FB5" w:rsidRPr="00B1524E" w:rsidRDefault="001F1FB5" w:rsidP="001F1FB5">
            <w:pPr>
              <w:spacing w:after="0" w:line="240" w:lineRule="auto"/>
              <w:rPr>
                <w:rFonts w:asciiTheme="minorHAnsi" w:eastAsia="Times New Roman" w:hAnsiTheme="minorHAnsi" w:cstheme="minorHAnsi"/>
                <w:b/>
                <w:bCs/>
                <w:sz w:val="20"/>
                <w:szCs w:val="20"/>
              </w:rPr>
            </w:pPr>
            <w:r w:rsidRPr="00B1524E">
              <w:rPr>
                <w:rFonts w:asciiTheme="minorHAnsi" w:eastAsia="Times New Roman" w:hAnsiTheme="minorHAnsi" w:cstheme="minorHAnsi"/>
                <w:b/>
                <w:bCs/>
                <w:sz w:val="20"/>
                <w:szCs w:val="20"/>
              </w:rPr>
              <w:t>EARMARKED - TRANSFORMATION</w:t>
            </w:r>
          </w:p>
        </w:tc>
        <w:tc>
          <w:tcPr>
            <w:tcW w:w="2120" w:type="dxa"/>
          </w:tcPr>
          <w:p w14:paraId="71D1E8D2"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1CDDBA2E"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 xml:space="preserve">To fund transformative activities and opportunities and meet initial and upfront costs of enabling services projects.  </w:t>
            </w:r>
          </w:p>
          <w:p w14:paraId="013C465D" w14:textId="77777777" w:rsidR="001F1FB5" w:rsidRPr="00B1524E" w:rsidRDefault="001F1FB5" w:rsidP="001F1FB5">
            <w:pPr>
              <w:spacing w:after="0" w:line="240" w:lineRule="auto"/>
              <w:rPr>
                <w:rFonts w:asciiTheme="minorHAnsi" w:eastAsia="Times New Roman" w:hAnsiTheme="minorHAnsi" w:cstheme="minorHAnsi"/>
                <w:sz w:val="20"/>
                <w:szCs w:val="20"/>
              </w:rPr>
            </w:pPr>
          </w:p>
        </w:tc>
        <w:tc>
          <w:tcPr>
            <w:tcW w:w="2118" w:type="dxa"/>
          </w:tcPr>
          <w:p w14:paraId="0064147D"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1A72A374"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To access the funds a costed request has to be provided.</w:t>
            </w:r>
          </w:p>
        </w:tc>
        <w:tc>
          <w:tcPr>
            <w:tcW w:w="1420" w:type="dxa"/>
          </w:tcPr>
          <w:p w14:paraId="3AF56647"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73618AA8"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Will vary according to outturn and annual risk assessment.</w:t>
            </w:r>
          </w:p>
          <w:p w14:paraId="00113935" w14:textId="77777777" w:rsidR="001F1FB5" w:rsidRPr="00B1524E" w:rsidRDefault="001F1FB5" w:rsidP="001F1FB5">
            <w:pPr>
              <w:spacing w:after="0" w:line="240" w:lineRule="auto"/>
              <w:rPr>
                <w:rFonts w:asciiTheme="minorHAnsi" w:eastAsia="Times New Roman" w:hAnsiTheme="minorHAnsi" w:cstheme="minorHAnsi"/>
                <w:sz w:val="20"/>
                <w:szCs w:val="20"/>
              </w:rPr>
            </w:pPr>
          </w:p>
        </w:tc>
        <w:tc>
          <w:tcPr>
            <w:tcW w:w="4494" w:type="dxa"/>
          </w:tcPr>
          <w:p w14:paraId="1F8103B0"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337744DD"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The reserve was established to fund the transformative activities of bringing in house support services and developing shared systems for Police and to bring Fire onstream in future years.</w:t>
            </w:r>
          </w:p>
          <w:p w14:paraId="0199A888"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2A7EE7A9"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If funds were not provided, the risk is that equipment or services and resources required to bring in the systems and activities would have to be replaced from the current year’s budget or other reserves.</w:t>
            </w:r>
          </w:p>
          <w:p w14:paraId="06415078" w14:textId="77777777" w:rsidR="00B1524E" w:rsidRPr="00B1524E" w:rsidRDefault="00B1524E" w:rsidP="001F1FB5">
            <w:pPr>
              <w:spacing w:after="0" w:line="240" w:lineRule="auto"/>
              <w:rPr>
                <w:rFonts w:asciiTheme="minorHAnsi" w:eastAsia="Times New Roman" w:hAnsiTheme="minorHAnsi" w:cstheme="minorHAnsi"/>
                <w:sz w:val="20"/>
                <w:szCs w:val="20"/>
              </w:rPr>
            </w:pPr>
          </w:p>
          <w:p w14:paraId="368109D8" w14:textId="77777777" w:rsidR="00B1524E" w:rsidRDefault="00B1524E"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If no funds were available, it may be that innovative activity is hindered.</w:t>
            </w:r>
          </w:p>
          <w:p w14:paraId="7EE31F80" w14:textId="408E8494" w:rsidR="00CC09C1" w:rsidRPr="00B1524E" w:rsidRDefault="00CC09C1" w:rsidP="001F1FB5">
            <w:pPr>
              <w:spacing w:after="0" w:line="240" w:lineRule="auto"/>
              <w:rPr>
                <w:rFonts w:asciiTheme="minorHAnsi" w:eastAsia="Times New Roman" w:hAnsiTheme="minorHAnsi" w:cstheme="minorHAnsi"/>
                <w:sz w:val="20"/>
                <w:szCs w:val="20"/>
              </w:rPr>
            </w:pPr>
          </w:p>
        </w:tc>
        <w:tc>
          <w:tcPr>
            <w:tcW w:w="1332" w:type="dxa"/>
          </w:tcPr>
          <w:p w14:paraId="2F5CDEE1"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67E3B2BF" w14:textId="18DF375B"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PFCC, on advice from PFCC CFO</w:t>
            </w:r>
          </w:p>
        </w:tc>
        <w:tc>
          <w:tcPr>
            <w:tcW w:w="990" w:type="dxa"/>
          </w:tcPr>
          <w:p w14:paraId="6A3C773F" w14:textId="4929E930" w:rsidR="001F1FB5" w:rsidRPr="00B1524E" w:rsidRDefault="001F1FB5" w:rsidP="001F1FB5">
            <w:pPr>
              <w:spacing w:after="0" w:line="240" w:lineRule="auto"/>
              <w:rPr>
                <w:rFonts w:asciiTheme="minorHAnsi" w:eastAsia="Times New Roman" w:hAnsiTheme="minorHAnsi" w:cstheme="minorHAnsi"/>
                <w:sz w:val="20"/>
                <w:szCs w:val="20"/>
              </w:rPr>
            </w:pPr>
          </w:p>
          <w:p w14:paraId="2CB79A1C"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Annual</w:t>
            </w:r>
          </w:p>
        </w:tc>
      </w:tr>
      <w:tr w:rsidR="001F1FB5" w:rsidRPr="001F1FB5" w14:paraId="5E4864E0" w14:textId="77777777" w:rsidTr="00655DA1">
        <w:trPr>
          <w:cantSplit/>
          <w:jc w:val="center"/>
        </w:trPr>
        <w:tc>
          <w:tcPr>
            <w:tcW w:w="1838" w:type="dxa"/>
          </w:tcPr>
          <w:p w14:paraId="023D602D" w14:textId="77777777" w:rsidR="001F1FB5" w:rsidRPr="00B1524E" w:rsidRDefault="001F1FB5" w:rsidP="001F1FB5">
            <w:pPr>
              <w:spacing w:after="0" w:line="240" w:lineRule="auto"/>
              <w:rPr>
                <w:rFonts w:asciiTheme="minorHAnsi" w:eastAsia="Times New Roman" w:hAnsiTheme="minorHAnsi" w:cstheme="minorHAnsi"/>
                <w:b/>
                <w:bCs/>
                <w:sz w:val="20"/>
                <w:szCs w:val="20"/>
              </w:rPr>
            </w:pPr>
          </w:p>
          <w:p w14:paraId="079F5F64" w14:textId="77777777" w:rsidR="001F1FB5" w:rsidRPr="00B1524E" w:rsidRDefault="001F1FB5" w:rsidP="001F1FB5">
            <w:pPr>
              <w:spacing w:after="0" w:line="240" w:lineRule="auto"/>
              <w:rPr>
                <w:rFonts w:asciiTheme="minorHAnsi" w:eastAsia="Times New Roman" w:hAnsiTheme="minorHAnsi" w:cstheme="minorHAnsi"/>
                <w:b/>
                <w:bCs/>
                <w:sz w:val="20"/>
                <w:szCs w:val="20"/>
              </w:rPr>
            </w:pPr>
            <w:r w:rsidRPr="00B1524E">
              <w:rPr>
                <w:rFonts w:asciiTheme="minorHAnsi" w:eastAsia="Times New Roman" w:hAnsiTheme="minorHAnsi" w:cstheme="minorHAnsi"/>
                <w:b/>
                <w:bCs/>
                <w:sz w:val="20"/>
                <w:szCs w:val="20"/>
              </w:rPr>
              <w:t>EARMARKED - SAFER ROADS</w:t>
            </w:r>
          </w:p>
        </w:tc>
        <w:tc>
          <w:tcPr>
            <w:tcW w:w="2120" w:type="dxa"/>
          </w:tcPr>
          <w:p w14:paraId="081B25EC"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148A87C0"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For surpluses of fines and speed awareness course income over expenditure that is reinvested in replacement equipment and road safety initiatives.</w:t>
            </w:r>
          </w:p>
          <w:p w14:paraId="21867DBD"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3F9275F4"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The reserve is influenced by the work of the Road Safety Alliance formed in 2018/19</w:t>
            </w:r>
          </w:p>
          <w:p w14:paraId="70C3F79E" w14:textId="77777777" w:rsidR="001F1FB5" w:rsidRPr="00B1524E" w:rsidRDefault="001F1FB5" w:rsidP="001F1FB5">
            <w:pPr>
              <w:spacing w:after="0" w:line="240" w:lineRule="auto"/>
              <w:rPr>
                <w:rFonts w:asciiTheme="minorHAnsi" w:eastAsia="Times New Roman" w:hAnsiTheme="minorHAnsi" w:cstheme="minorHAnsi"/>
                <w:sz w:val="20"/>
                <w:szCs w:val="20"/>
              </w:rPr>
            </w:pPr>
          </w:p>
        </w:tc>
        <w:tc>
          <w:tcPr>
            <w:tcW w:w="2118" w:type="dxa"/>
          </w:tcPr>
          <w:p w14:paraId="28FF4A68"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64D641BC"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As required – typically informed by approved business cases for bids on the Fund.</w:t>
            </w:r>
          </w:p>
        </w:tc>
        <w:tc>
          <w:tcPr>
            <w:tcW w:w="1420" w:type="dxa"/>
          </w:tcPr>
          <w:p w14:paraId="0AA4ADDB"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6AAE54E4"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Will vary according to outturn and annual risk assessment.</w:t>
            </w:r>
          </w:p>
          <w:p w14:paraId="3CFBA0B8" w14:textId="77777777" w:rsidR="001F1FB5" w:rsidRPr="00B1524E" w:rsidRDefault="001F1FB5" w:rsidP="001F1FB5">
            <w:pPr>
              <w:spacing w:after="0" w:line="240" w:lineRule="auto"/>
              <w:rPr>
                <w:rFonts w:asciiTheme="minorHAnsi" w:eastAsia="Times New Roman" w:hAnsiTheme="minorHAnsi" w:cstheme="minorHAnsi"/>
                <w:sz w:val="20"/>
                <w:szCs w:val="20"/>
              </w:rPr>
            </w:pPr>
          </w:p>
        </w:tc>
        <w:tc>
          <w:tcPr>
            <w:tcW w:w="4494" w:type="dxa"/>
          </w:tcPr>
          <w:p w14:paraId="557E1007"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6039BCC0"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The reserve is held to provide an opportunity for supporting local road safety related grants and to fund initiatives in the county identified locally and by the Road Safety Alliance.</w:t>
            </w:r>
          </w:p>
          <w:p w14:paraId="220B01EB"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1B556AFE"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If reserve was not held then safety initiatives would have to be funded from the revenue budget, other reserves or not implemented.</w:t>
            </w:r>
          </w:p>
          <w:p w14:paraId="36F644DA"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20BC29FA" w14:textId="664023BD"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This reserve can only be used in accordance with the legislation for its use of road safety related activities.</w:t>
            </w:r>
          </w:p>
          <w:p w14:paraId="6DA319EF" w14:textId="77777777" w:rsidR="001F1FB5" w:rsidRPr="00B1524E" w:rsidRDefault="001F1FB5" w:rsidP="001F1FB5">
            <w:pPr>
              <w:spacing w:after="0" w:line="240" w:lineRule="auto"/>
              <w:rPr>
                <w:rFonts w:asciiTheme="minorHAnsi" w:eastAsia="Times New Roman" w:hAnsiTheme="minorHAnsi" w:cstheme="minorHAnsi"/>
                <w:sz w:val="20"/>
                <w:szCs w:val="20"/>
              </w:rPr>
            </w:pPr>
          </w:p>
        </w:tc>
        <w:tc>
          <w:tcPr>
            <w:tcW w:w="1332" w:type="dxa"/>
          </w:tcPr>
          <w:p w14:paraId="465B5AD3"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1FCB0604" w14:textId="39B83668"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PFCC, on advice from PFCC CFO</w:t>
            </w:r>
          </w:p>
        </w:tc>
        <w:tc>
          <w:tcPr>
            <w:tcW w:w="990" w:type="dxa"/>
          </w:tcPr>
          <w:p w14:paraId="2526D5EB" w14:textId="254D4133" w:rsidR="001F1FB5" w:rsidRPr="00B1524E" w:rsidRDefault="001F1FB5" w:rsidP="001F1FB5">
            <w:pPr>
              <w:spacing w:after="0" w:line="240" w:lineRule="auto"/>
              <w:rPr>
                <w:rFonts w:asciiTheme="minorHAnsi" w:eastAsia="Times New Roman" w:hAnsiTheme="minorHAnsi" w:cstheme="minorHAnsi"/>
                <w:sz w:val="20"/>
                <w:szCs w:val="20"/>
              </w:rPr>
            </w:pPr>
          </w:p>
          <w:p w14:paraId="5DE96805"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Annual</w:t>
            </w:r>
          </w:p>
        </w:tc>
      </w:tr>
      <w:tr w:rsidR="001F1FB5" w:rsidRPr="001F1FB5" w14:paraId="71EE9E5D" w14:textId="77777777" w:rsidTr="00655DA1">
        <w:trPr>
          <w:cantSplit/>
          <w:jc w:val="center"/>
        </w:trPr>
        <w:tc>
          <w:tcPr>
            <w:tcW w:w="1838" w:type="dxa"/>
          </w:tcPr>
          <w:p w14:paraId="1A52D625" w14:textId="77777777" w:rsidR="001F1FB5" w:rsidRPr="00CC09C1" w:rsidRDefault="001F1FB5" w:rsidP="001F1FB5">
            <w:pPr>
              <w:spacing w:after="0" w:line="240" w:lineRule="auto"/>
              <w:rPr>
                <w:rFonts w:asciiTheme="minorHAnsi" w:eastAsia="Times New Roman" w:hAnsiTheme="minorHAnsi" w:cstheme="minorHAnsi"/>
                <w:b/>
                <w:bCs/>
                <w:sz w:val="20"/>
                <w:szCs w:val="20"/>
              </w:rPr>
            </w:pPr>
          </w:p>
          <w:p w14:paraId="76EE0B13" w14:textId="77777777" w:rsidR="001F1FB5" w:rsidRPr="00CC09C1" w:rsidRDefault="001F1FB5" w:rsidP="001F1FB5">
            <w:pPr>
              <w:spacing w:after="0" w:line="240" w:lineRule="auto"/>
              <w:rPr>
                <w:rFonts w:asciiTheme="minorHAnsi" w:eastAsia="Times New Roman" w:hAnsiTheme="minorHAnsi" w:cstheme="minorHAnsi"/>
                <w:b/>
                <w:bCs/>
                <w:sz w:val="20"/>
                <w:szCs w:val="20"/>
              </w:rPr>
            </w:pPr>
            <w:r w:rsidRPr="00CC09C1">
              <w:rPr>
                <w:rFonts w:asciiTheme="minorHAnsi" w:eastAsia="Times New Roman" w:hAnsiTheme="minorHAnsi" w:cstheme="minorHAnsi"/>
                <w:b/>
                <w:bCs/>
                <w:sz w:val="20"/>
                <w:szCs w:val="20"/>
              </w:rPr>
              <w:t>EARMARKED - NEIGHBOURHOOD</w:t>
            </w:r>
          </w:p>
        </w:tc>
        <w:tc>
          <w:tcPr>
            <w:tcW w:w="2120" w:type="dxa"/>
          </w:tcPr>
          <w:p w14:paraId="252BDC9A"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1EBACDCC" w14:textId="7D995D28"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For underspends in the Police Community Support Officers (PCSO) budget to be held to be used towards prioritising those resources and used in neighbourhoods or other associated requirements.</w:t>
            </w:r>
          </w:p>
          <w:p w14:paraId="7F97B047" w14:textId="79529198" w:rsidR="00B1524E" w:rsidRPr="00CC09C1" w:rsidRDefault="00B1524E" w:rsidP="001F1FB5">
            <w:pPr>
              <w:spacing w:after="0" w:line="240" w:lineRule="auto"/>
              <w:rPr>
                <w:rFonts w:asciiTheme="minorHAnsi" w:eastAsia="Times New Roman" w:hAnsiTheme="minorHAnsi" w:cstheme="minorHAnsi"/>
                <w:sz w:val="20"/>
                <w:szCs w:val="20"/>
              </w:rPr>
            </w:pPr>
          </w:p>
          <w:p w14:paraId="3E96F700" w14:textId="77777777" w:rsidR="001F1FB5" w:rsidRDefault="00B1524E"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 xml:space="preserve">For underspends in Police Officer Pay </w:t>
            </w:r>
            <w:r w:rsidR="00CC09C1" w:rsidRPr="00CC09C1">
              <w:rPr>
                <w:rFonts w:asciiTheme="minorHAnsi" w:eastAsia="Times New Roman" w:hAnsiTheme="minorHAnsi" w:cstheme="minorHAnsi"/>
                <w:sz w:val="20"/>
                <w:szCs w:val="20"/>
              </w:rPr>
              <w:t>to be earmarked to support officer strength in the future.</w:t>
            </w:r>
          </w:p>
          <w:p w14:paraId="46F16428" w14:textId="54B1A86B" w:rsidR="00CC09C1" w:rsidRPr="00CC09C1" w:rsidRDefault="00CC09C1" w:rsidP="001F1FB5">
            <w:pPr>
              <w:spacing w:after="0" w:line="240" w:lineRule="auto"/>
              <w:rPr>
                <w:rFonts w:asciiTheme="minorHAnsi" w:eastAsia="Times New Roman" w:hAnsiTheme="minorHAnsi" w:cstheme="minorHAnsi"/>
                <w:sz w:val="20"/>
                <w:szCs w:val="20"/>
              </w:rPr>
            </w:pPr>
          </w:p>
        </w:tc>
        <w:tc>
          <w:tcPr>
            <w:tcW w:w="2118" w:type="dxa"/>
          </w:tcPr>
          <w:p w14:paraId="359C3FA1"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4641C8F2"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As required – typically informed by approved business cases for bids on the Fund.</w:t>
            </w:r>
          </w:p>
        </w:tc>
        <w:tc>
          <w:tcPr>
            <w:tcW w:w="1420" w:type="dxa"/>
          </w:tcPr>
          <w:p w14:paraId="64C6D45D"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3ACDD591"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Will vary according to outturn and annual risk assessment.</w:t>
            </w:r>
          </w:p>
          <w:p w14:paraId="0586F718" w14:textId="77777777" w:rsidR="001F1FB5" w:rsidRPr="00CC09C1" w:rsidRDefault="001F1FB5" w:rsidP="001F1FB5">
            <w:pPr>
              <w:spacing w:after="0" w:line="240" w:lineRule="auto"/>
              <w:rPr>
                <w:rFonts w:asciiTheme="minorHAnsi" w:eastAsia="Times New Roman" w:hAnsiTheme="minorHAnsi" w:cstheme="minorHAnsi"/>
                <w:sz w:val="20"/>
                <w:szCs w:val="20"/>
              </w:rPr>
            </w:pPr>
          </w:p>
        </w:tc>
        <w:tc>
          <w:tcPr>
            <w:tcW w:w="4494" w:type="dxa"/>
          </w:tcPr>
          <w:p w14:paraId="32ADBB70"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4DFC8636" w14:textId="294C2869"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The reserve is held to provide an opportunity for underspends to be ring</w:t>
            </w:r>
            <w:r w:rsidR="00CC09C1" w:rsidRPr="00CC09C1">
              <w:rPr>
                <w:rFonts w:asciiTheme="minorHAnsi" w:eastAsia="Times New Roman" w:hAnsiTheme="minorHAnsi" w:cstheme="minorHAnsi"/>
                <w:sz w:val="20"/>
                <w:szCs w:val="20"/>
              </w:rPr>
              <w:t>-</w:t>
            </w:r>
            <w:r w:rsidRPr="00CC09C1">
              <w:rPr>
                <w:rFonts w:asciiTheme="minorHAnsi" w:eastAsia="Times New Roman" w:hAnsiTheme="minorHAnsi" w:cstheme="minorHAnsi"/>
                <w:sz w:val="20"/>
                <w:szCs w:val="20"/>
              </w:rPr>
              <w:t>fenced and retained on funding neighbourhood resources and activities.</w:t>
            </w:r>
          </w:p>
          <w:p w14:paraId="020F3CC6"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1D9B25F0" w14:textId="69B7113E"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The reserve also provides an opportunity to overrecruit PCSOs or to use on other neighbourhood associated activities or requirements.</w:t>
            </w:r>
          </w:p>
          <w:p w14:paraId="2F1D7435" w14:textId="17FFD253" w:rsidR="00CC09C1" w:rsidRPr="00CC09C1" w:rsidRDefault="00CC09C1" w:rsidP="001F1FB5">
            <w:pPr>
              <w:spacing w:after="0" w:line="240" w:lineRule="auto"/>
              <w:rPr>
                <w:rFonts w:asciiTheme="minorHAnsi" w:eastAsia="Times New Roman" w:hAnsiTheme="minorHAnsi" w:cstheme="minorHAnsi"/>
                <w:sz w:val="20"/>
                <w:szCs w:val="20"/>
              </w:rPr>
            </w:pPr>
          </w:p>
          <w:p w14:paraId="4C346F0D" w14:textId="43959E0F" w:rsidR="00CC09C1" w:rsidRPr="00CC09C1" w:rsidRDefault="00CC09C1"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If Police Officer funds were not earmarked</w:t>
            </w:r>
            <w:r>
              <w:rPr>
                <w:rFonts w:asciiTheme="minorHAnsi" w:eastAsia="Times New Roman" w:hAnsiTheme="minorHAnsi" w:cstheme="minorHAnsi"/>
                <w:sz w:val="20"/>
                <w:szCs w:val="20"/>
              </w:rPr>
              <w:t>,</w:t>
            </w:r>
            <w:r w:rsidRPr="00CC09C1">
              <w:rPr>
                <w:rFonts w:asciiTheme="minorHAnsi" w:eastAsia="Times New Roman" w:hAnsiTheme="minorHAnsi" w:cstheme="minorHAnsi"/>
                <w:sz w:val="20"/>
                <w:szCs w:val="20"/>
              </w:rPr>
              <w:t xml:space="preserve"> it is possible that officer numbers would not be able to be maintained.</w:t>
            </w:r>
          </w:p>
          <w:p w14:paraId="640B2FE5"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1C394E84" w14:textId="77777777" w:rsidR="001F1FB5" w:rsidRPr="00CC09C1" w:rsidRDefault="001F1FB5" w:rsidP="001F1FB5">
            <w:pPr>
              <w:spacing w:after="0" w:line="240" w:lineRule="auto"/>
              <w:rPr>
                <w:rFonts w:asciiTheme="minorHAnsi" w:eastAsia="Times New Roman" w:hAnsiTheme="minorHAnsi" w:cstheme="minorHAnsi"/>
                <w:sz w:val="20"/>
                <w:szCs w:val="20"/>
              </w:rPr>
            </w:pPr>
          </w:p>
        </w:tc>
        <w:tc>
          <w:tcPr>
            <w:tcW w:w="1332" w:type="dxa"/>
          </w:tcPr>
          <w:p w14:paraId="6B0C00E1"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3C3F8CD7" w14:textId="468AB46B"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PFCC, on advice from PFCC CFO</w:t>
            </w:r>
          </w:p>
        </w:tc>
        <w:tc>
          <w:tcPr>
            <w:tcW w:w="990" w:type="dxa"/>
          </w:tcPr>
          <w:p w14:paraId="5D85EE20" w14:textId="4AB27BAE" w:rsidR="001F1FB5" w:rsidRPr="00CC09C1" w:rsidRDefault="001F1FB5" w:rsidP="001F1FB5">
            <w:pPr>
              <w:spacing w:after="0" w:line="240" w:lineRule="auto"/>
              <w:rPr>
                <w:rFonts w:asciiTheme="minorHAnsi" w:eastAsia="Times New Roman" w:hAnsiTheme="minorHAnsi" w:cstheme="minorHAnsi"/>
                <w:sz w:val="20"/>
                <w:szCs w:val="20"/>
              </w:rPr>
            </w:pPr>
          </w:p>
          <w:p w14:paraId="760D2919"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Annual</w:t>
            </w:r>
          </w:p>
        </w:tc>
      </w:tr>
      <w:tr w:rsidR="001F1FB5" w:rsidRPr="001F1FB5" w14:paraId="24C076FA" w14:textId="77777777" w:rsidTr="00655DA1">
        <w:trPr>
          <w:cantSplit/>
          <w:jc w:val="center"/>
        </w:trPr>
        <w:tc>
          <w:tcPr>
            <w:tcW w:w="1838" w:type="dxa"/>
          </w:tcPr>
          <w:p w14:paraId="6A3E4068" w14:textId="77777777" w:rsidR="001F1FB5" w:rsidRPr="00CC09C1" w:rsidRDefault="001F1FB5" w:rsidP="001F1FB5">
            <w:pPr>
              <w:spacing w:after="0" w:line="240" w:lineRule="auto"/>
              <w:rPr>
                <w:rFonts w:asciiTheme="minorHAnsi" w:eastAsia="Times New Roman" w:hAnsiTheme="minorHAnsi" w:cstheme="minorHAnsi"/>
                <w:b/>
                <w:bCs/>
                <w:sz w:val="20"/>
                <w:szCs w:val="20"/>
              </w:rPr>
            </w:pPr>
          </w:p>
          <w:p w14:paraId="7139C1E6" w14:textId="43363988" w:rsidR="001F1FB5" w:rsidRPr="00CC09C1" w:rsidRDefault="001F1FB5" w:rsidP="001F1FB5">
            <w:pPr>
              <w:spacing w:after="0" w:line="240" w:lineRule="auto"/>
              <w:rPr>
                <w:rFonts w:asciiTheme="minorHAnsi" w:eastAsia="Times New Roman" w:hAnsiTheme="minorHAnsi" w:cstheme="minorHAnsi"/>
                <w:b/>
                <w:bCs/>
                <w:sz w:val="20"/>
                <w:szCs w:val="20"/>
              </w:rPr>
            </w:pPr>
            <w:r w:rsidRPr="00CC09C1">
              <w:rPr>
                <w:rFonts w:asciiTheme="minorHAnsi" w:eastAsia="Times New Roman" w:hAnsiTheme="minorHAnsi" w:cstheme="minorHAnsi"/>
                <w:b/>
                <w:bCs/>
                <w:sz w:val="20"/>
                <w:szCs w:val="20"/>
              </w:rPr>
              <w:t>EARMARKED - COLLABORATION</w:t>
            </w:r>
          </w:p>
        </w:tc>
        <w:tc>
          <w:tcPr>
            <w:tcW w:w="2120" w:type="dxa"/>
          </w:tcPr>
          <w:p w14:paraId="4FD098E1"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1085C130"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 xml:space="preserve">Transfers in relate to underspend on regional collaboration. Transfers out represent contribution towards regional decisions </w:t>
            </w:r>
          </w:p>
        </w:tc>
        <w:tc>
          <w:tcPr>
            <w:tcW w:w="2118" w:type="dxa"/>
          </w:tcPr>
          <w:p w14:paraId="765112EB"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1F4FC253"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 xml:space="preserve">Upon requirement on decision made to contribute towards projects in relation to regional collaborations. </w:t>
            </w:r>
          </w:p>
          <w:p w14:paraId="51DEB4DB"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67CD1311"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Decisions made on East Midlands PFCC and CC Boards</w:t>
            </w:r>
          </w:p>
          <w:p w14:paraId="41616764" w14:textId="77777777" w:rsidR="001F1FB5" w:rsidRPr="00CC09C1" w:rsidRDefault="001F1FB5" w:rsidP="001F1FB5">
            <w:pPr>
              <w:spacing w:after="0" w:line="240" w:lineRule="auto"/>
              <w:rPr>
                <w:rFonts w:asciiTheme="minorHAnsi" w:eastAsia="Times New Roman" w:hAnsiTheme="minorHAnsi" w:cstheme="minorHAnsi"/>
                <w:sz w:val="20"/>
                <w:szCs w:val="20"/>
              </w:rPr>
            </w:pPr>
          </w:p>
        </w:tc>
        <w:tc>
          <w:tcPr>
            <w:tcW w:w="1420" w:type="dxa"/>
          </w:tcPr>
          <w:p w14:paraId="50C8369A"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2BE39288"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Will vary according to usage and annual risk assessment.</w:t>
            </w:r>
          </w:p>
        </w:tc>
        <w:tc>
          <w:tcPr>
            <w:tcW w:w="4494" w:type="dxa"/>
          </w:tcPr>
          <w:p w14:paraId="425330C6"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0C830402"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If funds were not maintained, there would be a risk of regional projects not being supported.</w:t>
            </w:r>
          </w:p>
        </w:tc>
        <w:tc>
          <w:tcPr>
            <w:tcW w:w="1332" w:type="dxa"/>
          </w:tcPr>
          <w:p w14:paraId="5238504D"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56D8B446" w14:textId="556D753C"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PFCC, on advice from PFCC CFO</w:t>
            </w:r>
          </w:p>
        </w:tc>
        <w:tc>
          <w:tcPr>
            <w:tcW w:w="990" w:type="dxa"/>
          </w:tcPr>
          <w:p w14:paraId="193D7FAB" w14:textId="6D0AEAA5" w:rsidR="001F1FB5" w:rsidRPr="00CC09C1" w:rsidRDefault="001F1FB5" w:rsidP="001F1FB5">
            <w:pPr>
              <w:spacing w:after="0" w:line="240" w:lineRule="auto"/>
              <w:rPr>
                <w:rFonts w:asciiTheme="minorHAnsi" w:eastAsia="Times New Roman" w:hAnsiTheme="minorHAnsi" w:cstheme="minorHAnsi"/>
                <w:sz w:val="20"/>
                <w:szCs w:val="20"/>
              </w:rPr>
            </w:pPr>
          </w:p>
          <w:p w14:paraId="67578CC6" w14:textId="77777777" w:rsidR="001F1FB5" w:rsidRPr="00CC09C1" w:rsidRDefault="001F1FB5" w:rsidP="001F1FB5">
            <w:pPr>
              <w:spacing w:after="0" w:line="240" w:lineRule="auto"/>
              <w:rPr>
                <w:rFonts w:asciiTheme="minorHAnsi" w:eastAsia="Times New Roman" w:hAnsiTheme="minorHAnsi" w:cstheme="minorHAnsi"/>
                <w:caps/>
                <w:sz w:val="20"/>
                <w:szCs w:val="20"/>
              </w:rPr>
            </w:pPr>
            <w:r w:rsidRPr="00CC09C1">
              <w:rPr>
                <w:rFonts w:asciiTheme="minorHAnsi" w:eastAsia="Times New Roman" w:hAnsiTheme="minorHAnsi" w:cstheme="minorHAnsi"/>
                <w:sz w:val="20"/>
                <w:szCs w:val="20"/>
              </w:rPr>
              <w:t>Annual</w:t>
            </w:r>
          </w:p>
        </w:tc>
      </w:tr>
      <w:tr w:rsidR="00655DA1" w:rsidRPr="001F1FB5" w14:paraId="0688831F" w14:textId="77777777" w:rsidTr="004B5BF9">
        <w:trPr>
          <w:cantSplit/>
          <w:jc w:val="center"/>
        </w:trPr>
        <w:tc>
          <w:tcPr>
            <w:tcW w:w="1838" w:type="dxa"/>
          </w:tcPr>
          <w:p w14:paraId="7255E9AA" w14:textId="130656DB" w:rsidR="00655DA1" w:rsidRPr="001F1FB5" w:rsidRDefault="00655DA1" w:rsidP="004B5BF9">
            <w:pPr>
              <w:spacing w:after="0" w:line="240" w:lineRule="auto"/>
              <w:rPr>
                <w:rFonts w:asciiTheme="minorHAnsi" w:eastAsia="Times New Roman" w:hAnsiTheme="minorHAnsi" w:cstheme="minorHAnsi"/>
                <w:b/>
                <w:bCs/>
                <w:sz w:val="20"/>
                <w:szCs w:val="20"/>
              </w:rPr>
            </w:pPr>
            <w:r w:rsidRPr="00CC09C1">
              <w:rPr>
                <w:rFonts w:asciiTheme="minorHAnsi" w:eastAsia="Times New Roman" w:hAnsiTheme="minorHAnsi" w:cstheme="minorHAnsi"/>
                <w:b/>
                <w:bCs/>
                <w:sz w:val="20"/>
                <w:szCs w:val="20"/>
              </w:rPr>
              <w:t xml:space="preserve">EARMARKED - </w:t>
            </w:r>
            <w:r>
              <w:rPr>
                <w:rFonts w:asciiTheme="minorHAnsi" w:eastAsia="Times New Roman" w:hAnsiTheme="minorHAnsi" w:cstheme="minorHAnsi"/>
                <w:b/>
                <w:bCs/>
                <w:sz w:val="20"/>
                <w:szCs w:val="20"/>
              </w:rPr>
              <w:t>CAPITAL</w:t>
            </w:r>
          </w:p>
        </w:tc>
        <w:tc>
          <w:tcPr>
            <w:tcW w:w="2120" w:type="dxa"/>
          </w:tcPr>
          <w:p w14:paraId="09BD6E1E" w14:textId="77777777" w:rsidR="00655DA1" w:rsidRDefault="00655DA1" w:rsidP="004B5BF9">
            <w:pPr>
              <w:spacing w:after="0" w:line="240" w:lineRule="auto"/>
              <w:rPr>
                <w:rFonts w:asciiTheme="minorHAnsi" w:eastAsia="Times New Roman" w:hAnsiTheme="minorHAnsi" w:cstheme="minorHAnsi"/>
                <w:sz w:val="20"/>
                <w:szCs w:val="20"/>
              </w:rPr>
            </w:pPr>
          </w:p>
          <w:p w14:paraId="7CCB8CF4" w14:textId="4FE47085" w:rsidR="00655DA1" w:rsidRDefault="00655DA1" w:rsidP="004B5BF9">
            <w:pPr>
              <w:spacing w:after="0" w:line="240" w:lineRule="auto"/>
              <w:rPr>
                <w:rFonts w:asciiTheme="minorHAnsi" w:eastAsia="Times New Roman" w:hAnsiTheme="minorHAnsi" w:cstheme="minorHAnsi"/>
                <w:sz w:val="20"/>
                <w:szCs w:val="20"/>
              </w:rPr>
            </w:pPr>
            <w:r w:rsidRPr="00655DA1">
              <w:rPr>
                <w:rFonts w:asciiTheme="minorHAnsi" w:eastAsia="Times New Roman" w:hAnsiTheme="minorHAnsi" w:cstheme="minorHAnsi"/>
                <w:sz w:val="20"/>
                <w:szCs w:val="20"/>
              </w:rPr>
              <w:t>To hold capital financing underspends or disposal proceeds.  These are to be used to fund the capital programme and minimise borrowing</w:t>
            </w:r>
            <w:r>
              <w:rPr>
                <w:rFonts w:asciiTheme="minorHAnsi" w:eastAsia="Times New Roman" w:hAnsiTheme="minorHAnsi" w:cstheme="minorHAnsi"/>
                <w:sz w:val="20"/>
                <w:szCs w:val="20"/>
              </w:rPr>
              <w:t>.</w:t>
            </w:r>
          </w:p>
          <w:p w14:paraId="64F20735" w14:textId="074BAA29" w:rsidR="00655DA1" w:rsidRPr="001F1FB5" w:rsidRDefault="00655DA1" w:rsidP="004B5BF9">
            <w:pPr>
              <w:spacing w:after="0" w:line="240" w:lineRule="auto"/>
              <w:rPr>
                <w:rFonts w:asciiTheme="minorHAnsi" w:eastAsia="Times New Roman" w:hAnsiTheme="minorHAnsi" w:cstheme="minorHAnsi"/>
                <w:sz w:val="20"/>
                <w:szCs w:val="20"/>
              </w:rPr>
            </w:pPr>
          </w:p>
        </w:tc>
        <w:tc>
          <w:tcPr>
            <w:tcW w:w="2118" w:type="dxa"/>
          </w:tcPr>
          <w:p w14:paraId="7612F240" w14:textId="77777777" w:rsidR="00655DA1" w:rsidRDefault="00655DA1" w:rsidP="004B5BF9">
            <w:pPr>
              <w:spacing w:after="0" w:line="240" w:lineRule="auto"/>
              <w:rPr>
                <w:rFonts w:asciiTheme="minorHAnsi" w:eastAsia="Times New Roman" w:hAnsiTheme="minorHAnsi" w:cstheme="minorHAnsi"/>
                <w:sz w:val="20"/>
                <w:szCs w:val="20"/>
              </w:rPr>
            </w:pPr>
          </w:p>
          <w:p w14:paraId="340B5E30" w14:textId="20E7C23A" w:rsidR="00655DA1" w:rsidRPr="001F1FB5" w:rsidRDefault="00655DA1" w:rsidP="004B5BF9">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Released to fund capital projects where deemed the most cost efficient way to do so, in line with the Treasury Management Strategy.</w:t>
            </w:r>
          </w:p>
        </w:tc>
        <w:tc>
          <w:tcPr>
            <w:tcW w:w="1420" w:type="dxa"/>
          </w:tcPr>
          <w:p w14:paraId="32311B0E" w14:textId="77777777" w:rsidR="00655DA1" w:rsidRDefault="00655DA1" w:rsidP="00655DA1">
            <w:pPr>
              <w:spacing w:after="0" w:line="240" w:lineRule="auto"/>
              <w:rPr>
                <w:rFonts w:asciiTheme="minorHAnsi" w:eastAsia="Times New Roman" w:hAnsiTheme="minorHAnsi" w:cstheme="minorHAnsi"/>
                <w:sz w:val="20"/>
                <w:szCs w:val="20"/>
              </w:rPr>
            </w:pPr>
          </w:p>
          <w:p w14:paraId="3506E753" w14:textId="1DD93E20" w:rsidR="00655DA1" w:rsidRPr="001F1FB5" w:rsidRDefault="00655DA1" w:rsidP="00655DA1">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Will vary according to </w:t>
            </w:r>
            <w:r>
              <w:rPr>
                <w:rFonts w:asciiTheme="minorHAnsi" w:eastAsia="Times New Roman" w:hAnsiTheme="minorHAnsi" w:cstheme="minorHAnsi"/>
                <w:sz w:val="20"/>
                <w:szCs w:val="20"/>
              </w:rPr>
              <w:t xml:space="preserve">outturn, </w:t>
            </w:r>
            <w:r w:rsidRPr="001F1FB5">
              <w:rPr>
                <w:rFonts w:asciiTheme="minorHAnsi" w:eastAsia="Times New Roman" w:hAnsiTheme="minorHAnsi" w:cstheme="minorHAnsi"/>
                <w:sz w:val="20"/>
                <w:szCs w:val="20"/>
              </w:rPr>
              <w:t>usage and annual risk assessment.</w:t>
            </w:r>
          </w:p>
          <w:p w14:paraId="33291A6D" w14:textId="77777777" w:rsidR="00655DA1" w:rsidRPr="001F1FB5" w:rsidRDefault="00655DA1" w:rsidP="004B5BF9">
            <w:pPr>
              <w:spacing w:after="0" w:line="240" w:lineRule="auto"/>
              <w:rPr>
                <w:rFonts w:asciiTheme="minorHAnsi" w:eastAsia="Times New Roman" w:hAnsiTheme="minorHAnsi" w:cstheme="minorHAnsi"/>
                <w:sz w:val="20"/>
                <w:szCs w:val="20"/>
              </w:rPr>
            </w:pPr>
          </w:p>
        </w:tc>
        <w:tc>
          <w:tcPr>
            <w:tcW w:w="4494" w:type="dxa"/>
          </w:tcPr>
          <w:p w14:paraId="5352782D" w14:textId="77777777" w:rsidR="00655DA1" w:rsidRDefault="00655DA1" w:rsidP="004B5BF9">
            <w:pPr>
              <w:spacing w:after="0" w:line="240" w:lineRule="auto"/>
              <w:rPr>
                <w:rFonts w:asciiTheme="minorHAnsi" w:eastAsia="Times New Roman" w:hAnsiTheme="minorHAnsi" w:cstheme="minorHAnsi"/>
                <w:sz w:val="20"/>
                <w:szCs w:val="20"/>
              </w:rPr>
            </w:pPr>
          </w:p>
          <w:p w14:paraId="5A46FC84" w14:textId="053B69B2" w:rsidR="00655DA1" w:rsidRDefault="00655DA1" w:rsidP="004B5BF9">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If unavailable, the cost of financing capital expenditure could adversely impact revenue budgets into the future.</w:t>
            </w:r>
          </w:p>
          <w:p w14:paraId="1D4BC40E" w14:textId="77777777" w:rsidR="00655DA1" w:rsidRDefault="00655DA1" w:rsidP="004B5BF9">
            <w:pPr>
              <w:spacing w:after="0" w:line="240" w:lineRule="auto"/>
              <w:rPr>
                <w:rFonts w:asciiTheme="minorHAnsi" w:eastAsia="Times New Roman" w:hAnsiTheme="minorHAnsi" w:cstheme="minorHAnsi"/>
                <w:sz w:val="20"/>
                <w:szCs w:val="20"/>
              </w:rPr>
            </w:pPr>
          </w:p>
          <w:p w14:paraId="4AE789E9" w14:textId="53057D9D" w:rsidR="00655DA1" w:rsidRPr="001F1FB5" w:rsidRDefault="00655DA1" w:rsidP="004B5BF9">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Capital projects may be deemed unaffordable.</w:t>
            </w:r>
          </w:p>
        </w:tc>
        <w:tc>
          <w:tcPr>
            <w:tcW w:w="1332" w:type="dxa"/>
          </w:tcPr>
          <w:p w14:paraId="22DCA1E4" w14:textId="77777777" w:rsidR="00655DA1" w:rsidRDefault="00655DA1" w:rsidP="004B5BF9">
            <w:pPr>
              <w:spacing w:after="0" w:line="240" w:lineRule="auto"/>
              <w:rPr>
                <w:rFonts w:asciiTheme="minorHAnsi" w:eastAsia="Times New Roman" w:hAnsiTheme="minorHAnsi" w:cstheme="minorHAnsi"/>
                <w:sz w:val="20"/>
                <w:szCs w:val="20"/>
              </w:rPr>
            </w:pPr>
          </w:p>
          <w:p w14:paraId="2FA27FF8" w14:textId="68691878" w:rsidR="00655DA1" w:rsidRPr="001F1FB5" w:rsidRDefault="00655DA1" w:rsidP="004B5BF9">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PFCC, on advice from PFCC CFO</w:t>
            </w:r>
          </w:p>
        </w:tc>
        <w:tc>
          <w:tcPr>
            <w:tcW w:w="990" w:type="dxa"/>
          </w:tcPr>
          <w:p w14:paraId="626F71AE" w14:textId="77777777" w:rsidR="00655DA1" w:rsidRDefault="00655DA1" w:rsidP="004B5BF9">
            <w:pPr>
              <w:spacing w:after="0" w:line="240" w:lineRule="auto"/>
              <w:rPr>
                <w:rFonts w:asciiTheme="minorHAnsi" w:eastAsia="Times New Roman" w:hAnsiTheme="minorHAnsi" w:cstheme="minorHAnsi"/>
                <w:sz w:val="20"/>
                <w:szCs w:val="20"/>
              </w:rPr>
            </w:pPr>
          </w:p>
          <w:p w14:paraId="08141C26" w14:textId="54C69C85" w:rsidR="00655DA1" w:rsidRPr="001F1FB5" w:rsidRDefault="00655DA1" w:rsidP="004B5BF9">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Annual</w:t>
            </w:r>
          </w:p>
        </w:tc>
      </w:tr>
      <w:tr w:rsidR="00655DA1" w:rsidRPr="001F1FB5" w14:paraId="16104208" w14:textId="77777777" w:rsidTr="009F21DB">
        <w:trPr>
          <w:cantSplit/>
          <w:jc w:val="center"/>
        </w:trPr>
        <w:tc>
          <w:tcPr>
            <w:tcW w:w="1838" w:type="dxa"/>
          </w:tcPr>
          <w:p w14:paraId="06A10CB8" w14:textId="77777777" w:rsidR="00655DA1" w:rsidRPr="001F1FB5" w:rsidRDefault="00655DA1" w:rsidP="009F21DB">
            <w:pPr>
              <w:spacing w:after="0" w:line="240" w:lineRule="auto"/>
              <w:rPr>
                <w:rFonts w:asciiTheme="minorHAnsi" w:eastAsia="Times New Roman" w:hAnsiTheme="minorHAnsi" w:cstheme="minorHAnsi"/>
                <w:b/>
                <w:bCs/>
                <w:sz w:val="20"/>
                <w:szCs w:val="20"/>
              </w:rPr>
            </w:pPr>
          </w:p>
          <w:p w14:paraId="6B719F52" w14:textId="77777777" w:rsidR="00655DA1" w:rsidRPr="001F1FB5" w:rsidRDefault="00655DA1" w:rsidP="009F21DB">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EARMARKED - DEVELOPER CONTRIBUTIONS (S106)</w:t>
            </w:r>
          </w:p>
        </w:tc>
        <w:tc>
          <w:tcPr>
            <w:tcW w:w="2120" w:type="dxa"/>
          </w:tcPr>
          <w:p w14:paraId="00F9FAA3" w14:textId="77777777" w:rsidR="00655DA1" w:rsidRPr="001F1FB5" w:rsidRDefault="00655DA1" w:rsidP="009F21DB">
            <w:pPr>
              <w:spacing w:after="0" w:line="240" w:lineRule="auto"/>
              <w:rPr>
                <w:rFonts w:asciiTheme="minorHAnsi" w:eastAsia="Times New Roman" w:hAnsiTheme="minorHAnsi" w:cstheme="minorHAnsi"/>
                <w:sz w:val="20"/>
                <w:szCs w:val="20"/>
              </w:rPr>
            </w:pPr>
          </w:p>
          <w:p w14:paraId="1110FDC8" w14:textId="77777777" w:rsidR="00655DA1" w:rsidRPr="001F1FB5" w:rsidRDefault="00655DA1" w:rsidP="009F21DB">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To meet the additional cost of operational requirements </w:t>
            </w:r>
          </w:p>
        </w:tc>
        <w:tc>
          <w:tcPr>
            <w:tcW w:w="2118" w:type="dxa"/>
          </w:tcPr>
          <w:p w14:paraId="53E4AED5" w14:textId="77777777" w:rsidR="00655DA1" w:rsidRPr="001F1FB5" w:rsidRDefault="00655DA1" w:rsidP="009F21DB">
            <w:pPr>
              <w:spacing w:after="0" w:line="240" w:lineRule="auto"/>
              <w:rPr>
                <w:rFonts w:asciiTheme="minorHAnsi" w:eastAsia="Times New Roman" w:hAnsiTheme="minorHAnsi" w:cstheme="minorHAnsi"/>
                <w:sz w:val="20"/>
                <w:szCs w:val="20"/>
              </w:rPr>
            </w:pPr>
          </w:p>
          <w:p w14:paraId="07140A2C" w14:textId="77777777" w:rsidR="00655DA1" w:rsidRPr="001F1FB5" w:rsidRDefault="00655DA1" w:rsidP="009F21DB">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access the funds a costed request has to be provided which is consistent with the conditions of the developer contribution.</w:t>
            </w:r>
          </w:p>
        </w:tc>
        <w:tc>
          <w:tcPr>
            <w:tcW w:w="1420" w:type="dxa"/>
          </w:tcPr>
          <w:p w14:paraId="26D6DB41" w14:textId="77777777" w:rsidR="00655DA1" w:rsidRPr="001F1FB5" w:rsidRDefault="00655DA1" w:rsidP="009F21DB">
            <w:pPr>
              <w:spacing w:after="0" w:line="240" w:lineRule="auto"/>
              <w:rPr>
                <w:rFonts w:asciiTheme="minorHAnsi" w:eastAsia="Times New Roman" w:hAnsiTheme="minorHAnsi" w:cstheme="minorHAnsi"/>
                <w:sz w:val="20"/>
                <w:szCs w:val="20"/>
              </w:rPr>
            </w:pPr>
          </w:p>
          <w:p w14:paraId="1BA618F8" w14:textId="77777777" w:rsidR="00655DA1" w:rsidRPr="001F1FB5" w:rsidRDefault="00655DA1" w:rsidP="009F21DB">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Will vary according to usage and annual risk assessment.</w:t>
            </w:r>
          </w:p>
          <w:p w14:paraId="4E189917" w14:textId="77777777" w:rsidR="00655DA1" w:rsidRPr="001F1FB5" w:rsidRDefault="00655DA1" w:rsidP="009F21DB">
            <w:pPr>
              <w:spacing w:after="0" w:line="240" w:lineRule="auto"/>
              <w:rPr>
                <w:rFonts w:asciiTheme="minorHAnsi" w:eastAsia="Times New Roman" w:hAnsiTheme="minorHAnsi" w:cstheme="minorHAnsi"/>
                <w:sz w:val="20"/>
                <w:szCs w:val="20"/>
              </w:rPr>
            </w:pPr>
          </w:p>
          <w:p w14:paraId="20B5EDA3" w14:textId="77777777" w:rsidR="00655DA1" w:rsidRPr="001F1FB5" w:rsidRDefault="00655DA1" w:rsidP="009F21DB">
            <w:pPr>
              <w:spacing w:after="0" w:line="240" w:lineRule="auto"/>
              <w:rPr>
                <w:rFonts w:asciiTheme="minorHAnsi" w:eastAsia="Times New Roman" w:hAnsiTheme="minorHAnsi" w:cstheme="minorHAnsi"/>
                <w:sz w:val="20"/>
                <w:szCs w:val="20"/>
              </w:rPr>
            </w:pPr>
          </w:p>
        </w:tc>
        <w:tc>
          <w:tcPr>
            <w:tcW w:w="4494" w:type="dxa"/>
          </w:tcPr>
          <w:p w14:paraId="7E6A375D" w14:textId="77777777" w:rsidR="00655DA1" w:rsidRPr="001F1FB5" w:rsidRDefault="00655DA1" w:rsidP="009F21DB">
            <w:pPr>
              <w:spacing w:after="0" w:line="240" w:lineRule="auto"/>
              <w:rPr>
                <w:rFonts w:asciiTheme="minorHAnsi" w:eastAsia="Times New Roman" w:hAnsiTheme="minorHAnsi" w:cstheme="minorHAnsi"/>
                <w:sz w:val="20"/>
                <w:szCs w:val="20"/>
              </w:rPr>
            </w:pPr>
          </w:p>
          <w:p w14:paraId="4BDAF0FB" w14:textId="77777777" w:rsidR="00655DA1" w:rsidRPr="001F1FB5" w:rsidRDefault="00655DA1" w:rsidP="009F21DB">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The reserve is held for funds allocated to the PFCC from developers towards the cost of infrastructure developments for Policing.</w:t>
            </w:r>
          </w:p>
          <w:p w14:paraId="295BB350" w14:textId="77777777" w:rsidR="00655DA1" w:rsidRPr="001F1FB5" w:rsidRDefault="00655DA1" w:rsidP="009F21DB">
            <w:pPr>
              <w:spacing w:after="0" w:line="240" w:lineRule="auto"/>
              <w:rPr>
                <w:rFonts w:asciiTheme="minorHAnsi" w:eastAsia="Times New Roman" w:hAnsiTheme="minorHAnsi" w:cstheme="minorHAnsi"/>
                <w:sz w:val="20"/>
                <w:szCs w:val="20"/>
              </w:rPr>
            </w:pPr>
          </w:p>
          <w:p w14:paraId="3DFACDA4" w14:textId="77777777" w:rsidR="00655DA1" w:rsidRDefault="00655DA1" w:rsidP="009F21DB">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If funds were not provided, the risk is that the additional costs would have to be factored into the capital programme. </w:t>
            </w:r>
          </w:p>
          <w:p w14:paraId="59AFF4A7" w14:textId="77777777" w:rsidR="00655DA1" w:rsidRPr="001F1FB5" w:rsidRDefault="00655DA1" w:rsidP="009F21DB">
            <w:pPr>
              <w:spacing w:after="0" w:line="240" w:lineRule="auto"/>
              <w:rPr>
                <w:rFonts w:asciiTheme="minorHAnsi" w:eastAsia="Times New Roman" w:hAnsiTheme="minorHAnsi" w:cstheme="minorHAnsi"/>
                <w:sz w:val="20"/>
                <w:szCs w:val="20"/>
              </w:rPr>
            </w:pPr>
          </w:p>
        </w:tc>
        <w:tc>
          <w:tcPr>
            <w:tcW w:w="1332" w:type="dxa"/>
          </w:tcPr>
          <w:p w14:paraId="4E498FF8" w14:textId="77777777" w:rsidR="00655DA1" w:rsidRPr="001F1FB5" w:rsidRDefault="00655DA1" w:rsidP="009F21DB">
            <w:pPr>
              <w:spacing w:after="0" w:line="240" w:lineRule="auto"/>
              <w:rPr>
                <w:rFonts w:asciiTheme="minorHAnsi" w:eastAsia="Times New Roman" w:hAnsiTheme="minorHAnsi" w:cstheme="minorHAnsi"/>
                <w:sz w:val="20"/>
                <w:szCs w:val="20"/>
              </w:rPr>
            </w:pPr>
          </w:p>
          <w:p w14:paraId="77250D1C" w14:textId="77777777" w:rsidR="00655DA1" w:rsidRPr="001F1FB5" w:rsidRDefault="00655DA1" w:rsidP="009F21DB">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PFCC, on advice from PFCC CFO</w:t>
            </w:r>
          </w:p>
        </w:tc>
        <w:tc>
          <w:tcPr>
            <w:tcW w:w="990" w:type="dxa"/>
          </w:tcPr>
          <w:p w14:paraId="6374DA37" w14:textId="77777777" w:rsidR="00655DA1" w:rsidRPr="001F1FB5" w:rsidRDefault="00655DA1" w:rsidP="009F21DB">
            <w:pPr>
              <w:spacing w:after="0" w:line="240" w:lineRule="auto"/>
              <w:rPr>
                <w:rFonts w:asciiTheme="minorHAnsi" w:eastAsia="Times New Roman" w:hAnsiTheme="minorHAnsi" w:cstheme="minorHAnsi"/>
                <w:sz w:val="20"/>
                <w:szCs w:val="20"/>
              </w:rPr>
            </w:pPr>
          </w:p>
          <w:p w14:paraId="14E45151" w14:textId="77777777" w:rsidR="00655DA1" w:rsidRPr="001F1FB5" w:rsidRDefault="00655DA1" w:rsidP="009F21DB">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Annual</w:t>
            </w:r>
          </w:p>
        </w:tc>
      </w:tr>
    </w:tbl>
    <w:p w14:paraId="06A10FA5" w14:textId="77777777" w:rsidR="00DC1AAF" w:rsidRPr="001F1FB5" w:rsidRDefault="00DC1AAF" w:rsidP="00DC1AAF">
      <w:pPr>
        <w:spacing w:after="0" w:line="240" w:lineRule="auto"/>
        <w:rPr>
          <w:rFonts w:asciiTheme="minorHAnsi" w:eastAsia="Times New Roman" w:hAnsiTheme="minorHAnsi" w:cstheme="minorHAnsi"/>
          <w:szCs w:val="24"/>
          <w:highlight w:val="yellow"/>
        </w:rPr>
      </w:pPr>
    </w:p>
    <w:p w14:paraId="29DDD4BB" w14:textId="77777777" w:rsidR="00CC09C1" w:rsidRDefault="00CC09C1" w:rsidP="00CC09C1">
      <w:pPr>
        <w:spacing w:after="0" w:line="240" w:lineRule="auto"/>
        <w:rPr>
          <w:rFonts w:asciiTheme="minorHAnsi" w:eastAsia="Times New Roman" w:hAnsiTheme="minorHAnsi" w:cstheme="minorHAnsi"/>
          <w:b/>
          <w:sz w:val="24"/>
          <w:szCs w:val="24"/>
          <w:highlight w:val="yellow"/>
        </w:rPr>
        <w:sectPr w:rsidR="00CC09C1" w:rsidSect="00DC1AAF">
          <w:headerReference w:type="even" r:id="rId22"/>
          <w:headerReference w:type="default" r:id="rId23"/>
          <w:footerReference w:type="even" r:id="rId24"/>
          <w:footerReference w:type="default" r:id="rId25"/>
          <w:headerReference w:type="first" r:id="rId26"/>
          <w:footerReference w:type="first" r:id="rId27"/>
          <w:pgSz w:w="16838" w:h="11906" w:orient="landscape"/>
          <w:pgMar w:top="1440" w:right="1440" w:bottom="1440" w:left="1440" w:header="709" w:footer="709" w:gutter="0"/>
          <w:cols w:space="708"/>
          <w:docGrid w:linePitch="360"/>
        </w:sectPr>
      </w:pPr>
    </w:p>
    <w:p w14:paraId="2D37FAC7" w14:textId="0FA5E63B" w:rsidR="00DC1AAF" w:rsidRPr="00CC09C1" w:rsidRDefault="00DC1AAF" w:rsidP="00CC09C1">
      <w:pPr>
        <w:spacing w:after="0" w:line="240" w:lineRule="auto"/>
        <w:rPr>
          <w:rFonts w:asciiTheme="minorHAnsi" w:eastAsia="Times New Roman" w:hAnsiTheme="minorHAnsi" w:cstheme="minorHAnsi"/>
          <w:b/>
        </w:rPr>
      </w:pPr>
      <w:r w:rsidRPr="00CC09C1">
        <w:rPr>
          <w:rFonts w:asciiTheme="minorHAnsi" w:eastAsia="Times New Roman" w:hAnsiTheme="minorHAnsi" w:cstheme="minorHAnsi"/>
          <w:b/>
          <w:sz w:val="24"/>
          <w:szCs w:val="24"/>
        </w:rPr>
        <w:t>Annexe 3</w:t>
      </w:r>
    </w:p>
    <w:p w14:paraId="579C7A3C" w14:textId="2F8EE9D9" w:rsidR="00DC1AAF" w:rsidRPr="00CC09C1" w:rsidRDefault="00DC1AAF" w:rsidP="00DC1AAF">
      <w:pPr>
        <w:spacing w:after="0" w:line="240" w:lineRule="auto"/>
        <w:jc w:val="center"/>
        <w:rPr>
          <w:rFonts w:asciiTheme="minorHAnsi" w:eastAsia="Times New Roman" w:hAnsiTheme="minorHAnsi" w:cstheme="minorHAnsi"/>
          <w:b/>
          <w:sz w:val="24"/>
          <w:szCs w:val="24"/>
        </w:rPr>
      </w:pPr>
      <w:r w:rsidRPr="00CC09C1">
        <w:rPr>
          <w:rFonts w:asciiTheme="minorHAnsi" w:eastAsia="Times New Roman" w:hAnsiTheme="minorHAnsi" w:cstheme="minorHAnsi"/>
          <w:b/>
          <w:sz w:val="24"/>
          <w:szCs w:val="24"/>
        </w:rPr>
        <w:t>Summary of Revenue and Capital Reserves 202</w:t>
      </w:r>
      <w:r w:rsidR="00CC09C1" w:rsidRPr="00CC09C1">
        <w:rPr>
          <w:rFonts w:asciiTheme="minorHAnsi" w:eastAsia="Times New Roman" w:hAnsiTheme="minorHAnsi" w:cstheme="minorHAnsi"/>
          <w:b/>
          <w:sz w:val="24"/>
          <w:szCs w:val="24"/>
        </w:rPr>
        <w:t>3</w:t>
      </w:r>
      <w:r w:rsidRPr="00CC09C1">
        <w:rPr>
          <w:rFonts w:asciiTheme="minorHAnsi" w:eastAsia="Times New Roman" w:hAnsiTheme="minorHAnsi" w:cstheme="minorHAnsi"/>
          <w:b/>
          <w:sz w:val="24"/>
          <w:szCs w:val="24"/>
        </w:rPr>
        <w:t>/2</w:t>
      </w:r>
      <w:r w:rsidR="00CC09C1" w:rsidRPr="00CC09C1">
        <w:rPr>
          <w:rFonts w:asciiTheme="minorHAnsi" w:eastAsia="Times New Roman" w:hAnsiTheme="minorHAnsi" w:cstheme="minorHAnsi"/>
          <w:b/>
          <w:sz w:val="24"/>
          <w:szCs w:val="24"/>
        </w:rPr>
        <w:t>4</w:t>
      </w:r>
      <w:r w:rsidRPr="00CC09C1">
        <w:rPr>
          <w:rFonts w:asciiTheme="minorHAnsi" w:eastAsia="Times New Roman" w:hAnsiTheme="minorHAnsi" w:cstheme="minorHAnsi"/>
          <w:b/>
          <w:sz w:val="24"/>
          <w:szCs w:val="24"/>
        </w:rPr>
        <w:t xml:space="preserve"> to 202</w:t>
      </w:r>
      <w:r w:rsidR="00CC09C1" w:rsidRPr="00CC09C1">
        <w:rPr>
          <w:rFonts w:asciiTheme="minorHAnsi" w:eastAsia="Times New Roman" w:hAnsiTheme="minorHAnsi" w:cstheme="minorHAnsi"/>
          <w:b/>
          <w:sz w:val="24"/>
          <w:szCs w:val="24"/>
        </w:rPr>
        <w:t>8</w:t>
      </w:r>
      <w:r w:rsidRPr="00CC09C1">
        <w:rPr>
          <w:rFonts w:asciiTheme="minorHAnsi" w:eastAsia="Times New Roman" w:hAnsiTheme="minorHAnsi" w:cstheme="minorHAnsi"/>
          <w:b/>
          <w:sz w:val="24"/>
          <w:szCs w:val="24"/>
        </w:rPr>
        <w:t>/2</w:t>
      </w:r>
      <w:r w:rsidR="00CC09C1" w:rsidRPr="00CC09C1">
        <w:rPr>
          <w:rFonts w:asciiTheme="minorHAnsi" w:eastAsia="Times New Roman" w:hAnsiTheme="minorHAnsi" w:cstheme="minorHAnsi"/>
          <w:b/>
          <w:sz w:val="24"/>
          <w:szCs w:val="24"/>
        </w:rPr>
        <w:t>9</w:t>
      </w:r>
    </w:p>
    <w:p w14:paraId="07E32D42" w14:textId="77777777" w:rsidR="00DC1AAF" w:rsidRPr="00CC09C1" w:rsidRDefault="00DC1AAF" w:rsidP="00CC09C1">
      <w:pPr>
        <w:spacing w:after="0" w:line="240" w:lineRule="auto"/>
        <w:rPr>
          <w:rFonts w:asciiTheme="minorHAnsi" w:eastAsia="Times New Roman" w:hAnsiTheme="minorHAnsi" w:cstheme="minorHAnsi"/>
          <w:szCs w:val="24"/>
        </w:rPr>
      </w:pPr>
    </w:p>
    <w:tbl>
      <w:tblPr>
        <w:tblW w:w="10360" w:type="dxa"/>
        <w:tblInd w:w="-714" w:type="dxa"/>
        <w:tblLook w:val="04A0" w:firstRow="1" w:lastRow="0" w:firstColumn="1" w:lastColumn="0" w:noHBand="0" w:noVBand="1"/>
      </w:tblPr>
      <w:tblGrid>
        <w:gridCol w:w="3640"/>
        <w:gridCol w:w="1120"/>
        <w:gridCol w:w="1120"/>
        <w:gridCol w:w="1120"/>
        <w:gridCol w:w="1120"/>
        <w:gridCol w:w="1120"/>
        <w:gridCol w:w="1120"/>
      </w:tblGrid>
      <w:tr w:rsidR="00CC09C1" w:rsidRPr="00CC09C1" w14:paraId="6E0D4662" w14:textId="77777777" w:rsidTr="00CC09C1">
        <w:trPr>
          <w:trHeight w:val="1680"/>
        </w:trPr>
        <w:tc>
          <w:tcPr>
            <w:tcW w:w="3640" w:type="dxa"/>
            <w:tcBorders>
              <w:top w:val="single" w:sz="4" w:space="0" w:color="auto"/>
              <w:left w:val="single" w:sz="4" w:space="0" w:color="auto"/>
              <w:bottom w:val="nil"/>
              <w:right w:val="nil"/>
            </w:tcBorders>
            <w:shd w:val="clear" w:color="auto" w:fill="auto"/>
            <w:noWrap/>
            <w:vAlign w:val="bottom"/>
            <w:hideMark/>
          </w:tcPr>
          <w:p w14:paraId="1B556C62" w14:textId="77777777" w:rsidR="00CC09C1" w:rsidRPr="00CC09C1" w:rsidRDefault="00CC09C1" w:rsidP="00CC09C1">
            <w:pPr>
              <w:spacing w:after="0" w:line="240" w:lineRule="auto"/>
              <w:jc w:val="center"/>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single" w:sz="4" w:space="0" w:color="auto"/>
              <w:left w:val="single" w:sz="4" w:space="0" w:color="auto"/>
              <w:bottom w:val="nil"/>
              <w:right w:val="single" w:sz="4" w:space="0" w:color="auto"/>
            </w:tcBorders>
            <w:shd w:val="clear" w:color="000000" w:fill="BDD7EE"/>
            <w:vAlign w:val="bottom"/>
            <w:hideMark/>
          </w:tcPr>
          <w:p w14:paraId="372B99D5"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xml:space="preserve">Forecast Balance at </w:t>
            </w:r>
            <w:r w:rsidRPr="00CC09C1">
              <w:rPr>
                <w:rFonts w:eastAsia="Times New Roman" w:cs="Calibri"/>
                <w:b/>
                <w:bCs/>
                <w:color w:val="000000"/>
                <w:sz w:val="20"/>
                <w:szCs w:val="20"/>
                <w:lang w:eastAsia="en-GB"/>
              </w:rPr>
              <w:br/>
              <w:t>31 March 2024</w:t>
            </w:r>
          </w:p>
        </w:tc>
        <w:tc>
          <w:tcPr>
            <w:tcW w:w="1120" w:type="dxa"/>
            <w:tcBorders>
              <w:top w:val="single" w:sz="4" w:space="0" w:color="auto"/>
              <w:left w:val="nil"/>
              <w:bottom w:val="nil"/>
              <w:right w:val="single" w:sz="4" w:space="0" w:color="auto"/>
            </w:tcBorders>
            <w:shd w:val="clear" w:color="000000" w:fill="BDD7EE"/>
            <w:vAlign w:val="bottom"/>
            <w:hideMark/>
          </w:tcPr>
          <w:p w14:paraId="1EB95CFE"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xml:space="preserve">Forecast Balance at </w:t>
            </w:r>
            <w:r w:rsidRPr="00CC09C1">
              <w:rPr>
                <w:rFonts w:eastAsia="Times New Roman" w:cs="Calibri"/>
                <w:b/>
                <w:bCs/>
                <w:color w:val="000000"/>
                <w:sz w:val="20"/>
                <w:szCs w:val="20"/>
                <w:lang w:eastAsia="en-GB"/>
              </w:rPr>
              <w:br/>
              <w:t>31 March 2025</w:t>
            </w:r>
          </w:p>
        </w:tc>
        <w:tc>
          <w:tcPr>
            <w:tcW w:w="1120" w:type="dxa"/>
            <w:tcBorders>
              <w:top w:val="single" w:sz="4" w:space="0" w:color="auto"/>
              <w:left w:val="nil"/>
              <w:bottom w:val="nil"/>
              <w:right w:val="single" w:sz="4" w:space="0" w:color="auto"/>
            </w:tcBorders>
            <w:shd w:val="clear" w:color="000000" w:fill="BDD7EE"/>
            <w:vAlign w:val="bottom"/>
            <w:hideMark/>
          </w:tcPr>
          <w:p w14:paraId="4831433B"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xml:space="preserve">Forecast Balance at </w:t>
            </w:r>
            <w:r w:rsidRPr="00CC09C1">
              <w:rPr>
                <w:rFonts w:eastAsia="Times New Roman" w:cs="Calibri"/>
                <w:b/>
                <w:bCs/>
                <w:color w:val="000000"/>
                <w:sz w:val="20"/>
                <w:szCs w:val="20"/>
                <w:lang w:eastAsia="en-GB"/>
              </w:rPr>
              <w:br/>
              <w:t>31 March 2026</w:t>
            </w:r>
          </w:p>
        </w:tc>
        <w:tc>
          <w:tcPr>
            <w:tcW w:w="1120" w:type="dxa"/>
            <w:tcBorders>
              <w:top w:val="single" w:sz="4" w:space="0" w:color="auto"/>
              <w:left w:val="nil"/>
              <w:bottom w:val="nil"/>
              <w:right w:val="single" w:sz="4" w:space="0" w:color="auto"/>
            </w:tcBorders>
            <w:shd w:val="clear" w:color="000000" w:fill="BDD7EE"/>
            <w:vAlign w:val="bottom"/>
            <w:hideMark/>
          </w:tcPr>
          <w:p w14:paraId="24ED08CD"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xml:space="preserve">Forecast Balance at </w:t>
            </w:r>
            <w:r w:rsidRPr="00CC09C1">
              <w:rPr>
                <w:rFonts w:eastAsia="Times New Roman" w:cs="Calibri"/>
                <w:b/>
                <w:bCs/>
                <w:color w:val="000000"/>
                <w:sz w:val="20"/>
                <w:szCs w:val="20"/>
                <w:lang w:eastAsia="en-GB"/>
              </w:rPr>
              <w:br/>
              <w:t>31 March 2027</w:t>
            </w:r>
          </w:p>
        </w:tc>
        <w:tc>
          <w:tcPr>
            <w:tcW w:w="1120" w:type="dxa"/>
            <w:tcBorders>
              <w:top w:val="single" w:sz="4" w:space="0" w:color="auto"/>
              <w:left w:val="nil"/>
              <w:bottom w:val="nil"/>
              <w:right w:val="single" w:sz="4" w:space="0" w:color="auto"/>
            </w:tcBorders>
            <w:shd w:val="clear" w:color="000000" w:fill="BDD7EE"/>
            <w:vAlign w:val="bottom"/>
            <w:hideMark/>
          </w:tcPr>
          <w:p w14:paraId="34775633"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xml:space="preserve">Forecast Balance at </w:t>
            </w:r>
            <w:r w:rsidRPr="00CC09C1">
              <w:rPr>
                <w:rFonts w:eastAsia="Times New Roman" w:cs="Calibri"/>
                <w:b/>
                <w:bCs/>
                <w:color w:val="000000"/>
                <w:sz w:val="20"/>
                <w:szCs w:val="20"/>
                <w:lang w:eastAsia="en-GB"/>
              </w:rPr>
              <w:br/>
              <w:t>31 March 2028</w:t>
            </w:r>
          </w:p>
        </w:tc>
        <w:tc>
          <w:tcPr>
            <w:tcW w:w="1120" w:type="dxa"/>
            <w:tcBorders>
              <w:top w:val="single" w:sz="4" w:space="0" w:color="auto"/>
              <w:left w:val="nil"/>
              <w:bottom w:val="nil"/>
              <w:right w:val="single" w:sz="4" w:space="0" w:color="auto"/>
            </w:tcBorders>
            <w:shd w:val="clear" w:color="000000" w:fill="BDD7EE"/>
            <w:vAlign w:val="bottom"/>
            <w:hideMark/>
          </w:tcPr>
          <w:p w14:paraId="61329F11"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xml:space="preserve">Forecast Balance at </w:t>
            </w:r>
            <w:r w:rsidRPr="00CC09C1">
              <w:rPr>
                <w:rFonts w:eastAsia="Times New Roman" w:cs="Calibri"/>
                <w:b/>
                <w:bCs/>
                <w:color w:val="000000"/>
                <w:sz w:val="20"/>
                <w:szCs w:val="20"/>
                <w:lang w:eastAsia="en-GB"/>
              </w:rPr>
              <w:br/>
              <w:t>31 March 2029</w:t>
            </w:r>
          </w:p>
        </w:tc>
      </w:tr>
      <w:tr w:rsidR="00CC09C1" w:rsidRPr="00CC09C1" w14:paraId="4EFBFFBC"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0E521D6F" w14:textId="77777777" w:rsidR="00CC09C1" w:rsidRPr="00CC09C1" w:rsidRDefault="00CC09C1" w:rsidP="00CC09C1">
            <w:pPr>
              <w:spacing w:after="0" w:line="240" w:lineRule="auto"/>
              <w:jc w:val="center"/>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single" w:sz="4" w:space="0" w:color="auto"/>
              <w:bottom w:val="single" w:sz="4" w:space="0" w:color="auto"/>
              <w:right w:val="single" w:sz="4" w:space="0" w:color="auto"/>
            </w:tcBorders>
            <w:shd w:val="clear" w:color="000000" w:fill="BDD7EE"/>
            <w:vAlign w:val="bottom"/>
            <w:hideMark/>
          </w:tcPr>
          <w:p w14:paraId="7F3FDA4D"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£m</w:t>
            </w:r>
          </w:p>
        </w:tc>
        <w:tc>
          <w:tcPr>
            <w:tcW w:w="1120" w:type="dxa"/>
            <w:tcBorders>
              <w:top w:val="nil"/>
              <w:left w:val="nil"/>
              <w:bottom w:val="single" w:sz="4" w:space="0" w:color="auto"/>
              <w:right w:val="single" w:sz="4" w:space="0" w:color="auto"/>
            </w:tcBorders>
            <w:shd w:val="clear" w:color="000000" w:fill="BDD7EE"/>
            <w:vAlign w:val="bottom"/>
            <w:hideMark/>
          </w:tcPr>
          <w:p w14:paraId="4FA6B7E7"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£m</w:t>
            </w:r>
          </w:p>
        </w:tc>
        <w:tc>
          <w:tcPr>
            <w:tcW w:w="1120" w:type="dxa"/>
            <w:tcBorders>
              <w:top w:val="nil"/>
              <w:left w:val="nil"/>
              <w:bottom w:val="single" w:sz="4" w:space="0" w:color="auto"/>
              <w:right w:val="single" w:sz="4" w:space="0" w:color="auto"/>
            </w:tcBorders>
            <w:shd w:val="clear" w:color="000000" w:fill="BDD7EE"/>
            <w:vAlign w:val="bottom"/>
            <w:hideMark/>
          </w:tcPr>
          <w:p w14:paraId="49EA038A"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£m</w:t>
            </w:r>
          </w:p>
        </w:tc>
        <w:tc>
          <w:tcPr>
            <w:tcW w:w="1120" w:type="dxa"/>
            <w:tcBorders>
              <w:top w:val="nil"/>
              <w:left w:val="nil"/>
              <w:bottom w:val="single" w:sz="4" w:space="0" w:color="auto"/>
              <w:right w:val="single" w:sz="4" w:space="0" w:color="auto"/>
            </w:tcBorders>
            <w:shd w:val="clear" w:color="000000" w:fill="BDD7EE"/>
            <w:vAlign w:val="bottom"/>
            <w:hideMark/>
          </w:tcPr>
          <w:p w14:paraId="3196B12E"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£m</w:t>
            </w:r>
          </w:p>
        </w:tc>
        <w:tc>
          <w:tcPr>
            <w:tcW w:w="1120" w:type="dxa"/>
            <w:tcBorders>
              <w:top w:val="nil"/>
              <w:left w:val="nil"/>
              <w:bottom w:val="single" w:sz="4" w:space="0" w:color="auto"/>
              <w:right w:val="single" w:sz="4" w:space="0" w:color="auto"/>
            </w:tcBorders>
            <w:shd w:val="clear" w:color="000000" w:fill="BDD7EE"/>
            <w:vAlign w:val="bottom"/>
            <w:hideMark/>
          </w:tcPr>
          <w:p w14:paraId="7D1808B3"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£m</w:t>
            </w:r>
          </w:p>
        </w:tc>
        <w:tc>
          <w:tcPr>
            <w:tcW w:w="1120" w:type="dxa"/>
            <w:tcBorders>
              <w:top w:val="nil"/>
              <w:left w:val="nil"/>
              <w:bottom w:val="single" w:sz="4" w:space="0" w:color="auto"/>
              <w:right w:val="single" w:sz="4" w:space="0" w:color="auto"/>
            </w:tcBorders>
            <w:shd w:val="clear" w:color="000000" w:fill="BDD7EE"/>
            <w:vAlign w:val="bottom"/>
            <w:hideMark/>
          </w:tcPr>
          <w:p w14:paraId="1E12B6D0"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£m</w:t>
            </w:r>
          </w:p>
        </w:tc>
      </w:tr>
      <w:tr w:rsidR="00CC09C1" w:rsidRPr="00CC09C1" w14:paraId="538FA86F"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348EB5A6" w14:textId="77777777" w:rsidR="00CC09C1" w:rsidRPr="00CC09C1" w:rsidRDefault="00CC09C1" w:rsidP="00CC09C1">
            <w:pPr>
              <w:spacing w:after="0" w:line="240" w:lineRule="auto"/>
              <w:rPr>
                <w:rFonts w:eastAsia="Times New Roman" w:cs="Calibri"/>
                <w:b/>
                <w:bCs/>
                <w:color w:val="000000"/>
                <w:sz w:val="20"/>
                <w:szCs w:val="20"/>
                <w:u w:val="single"/>
                <w:lang w:eastAsia="en-GB"/>
              </w:rPr>
            </w:pPr>
            <w:r w:rsidRPr="00CC09C1">
              <w:rPr>
                <w:rFonts w:eastAsia="Times New Roman" w:cs="Calibri"/>
                <w:b/>
                <w:bCs/>
                <w:color w:val="000000"/>
                <w:sz w:val="20"/>
                <w:szCs w:val="20"/>
                <w:u w:val="single"/>
                <w:lang w:eastAsia="en-GB"/>
              </w:rPr>
              <w:t>Held to meet budgetary risks</w:t>
            </w:r>
          </w:p>
        </w:tc>
        <w:tc>
          <w:tcPr>
            <w:tcW w:w="1120" w:type="dxa"/>
            <w:tcBorders>
              <w:top w:val="nil"/>
              <w:left w:val="single" w:sz="4" w:space="0" w:color="auto"/>
              <w:bottom w:val="nil"/>
              <w:right w:val="single" w:sz="4" w:space="0" w:color="auto"/>
            </w:tcBorders>
            <w:shd w:val="clear" w:color="auto" w:fill="auto"/>
            <w:vAlign w:val="bottom"/>
            <w:hideMark/>
          </w:tcPr>
          <w:p w14:paraId="61DB7FCA"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vAlign w:val="bottom"/>
            <w:hideMark/>
          </w:tcPr>
          <w:p w14:paraId="3CC24418"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vAlign w:val="bottom"/>
            <w:hideMark/>
          </w:tcPr>
          <w:p w14:paraId="03BB3326"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vAlign w:val="bottom"/>
            <w:hideMark/>
          </w:tcPr>
          <w:p w14:paraId="3FA5F7E5"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vAlign w:val="bottom"/>
            <w:hideMark/>
          </w:tcPr>
          <w:p w14:paraId="5D23E3C8"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vAlign w:val="bottom"/>
            <w:hideMark/>
          </w:tcPr>
          <w:p w14:paraId="44E65675"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r>
      <w:tr w:rsidR="00CC09C1" w:rsidRPr="00CC09C1" w14:paraId="5871CDEF"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493D93AC"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Insurance</w:t>
            </w:r>
          </w:p>
        </w:tc>
        <w:tc>
          <w:tcPr>
            <w:tcW w:w="1120" w:type="dxa"/>
            <w:tcBorders>
              <w:top w:val="nil"/>
              <w:left w:val="single" w:sz="4" w:space="0" w:color="auto"/>
              <w:bottom w:val="nil"/>
              <w:right w:val="single" w:sz="4" w:space="0" w:color="auto"/>
            </w:tcBorders>
            <w:shd w:val="clear" w:color="auto" w:fill="auto"/>
            <w:noWrap/>
            <w:vAlign w:val="bottom"/>
            <w:hideMark/>
          </w:tcPr>
          <w:p w14:paraId="5A571628"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3.624</w:t>
            </w:r>
          </w:p>
        </w:tc>
        <w:tc>
          <w:tcPr>
            <w:tcW w:w="1120" w:type="dxa"/>
            <w:tcBorders>
              <w:top w:val="nil"/>
              <w:left w:val="nil"/>
              <w:bottom w:val="nil"/>
              <w:right w:val="single" w:sz="4" w:space="0" w:color="auto"/>
            </w:tcBorders>
            <w:shd w:val="clear" w:color="auto" w:fill="auto"/>
            <w:noWrap/>
            <w:vAlign w:val="bottom"/>
            <w:hideMark/>
          </w:tcPr>
          <w:p w14:paraId="59F9F337"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3.624</w:t>
            </w:r>
          </w:p>
        </w:tc>
        <w:tc>
          <w:tcPr>
            <w:tcW w:w="1120" w:type="dxa"/>
            <w:tcBorders>
              <w:top w:val="nil"/>
              <w:left w:val="nil"/>
              <w:bottom w:val="nil"/>
              <w:right w:val="single" w:sz="4" w:space="0" w:color="auto"/>
            </w:tcBorders>
            <w:shd w:val="clear" w:color="auto" w:fill="auto"/>
            <w:noWrap/>
            <w:vAlign w:val="bottom"/>
            <w:hideMark/>
          </w:tcPr>
          <w:p w14:paraId="64F47A64"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3.624</w:t>
            </w:r>
          </w:p>
        </w:tc>
        <w:tc>
          <w:tcPr>
            <w:tcW w:w="1120" w:type="dxa"/>
            <w:tcBorders>
              <w:top w:val="nil"/>
              <w:left w:val="nil"/>
              <w:bottom w:val="nil"/>
              <w:right w:val="single" w:sz="4" w:space="0" w:color="auto"/>
            </w:tcBorders>
            <w:shd w:val="clear" w:color="auto" w:fill="auto"/>
            <w:noWrap/>
            <w:vAlign w:val="bottom"/>
            <w:hideMark/>
          </w:tcPr>
          <w:p w14:paraId="1208405F"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3.624</w:t>
            </w:r>
          </w:p>
        </w:tc>
        <w:tc>
          <w:tcPr>
            <w:tcW w:w="1120" w:type="dxa"/>
            <w:tcBorders>
              <w:top w:val="nil"/>
              <w:left w:val="nil"/>
              <w:bottom w:val="nil"/>
              <w:right w:val="single" w:sz="4" w:space="0" w:color="auto"/>
            </w:tcBorders>
            <w:shd w:val="clear" w:color="auto" w:fill="auto"/>
            <w:noWrap/>
            <w:vAlign w:val="bottom"/>
            <w:hideMark/>
          </w:tcPr>
          <w:p w14:paraId="619A4185"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3.624</w:t>
            </w:r>
          </w:p>
        </w:tc>
        <w:tc>
          <w:tcPr>
            <w:tcW w:w="1120" w:type="dxa"/>
            <w:tcBorders>
              <w:top w:val="nil"/>
              <w:left w:val="nil"/>
              <w:bottom w:val="nil"/>
              <w:right w:val="single" w:sz="4" w:space="0" w:color="auto"/>
            </w:tcBorders>
            <w:shd w:val="clear" w:color="auto" w:fill="auto"/>
            <w:noWrap/>
            <w:vAlign w:val="bottom"/>
            <w:hideMark/>
          </w:tcPr>
          <w:p w14:paraId="75D07051"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3.624</w:t>
            </w:r>
          </w:p>
        </w:tc>
      </w:tr>
      <w:tr w:rsidR="00CC09C1" w:rsidRPr="00CC09C1" w14:paraId="39A528F8"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20F62311"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Operational Equipment</w:t>
            </w:r>
          </w:p>
        </w:tc>
        <w:tc>
          <w:tcPr>
            <w:tcW w:w="1120" w:type="dxa"/>
            <w:tcBorders>
              <w:top w:val="nil"/>
              <w:left w:val="single" w:sz="4" w:space="0" w:color="auto"/>
              <w:bottom w:val="nil"/>
              <w:right w:val="single" w:sz="4" w:space="0" w:color="auto"/>
            </w:tcBorders>
            <w:shd w:val="clear" w:color="auto" w:fill="auto"/>
            <w:noWrap/>
            <w:vAlign w:val="bottom"/>
            <w:hideMark/>
          </w:tcPr>
          <w:p w14:paraId="1DAC0377"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0.400</w:t>
            </w:r>
          </w:p>
        </w:tc>
        <w:tc>
          <w:tcPr>
            <w:tcW w:w="1120" w:type="dxa"/>
            <w:tcBorders>
              <w:top w:val="nil"/>
              <w:left w:val="nil"/>
              <w:bottom w:val="nil"/>
              <w:right w:val="single" w:sz="4" w:space="0" w:color="auto"/>
            </w:tcBorders>
            <w:shd w:val="clear" w:color="auto" w:fill="auto"/>
            <w:noWrap/>
            <w:vAlign w:val="bottom"/>
            <w:hideMark/>
          </w:tcPr>
          <w:p w14:paraId="6B0DC039"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0.200</w:t>
            </w:r>
          </w:p>
        </w:tc>
        <w:tc>
          <w:tcPr>
            <w:tcW w:w="1120" w:type="dxa"/>
            <w:tcBorders>
              <w:top w:val="nil"/>
              <w:left w:val="nil"/>
              <w:bottom w:val="nil"/>
              <w:right w:val="single" w:sz="4" w:space="0" w:color="auto"/>
            </w:tcBorders>
            <w:shd w:val="clear" w:color="auto" w:fill="auto"/>
            <w:noWrap/>
            <w:vAlign w:val="bottom"/>
            <w:hideMark/>
          </w:tcPr>
          <w:p w14:paraId="09943C4D"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0.200</w:t>
            </w:r>
          </w:p>
        </w:tc>
        <w:tc>
          <w:tcPr>
            <w:tcW w:w="1120" w:type="dxa"/>
            <w:tcBorders>
              <w:top w:val="nil"/>
              <w:left w:val="nil"/>
              <w:bottom w:val="nil"/>
              <w:right w:val="single" w:sz="4" w:space="0" w:color="auto"/>
            </w:tcBorders>
            <w:shd w:val="clear" w:color="auto" w:fill="auto"/>
            <w:noWrap/>
            <w:vAlign w:val="bottom"/>
            <w:hideMark/>
          </w:tcPr>
          <w:p w14:paraId="16DA178A"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0.200</w:t>
            </w:r>
          </w:p>
        </w:tc>
        <w:tc>
          <w:tcPr>
            <w:tcW w:w="1120" w:type="dxa"/>
            <w:tcBorders>
              <w:top w:val="nil"/>
              <w:left w:val="nil"/>
              <w:bottom w:val="nil"/>
              <w:right w:val="single" w:sz="4" w:space="0" w:color="auto"/>
            </w:tcBorders>
            <w:shd w:val="clear" w:color="auto" w:fill="auto"/>
            <w:noWrap/>
            <w:vAlign w:val="bottom"/>
            <w:hideMark/>
          </w:tcPr>
          <w:p w14:paraId="47C5BA23"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0.200</w:t>
            </w:r>
          </w:p>
        </w:tc>
        <w:tc>
          <w:tcPr>
            <w:tcW w:w="1120" w:type="dxa"/>
            <w:tcBorders>
              <w:top w:val="nil"/>
              <w:left w:val="nil"/>
              <w:bottom w:val="nil"/>
              <w:right w:val="single" w:sz="4" w:space="0" w:color="auto"/>
            </w:tcBorders>
            <w:shd w:val="clear" w:color="auto" w:fill="auto"/>
            <w:noWrap/>
            <w:vAlign w:val="bottom"/>
            <w:hideMark/>
          </w:tcPr>
          <w:p w14:paraId="0782A29E"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0.200</w:t>
            </w:r>
          </w:p>
        </w:tc>
      </w:tr>
      <w:tr w:rsidR="00CC09C1" w:rsidRPr="00CC09C1" w14:paraId="7BB46930"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102173F5"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single" w:sz="4" w:space="0" w:color="auto"/>
              <w:left w:val="single" w:sz="4" w:space="0" w:color="auto"/>
              <w:bottom w:val="nil"/>
              <w:right w:val="single" w:sz="4" w:space="0" w:color="auto"/>
            </w:tcBorders>
            <w:shd w:val="clear" w:color="auto" w:fill="auto"/>
            <w:noWrap/>
            <w:vAlign w:val="bottom"/>
            <w:hideMark/>
          </w:tcPr>
          <w:p w14:paraId="6E6A4AE1"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4.024</w:t>
            </w:r>
          </w:p>
        </w:tc>
        <w:tc>
          <w:tcPr>
            <w:tcW w:w="1120" w:type="dxa"/>
            <w:tcBorders>
              <w:top w:val="single" w:sz="4" w:space="0" w:color="auto"/>
              <w:left w:val="nil"/>
              <w:bottom w:val="nil"/>
              <w:right w:val="single" w:sz="4" w:space="0" w:color="auto"/>
            </w:tcBorders>
            <w:shd w:val="clear" w:color="auto" w:fill="auto"/>
            <w:noWrap/>
            <w:vAlign w:val="bottom"/>
            <w:hideMark/>
          </w:tcPr>
          <w:p w14:paraId="7EC78183"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3.824</w:t>
            </w:r>
          </w:p>
        </w:tc>
        <w:tc>
          <w:tcPr>
            <w:tcW w:w="1120" w:type="dxa"/>
            <w:tcBorders>
              <w:top w:val="single" w:sz="4" w:space="0" w:color="auto"/>
              <w:left w:val="nil"/>
              <w:bottom w:val="nil"/>
              <w:right w:val="single" w:sz="4" w:space="0" w:color="auto"/>
            </w:tcBorders>
            <w:shd w:val="clear" w:color="auto" w:fill="auto"/>
            <w:noWrap/>
            <w:vAlign w:val="bottom"/>
            <w:hideMark/>
          </w:tcPr>
          <w:p w14:paraId="46C06E75"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3.824</w:t>
            </w:r>
          </w:p>
        </w:tc>
        <w:tc>
          <w:tcPr>
            <w:tcW w:w="1120" w:type="dxa"/>
            <w:tcBorders>
              <w:top w:val="single" w:sz="4" w:space="0" w:color="auto"/>
              <w:left w:val="nil"/>
              <w:bottom w:val="nil"/>
              <w:right w:val="single" w:sz="4" w:space="0" w:color="auto"/>
            </w:tcBorders>
            <w:shd w:val="clear" w:color="auto" w:fill="auto"/>
            <w:noWrap/>
            <w:vAlign w:val="bottom"/>
            <w:hideMark/>
          </w:tcPr>
          <w:p w14:paraId="5F5A5FAF"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3.824</w:t>
            </w:r>
          </w:p>
        </w:tc>
        <w:tc>
          <w:tcPr>
            <w:tcW w:w="1120" w:type="dxa"/>
            <w:tcBorders>
              <w:top w:val="single" w:sz="4" w:space="0" w:color="auto"/>
              <w:left w:val="nil"/>
              <w:bottom w:val="nil"/>
              <w:right w:val="single" w:sz="4" w:space="0" w:color="auto"/>
            </w:tcBorders>
            <w:shd w:val="clear" w:color="auto" w:fill="auto"/>
            <w:noWrap/>
            <w:vAlign w:val="bottom"/>
            <w:hideMark/>
          </w:tcPr>
          <w:p w14:paraId="2915ACF8"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3.824</w:t>
            </w:r>
          </w:p>
        </w:tc>
        <w:tc>
          <w:tcPr>
            <w:tcW w:w="1120" w:type="dxa"/>
            <w:tcBorders>
              <w:top w:val="single" w:sz="4" w:space="0" w:color="auto"/>
              <w:left w:val="nil"/>
              <w:bottom w:val="nil"/>
              <w:right w:val="single" w:sz="4" w:space="0" w:color="auto"/>
            </w:tcBorders>
            <w:shd w:val="clear" w:color="auto" w:fill="auto"/>
            <w:noWrap/>
            <w:vAlign w:val="bottom"/>
            <w:hideMark/>
          </w:tcPr>
          <w:p w14:paraId="3F996B41"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3.824</w:t>
            </w:r>
          </w:p>
        </w:tc>
      </w:tr>
      <w:tr w:rsidR="00CC09C1" w:rsidRPr="00CC09C1" w14:paraId="3835D519"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533448B4" w14:textId="77777777" w:rsidR="00CC09C1" w:rsidRPr="00CC09C1" w:rsidRDefault="00CC09C1" w:rsidP="00CC09C1">
            <w:pPr>
              <w:spacing w:after="0" w:line="240" w:lineRule="auto"/>
              <w:rPr>
                <w:rFonts w:eastAsia="Times New Roman" w:cs="Calibri"/>
                <w:b/>
                <w:bCs/>
                <w:color w:val="000000"/>
                <w:sz w:val="20"/>
                <w:szCs w:val="20"/>
                <w:u w:val="single"/>
                <w:lang w:eastAsia="en-GB"/>
              </w:rPr>
            </w:pPr>
            <w:r w:rsidRPr="00CC09C1">
              <w:rPr>
                <w:rFonts w:eastAsia="Times New Roman" w:cs="Calibri"/>
                <w:b/>
                <w:bCs/>
                <w:color w:val="000000"/>
                <w:sz w:val="20"/>
                <w:szCs w:val="20"/>
                <w:u w:val="single"/>
                <w:lang w:eastAsia="en-GB"/>
              </w:rPr>
              <w:t>Held to support the medium term budget</w:t>
            </w:r>
          </w:p>
        </w:tc>
        <w:tc>
          <w:tcPr>
            <w:tcW w:w="1120" w:type="dxa"/>
            <w:tcBorders>
              <w:top w:val="nil"/>
              <w:left w:val="single" w:sz="4" w:space="0" w:color="auto"/>
              <w:bottom w:val="nil"/>
              <w:right w:val="single" w:sz="4" w:space="0" w:color="auto"/>
            </w:tcBorders>
            <w:shd w:val="clear" w:color="auto" w:fill="auto"/>
            <w:noWrap/>
            <w:vAlign w:val="bottom"/>
            <w:hideMark/>
          </w:tcPr>
          <w:p w14:paraId="17D5FB62"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071997DA"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7BE330FA"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55DADC28"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483CD5C1"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60E1242E"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r>
      <w:tr w:rsidR="00CC09C1" w:rsidRPr="00CC09C1" w14:paraId="33E98C2C"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043CF880"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Earmarked - Carry Forwards</w:t>
            </w:r>
          </w:p>
        </w:tc>
        <w:tc>
          <w:tcPr>
            <w:tcW w:w="1120" w:type="dxa"/>
            <w:tcBorders>
              <w:top w:val="nil"/>
              <w:left w:val="single" w:sz="4" w:space="0" w:color="auto"/>
              <w:bottom w:val="nil"/>
              <w:right w:val="single" w:sz="4" w:space="0" w:color="auto"/>
            </w:tcBorders>
            <w:shd w:val="clear" w:color="auto" w:fill="auto"/>
            <w:noWrap/>
            <w:vAlign w:val="bottom"/>
            <w:hideMark/>
          </w:tcPr>
          <w:p w14:paraId="321606DD"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0.200</w:t>
            </w:r>
          </w:p>
        </w:tc>
        <w:tc>
          <w:tcPr>
            <w:tcW w:w="1120" w:type="dxa"/>
            <w:tcBorders>
              <w:top w:val="nil"/>
              <w:left w:val="nil"/>
              <w:bottom w:val="nil"/>
              <w:right w:val="single" w:sz="4" w:space="0" w:color="auto"/>
            </w:tcBorders>
            <w:shd w:val="clear" w:color="auto" w:fill="auto"/>
            <w:noWrap/>
            <w:vAlign w:val="bottom"/>
            <w:hideMark/>
          </w:tcPr>
          <w:p w14:paraId="12122740"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5D78895B"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743A505B"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7C29AD43"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65E8ED6E"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r>
      <w:tr w:rsidR="00CC09C1" w:rsidRPr="00CC09C1" w14:paraId="2FDB4C1A"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21B34D73"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Victims</w:t>
            </w:r>
          </w:p>
        </w:tc>
        <w:tc>
          <w:tcPr>
            <w:tcW w:w="1120" w:type="dxa"/>
            <w:tcBorders>
              <w:top w:val="nil"/>
              <w:left w:val="single" w:sz="4" w:space="0" w:color="auto"/>
              <w:bottom w:val="nil"/>
              <w:right w:val="single" w:sz="4" w:space="0" w:color="auto"/>
            </w:tcBorders>
            <w:shd w:val="clear" w:color="auto" w:fill="auto"/>
            <w:noWrap/>
            <w:vAlign w:val="bottom"/>
            <w:hideMark/>
          </w:tcPr>
          <w:p w14:paraId="76AF09F8"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341E5D17"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0BE607B6"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12C2881E"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4BECA6D0"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50C85114"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r>
      <w:tr w:rsidR="00CC09C1" w:rsidRPr="00CC09C1" w14:paraId="4B83733B"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0B034123"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Pensions</w:t>
            </w:r>
          </w:p>
        </w:tc>
        <w:tc>
          <w:tcPr>
            <w:tcW w:w="1120" w:type="dxa"/>
            <w:tcBorders>
              <w:top w:val="nil"/>
              <w:left w:val="single" w:sz="4" w:space="0" w:color="auto"/>
              <w:bottom w:val="nil"/>
              <w:right w:val="single" w:sz="4" w:space="0" w:color="auto"/>
            </w:tcBorders>
            <w:shd w:val="clear" w:color="auto" w:fill="auto"/>
            <w:noWrap/>
            <w:vAlign w:val="bottom"/>
            <w:hideMark/>
          </w:tcPr>
          <w:p w14:paraId="16E69E54"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0.215</w:t>
            </w:r>
          </w:p>
        </w:tc>
        <w:tc>
          <w:tcPr>
            <w:tcW w:w="1120" w:type="dxa"/>
            <w:tcBorders>
              <w:top w:val="nil"/>
              <w:left w:val="nil"/>
              <w:bottom w:val="nil"/>
              <w:right w:val="single" w:sz="4" w:space="0" w:color="auto"/>
            </w:tcBorders>
            <w:shd w:val="clear" w:color="auto" w:fill="auto"/>
            <w:noWrap/>
            <w:vAlign w:val="bottom"/>
            <w:hideMark/>
          </w:tcPr>
          <w:p w14:paraId="2854C25A"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0.215</w:t>
            </w:r>
          </w:p>
        </w:tc>
        <w:tc>
          <w:tcPr>
            <w:tcW w:w="1120" w:type="dxa"/>
            <w:tcBorders>
              <w:top w:val="nil"/>
              <w:left w:val="nil"/>
              <w:bottom w:val="nil"/>
              <w:right w:val="single" w:sz="4" w:space="0" w:color="auto"/>
            </w:tcBorders>
            <w:shd w:val="clear" w:color="auto" w:fill="auto"/>
            <w:noWrap/>
            <w:vAlign w:val="bottom"/>
            <w:hideMark/>
          </w:tcPr>
          <w:p w14:paraId="56B0B542"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0.215</w:t>
            </w:r>
          </w:p>
        </w:tc>
        <w:tc>
          <w:tcPr>
            <w:tcW w:w="1120" w:type="dxa"/>
            <w:tcBorders>
              <w:top w:val="nil"/>
              <w:left w:val="nil"/>
              <w:bottom w:val="nil"/>
              <w:right w:val="single" w:sz="4" w:space="0" w:color="auto"/>
            </w:tcBorders>
            <w:shd w:val="clear" w:color="auto" w:fill="auto"/>
            <w:noWrap/>
            <w:vAlign w:val="bottom"/>
            <w:hideMark/>
          </w:tcPr>
          <w:p w14:paraId="54269884"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0.215</w:t>
            </w:r>
          </w:p>
        </w:tc>
        <w:tc>
          <w:tcPr>
            <w:tcW w:w="1120" w:type="dxa"/>
            <w:tcBorders>
              <w:top w:val="nil"/>
              <w:left w:val="nil"/>
              <w:bottom w:val="nil"/>
              <w:right w:val="single" w:sz="4" w:space="0" w:color="auto"/>
            </w:tcBorders>
            <w:shd w:val="clear" w:color="auto" w:fill="auto"/>
            <w:noWrap/>
            <w:vAlign w:val="bottom"/>
            <w:hideMark/>
          </w:tcPr>
          <w:p w14:paraId="67B5DD3D"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0.215</w:t>
            </w:r>
          </w:p>
        </w:tc>
        <w:tc>
          <w:tcPr>
            <w:tcW w:w="1120" w:type="dxa"/>
            <w:tcBorders>
              <w:top w:val="nil"/>
              <w:left w:val="nil"/>
              <w:bottom w:val="nil"/>
              <w:right w:val="single" w:sz="4" w:space="0" w:color="auto"/>
            </w:tcBorders>
            <w:shd w:val="clear" w:color="auto" w:fill="auto"/>
            <w:noWrap/>
            <w:vAlign w:val="bottom"/>
            <w:hideMark/>
          </w:tcPr>
          <w:p w14:paraId="46F54C78"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0.215</w:t>
            </w:r>
          </w:p>
        </w:tc>
      </w:tr>
      <w:tr w:rsidR="00CC09C1" w:rsidRPr="00CC09C1" w14:paraId="3B284AD1"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0CE87DE5"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Smoothing</w:t>
            </w:r>
          </w:p>
        </w:tc>
        <w:tc>
          <w:tcPr>
            <w:tcW w:w="1120" w:type="dxa"/>
            <w:tcBorders>
              <w:top w:val="nil"/>
              <w:left w:val="single" w:sz="4" w:space="0" w:color="auto"/>
              <w:bottom w:val="nil"/>
              <w:right w:val="single" w:sz="4" w:space="0" w:color="auto"/>
            </w:tcBorders>
            <w:shd w:val="clear" w:color="auto" w:fill="auto"/>
            <w:noWrap/>
            <w:vAlign w:val="bottom"/>
            <w:hideMark/>
          </w:tcPr>
          <w:p w14:paraId="4E327D67"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3.028</w:t>
            </w:r>
          </w:p>
        </w:tc>
        <w:tc>
          <w:tcPr>
            <w:tcW w:w="1120" w:type="dxa"/>
            <w:tcBorders>
              <w:top w:val="nil"/>
              <w:left w:val="nil"/>
              <w:bottom w:val="nil"/>
              <w:right w:val="single" w:sz="4" w:space="0" w:color="auto"/>
            </w:tcBorders>
            <w:shd w:val="clear" w:color="auto" w:fill="auto"/>
            <w:noWrap/>
            <w:vAlign w:val="bottom"/>
            <w:hideMark/>
          </w:tcPr>
          <w:p w14:paraId="0201AFA3"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2.592</w:t>
            </w:r>
          </w:p>
        </w:tc>
        <w:tc>
          <w:tcPr>
            <w:tcW w:w="1120" w:type="dxa"/>
            <w:tcBorders>
              <w:top w:val="nil"/>
              <w:left w:val="nil"/>
              <w:bottom w:val="nil"/>
              <w:right w:val="single" w:sz="4" w:space="0" w:color="auto"/>
            </w:tcBorders>
            <w:shd w:val="clear" w:color="auto" w:fill="auto"/>
            <w:noWrap/>
            <w:vAlign w:val="bottom"/>
            <w:hideMark/>
          </w:tcPr>
          <w:p w14:paraId="15BBC42D"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2.139</w:t>
            </w:r>
          </w:p>
        </w:tc>
        <w:tc>
          <w:tcPr>
            <w:tcW w:w="1120" w:type="dxa"/>
            <w:tcBorders>
              <w:top w:val="nil"/>
              <w:left w:val="nil"/>
              <w:bottom w:val="nil"/>
              <w:right w:val="single" w:sz="4" w:space="0" w:color="auto"/>
            </w:tcBorders>
            <w:shd w:val="clear" w:color="auto" w:fill="auto"/>
            <w:noWrap/>
            <w:vAlign w:val="bottom"/>
            <w:hideMark/>
          </w:tcPr>
          <w:p w14:paraId="5F61C286"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2.139</w:t>
            </w:r>
          </w:p>
        </w:tc>
        <w:tc>
          <w:tcPr>
            <w:tcW w:w="1120" w:type="dxa"/>
            <w:tcBorders>
              <w:top w:val="nil"/>
              <w:left w:val="nil"/>
              <w:bottom w:val="nil"/>
              <w:right w:val="single" w:sz="4" w:space="0" w:color="auto"/>
            </w:tcBorders>
            <w:shd w:val="clear" w:color="auto" w:fill="auto"/>
            <w:noWrap/>
            <w:vAlign w:val="bottom"/>
            <w:hideMark/>
          </w:tcPr>
          <w:p w14:paraId="447066CC"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2.139</w:t>
            </w:r>
          </w:p>
        </w:tc>
        <w:tc>
          <w:tcPr>
            <w:tcW w:w="1120" w:type="dxa"/>
            <w:tcBorders>
              <w:top w:val="nil"/>
              <w:left w:val="nil"/>
              <w:bottom w:val="nil"/>
              <w:right w:val="single" w:sz="4" w:space="0" w:color="auto"/>
            </w:tcBorders>
            <w:shd w:val="clear" w:color="auto" w:fill="auto"/>
            <w:noWrap/>
            <w:vAlign w:val="bottom"/>
            <w:hideMark/>
          </w:tcPr>
          <w:p w14:paraId="27246AF7"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2.139</w:t>
            </w:r>
          </w:p>
        </w:tc>
      </w:tr>
      <w:tr w:rsidR="00CC09C1" w:rsidRPr="00CC09C1" w14:paraId="44F3207D"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13CAF98A"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single" w:sz="4" w:space="0" w:color="auto"/>
              <w:left w:val="single" w:sz="4" w:space="0" w:color="auto"/>
              <w:bottom w:val="nil"/>
              <w:right w:val="single" w:sz="4" w:space="0" w:color="auto"/>
            </w:tcBorders>
            <w:shd w:val="clear" w:color="auto" w:fill="auto"/>
            <w:noWrap/>
            <w:vAlign w:val="bottom"/>
            <w:hideMark/>
          </w:tcPr>
          <w:p w14:paraId="6CD3CCCA"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3.443</w:t>
            </w:r>
          </w:p>
        </w:tc>
        <w:tc>
          <w:tcPr>
            <w:tcW w:w="1120" w:type="dxa"/>
            <w:tcBorders>
              <w:top w:val="single" w:sz="4" w:space="0" w:color="auto"/>
              <w:left w:val="nil"/>
              <w:bottom w:val="nil"/>
              <w:right w:val="single" w:sz="4" w:space="0" w:color="auto"/>
            </w:tcBorders>
            <w:shd w:val="clear" w:color="auto" w:fill="auto"/>
            <w:noWrap/>
            <w:vAlign w:val="bottom"/>
            <w:hideMark/>
          </w:tcPr>
          <w:p w14:paraId="1464614A"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2.807</w:t>
            </w:r>
          </w:p>
        </w:tc>
        <w:tc>
          <w:tcPr>
            <w:tcW w:w="1120" w:type="dxa"/>
            <w:tcBorders>
              <w:top w:val="single" w:sz="4" w:space="0" w:color="auto"/>
              <w:left w:val="nil"/>
              <w:bottom w:val="nil"/>
              <w:right w:val="single" w:sz="4" w:space="0" w:color="auto"/>
            </w:tcBorders>
            <w:shd w:val="clear" w:color="auto" w:fill="auto"/>
            <w:noWrap/>
            <w:vAlign w:val="bottom"/>
            <w:hideMark/>
          </w:tcPr>
          <w:p w14:paraId="69F509C1"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2.354</w:t>
            </w:r>
          </w:p>
        </w:tc>
        <w:tc>
          <w:tcPr>
            <w:tcW w:w="1120" w:type="dxa"/>
            <w:tcBorders>
              <w:top w:val="single" w:sz="4" w:space="0" w:color="auto"/>
              <w:left w:val="nil"/>
              <w:bottom w:val="nil"/>
              <w:right w:val="single" w:sz="4" w:space="0" w:color="auto"/>
            </w:tcBorders>
            <w:shd w:val="clear" w:color="auto" w:fill="auto"/>
            <w:noWrap/>
            <w:vAlign w:val="bottom"/>
            <w:hideMark/>
          </w:tcPr>
          <w:p w14:paraId="788421F4"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2.354</w:t>
            </w:r>
          </w:p>
        </w:tc>
        <w:tc>
          <w:tcPr>
            <w:tcW w:w="1120" w:type="dxa"/>
            <w:tcBorders>
              <w:top w:val="single" w:sz="4" w:space="0" w:color="auto"/>
              <w:left w:val="nil"/>
              <w:bottom w:val="nil"/>
              <w:right w:val="single" w:sz="4" w:space="0" w:color="auto"/>
            </w:tcBorders>
            <w:shd w:val="clear" w:color="auto" w:fill="auto"/>
            <w:noWrap/>
            <w:vAlign w:val="bottom"/>
            <w:hideMark/>
          </w:tcPr>
          <w:p w14:paraId="00177C9D"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2.354</w:t>
            </w:r>
          </w:p>
        </w:tc>
        <w:tc>
          <w:tcPr>
            <w:tcW w:w="1120" w:type="dxa"/>
            <w:tcBorders>
              <w:top w:val="single" w:sz="4" w:space="0" w:color="auto"/>
              <w:left w:val="nil"/>
              <w:bottom w:val="nil"/>
              <w:right w:val="single" w:sz="4" w:space="0" w:color="auto"/>
            </w:tcBorders>
            <w:shd w:val="clear" w:color="auto" w:fill="auto"/>
            <w:noWrap/>
            <w:vAlign w:val="bottom"/>
            <w:hideMark/>
          </w:tcPr>
          <w:p w14:paraId="201446F6"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2.354</w:t>
            </w:r>
          </w:p>
        </w:tc>
      </w:tr>
      <w:tr w:rsidR="00CC09C1" w:rsidRPr="00CC09C1" w14:paraId="2B0F4580"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3E3229B6" w14:textId="77777777" w:rsidR="00CC09C1" w:rsidRPr="00CC09C1" w:rsidRDefault="00CC09C1" w:rsidP="00CC09C1">
            <w:pPr>
              <w:spacing w:after="0" w:line="240" w:lineRule="auto"/>
              <w:rPr>
                <w:rFonts w:eastAsia="Times New Roman" w:cs="Calibri"/>
                <w:b/>
                <w:bCs/>
                <w:color w:val="000000"/>
                <w:sz w:val="20"/>
                <w:szCs w:val="20"/>
                <w:u w:val="single"/>
                <w:lang w:eastAsia="en-GB"/>
              </w:rPr>
            </w:pPr>
            <w:r w:rsidRPr="00CC09C1">
              <w:rPr>
                <w:rFonts w:eastAsia="Times New Roman" w:cs="Calibri"/>
                <w:b/>
                <w:bCs/>
                <w:color w:val="000000"/>
                <w:sz w:val="20"/>
                <w:szCs w:val="20"/>
                <w:u w:val="single"/>
                <w:lang w:eastAsia="en-GB"/>
              </w:rPr>
              <w:t>Held to facilitate change programmes</w:t>
            </w:r>
          </w:p>
        </w:tc>
        <w:tc>
          <w:tcPr>
            <w:tcW w:w="1120" w:type="dxa"/>
            <w:tcBorders>
              <w:top w:val="nil"/>
              <w:left w:val="single" w:sz="4" w:space="0" w:color="auto"/>
              <w:bottom w:val="nil"/>
              <w:right w:val="single" w:sz="4" w:space="0" w:color="auto"/>
            </w:tcBorders>
            <w:shd w:val="clear" w:color="auto" w:fill="auto"/>
            <w:noWrap/>
            <w:vAlign w:val="bottom"/>
            <w:hideMark/>
          </w:tcPr>
          <w:p w14:paraId="2576FDD7"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60F4E8F6"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2E9A06A0"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65FCF91F"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34EE01AA"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29C2A3B6"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r>
      <w:tr w:rsidR="00CC09C1" w:rsidRPr="00CC09C1" w14:paraId="2DAF059D"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03EA04D0"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PFCC Initiatives Reserve</w:t>
            </w:r>
          </w:p>
        </w:tc>
        <w:tc>
          <w:tcPr>
            <w:tcW w:w="1120" w:type="dxa"/>
            <w:tcBorders>
              <w:top w:val="nil"/>
              <w:left w:val="single" w:sz="4" w:space="0" w:color="auto"/>
              <w:bottom w:val="nil"/>
              <w:right w:val="single" w:sz="4" w:space="0" w:color="auto"/>
            </w:tcBorders>
            <w:shd w:val="clear" w:color="auto" w:fill="auto"/>
            <w:noWrap/>
            <w:vAlign w:val="bottom"/>
            <w:hideMark/>
          </w:tcPr>
          <w:p w14:paraId="43C753B6"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3.908</w:t>
            </w:r>
          </w:p>
        </w:tc>
        <w:tc>
          <w:tcPr>
            <w:tcW w:w="1120" w:type="dxa"/>
            <w:tcBorders>
              <w:top w:val="nil"/>
              <w:left w:val="nil"/>
              <w:bottom w:val="nil"/>
              <w:right w:val="single" w:sz="4" w:space="0" w:color="auto"/>
            </w:tcBorders>
            <w:shd w:val="clear" w:color="auto" w:fill="auto"/>
            <w:noWrap/>
            <w:vAlign w:val="bottom"/>
            <w:hideMark/>
          </w:tcPr>
          <w:p w14:paraId="50E35724"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2.998</w:t>
            </w:r>
          </w:p>
        </w:tc>
        <w:tc>
          <w:tcPr>
            <w:tcW w:w="1120" w:type="dxa"/>
            <w:tcBorders>
              <w:top w:val="nil"/>
              <w:left w:val="nil"/>
              <w:bottom w:val="nil"/>
              <w:right w:val="single" w:sz="4" w:space="0" w:color="auto"/>
            </w:tcBorders>
            <w:shd w:val="clear" w:color="auto" w:fill="auto"/>
            <w:noWrap/>
            <w:vAlign w:val="bottom"/>
            <w:hideMark/>
          </w:tcPr>
          <w:p w14:paraId="3C92DABE"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2.668</w:t>
            </w:r>
          </w:p>
        </w:tc>
        <w:tc>
          <w:tcPr>
            <w:tcW w:w="1120" w:type="dxa"/>
            <w:tcBorders>
              <w:top w:val="nil"/>
              <w:left w:val="nil"/>
              <w:bottom w:val="nil"/>
              <w:right w:val="single" w:sz="4" w:space="0" w:color="auto"/>
            </w:tcBorders>
            <w:shd w:val="clear" w:color="auto" w:fill="auto"/>
            <w:noWrap/>
            <w:vAlign w:val="bottom"/>
            <w:hideMark/>
          </w:tcPr>
          <w:p w14:paraId="68DE7C9E"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2.668</w:t>
            </w:r>
          </w:p>
        </w:tc>
        <w:tc>
          <w:tcPr>
            <w:tcW w:w="1120" w:type="dxa"/>
            <w:tcBorders>
              <w:top w:val="nil"/>
              <w:left w:val="nil"/>
              <w:bottom w:val="nil"/>
              <w:right w:val="single" w:sz="4" w:space="0" w:color="auto"/>
            </w:tcBorders>
            <w:shd w:val="clear" w:color="auto" w:fill="auto"/>
            <w:noWrap/>
            <w:vAlign w:val="bottom"/>
            <w:hideMark/>
          </w:tcPr>
          <w:p w14:paraId="3A5FB22F"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2.668</w:t>
            </w:r>
          </w:p>
        </w:tc>
        <w:tc>
          <w:tcPr>
            <w:tcW w:w="1120" w:type="dxa"/>
            <w:tcBorders>
              <w:top w:val="nil"/>
              <w:left w:val="nil"/>
              <w:bottom w:val="nil"/>
              <w:right w:val="single" w:sz="4" w:space="0" w:color="auto"/>
            </w:tcBorders>
            <w:shd w:val="clear" w:color="auto" w:fill="auto"/>
            <w:noWrap/>
            <w:vAlign w:val="bottom"/>
            <w:hideMark/>
          </w:tcPr>
          <w:p w14:paraId="0443876D"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2.668</w:t>
            </w:r>
          </w:p>
        </w:tc>
      </w:tr>
      <w:tr w:rsidR="00CC09C1" w:rsidRPr="00CC09C1" w14:paraId="5240CDCC"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2E772789"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Transformation Reserve</w:t>
            </w:r>
          </w:p>
        </w:tc>
        <w:tc>
          <w:tcPr>
            <w:tcW w:w="1120" w:type="dxa"/>
            <w:tcBorders>
              <w:top w:val="nil"/>
              <w:left w:val="single" w:sz="4" w:space="0" w:color="auto"/>
              <w:bottom w:val="nil"/>
              <w:right w:val="single" w:sz="4" w:space="0" w:color="auto"/>
            </w:tcBorders>
            <w:shd w:val="clear" w:color="auto" w:fill="auto"/>
            <w:noWrap/>
            <w:vAlign w:val="bottom"/>
            <w:hideMark/>
          </w:tcPr>
          <w:p w14:paraId="2C3481E5"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2.458</w:t>
            </w:r>
          </w:p>
        </w:tc>
        <w:tc>
          <w:tcPr>
            <w:tcW w:w="1120" w:type="dxa"/>
            <w:tcBorders>
              <w:top w:val="nil"/>
              <w:left w:val="nil"/>
              <w:bottom w:val="nil"/>
              <w:right w:val="single" w:sz="4" w:space="0" w:color="auto"/>
            </w:tcBorders>
            <w:shd w:val="clear" w:color="auto" w:fill="auto"/>
            <w:noWrap/>
            <w:vAlign w:val="bottom"/>
            <w:hideMark/>
          </w:tcPr>
          <w:p w14:paraId="756800D6"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0.635</w:t>
            </w:r>
          </w:p>
        </w:tc>
        <w:tc>
          <w:tcPr>
            <w:tcW w:w="1120" w:type="dxa"/>
            <w:tcBorders>
              <w:top w:val="nil"/>
              <w:left w:val="nil"/>
              <w:bottom w:val="nil"/>
              <w:right w:val="single" w:sz="4" w:space="0" w:color="auto"/>
            </w:tcBorders>
            <w:shd w:val="clear" w:color="auto" w:fill="auto"/>
            <w:noWrap/>
            <w:vAlign w:val="bottom"/>
            <w:hideMark/>
          </w:tcPr>
          <w:p w14:paraId="31F4F8FF"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0.876</w:t>
            </w:r>
          </w:p>
        </w:tc>
        <w:tc>
          <w:tcPr>
            <w:tcW w:w="1120" w:type="dxa"/>
            <w:tcBorders>
              <w:top w:val="nil"/>
              <w:left w:val="nil"/>
              <w:bottom w:val="nil"/>
              <w:right w:val="single" w:sz="4" w:space="0" w:color="auto"/>
            </w:tcBorders>
            <w:shd w:val="clear" w:color="auto" w:fill="auto"/>
            <w:noWrap/>
            <w:vAlign w:val="bottom"/>
            <w:hideMark/>
          </w:tcPr>
          <w:p w14:paraId="1E010DCE"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0.876</w:t>
            </w:r>
          </w:p>
        </w:tc>
        <w:tc>
          <w:tcPr>
            <w:tcW w:w="1120" w:type="dxa"/>
            <w:tcBorders>
              <w:top w:val="nil"/>
              <w:left w:val="nil"/>
              <w:bottom w:val="nil"/>
              <w:right w:val="single" w:sz="4" w:space="0" w:color="auto"/>
            </w:tcBorders>
            <w:shd w:val="clear" w:color="auto" w:fill="auto"/>
            <w:noWrap/>
            <w:vAlign w:val="bottom"/>
            <w:hideMark/>
          </w:tcPr>
          <w:p w14:paraId="297B5009"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0.876</w:t>
            </w:r>
          </w:p>
        </w:tc>
        <w:tc>
          <w:tcPr>
            <w:tcW w:w="1120" w:type="dxa"/>
            <w:tcBorders>
              <w:top w:val="nil"/>
              <w:left w:val="nil"/>
              <w:bottom w:val="nil"/>
              <w:right w:val="single" w:sz="4" w:space="0" w:color="auto"/>
            </w:tcBorders>
            <w:shd w:val="clear" w:color="auto" w:fill="auto"/>
            <w:noWrap/>
            <w:vAlign w:val="bottom"/>
            <w:hideMark/>
          </w:tcPr>
          <w:p w14:paraId="7ABA2595"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0.876</w:t>
            </w:r>
          </w:p>
        </w:tc>
      </w:tr>
      <w:tr w:rsidR="00CC09C1" w:rsidRPr="00CC09C1" w14:paraId="75D50608"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1B23F0F1"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Safer Roads Reserve</w:t>
            </w:r>
          </w:p>
        </w:tc>
        <w:tc>
          <w:tcPr>
            <w:tcW w:w="1120" w:type="dxa"/>
            <w:tcBorders>
              <w:top w:val="nil"/>
              <w:left w:val="single" w:sz="4" w:space="0" w:color="auto"/>
              <w:bottom w:val="nil"/>
              <w:right w:val="single" w:sz="4" w:space="0" w:color="auto"/>
            </w:tcBorders>
            <w:shd w:val="clear" w:color="auto" w:fill="auto"/>
            <w:noWrap/>
            <w:vAlign w:val="bottom"/>
            <w:hideMark/>
          </w:tcPr>
          <w:p w14:paraId="4CDEFB42"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0.501</w:t>
            </w:r>
          </w:p>
        </w:tc>
        <w:tc>
          <w:tcPr>
            <w:tcW w:w="1120" w:type="dxa"/>
            <w:tcBorders>
              <w:top w:val="nil"/>
              <w:left w:val="nil"/>
              <w:bottom w:val="nil"/>
              <w:right w:val="single" w:sz="4" w:space="0" w:color="auto"/>
            </w:tcBorders>
            <w:shd w:val="clear" w:color="auto" w:fill="auto"/>
            <w:noWrap/>
            <w:vAlign w:val="bottom"/>
            <w:hideMark/>
          </w:tcPr>
          <w:p w14:paraId="2159E52D"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0.435</w:t>
            </w:r>
          </w:p>
        </w:tc>
        <w:tc>
          <w:tcPr>
            <w:tcW w:w="1120" w:type="dxa"/>
            <w:tcBorders>
              <w:top w:val="nil"/>
              <w:left w:val="nil"/>
              <w:bottom w:val="nil"/>
              <w:right w:val="single" w:sz="4" w:space="0" w:color="auto"/>
            </w:tcBorders>
            <w:shd w:val="clear" w:color="auto" w:fill="auto"/>
            <w:noWrap/>
            <w:vAlign w:val="bottom"/>
            <w:hideMark/>
          </w:tcPr>
          <w:p w14:paraId="10B9ACCB"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0.369</w:t>
            </w:r>
          </w:p>
        </w:tc>
        <w:tc>
          <w:tcPr>
            <w:tcW w:w="1120" w:type="dxa"/>
            <w:tcBorders>
              <w:top w:val="nil"/>
              <w:left w:val="nil"/>
              <w:bottom w:val="nil"/>
              <w:right w:val="single" w:sz="4" w:space="0" w:color="auto"/>
            </w:tcBorders>
            <w:shd w:val="clear" w:color="auto" w:fill="auto"/>
            <w:noWrap/>
            <w:vAlign w:val="bottom"/>
            <w:hideMark/>
          </w:tcPr>
          <w:p w14:paraId="3E269920"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0.303</w:t>
            </w:r>
          </w:p>
        </w:tc>
        <w:tc>
          <w:tcPr>
            <w:tcW w:w="1120" w:type="dxa"/>
            <w:tcBorders>
              <w:top w:val="nil"/>
              <w:left w:val="nil"/>
              <w:bottom w:val="nil"/>
              <w:right w:val="single" w:sz="4" w:space="0" w:color="auto"/>
            </w:tcBorders>
            <w:shd w:val="clear" w:color="auto" w:fill="auto"/>
            <w:noWrap/>
            <w:vAlign w:val="bottom"/>
            <w:hideMark/>
          </w:tcPr>
          <w:p w14:paraId="69CD2EFF"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0.237</w:t>
            </w:r>
          </w:p>
        </w:tc>
        <w:tc>
          <w:tcPr>
            <w:tcW w:w="1120" w:type="dxa"/>
            <w:tcBorders>
              <w:top w:val="nil"/>
              <w:left w:val="nil"/>
              <w:bottom w:val="nil"/>
              <w:right w:val="single" w:sz="4" w:space="0" w:color="auto"/>
            </w:tcBorders>
            <w:shd w:val="clear" w:color="auto" w:fill="auto"/>
            <w:noWrap/>
            <w:vAlign w:val="bottom"/>
            <w:hideMark/>
          </w:tcPr>
          <w:p w14:paraId="7F90ECB0"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0.171</w:t>
            </w:r>
          </w:p>
        </w:tc>
      </w:tr>
      <w:tr w:rsidR="00CC09C1" w:rsidRPr="00CC09C1" w14:paraId="655BC8DC"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085568E8"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Neighbourhood Reserve</w:t>
            </w:r>
          </w:p>
        </w:tc>
        <w:tc>
          <w:tcPr>
            <w:tcW w:w="1120" w:type="dxa"/>
            <w:tcBorders>
              <w:top w:val="nil"/>
              <w:left w:val="single" w:sz="4" w:space="0" w:color="auto"/>
              <w:bottom w:val="nil"/>
              <w:right w:val="single" w:sz="4" w:space="0" w:color="auto"/>
            </w:tcBorders>
            <w:shd w:val="clear" w:color="auto" w:fill="auto"/>
            <w:noWrap/>
            <w:vAlign w:val="bottom"/>
            <w:hideMark/>
          </w:tcPr>
          <w:p w14:paraId="4FA63378"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3.937</w:t>
            </w:r>
          </w:p>
        </w:tc>
        <w:tc>
          <w:tcPr>
            <w:tcW w:w="1120" w:type="dxa"/>
            <w:tcBorders>
              <w:top w:val="nil"/>
              <w:left w:val="nil"/>
              <w:bottom w:val="nil"/>
              <w:right w:val="single" w:sz="4" w:space="0" w:color="auto"/>
            </w:tcBorders>
            <w:shd w:val="clear" w:color="auto" w:fill="auto"/>
            <w:noWrap/>
            <w:vAlign w:val="bottom"/>
            <w:hideMark/>
          </w:tcPr>
          <w:p w14:paraId="36115C5C"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1.574</w:t>
            </w:r>
          </w:p>
        </w:tc>
        <w:tc>
          <w:tcPr>
            <w:tcW w:w="1120" w:type="dxa"/>
            <w:tcBorders>
              <w:top w:val="nil"/>
              <w:left w:val="nil"/>
              <w:bottom w:val="nil"/>
              <w:right w:val="single" w:sz="4" w:space="0" w:color="auto"/>
            </w:tcBorders>
            <w:shd w:val="clear" w:color="auto" w:fill="auto"/>
            <w:noWrap/>
            <w:vAlign w:val="bottom"/>
            <w:hideMark/>
          </w:tcPr>
          <w:p w14:paraId="53110020"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1.574</w:t>
            </w:r>
          </w:p>
        </w:tc>
        <w:tc>
          <w:tcPr>
            <w:tcW w:w="1120" w:type="dxa"/>
            <w:tcBorders>
              <w:top w:val="nil"/>
              <w:left w:val="nil"/>
              <w:bottom w:val="nil"/>
              <w:right w:val="single" w:sz="4" w:space="0" w:color="auto"/>
            </w:tcBorders>
            <w:shd w:val="clear" w:color="auto" w:fill="auto"/>
            <w:noWrap/>
            <w:vAlign w:val="bottom"/>
            <w:hideMark/>
          </w:tcPr>
          <w:p w14:paraId="4E3EA923"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1.574</w:t>
            </w:r>
          </w:p>
        </w:tc>
        <w:tc>
          <w:tcPr>
            <w:tcW w:w="1120" w:type="dxa"/>
            <w:tcBorders>
              <w:top w:val="nil"/>
              <w:left w:val="nil"/>
              <w:bottom w:val="nil"/>
              <w:right w:val="single" w:sz="4" w:space="0" w:color="auto"/>
            </w:tcBorders>
            <w:shd w:val="clear" w:color="auto" w:fill="auto"/>
            <w:noWrap/>
            <w:vAlign w:val="bottom"/>
            <w:hideMark/>
          </w:tcPr>
          <w:p w14:paraId="54EB7190"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1.574</w:t>
            </w:r>
          </w:p>
        </w:tc>
        <w:tc>
          <w:tcPr>
            <w:tcW w:w="1120" w:type="dxa"/>
            <w:tcBorders>
              <w:top w:val="nil"/>
              <w:left w:val="nil"/>
              <w:bottom w:val="nil"/>
              <w:right w:val="single" w:sz="4" w:space="0" w:color="auto"/>
            </w:tcBorders>
            <w:shd w:val="clear" w:color="auto" w:fill="auto"/>
            <w:noWrap/>
            <w:vAlign w:val="bottom"/>
            <w:hideMark/>
          </w:tcPr>
          <w:p w14:paraId="677096F3"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1.574</w:t>
            </w:r>
          </w:p>
        </w:tc>
      </w:tr>
      <w:tr w:rsidR="00CC09C1" w:rsidRPr="00CC09C1" w14:paraId="479FF319"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0D357EEF"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single" w:sz="4" w:space="0" w:color="auto"/>
              <w:left w:val="single" w:sz="4" w:space="0" w:color="auto"/>
              <w:bottom w:val="nil"/>
              <w:right w:val="single" w:sz="4" w:space="0" w:color="auto"/>
            </w:tcBorders>
            <w:shd w:val="clear" w:color="auto" w:fill="auto"/>
            <w:noWrap/>
            <w:vAlign w:val="bottom"/>
            <w:hideMark/>
          </w:tcPr>
          <w:p w14:paraId="58535696"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10.804</w:t>
            </w:r>
          </w:p>
        </w:tc>
        <w:tc>
          <w:tcPr>
            <w:tcW w:w="1120" w:type="dxa"/>
            <w:tcBorders>
              <w:top w:val="single" w:sz="4" w:space="0" w:color="auto"/>
              <w:left w:val="nil"/>
              <w:bottom w:val="nil"/>
              <w:right w:val="single" w:sz="4" w:space="0" w:color="auto"/>
            </w:tcBorders>
            <w:shd w:val="clear" w:color="auto" w:fill="auto"/>
            <w:noWrap/>
            <w:vAlign w:val="bottom"/>
            <w:hideMark/>
          </w:tcPr>
          <w:p w14:paraId="102DA870"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5.642</w:t>
            </w:r>
          </w:p>
        </w:tc>
        <w:tc>
          <w:tcPr>
            <w:tcW w:w="1120" w:type="dxa"/>
            <w:tcBorders>
              <w:top w:val="single" w:sz="4" w:space="0" w:color="auto"/>
              <w:left w:val="nil"/>
              <w:bottom w:val="nil"/>
              <w:right w:val="single" w:sz="4" w:space="0" w:color="auto"/>
            </w:tcBorders>
            <w:shd w:val="clear" w:color="auto" w:fill="auto"/>
            <w:noWrap/>
            <w:vAlign w:val="bottom"/>
            <w:hideMark/>
          </w:tcPr>
          <w:p w14:paraId="42A39266"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5.487</w:t>
            </w:r>
          </w:p>
        </w:tc>
        <w:tc>
          <w:tcPr>
            <w:tcW w:w="1120" w:type="dxa"/>
            <w:tcBorders>
              <w:top w:val="single" w:sz="4" w:space="0" w:color="auto"/>
              <w:left w:val="nil"/>
              <w:bottom w:val="nil"/>
              <w:right w:val="single" w:sz="4" w:space="0" w:color="auto"/>
            </w:tcBorders>
            <w:shd w:val="clear" w:color="auto" w:fill="auto"/>
            <w:noWrap/>
            <w:vAlign w:val="bottom"/>
            <w:hideMark/>
          </w:tcPr>
          <w:p w14:paraId="1834385C"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5.421</w:t>
            </w:r>
          </w:p>
        </w:tc>
        <w:tc>
          <w:tcPr>
            <w:tcW w:w="1120" w:type="dxa"/>
            <w:tcBorders>
              <w:top w:val="single" w:sz="4" w:space="0" w:color="auto"/>
              <w:left w:val="nil"/>
              <w:bottom w:val="nil"/>
              <w:right w:val="single" w:sz="4" w:space="0" w:color="auto"/>
            </w:tcBorders>
            <w:shd w:val="clear" w:color="auto" w:fill="auto"/>
            <w:noWrap/>
            <w:vAlign w:val="bottom"/>
            <w:hideMark/>
          </w:tcPr>
          <w:p w14:paraId="2662EB14"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5.355</w:t>
            </w:r>
          </w:p>
        </w:tc>
        <w:tc>
          <w:tcPr>
            <w:tcW w:w="1120" w:type="dxa"/>
            <w:tcBorders>
              <w:top w:val="single" w:sz="4" w:space="0" w:color="auto"/>
              <w:left w:val="nil"/>
              <w:bottom w:val="nil"/>
              <w:right w:val="single" w:sz="4" w:space="0" w:color="auto"/>
            </w:tcBorders>
            <w:shd w:val="clear" w:color="auto" w:fill="auto"/>
            <w:noWrap/>
            <w:vAlign w:val="bottom"/>
            <w:hideMark/>
          </w:tcPr>
          <w:p w14:paraId="3BE126F2"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5.289</w:t>
            </w:r>
          </w:p>
        </w:tc>
      </w:tr>
      <w:tr w:rsidR="00CC09C1" w:rsidRPr="00CC09C1" w14:paraId="1131D925"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5E3DD01C" w14:textId="77777777" w:rsidR="00CC09C1" w:rsidRPr="00CC09C1" w:rsidRDefault="00CC09C1" w:rsidP="00CC09C1">
            <w:pPr>
              <w:spacing w:after="0" w:line="240" w:lineRule="auto"/>
              <w:rPr>
                <w:rFonts w:eastAsia="Times New Roman" w:cs="Calibri"/>
                <w:b/>
                <w:bCs/>
                <w:color w:val="000000"/>
                <w:sz w:val="20"/>
                <w:szCs w:val="20"/>
                <w:u w:val="single"/>
                <w:lang w:eastAsia="en-GB"/>
              </w:rPr>
            </w:pPr>
            <w:r w:rsidRPr="00CC09C1">
              <w:rPr>
                <w:rFonts w:eastAsia="Times New Roman" w:cs="Calibri"/>
                <w:b/>
                <w:bCs/>
                <w:color w:val="000000"/>
                <w:sz w:val="20"/>
                <w:szCs w:val="20"/>
                <w:u w:val="single"/>
                <w:lang w:eastAsia="en-GB"/>
              </w:rPr>
              <w:t>Capital Reserves</w:t>
            </w:r>
          </w:p>
        </w:tc>
        <w:tc>
          <w:tcPr>
            <w:tcW w:w="1120" w:type="dxa"/>
            <w:tcBorders>
              <w:top w:val="nil"/>
              <w:left w:val="single" w:sz="4" w:space="0" w:color="auto"/>
              <w:bottom w:val="nil"/>
              <w:right w:val="single" w:sz="4" w:space="0" w:color="auto"/>
            </w:tcBorders>
            <w:shd w:val="clear" w:color="auto" w:fill="auto"/>
            <w:noWrap/>
            <w:vAlign w:val="bottom"/>
            <w:hideMark/>
          </w:tcPr>
          <w:p w14:paraId="0465ADB3"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4BC5523E"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6BF0E06C"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12DE8F84"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7F346D3A"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194F45B4"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r>
      <w:tr w:rsidR="00CC09C1" w:rsidRPr="00CC09C1" w14:paraId="3ECB3B74"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4064103F"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S106 Developer Contributions</w:t>
            </w:r>
          </w:p>
        </w:tc>
        <w:tc>
          <w:tcPr>
            <w:tcW w:w="1120" w:type="dxa"/>
            <w:tcBorders>
              <w:top w:val="nil"/>
              <w:left w:val="single" w:sz="4" w:space="0" w:color="auto"/>
              <w:bottom w:val="nil"/>
              <w:right w:val="single" w:sz="4" w:space="0" w:color="auto"/>
            </w:tcBorders>
            <w:shd w:val="clear" w:color="auto" w:fill="auto"/>
            <w:noWrap/>
            <w:vAlign w:val="bottom"/>
            <w:hideMark/>
          </w:tcPr>
          <w:p w14:paraId="59D01661"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0.191</w:t>
            </w:r>
          </w:p>
        </w:tc>
        <w:tc>
          <w:tcPr>
            <w:tcW w:w="1120" w:type="dxa"/>
            <w:tcBorders>
              <w:top w:val="nil"/>
              <w:left w:val="nil"/>
              <w:bottom w:val="nil"/>
              <w:right w:val="single" w:sz="4" w:space="0" w:color="auto"/>
            </w:tcBorders>
            <w:shd w:val="clear" w:color="auto" w:fill="auto"/>
            <w:noWrap/>
            <w:vAlign w:val="bottom"/>
            <w:hideMark/>
          </w:tcPr>
          <w:p w14:paraId="1EF76ABF"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0.233</w:t>
            </w:r>
          </w:p>
        </w:tc>
        <w:tc>
          <w:tcPr>
            <w:tcW w:w="1120" w:type="dxa"/>
            <w:tcBorders>
              <w:top w:val="nil"/>
              <w:left w:val="nil"/>
              <w:bottom w:val="nil"/>
              <w:right w:val="single" w:sz="4" w:space="0" w:color="auto"/>
            </w:tcBorders>
            <w:shd w:val="clear" w:color="auto" w:fill="auto"/>
            <w:noWrap/>
            <w:vAlign w:val="bottom"/>
            <w:hideMark/>
          </w:tcPr>
          <w:p w14:paraId="14C6DD42"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0.133</w:t>
            </w:r>
          </w:p>
        </w:tc>
        <w:tc>
          <w:tcPr>
            <w:tcW w:w="1120" w:type="dxa"/>
            <w:tcBorders>
              <w:top w:val="nil"/>
              <w:left w:val="nil"/>
              <w:bottom w:val="nil"/>
              <w:right w:val="single" w:sz="4" w:space="0" w:color="auto"/>
            </w:tcBorders>
            <w:shd w:val="clear" w:color="auto" w:fill="auto"/>
            <w:noWrap/>
            <w:vAlign w:val="bottom"/>
            <w:hideMark/>
          </w:tcPr>
          <w:p w14:paraId="2C22E579"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0.033</w:t>
            </w:r>
          </w:p>
        </w:tc>
        <w:tc>
          <w:tcPr>
            <w:tcW w:w="1120" w:type="dxa"/>
            <w:tcBorders>
              <w:top w:val="nil"/>
              <w:left w:val="nil"/>
              <w:bottom w:val="nil"/>
              <w:right w:val="single" w:sz="4" w:space="0" w:color="auto"/>
            </w:tcBorders>
            <w:shd w:val="clear" w:color="auto" w:fill="auto"/>
            <w:noWrap/>
            <w:vAlign w:val="bottom"/>
            <w:hideMark/>
          </w:tcPr>
          <w:p w14:paraId="51CA2B26"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53E622A0"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r>
      <w:tr w:rsidR="00CC09C1" w:rsidRPr="00CC09C1" w14:paraId="5FCBA85F"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15B49720"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Capital Reserves</w:t>
            </w:r>
          </w:p>
        </w:tc>
        <w:tc>
          <w:tcPr>
            <w:tcW w:w="1120" w:type="dxa"/>
            <w:tcBorders>
              <w:top w:val="nil"/>
              <w:left w:val="single" w:sz="4" w:space="0" w:color="auto"/>
              <w:bottom w:val="nil"/>
              <w:right w:val="single" w:sz="4" w:space="0" w:color="auto"/>
            </w:tcBorders>
            <w:shd w:val="clear" w:color="auto" w:fill="auto"/>
            <w:noWrap/>
            <w:vAlign w:val="bottom"/>
            <w:hideMark/>
          </w:tcPr>
          <w:p w14:paraId="4C167320"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0.077</w:t>
            </w:r>
          </w:p>
        </w:tc>
        <w:tc>
          <w:tcPr>
            <w:tcW w:w="1120" w:type="dxa"/>
            <w:tcBorders>
              <w:top w:val="nil"/>
              <w:left w:val="nil"/>
              <w:bottom w:val="nil"/>
              <w:right w:val="single" w:sz="4" w:space="0" w:color="auto"/>
            </w:tcBorders>
            <w:shd w:val="clear" w:color="auto" w:fill="auto"/>
            <w:noWrap/>
            <w:vAlign w:val="bottom"/>
            <w:hideMark/>
          </w:tcPr>
          <w:p w14:paraId="144B7DED"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0.077</w:t>
            </w:r>
          </w:p>
        </w:tc>
        <w:tc>
          <w:tcPr>
            <w:tcW w:w="1120" w:type="dxa"/>
            <w:tcBorders>
              <w:top w:val="nil"/>
              <w:left w:val="nil"/>
              <w:bottom w:val="nil"/>
              <w:right w:val="single" w:sz="4" w:space="0" w:color="auto"/>
            </w:tcBorders>
            <w:shd w:val="clear" w:color="auto" w:fill="auto"/>
            <w:noWrap/>
            <w:vAlign w:val="bottom"/>
            <w:hideMark/>
          </w:tcPr>
          <w:p w14:paraId="2F2AA4C5"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0.077</w:t>
            </w:r>
          </w:p>
        </w:tc>
        <w:tc>
          <w:tcPr>
            <w:tcW w:w="1120" w:type="dxa"/>
            <w:tcBorders>
              <w:top w:val="nil"/>
              <w:left w:val="nil"/>
              <w:bottom w:val="nil"/>
              <w:right w:val="single" w:sz="4" w:space="0" w:color="auto"/>
            </w:tcBorders>
            <w:shd w:val="clear" w:color="auto" w:fill="auto"/>
            <w:noWrap/>
            <w:vAlign w:val="bottom"/>
            <w:hideMark/>
          </w:tcPr>
          <w:p w14:paraId="11FFF1D6"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0.077</w:t>
            </w:r>
          </w:p>
        </w:tc>
        <w:tc>
          <w:tcPr>
            <w:tcW w:w="1120" w:type="dxa"/>
            <w:tcBorders>
              <w:top w:val="nil"/>
              <w:left w:val="nil"/>
              <w:bottom w:val="nil"/>
              <w:right w:val="single" w:sz="4" w:space="0" w:color="auto"/>
            </w:tcBorders>
            <w:shd w:val="clear" w:color="auto" w:fill="auto"/>
            <w:noWrap/>
            <w:vAlign w:val="bottom"/>
            <w:hideMark/>
          </w:tcPr>
          <w:p w14:paraId="22ED512C"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0.077</w:t>
            </w:r>
          </w:p>
        </w:tc>
        <w:tc>
          <w:tcPr>
            <w:tcW w:w="1120" w:type="dxa"/>
            <w:tcBorders>
              <w:top w:val="nil"/>
              <w:left w:val="nil"/>
              <w:bottom w:val="nil"/>
              <w:right w:val="single" w:sz="4" w:space="0" w:color="auto"/>
            </w:tcBorders>
            <w:shd w:val="clear" w:color="auto" w:fill="auto"/>
            <w:noWrap/>
            <w:vAlign w:val="bottom"/>
            <w:hideMark/>
          </w:tcPr>
          <w:p w14:paraId="054FC1D4"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0.077</w:t>
            </w:r>
          </w:p>
        </w:tc>
      </w:tr>
      <w:tr w:rsidR="00CC09C1" w:rsidRPr="00CC09C1" w14:paraId="29792D97"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230733DB"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single" w:sz="4" w:space="0" w:color="auto"/>
              <w:left w:val="single" w:sz="4" w:space="0" w:color="auto"/>
              <w:bottom w:val="nil"/>
              <w:right w:val="single" w:sz="4" w:space="0" w:color="auto"/>
            </w:tcBorders>
            <w:shd w:val="clear" w:color="auto" w:fill="auto"/>
            <w:noWrap/>
            <w:vAlign w:val="bottom"/>
            <w:hideMark/>
          </w:tcPr>
          <w:p w14:paraId="665D2F40"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0.268</w:t>
            </w:r>
          </w:p>
        </w:tc>
        <w:tc>
          <w:tcPr>
            <w:tcW w:w="1120" w:type="dxa"/>
            <w:tcBorders>
              <w:top w:val="single" w:sz="4" w:space="0" w:color="auto"/>
              <w:left w:val="nil"/>
              <w:bottom w:val="nil"/>
              <w:right w:val="single" w:sz="4" w:space="0" w:color="auto"/>
            </w:tcBorders>
            <w:shd w:val="clear" w:color="auto" w:fill="auto"/>
            <w:noWrap/>
            <w:vAlign w:val="bottom"/>
            <w:hideMark/>
          </w:tcPr>
          <w:p w14:paraId="1FEA8A29"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0.310</w:t>
            </w:r>
          </w:p>
        </w:tc>
        <w:tc>
          <w:tcPr>
            <w:tcW w:w="1120" w:type="dxa"/>
            <w:tcBorders>
              <w:top w:val="single" w:sz="4" w:space="0" w:color="auto"/>
              <w:left w:val="nil"/>
              <w:bottom w:val="nil"/>
              <w:right w:val="single" w:sz="4" w:space="0" w:color="auto"/>
            </w:tcBorders>
            <w:shd w:val="clear" w:color="auto" w:fill="auto"/>
            <w:noWrap/>
            <w:vAlign w:val="bottom"/>
            <w:hideMark/>
          </w:tcPr>
          <w:p w14:paraId="03C30D8E"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0.210</w:t>
            </w:r>
          </w:p>
        </w:tc>
        <w:tc>
          <w:tcPr>
            <w:tcW w:w="1120" w:type="dxa"/>
            <w:tcBorders>
              <w:top w:val="single" w:sz="4" w:space="0" w:color="auto"/>
              <w:left w:val="nil"/>
              <w:bottom w:val="nil"/>
              <w:right w:val="single" w:sz="4" w:space="0" w:color="auto"/>
            </w:tcBorders>
            <w:shd w:val="clear" w:color="auto" w:fill="auto"/>
            <w:noWrap/>
            <w:vAlign w:val="bottom"/>
            <w:hideMark/>
          </w:tcPr>
          <w:p w14:paraId="6CEBBF13"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0.110</w:t>
            </w:r>
          </w:p>
        </w:tc>
        <w:tc>
          <w:tcPr>
            <w:tcW w:w="1120" w:type="dxa"/>
            <w:tcBorders>
              <w:top w:val="single" w:sz="4" w:space="0" w:color="auto"/>
              <w:left w:val="nil"/>
              <w:bottom w:val="nil"/>
              <w:right w:val="single" w:sz="4" w:space="0" w:color="auto"/>
            </w:tcBorders>
            <w:shd w:val="clear" w:color="auto" w:fill="auto"/>
            <w:noWrap/>
            <w:vAlign w:val="bottom"/>
            <w:hideMark/>
          </w:tcPr>
          <w:p w14:paraId="2B0E287A"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0.077</w:t>
            </w:r>
          </w:p>
        </w:tc>
        <w:tc>
          <w:tcPr>
            <w:tcW w:w="1120" w:type="dxa"/>
            <w:tcBorders>
              <w:top w:val="single" w:sz="4" w:space="0" w:color="auto"/>
              <w:left w:val="nil"/>
              <w:bottom w:val="nil"/>
              <w:right w:val="single" w:sz="4" w:space="0" w:color="auto"/>
            </w:tcBorders>
            <w:shd w:val="clear" w:color="auto" w:fill="auto"/>
            <w:noWrap/>
            <w:vAlign w:val="bottom"/>
            <w:hideMark/>
          </w:tcPr>
          <w:p w14:paraId="59338B70"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0.077</w:t>
            </w:r>
          </w:p>
        </w:tc>
      </w:tr>
      <w:tr w:rsidR="00CC09C1" w:rsidRPr="00CC09C1" w14:paraId="0D062EF3"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28D6D4E5" w14:textId="77777777" w:rsidR="00CC09C1" w:rsidRPr="00CC09C1" w:rsidRDefault="00CC09C1" w:rsidP="00CC09C1">
            <w:pPr>
              <w:spacing w:after="0" w:line="240" w:lineRule="auto"/>
              <w:rPr>
                <w:rFonts w:eastAsia="Times New Roman" w:cs="Calibri"/>
                <w:color w:val="FF0000"/>
                <w:sz w:val="20"/>
                <w:szCs w:val="20"/>
                <w:lang w:eastAsia="en-GB"/>
              </w:rPr>
            </w:pPr>
            <w:r w:rsidRPr="00CC09C1">
              <w:rPr>
                <w:rFonts w:eastAsia="Times New Roman" w:cs="Calibri"/>
                <w:color w:val="FF0000"/>
                <w:sz w:val="20"/>
                <w:szCs w:val="20"/>
                <w:lang w:eastAsia="en-GB"/>
              </w:rPr>
              <w:t> </w:t>
            </w:r>
          </w:p>
        </w:tc>
        <w:tc>
          <w:tcPr>
            <w:tcW w:w="1120" w:type="dxa"/>
            <w:tcBorders>
              <w:top w:val="nil"/>
              <w:left w:val="single" w:sz="4" w:space="0" w:color="auto"/>
              <w:bottom w:val="nil"/>
              <w:right w:val="single" w:sz="4" w:space="0" w:color="auto"/>
            </w:tcBorders>
            <w:shd w:val="clear" w:color="auto" w:fill="auto"/>
            <w:noWrap/>
            <w:vAlign w:val="bottom"/>
            <w:hideMark/>
          </w:tcPr>
          <w:p w14:paraId="54B22344" w14:textId="77777777" w:rsidR="00CC09C1" w:rsidRPr="00CC09C1" w:rsidRDefault="00CC09C1" w:rsidP="00CC09C1">
            <w:pPr>
              <w:spacing w:after="0" w:line="240" w:lineRule="auto"/>
              <w:rPr>
                <w:rFonts w:eastAsia="Times New Roman" w:cs="Calibri"/>
                <w:b/>
                <w:bCs/>
                <w:color w:val="FF0000"/>
                <w:sz w:val="20"/>
                <w:szCs w:val="20"/>
                <w:lang w:eastAsia="en-GB"/>
              </w:rPr>
            </w:pPr>
            <w:r w:rsidRPr="00CC09C1">
              <w:rPr>
                <w:rFonts w:eastAsia="Times New Roman" w:cs="Calibri"/>
                <w:b/>
                <w:bCs/>
                <w:color w:val="FF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50FFCBE2" w14:textId="77777777" w:rsidR="00CC09C1" w:rsidRPr="00CC09C1" w:rsidRDefault="00CC09C1" w:rsidP="00CC09C1">
            <w:pPr>
              <w:spacing w:after="0" w:line="240" w:lineRule="auto"/>
              <w:rPr>
                <w:rFonts w:eastAsia="Times New Roman" w:cs="Calibri"/>
                <w:b/>
                <w:bCs/>
                <w:color w:val="FF0000"/>
                <w:sz w:val="20"/>
                <w:szCs w:val="20"/>
                <w:lang w:eastAsia="en-GB"/>
              </w:rPr>
            </w:pPr>
            <w:r w:rsidRPr="00CC09C1">
              <w:rPr>
                <w:rFonts w:eastAsia="Times New Roman" w:cs="Calibri"/>
                <w:b/>
                <w:bCs/>
                <w:color w:val="FF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003D7153" w14:textId="77777777" w:rsidR="00CC09C1" w:rsidRPr="00CC09C1" w:rsidRDefault="00CC09C1" w:rsidP="00CC09C1">
            <w:pPr>
              <w:spacing w:after="0" w:line="240" w:lineRule="auto"/>
              <w:rPr>
                <w:rFonts w:eastAsia="Times New Roman" w:cs="Calibri"/>
                <w:b/>
                <w:bCs/>
                <w:color w:val="FF0000"/>
                <w:sz w:val="20"/>
                <w:szCs w:val="20"/>
                <w:lang w:eastAsia="en-GB"/>
              </w:rPr>
            </w:pPr>
            <w:r w:rsidRPr="00CC09C1">
              <w:rPr>
                <w:rFonts w:eastAsia="Times New Roman" w:cs="Calibri"/>
                <w:b/>
                <w:bCs/>
                <w:color w:val="FF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503136EC" w14:textId="77777777" w:rsidR="00CC09C1" w:rsidRPr="00CC09C1" w:rsidRDefault="00CC09C1" w:rsidP="00CC09C1">
            <w:pPr>
              <w:spacing w:after="0" w:line="240" w:lineRule="auto"/>
              <w:rPr>
                <w:rFonts w:eastAsia="Times New Roman" w:cs="Calibri"/>
                <w:b/>
                <w:bCs/>
                <w:color w:val="FF0000"/>
                <w:sz w:val="20"/>
                <w:szCs w:val="20"/>
                <w:lang w:eastAsia="en-GB"/>
              </w:rPr>
            </w:pPr>
            <w:r w:rsidRPr="00CC09C1">
              <w:rPr>
                <w:rFonts w:eastAsia="Times New Roman" w:cs="Calibri"/>
                <w:b/>
                <w:bCs/>
                <w:color w:val="FF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0B14D74D" w14:textId="77777777" w:rsidR="00CC09C1" w:rsidRPr="00CC09C1" w:rsidRDefault="00CC09C1" w:rsidP="00CC09C1">
            <w:pPr>
              <w:spacing w:after="0" w:line="240" w:lineRule="auto"/>
              <w:rPr>
                <w:rFonts w:eastAsia="Times New Roman" w:cs="Calibri"/>
                <w:b/>
                <w:bCs/>
                <w:color w:val="FF0000"/>
                <w:sz w:val="20"/>
                <w:szCs w:val="20"/>
                <w:lang w:eastAsia="en-GB"/>
              </w:rPr>
            </w:pPr>
            <w:r w:rsidRPr="00CC09C1">
              <w:rPr>
                <w:rFonts w:eastAsia="Times New Roman" w:cs="Calibri"/>
                <w:b/>
                <w:bCs/>
                <w:color w:val="FF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3994657D" w14:textId="77777777" w:rsidR="00CC09C1" w:rsidRPr="00CC09C1" w:rsidRDefault="00CC09C1" w:rsidP="00CC09C1">
            <w:pPr>
              <w:spacing w:after="0" w:line="240" w:lineRule="auto"/>
              <w:rPr>
                <w:rFonts w:eastAsia="Times New Roman" w:cs="Calibri"/>
                <w:b/>
                <w:bCs/>
                <w:color w:val="FF0000"/>
                <w:sz w:val="20"/>
                <w:szCs w:val="20"/>
                <w:lang w:eastAsia="en-GB"/>
              </w:rPr>
            </w:pPr>
            <w:r w:rsidRPr="00CC09C1">
              <w:rPr>
                <w:rFonts w:eastAsia="Times New Roman" w:cs="Calibri"/>
                <w:b/>
                <w:bCs/>
                <w:color w:val="FF0000"/>
                <w:sz w:val="20"/>
                <w:szCs w:val="20"/>
                <w:lang w:eastAsia="en-GB"/>
              </w:rPr>
              <w:t> </w:t>
            </w:r>
          </w:p>
        </w:tc>
      </w:tr>
      <w:tr w:rsidR="00CC09C1" w:rsidRPr="00CC09C1" w14:paraId="7DA7C78C"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4143DF24"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Total PFCC Earmarked Reserves</w:t>
            </w:r>
          </w:p>
        </w:tc>
        <w:tc>
          <w:tcPr>
            <w:tcW w:w="1120" w:type="dxa"/>
            <w:tcBorders>
              <w:top w:val="single" w:sz="4" w:space="0" w:color="auto"/>
              <w:left w:val="single" w:sz="4" w:space="0" w:color="auto"/>
              <w:bottom w:val="nil"/>
              <w:right w:val="single" w:sz="4" w:space="0" w:color="auto"/>
            </w:tcBorders>
            <w:shd w:val="clear" w:color="auto" w:fill="auto"/>
            <w:noWrap/>
            <w:vAlign w:val="bottom"/>
            <w:hideMark/>
          </w:tcPr>
          <w:p w14:paraId="63D45120"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18.539</w:t>
            </w:r>
          </w:p>
        </w:tc>
        <w:tc>
          <w:tcPr>
            <w:tcW w:w="1120" w:type="dxa"/>
            <w:tcBorders>
              <w:top w:val="single" w:sz="4" w:space="0" w:color="auto"/>
              <w:left w:val="nil"/>
              <w:bottom w:val="nil"/>
              <w:right w:val="single" w:sz="4" w:space="0" w:color="auto"/>
            </w:tcBorders>
            <w:shd w:val="clear" w:color="auto" w:fill="auto"/>
            <w:noWrap/>
            <w:vAlign w:val="bottom"/>
            <w:hideMark/>
          </w:tcPr>
          <w:p w14:paraId="63392BCA"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12.583</w:t>
            </w:r>
          </w:p>
        </w:tc>
        <w:tc>
          <w:tcPr>
            <w:tcW w:w="1120" w:type="dxa"/>
            <w:tcBorders>
              <w:top w:val="single" w:sz="4" w:space="0" w:color="auto"/>
              <w:left w:val="nil"/>
              <w:bottom w:val="nil"/>
              <w:right w:val="single" w:sz="4" w:space="0" w:color="auto"/>
            </w:tcBorders>
            <w:shd w:val="clear" w:color="auto" w:fill="auto"/>
            <w:noWrap/>
            <w:vAlign w:val="bottom"/>
            <w:hideMark/>
          </w:tcPr>
          <w:p w14:paraId="2351C531"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11.875</w:t>
            </w:r>
          </w:p>
        </w:tc>
        <w:tc>
          <w:tcPr>
            <w:tcW w:w="1120" w:type="dxa"/>
            <w:tcBorders>
              <w:top w:val="single" w:sz="4" w:space="0" w:color="auto"/>
              <w:left w:val="nil"/>
              <w:bottom w:val="nil"/>
              <w:right w:val="single" w:sz="4" w:space="0" w:color="auto"/>
            </w:tcBorders>
            <w:shd w:val="clear" w:color="auto" w:fill="auto"/>
            <w:noWrap/>
            <w:vAlign w:val="bottom"/>
            <w:hideMark/>
          </w:tcPr>
          <w:p w14:paraId="1306B65B"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11.709</w:t>
            </w:r>
          </w:p>
        </w:tc>
        <w:tc>
          <w:tcPr>
            <w:tcW w:w="1120" w:type="dxa"/>
            <w:tcBorders>
              <w:top w:val="single" w:sz="4" w:space="0" w:color="auto"/>
              <w:left w:val="nil"/>
              <w:bottom w:val="nil"/>
              <w:right w:val="single" w:sz="4" w:space="0" w:color="auto"/>
            </w:tcBorders>
            <w:shd w:val="clear" w:color="auto" w:fill="auto"/>
            <w:noWrap/>
            <w:vAlign w:val="bottom"/>
            <w:hideMark/>
          </w:tcPr>
          <w:p w14:paraId="038E7477"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11.610</w:t>
            </w:r>
          </w:p>
        </w:tc>
        <w:tc>
          <w:tcPr>
            <w:tcW w:w="1120" w:type="dxa"/>
            <w:tcBorders>
              <w:top w:val="single" w:sz="4" w:space="0" w:color="auto"/>
              <w:left w:val="nil"/>
              <w:bottom w:val="nil"/>
              <w:right w:val="single" w:sz="4" w:space="0" w:color="auto"/>
            </w:tcBorders>
            <w:shd w:val="clear" w:color="auto" w:fill="auto"/>
            <w:noWrap/>
            <w:vAlign w:val="bottom"/>
            <w:hideMark/>
          </w:tcPr>
          <w:p w14:paraId="0B169D93"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11.544</w:t>
            </w:r>
          </w:p>
        </w:tc>
      </w:tr>
      <w:tr w:rsidR="00CC09C1" w:rsidRPr="00CC09C1" w14:paraId="7DBCF201"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289F3A13"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single" w:sz="4" w:space="0" w:color="auto"/>
              <w:bottom w:val="nil"/>
              <w:right w:val="single" w:sz="4" w:space="0" w:color="auto"/>
            </w:tcBorders>
            <w:shd w:val="clear" w:color="auto" w:fill="auto"/>
            <w:noWrap/>
            <w:vAlign w:val="bottom"/>
            <w:hideMark/>
          </w:tcPr>
          <w:p w14:paraId="7F83BA3F"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7B8D10CC"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6DCA6382"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085866BE"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426A4BE2"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02EDF42C"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r>
      <w:tr w:rsidR="00CC09C1" w:rsidRPr="00CC09C1" w14:paraId="473CA256"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549D0F25"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Collaboration Reserves - Held locally</w:t>
            </w:r>
          </w:p>
        </w:tc>
        <w:tc>
          <w:tcPr>
            <w:tcW w:w="1120" w:type="dxa"/>
            <w:tcBorders>
              <w:top w:val="nil"/>
              <w:left w:val="single" w:sz="4" w:space="0" w:color="auto"/>
              <w:bottom w:val="nil"/>
              <w:right w:val="single" w:sz="4" w:space="0" w:color="auto"/>
            </w:tcBorders>
            <w:shd w:val="clear" w:color="auto" w:fill="auto"/>
            <w:noWrap/>
            <w:vAlign w:val="bottom"/>
            <w:hideMark/>
          </w:tcPr>
          <w:p w14:paraId="285AD5E2"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0.575</w:t>
            </w:r>
          </w:p>
        </w:tc>
        <w:tc>
          <w:tcPr>
            <w:tcW w:w="1120" w:type="dxa"/>
            <w:tcBorders>
              <w:top w:val="nil"/>
              <w:left w:val="nil"/>
              <w:bottom w:val="nil"/>
              <w:right w:val="single" w:sz="4" w:space="0" w:color="auto"/>
            </w:tcBorders>
            <w:shd w:val="clear" w:color="auto" w:fill="auto"/>
            <w:noWrap/>
            <w:vAlign w:val="bottom"/>
            <w:hideMark/>
          </w:tcPr>
          <w:p w14:paraId="3FCC17F8"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0.575</w:t>
            </w:r>
          </w:p>
        </w:tc>
        <w:tc>
          <w:tcPr>
            <w:tcW w:w="1120" w:type="dxa"/>
            <w:tcBorders>
              <w:top w:val="nil"/>
              <w:left w:val="nil"/>
              <w:bottom w:val="nil"/>
              <w:right w:val="single" w:sz="4" w:space="0" w:color="auto"/>
            </w:tcBorders>
            <w:shd w:val="clear" w:color="auto" w:fill="auto"/>
            <w:noWrap/>
            <w:vAlign w:val="bottom"/>
            <w:hideMark/>
          </w:tcPr>
          <w:p w14:paraId="13C048E8"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0.575</w:t>
            </w:r>
          </w:p>
        </w:tc>
        <w:tc>
          <w:tcPr>
            <w:tcW w:w="1120" w:type="dxa"/>
            <w:tcBorders>
              <w:top w:val="nil"/>
              <w:left w:val="nil"/>
              <w:bottom w:val="nil"/>
              <w:right w:val="single" w:sz="4" w:space="0" w:color="auto"/>
            </w:tcBorders>
            <w:shd w:val="clear" w:color="auto" w:fill="auto"/>
            <w:noWrap/>
            <w:vAlign w:val="bottom"/>
            <w:hideMark/>
          </w:tcPr>
          <w:p w14:paraId="52B9AE84"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0.575</w:t>
            </w:r>
          </w:p>
        </w:tc>
        <w:tc>
          <w:tcPr>
            <w:tcW w:w="1120" w:type="dxa"/>
            <w:tcBorders>
              <w:top w:val="nil"/>
              <w:left w:val="nil"/>
              <w:bottom w:val="nil"/>
              <w:right w:val="single" w:sz="4" w:space="0" w:color="auto"/>
            </w:tcBorders>
            <w:shd w:val="clear" w:color="auto" w:fill="auto"/>
            <w:noWrap/>
            <w:vAlign w:val="bottom"/>
            <w:hideMark/>
          </w:tcPr>
          <w:p w14:paraId="3868EDAC"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0.575</w:t>
            </w:r>
          </w:p>
        </w:tc>
        <w:tc>
          <w:tcPr>
            <w:tcW w:w="1120" w:type="dxa"/>
            <w:tcBorders>
              <w:top w:val="nil"/>
              <w:left w:val="nil"/>
              <w:bottom w:val="nil"/>
              <w:right w:val="single" w:sz="4" w:space="0" w:color="auto"/>
            </w:tcBorders>
            <w:shd w:val="clear" w:color="auto" w:fill="auto"/>
            <w:noWrap/>
            <w:vAlign w:val="bottom"/>
            <w:hideMark/>
          </w:tcPr>
          <w:p w14:paraId="2C72B2A8"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0.575</w:t>
            </w:r>
          </w:p>
        </w:tc>
      </w:tr>
      <w:tr w:rsidR="00CC09C1" w:rsidRPr="00CC09C1" w14:paraId="40F946CC"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7C2C85C5"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single" w:sz="4" w:space="0" w:color="auto"/>
              <w:bottom w:val="nil"/>
              <w:right w:val="single" w:sz="4" w:space="0" w:color="auto"/>
            </w:tcBorders>
            <w:shd w:val="clear" w:color="auto" w:fill="auto"/>
            <w:noWrap/>
            <w:vAlign w:val="bottom"/>
            <w:hideMark/>
          </w:tcPr>
          <w:p w14:paraId="5314D02D"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608320B1"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218A180B"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49C92D7F"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45E33043"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37BF4CFD"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r>
      <w:tr w:rsidR="00CC09C1" w:rsidRPr="00CC09C1" w14:paraId="0C931180" w14:textId="77777777" w:rsidTr="00CC09C1">
        <w:trPr>
          <w:trHeight w:val="300"/>
        </w:trPr>
        <w:tc>
          <w:tcPr>
            <w:tcW w:w="3640" w:type="dxa"/>
            <w:tcBorders>
              <w:top w:val="single" w:sz="4" w:space="0" w:color="auto"/>
              <w:left w:val="single" w:sz="4" w:space="0" w:color="auto"/>
              <w:bottom w:val="single" w:sz="4" w:space="0" w:color="auto"/>
              <w:right w:val="nil"/>
            </w:tcBorders>
            <w:shd w:val="clear" w:color="auto" w:fill="auto"/>
            <w:noWrap/>
            <w:vAlign w:val="bottom"/>
            <w:hideMark/>
          </w:tcPr>
          <w:p w14:paraId="361DE57D"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Total Earmarked Reserves</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9BD09"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19.114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0ED5C6D5"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13.158</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3A399493"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12.450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E0591E9"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12.284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6BB6E90"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12.185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1F8D58C4"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12.119</w:t>
            </w:r>
          </w:p>
        </w:tc>
      </w:tr>
      <w:tr w:rsidR="00CC09C1" w:rsidRPr="00CC09C1" w14:paraId="4F2BB2EA"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01131B1E"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single" w:sz="4" w:space="0" w:color="auto"/>
              <w:bottom w:val="nil"/>
              <w:right w:val="single" w:sz="4" w:space="0" w:color="auto"/>
            </w:tcBorders>
            <w:shd w:val="clear" w:color="auto" w:fill="auto"/>
            <w:noWrap/>
            <w:vAlign w:val="bottom"/>
            <w:hideMark/>
          </w:tcPr>
          <w:p w14:paraId="5504098A"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16EEE374"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6598A2CB"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2BAA34CB"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3BB80A91"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1E7A26B5"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r>
      <w:tr w:rsidR="00CC09C1" w:rsidRPr="00CC09C1" w14:paraId="30ABE1D2"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5A7B8795"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xml:space="preserve">General Fund </w:t>
            </w:r>
          </w:p>
        </w:tc>
        <w:tc>
          <w:tcPr>
            <w:tcW w:w="1120" w:type="dxa"/>
            <w:tcBorders>
              <w:top w:val="nil"/>
              <w:left w:val="single" w:sz="4" w:space="0" w:color="auto"/>
              <w:bottom w:val="nil"/>
              <w:right w:val="single" w:sz="4" w:space="0" w:color="auto"/>
            </w:tcBorders>
            <w:shd w:val="clear" w:color="auto" w:fill="auto"/>
            <w:noWrap/>
            <w:vAlign w:val="bottom"/>
            <w:hideMark/>
          </w:tcPr>
          <w:p w14:paraId="500D5165"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5.300</w:t>
            </w:r>
          </w:p>
        </w:tc>
        <w:tc>
          <w:tcPr>
            <w:tcW w:w="1120" w:type="dxa"/>
            <w:tcBorders>
              <w:top w:val="nil"/>
              <w:left w:val="nil"/>
              <w:bottom w:val="nil"/>
              <w:right w:val="single" w:sz="4" w:space="0" w:color="auto"/>
            </w:tcBorders>
            <w:shd w:val="clear" w:color="auto" w:fill="auto"/>
            <w:noWrap/>
            <w:vAlign w:val="bottom"/>
            <w:hideMark/>
          </w:tcPr>
          <w:p w14:paraId="29F8699B"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5.300</w:t>
            </w:r>
          </w:p>
        </w:tc>
        <w:tc>
          <w:tcPr>
            <w:tcW w:w="1120" w:type="dxa"/>
            <w:tcBorders>
              <w:top w:val="nil"/>
              <w:left w:val="nil"/>
              <w:bottom w:val="nil"/>
              <w:right w:val="single" w:sz="4" w:space="0" w:color="auto"/>
            </w:tcBorders>
            <w:shd w:val="clear" w:color="auto" w:fill="auto"/>
            <w:noWrap/>
            <w:vAlign w:val="bottom"/>
            <w:hideMark/>
          </w:tcPr>
          <w:p w14:paraId="39F837F3"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5.300</w:t>
            </w:r>
          </w:p>
        </w:tc>
        <w:tc>
          <w:tcPr>
            <w:tcW w:w="1120" w:type="dxa"/>
            <w:tcBorders>
              <w:top w:val="nil"/>
              <w:left w:val="nil"/>
              <w:bottom w:val="nil"/>
              <w:right w:val="single" w:sz="4" w:space="0" w:color="auto"/>
            </w:tcBorders>
            <w:shd w:val="clear" w:color="auto" w:fill="auto"/>
            <w:noWrap/>
            <w:vAlign w:val="bottom"/>
            <w:hideMark/>
          </w:tcPr>
          <w:p w14:paraId="02873A8D"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5.300</w:t>
            </w:r>
          </w:p>
        </w:tc>
        <w:tc>
          <w:tcPr>
            <w:tcW w:w="1120" w:type="dxa"/>
            <w:tcBorders>
              <w:top w:val="nil"/>
              <w:left w:val="nil"/>
              <w:bottom w:val="nil"/>
              <w:right w:val="single" w:sz="4" w:space="0" w:color="auto"/>
            </w:tcBorders>
            <w:shd w:val="clear" w:color="auto" w:fill="auto"/>
            <w:noWrap/>
            <w:vAlign w:val="bottom"/>
            <w:hideMark/>
          </w:tcPr>
          <w:p w14:paraId="18DDDB76"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5.300</w:t>
            </w:r>
          </w:p>
        </w:tc>
        <w:tc>
          <w:tcPr>
            <w:tcW w:w="1120" w:type="dxa"/>
            <w:tcBorders>
              <w:top w:val="nil"/>
              <w:left w:val="nil"/>
              <w:bottom w:val="nil"/>
              <w:right w:val="single" w:sz="4" w:space="0" w:color="auto"/>
            </w:tcBorders>
            <w:shd w:val="clear" w:color="auto" w:fill="auto"/>
            <w:noWrap/>
            <w:vAlign w:val="bottom"/>
            <w:hideMark/>
          </w:tcPr>
          <w:p w14:paraId="1239061B"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5.300</w:t>
            </w:r>
          </w:p>
        </w:tc>
      </w:tr>
      <w:tr w:rsidR="00CC09C1" w:rsidRPr="00CC09C1" w14:paraId="603C4044" w14:textId="77777777" w:rsidTr="00CC09C1">
        <w:trPr>
          <w:trHeight w:val="315"/>
        </w:trPr>
        <w:tc>
          <w:tcPr>
            <w:tcW w:w="3640" w:type="dxa"/>
            <w:tcBorders>
              <w:top w:val="nil"/>
              <w:left w:val="single" w:sz="4" w:space="0" w:color="auto"/>
              <w:bottom w:val="nil"/>
              <w:right w:val="nil"/>
            </w:tcBorders>
            <w:shd w:val="clear" w:color="auto" w:fill="auto"/>
            <w:noWrap/>
            <w:vAlign w:val="bottom"/>
            <w:hideMark/>
          </w:tcPr>
          <w:p w14:paraId="4D030EFA"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single" w:sz="4" w:space="0" w:color="auto"/>
              <w:bottom w:val="nil"/>
              <w:right w:val="single" w:sz="4" w:space="0" w:color="auto"/>
            </w:tcBorders>
            <w:shd w:val="clear" w:color="auto" w:fill="auto"/>
            <w:noWrap/>
            <w:vAlign w:val="bottom"/>
            <w:hideMark/>
          </w:tcPr>
          <w:p w14:paraId="096276EC"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2178F701"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38A8AED7"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3A4840E7"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00EEACBF"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5F65D228"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r>
      <w:tr w:rsidR="00CC09C1" w:rsidRPr="00CC09C1" w14:paraId="6CEE5305" w14:textId="77777777" w:rsidTr="00CC09C1">
        <w:trPr>
          <w:trHeight w:val="300"/>
        </w:trPr>
        <w:tc>
          <w:tcPr>
            <w:tcW w:w="3640" w:type="dxa"/>
            <w:tcBorders>
              <w:top w:val="single" w:sz="8" w:space="0" w:color="auto"/>
              <w:left w:val="single" w:sz="4" w:space="0" w:color="auto"/>
              <w:bottom w:val="single" w:sz="4" w:space="0" w:color="auto"/>
              <w:right w:val="nil"/>
            </w:tcBorders>
            <w:shd w:val="clear" w:color="auto" w:fill="auto"/>
            <w:noWrap/>
            <w:vAlign w:val="bottom"/>
            <w:hideMark/>
          </w:tcPr>
          <w:p w14:paraId="027A600D"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Total Reserves</w:t>
            </w:r>
          </w:p>
        </w:tc>
        <w:tc>
          <w:tcPr>
            <w:tcW w:w="112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BC3830E"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24.414</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068769A3"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18.458</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13EC4984"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17.750</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6ACD0260"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17.584</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55E10A45"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17.485</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3553DA66"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17.419</w:t>
            </w:r>
          </w:p>
        </w:tc>
      </w:tr>
    </w:tbl>
    <w:p w14:paraId="314BF7B9" w14:textId="6A7E2532" w:rsidR="00DC1AAF" w:rsidRPr="0074575D" w:rsidRDefault="00DC1AAF" w:rsidP="00DC1AAF">
      <w:pPr>
        <w:spacing w:after="0" w:line="240" w:lineRule="auto"/>
        <w:jc w:val="center"/>
        <w:rPr>
          <w:rFonts w:ascii="Arial" w:eastAsia="Times New Roman" w:hAnsi="Arial"/>
          <w:szCs w:val="24"/>
          <w:highlight w:val="yellow"/>
        </w:rPr>
      </w:pPr>
    </w:p>
    <w:p w14:paraId="4A6B3744" w14:textId="77777777" w:rsidR="00DC1AAF" w:rsidRPr="0074575D" w:rsidRDefault="00DC1AAF" w:rsidP="00DC1AAF">
      <w:pPr>
        <w:spacing w:after="0" w:line="240" w:lineRule="auto"/>
        <w:jc w:val="center"/>
        <w:rPr>
          <w:rFonts w:ascii="Arial" w:eastAsia="Times New Roman" w:hAnsi="Arial"/>
          <w:szCs w:val="24"/>
          <w:highlight w:val="yellow"/>
        </w:rPr>
      </w:pPr>
    </w:p>
    <w:p w14:paraId="0E341B5A" w14:textId="0BF54A66" w:rsidR="00DC1AAF" w:rsidRPr="006400EB" w:rsidRDefault="00DC1AAF" w:rsidP="006400EB">
      <w:pPr>
        <w:spacing w:after="0" w:line="240" w:lineRule="auto"/>
        <w:rPr>
          <w:rFonts w:ascii="Arial" w:eastAsia="Times New Roman" w:hAnsi="Arial"/>
          <w:b/>
        </w:rPr>
      </w:pPr>
      <w:r w:rsidRPr="006400EB">
        <w:rPr>
          <w:rFonts w:ascii="Arial" w:eastAsia="Times New Roman" w:hAnsi="Arial" w:cs="Arial"/>
          <w:bCs/>
          <w:i/>
          <w:iCs/>
          <w:lang w:val="en"/>
        </w:rPr>
        <w:t>Note: numbers may not sum due to rounding</w:t>
      </w:r>
    </w:p>
    <w:p w14:paraId="0C55690C" w14:textId="0009F18A" w:rsidR="000D1925" w:rsidRPr="00DC1AAF" w:rsidRDefault="000D1925" w:rsidP="00DC1AAF">
      <w:pPr>
        <w:spacing w:after="0" w:line="240" w:lineRule="auto"/>
        <w:rPr>
          <w:rFonts w:asciiTheme="minorHAnsi" w:hAnsiTheme="minorHAnsi" w:cstheme="minorHAnsi"/>
          <w:bCs/>
          <w:sz w:val="24"/>
          <w:szCs w:val="24"/>
        </w:rPr>
      </w:pPr>
    </w:p>
    <w:sectPr w:rsidR="000D1925" w:rsidRPr="00DC1AAF" w:rsidSect="00CC09C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9BF5F" w14:textId="77777777" w:rsidR="00FB33A0" w:rsidRDefault="00FB33A0" w:rsidP="008B7473">
      <w:pPr>
        <w:spacing w:after="0" w:line="240" w:lineRule="auto"/>
      </w:pPr>
      <w:r>
        <w:separator/>
      </w:r>
    </w:p>
  </w:endnote>
  <w:endnote w:type="continuationSeparator" w:id="0">
    <w:p w14:paraId="7A538DF8" w14:textId="77777777" w:rsidR="00FB33A0" w:rsidRDefault="00FB33A0" w:rsidP="008B7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6D252" w14:textId="77777777" w:rsidR="00DC1AAF" w:rsidRDefault="00DC1A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4F786A" w14:textId="77777777" w:rsidR="00DC1AAF" w:rsidRDefault="00DC1A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C0D8A" w14:textId="77777777" w:rsidR="00DC1AAF" w:rsidRDefault="00DC1AAF" w:rsidP="00A60C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A35C" w14:textId="77777777" w:rsidR="00DC1AAF" w:rsidRDefault="00DC1A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B10D" w14:textId="77777777" w:rsidR="00476743" w:rsidRDefault="004767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F23F" w14:textId="77777777" w:rsidR="00476743" w:rsidRPr="008B7473" w:rsidRDefault="00476743" w:rsidP="008B7473">
    <w:pPr>
      <w:pStyle w:val="Head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7B2DA" w14:textId="77777777" w:rsidR="00476743" w:rsidRDefault="004767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59A4B" w14:textId="77777777" w:rsidR="00FB33A0" w:rsidRDefault="00FB33A0" w:rsidP="008B7473">
      <w:pPr>
        <w:spacing w:after="0" w:line="240" w:lineRule="auto"/>
      </w:pPr>
      <w:r>
        <w:separator/>
      </w:r>
    </w:p>
  </w:footnote>
  <w:footnote w:type="continuationSeparator" w:id="0">
    <w:p w14:paraId="555B48BE" w14:textId="77777777" w:rsidR="00FB33A0" w:rsidRDefault="00FB33A0" w:rsidP="008B7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E432" w14:textId="77777777" w:rsidR="00DC1AAF" w:rsidRDefault="00DC1A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CA037" w14:textId="77777777" w:rsidR="00DC1AAF" w:rsidRDefault="00DC1A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BB46" w14:textId="77777777" w:rsidR="00DC1AAF" w:rsidRDefault="00DC1A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8A84" w14:textId="77777777" w:rsidR="00476743" w:rsidRDefault="0047674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74C58" w14:textId="77777777" w:rsidR="00476743" w:rsidRPr="008B7473" w:rsidRDefault="00476743" w:rsidP="008B7473">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EB49" w14:textId="77777777" w:rsidR="00476743" w:rsidRDefault="004767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E0D"/>
    <w:multiLevelType w:val="multilevel"/>
    <w:tmpl w:val="48343F1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A32F27"/>
    <w:multiLevelType w:val="hybridMultilevel"/>
    <w:tmpl w:val="5D38B2A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103329D6"/>
    <w:multiLevelType w:val="hybridMultilevel"/>
    <w:tmpl w:val="839EA5A8"/>
    <w:lvl w:ilvl="0" w:tplc="08090001">
      <w:start w:val="1"/>
      <w:numFmt w:val="bullet"/>
      <w:lvlText w:val=""/>
      <w:lvlJc w:val="left"/>
      <w:pPr>
        <w:tabs>
          <w:tab w:val="num" w:pos="900"/>
        </w:tabs>
        <w:ind w:left="900" w:hanging="360"/>
      </w:pPr>
      <w:rPr>
        <w:rFonts w:ascii="Symbol" w:hAnsi="Symbol" w:hint="default"/>
      </w:rPr>
    </w:lvl>
    <w:lvl w:ilvl="1" w:tplc="08090019">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3" w15:restartNumberingAfterBreak="0">
    <w:nsid w:val="125E441B"/>
    <w:multiLevelType w:val="multilevel"/>
    <w:tmpl w:val="0809001F"/>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792" w:hanging="432"/>
      </w:pPr>
      <w:rPr>
        <w:sz w:val="24"/>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161026DE"/>
    <w:multiLevelType w:val="hybridMultilevel"/>
    <w:tmpl w:val="E5FA5FC4"/>
    <w:lvl w:ilvl="0" w:tplc="08090001">
      <w:start w:val="1"/>
      <w:numFmt w:val="bullet"/>
      <w:lvlText w:val=""/>
      <w:lvlJc w:val="left"/>
      <w:pPr>
        <w:ind w:left="1211" w:hanging="360"/>
      </w:pPr>
      <w:rPr>
        <w:rFonts w:ascii="Symbol" w:hAnsi="Symbol" w:hint="default"/>
      </w:rPr>
    </w:lvl>
    <w:lvl w:ilvl="1" w:tplc="7A465B3A">
      <w:start w:val="1"/>
      <w:numFmt w:val="lowerRoman"/>
      <w:lvlText w:val="%2."/>
      <w:lvlJc w:val="left"/>
      <w:pPr>
        <w:ind w:left="2291" w:hanging="720"/>
      </w:pPr>
      <w:rPr>
        <w:rFonts w:asciiTheme="minorHAnsi" w:eastAsia="Calibri" w:hAnsiTheme="minorHAnsi" w:cstheme="minorHAnsi" w:hint="default"/>
        <w:color w:val="auto"/>
      </w:r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 w15:restartNumberingAfterBreak="0">
    <w:nsid w:val="16A61A57"/>
    <w:multiLevelType w:val="hybridMultilevel"/>
    <w:tmpl w:val="59CC818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7D02BDC"/>
    <w:multiLevelType w:val="hybridMultilevel"/>
    <w:tmpl w:val="C0B458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7FB2130"/>
    <w:multiLevelType w:val="hybridMultilevel"/>
    <w:tmpl w:val="6D42E748"/>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64531"/>
    <w:multiLevelType w:val="multilevel"/>
    <w:tmpl w:val="DEC014A0"/>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FBD5338"/>
    <w:multiLevelType w:val="hybridMultilevel"/>
    <w:tmpl w:val="892CE4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0727EAC"/>
    <w:multiLevelType w:val="hybridMultilevel"/>
    <w:tmpl w:val="A79CBA6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31EF5332"/>
    <w:multiLevelType w:val="hybridMultilevel"/>
    <w:tmpl w:val="3614FDB4"/>
    <w:lvl w:ilvl="0" w:tplc="08090001">
      <w:start w:val="1"/>
      <w:numFmt w:val="bullet"/>
      <w:lvlText w:val=""/>
      <w:lvlJc w:val="left"/>
      <w:pPr>
        <w:ind w:left="1065" w:hanging="360"/>
      </w:pPr>
      <w:rPr>
        <w:rFonts w:ascii="Symbol" w:hAnsi="Symbol" w:hint="default"/>
      </w:rPr>
    </w:lvl>
    <w:lvl w:ilvl="1" w:tplc="08090003">
      <w:start w:val="1"/>
      <w:numFmt w:val="bullet"/>
      <w:lvlText w:val="o"/>
      <w:lvlJc w:val="left"/>
      <w:pPr>
        <w:ind w:left="1785" w:hanging="360"/>
      </w:pPr>
      <w:rPr>
        <w:rFonts w:ascii="Courier New" w:hAnsi="Courier New" w:cs="Courier New" w:hint="default"/>
      </w:rPr>
    </w:lvl>
    <w:lvl w:ilvl="2" w:tplc="08090005">
      <w:start w:val="1"/>
      <w:numFmt w:val="bullet"/>
      <w:lvlText w:val=""/>
      <w:lvlJc w:val="left"/>
      <w:pPr>
        <w:ind w:left="2505" w:hanging="360"/>
      </w:pPr>
      <w:rPr>
        <w:rFonts w:ascii="Wingdings" w:hAnsi="Wingdings" w:hint="default"/>
      </w:rPr>
    </w:lvl>
    <w:lvl w:ilvl="3" w:tplc="08090001">
      <w:start w:val="1"/>
      <w:numFmt w:val="bullet"/>
      <w:lvlText w:val=""/>
      <w:lvlJc w:val="left"/>
      <w:pPr>
        <w:ind w:left="3225" w:hanging="360"/>
      </w:pPr>
      <w:rPr>
        <w:rFonts w:ascii="Symbol" w:hAnsi="Symbol" w:hint="default"/>
      </w:rPr>
    </w:lvl>
    <w:lvl w:ilvl="4" w:tplc="08090003">
      <w:start w:val="1"/>
      <w:numFmt w:val="bullet"/>
      <w:lvlText w:val="o"/>
      <w:lvlJc w:val="left"/>
      <w:pPr>
        <w:ind w:left="3945" w:hanging="360"/>
      </w:pPr>
      <w:rPr>
        <w:rFonts w:ascii="Courier New" w:hAnsi="Courier New" w:cs="Courier New" w:hint="default"/>
      </w:rPr>
    </w:lvl>
    <w:lvl w:ilvl="5" w:tplc="08090005">
      <w:start w:val="1"/>
      <w:numFmt w:val="bullet"/>
      <w:lvlText w:val=""/>
      <w:lvlJc w:val="left"/>
      <w:pPr>
        <w:ind w:left="4665" w:hanging="360"/>
      </w:pPr>
      <w:rPr>
        <w:rFonts w:ascii="Wingdings" w:hAnsi="Wingdings" w:hint="default"/>
      </w:rPr>
    </w:lvl>
    <w:lvl w:ilvl="6" w:tplc="08090001">
      <w:start w:val="1"/>
      <w:numFmt w:val="bullet"/>
      <w:lvlText w:val=""/>
      <w:lvlJc w:val="left"/>
      <w:pPr>
        <w:ind w:left="5385" w:hanging="360"/>
      </w:pPr>
      <w:rPr>
        <w:rFonts w:ascii="Symbol" w:hAnsi="Symbol" w:hint="default"/>
      </w:rPr>
    </w:lvl>
    <w:lvl w:ilvl="7" w:tplc="08090003">
      <w:start w:val="1"/>
      <w:numFmt w:val="bullet"/>
      <w:lvlText w:val="o"/>
      <w:lvlJc w:val="left"/>
      <w:pPr>
        <w:ind w:left="6105" w:hanging="360"/>
      </w:pPr>
      <w:rPr>
        <w:rFonts w:ascii="Courier New" w:hAnsi="Courier New" w:cs="Courier New" w:hint="default"/>
      </w:rPr>
    </w:lvl>
    <w:lvl w:ilvl="8" w:tplc="08090005">
      <w:start w:val="1"/>
      <w:numFmt w:val="bullet"/>
      <w:lvlText w:val=""/>
      <w:lvlJc w:val="left"/>
      <w:pPr>
        <w:ind w:left="6825" w:hanging="360"/>
      </w:pPr>
      <w:rPr>
        <w:rFonts w:ascii="Wingdings" w:hAnsi="Wingdings" w:hint="default"/>
      </w:rPr>
    </w:lvl>
  </w:abstractNum>
  <w:abstractNum w:abstractNumId="12" w15:restartNumberingAfterBreak="0">
    <w:nsid w:val="37625B79"/>
    <w:multiLevelType w:val="hybridMultilevel"/>
    <w:tmpl w:val="9196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816DE2"/>
    <w:multiLevelType w:val="hybridMultilevel"/>
    <w:tmpl w:val="71683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F6266B"/>
    <w:multiLevelType w:val="multilevel"/>
    <w:tmpl w:val="13B2D06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4006AD8"/>
    <w:multiLevelType w:val="hybridMultilevel"/>
    <w:tmpl w:val="4D288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93230A"/>
    <w:multiLevelType w:val="multilevel"/>
    <w:tmpl w:val="92BA65F6"/>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B4B431A"/>
    <w:multiLevelType w:val="hybridMultilevel"/>
    <w:tmpl w:val="2E12CF3C"/>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 w15:restartNumberingAfterBreak="0">
    <w:nsid w:val="4BB77501"/>
    <w:multiLevelType w:val="hybridMultilevel"/>
    <w:tmpl w:val="88CEBC2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BF00BE5"/>
    <w:multiLevelType w:val="hybridMultilevel"/>
    <w:tmpl w:val="1F264C1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4E23566D"/>
    <w:multiLevelType w:val="hybridMultilevel"/>
    <w:tmpl w:val="73AE5E26"/>
    <w:lvl w:ilvl="0" w:tplc="42284B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637E9A"/>
    <w:multiLevelType w:val="hybridMultilevel"/>
    <w:tmpl w:val="495A6EA0"/>
    <w:lvl w:ilvl="0" w:tplc="08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1A31BFF"/>
    <w:multiLevelType w:val="hybridMultilevel"/>
    <w:tmpl w:val="7972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260674"/>
    <w:multiLevelType w:val="hybridMultilevel"/>
    <w:tmpl w:val="5BE854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5F2732A"/>
    <w:multiLevelType w:val="hybridMultilevel"/>
    <w:tmpl w:val="EAA07C74"/>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5" w15:restartNumberingAfterBreak="0">
    <w:nsid w:val="57191332"/>
    <w:multiLevelType w:val="multilevel"/>
    <w:tmpl w:val="1BC26A64"/>
    <w:lvl w:ilvl="0">
      <w:start w:val="1"/>
      <w:numFmt w:val="decimal"/>
      <w:pStyle w:val="PanelPara"/>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pStyle w:val="Pane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CF14158"/>
    <w:multiLevelType w:val="hybridMultilevel"/>
    <w:tmpl w:val="417EF32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5D1B210C"/>
    <w:multiLevelType w:val="hybridMultilevel"/>
    <w:tmpl w:val="C9B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0141E2"/>
    <w:multiLevelType w:val="multilevel"/>
    <w:tmpl w:val="8432EB84"/>
    <w:lvl w:ilvl="0">
      <w:start w:val="1"/>
      <w:numFmt w:val="decimal"/>
      <w:pStyle w:val="ReservesHeading"/>
      <w:lvlText w:val="%1."/>
      <w:lvlJc w:val="left"/>
      <w:pPr>
        <w:ind w:left="360" w:hanging="360"/>
      </w:pPr>
    </w:lvl>
    <w:lvl w:ilvl="1">
      <w:start w:val="1"/>
      <w:numFmt w:val="decimal"/>
      <w:pStyle w:val="ReservesBody"/>
      <w:lvlText w:val="%1.%2."/>
      <w:lvlJc w:val="left"/>
      <w:pPr>
        <w:ind w:left="792" w:hanging="432"/>
      </w:pPr>
      <w:rPr>
        <w:i w:val="0"/>
        <w:iCs/>
      </w:rPr>
    </w:lvl>
    <w:lvl w:ilvl="2">
      <w:start w:val="1"/>
      <w:numFmt w:val="bullet"/>
      <w:pStyle w:val="Reserves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6F33B72"/>
    <w:multiLevelType w:val="hybridMultilevel"/>
    <w:tmpl w:val="CA30506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0" w15:restartNumberingAfterBreak="0">
    <w:nsid w:val="67920B07"/>
    <w:multiLevelType w:val="multilevel"/>
    <w:tmpl w:val="69265F84"/>
    <w:lvl w:ilvl="0">
      <w:start w:val="1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2D07622"/>
    <w:multiLevelType w:val="hybridMultilevel"/>
    <w:tmpl w:val="72FA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6D36CF"/>
    <w:multiLevelType w:val="hybridMultilevel"/>
    <w:tmpl w:val="C9F4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256EFF"/>
    <w:multiLevelType w:val="hybridMultilevel"/>
    <w:tmpl w:val="1C3EC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06191842">
    <w:abstractNumId w:val="11"/>
  </w:num>
  <w:num w:numId="2" w16cid:durableId="112024266">
    <w:abstractNumId w:val="30"/>
  </w:num>
  <w:num w:numId="3" w16cid:durableId="1553271906">
    <w:abstractNumId w:val="15"/>
  </w:num>
  <w:num w:numId="4" w16cid:durableId="2037071645">
    <w:abstractNumId w:val="2"/>
  </w:num>
  <w:num w:numId="5" w16cid:durableId="535048491">
    <w:abstractNumId w:val="23"/>
  </w:num>
  <w:num w:numId="6" w16cid:durableId="274679428">
    <w:abstractNumId w:val="6"/>
  </w:num>
  <w:num w:numId="7" w16cid:durableId="442460560">
    <w:abstractNumId w:val="22"/>
  </w:num>
  <w:num w:numId="8" w16cid:durableId="761996753">
    <w:abstractNumId w:val="31"/>
  </w:num>
  <w:num w:numId="9" w16cid:durableId="970211236">
    <w:abstractNumId w:val="27"/>
  </w:num>
  <w:num w:numId="10" w16cid:durableId="328944840">
    <w:abstractNumId w:val="29"/>
  </w:num>
  <w:num w:numId="11" w16cid:durableId="1037193464">
    <w:abstractNumId w:val="10"/>
  </w:num>
  <w:num w:numId="12" w16cid:durableId="649790500">
    <w:abstractNumId w:val="7"/>
  </w:num>
  <w:num w:numId="13" w16cid:durableId="485705199">
    <w:abstractNumId w:val="24"/>
  </w:num>
  <w:num w:numId="14" w16cid:durableId="1167135434">
    <w:abstractNumId w:val="26"/>
  </w:num>
  <w:num w:numId="15" w16cid:durableId="1212226803">
    <w:abstractNumId w:val="12"/>
  </w:num>
  <w:num w:numId="16" w16cid:durableId="659120647">
    <w:abstractNumId w:val="13"/>
  </w:num>
  <w:num w:numId="17" w16cid:durableId="1308585386">
    <w:abstractNumId w:val="3"/>
  </w:num>
  <w:num w:numId="18" w16cid:durableId="222981988">
    <w:abstractNumId w:val="14"/>
  </w:num>
  <w:num w:numId="19" w16cid:durableId="512378112">
    <w:abstractNumId w:val="16"/>
  </w:num>
  <w:num w:numId="20" w16cid:durableId="1287734107">
    <w:abstractNumId w:val="8"/>
  </w:num>
  <w:num w:numId="21" w16cid:durableId="64451941">
    <w:abstractNumId w:val="0"/>
  </w:num>
  <w:num w:numId="22" w16cid:durableId="1416169530">
    <w:abstractNumId w:val="33"/>
  </w:num>
  <w:num w:numId="23" w16cid:durableId="1109591385">
    <w:abstractNumId w:val="21"/>
  </w:num>
  <w:num w:numId="24" w16cid:durableId="1746680386">
    <w:abstractNumId w:val="5"/>
  </w:num>
  <w:num w:numId="25" w16cid:durableId="2000111539">
    <w:abstractNumId w:val="19"/>
  </w:num>
  <w:num w:numId="26" w16cid:durableId="341981314">
    <w:abstractNumId w:val="1"/>
  </w:num>
  <w:num w:numId="27" w16cid:durableId="1324578141">
    <w:abstractNumId w:val="4"/>
  </w:num>
  <w:num w:numId="28" w16cid:durableId="789477984">
    <w:abstractNumId w:val="17"/>
  </w:num>
  <w:num w:numId="29" w16cid:durableId="1176504424">
    <w:abstractNumId w:val="32"/>
  </w:num>
  <w:num w:numId="30" w16cid:durableId="1485705231">
    <w:abstractNumId w:val="18"/>
  </w:num>
  <w:num w:numId="31" w16cid:durableId="590091818">
    <w:abstractNumId w:val="25"/>
  </w:num>
  <w:num w:numId="32" w16cid:durableId="668482969">
    <w:abstractNumId w:val="25"/>
  </w:num>
  <w:num w:numId="33" w16cid:durableId="313032018">
    <w:abstractNumId w:val="25"/>
  </w:num>
  <w:num w:numId="34" w16cid:durableId="1560089207">
    <w:abstractNumId w:val="25"/>
  </w:num>
  <w:num w:numId="35" w16cid:durableId="31926870">
    <w:abstractNumId w:val="28"/>
  </w:num>
  <w:num w:numId="36" w16cid:durableId="1155755566">
    <w:abstractNumId w:val="28"/>
  </w:num>
  <w:num w:numId="37" w16cid:durableId="218398640">
    <w:abstractNumId w:val="28"/>
  </w:num>
  <w:num w:numId="38" w16cid:durableId="628626546">
    <w:abstractNumId w:val="28"/>
  </w:num>
  <w:num w:numId="39" w16cid:durableId="103229883">
    <w:abstractNumId w:val="28"/>
  </w:num>
  <w:num w:numId="40" w16cid:durableId="427698227">
    <w:abstractNumId w:val="28"/>
  </w:num>
  <w:num w:numId="41" w16cid:durableId="835612557">
    <w:abstractNumId w:val="25"/>
  </w:num>
  <w:num w:numId="42" w16cid:durableId="730612992">
    <w:abstractNumId w:val="20"/>
  </w:num>
  <w:num w:numId="43" w16cid:durableId="1864056209">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9D6"/>
    <w:rsid w:val="00000509"/>
    <w:rsid w:val="00001BB6"/>
    <w:rsid w:val="00001C7E"/>
    <w:rsid w:val="0000490D"/>
    <w:rsid w:val="00004F36"/>
    <w:rsid w:val="000139F2"/>
    <w:rsid w:val="000143C4"/>
    <w:rsid w:val="000201F9"/>
    <w:rsid w:val="00020C70"/>
    <w:rsid w:val="00021940"/>
    <w:rsid w:val="000244FF"/>
    <w:rsid w:val="000249E2"/>
    <w:rsid w:val="000255B4"/>
    <w:rsid w:val="0003142E"/>
    <w:rsid w:val="00035F03"/>
    <w:rsid w:val="00035FDC"/>
    <w:rsid w:val="00040449"/>
    <w:rsid w:val="00040DD9"/>
    <w:rsid w:val="0004158E"/>
    <w:rsid w:val="00044BFF"/>
    <w:rsid w:val="00045427"/>
    <w:rsid w:val="0004646B"/>
    <w:rsid w:val="00047250"/>
    <w:rsid w:val="00047432"/>
    <w:rsid w:val="00047952"/>
    <w:rsid w:val="00047BC3"/>
    <w:rsid w:val="00052820"/>
    <w:rsid w:val="000574AD"/>
    <w:rsid w:val="000576B3"/>
    <w:rsid w:val="00060568"/>
    <w:rsid w:val="00062F65"/>
    <w:rsid w:val="00063637"/>
    <w:rsid w:val="000641E8"/>
    <w:rsid w:val="000659CF"/>
    <w:rsid w:val="000713E6"/>
    <w:rsid w:val="00076099"/>
    <w:rsid w:val="00076927"/>
    <w:rsid w:val="00080E5A"/>
    <w:rsid w:val="000827F0"/>
    <w:rsid w:val="000836B9"/>
    <w:rsid w:val="00083DE2"/>
    <w:rsid w:val="00085B04"/>
    <w:rsid w:val="00086EC5"/>
    <w:rsid w:val="000937CF"/>
    <w:rsid w:val="000949B7"/>
    <w:rsid w:val="000952E6"/>
    <w:rsid w:val="00096589"/>
    <w:rsid w:val="00096FBD"/>
    <w:rsid w:val="00097D5E"/>
    <w:rsid w:val="000A0765"/>
    <w:rsid w:val="000A0A55"/>
    <w:rsid w:val="000A0AFB"/>
    <w:rsid w:val="000A0F45"/>
    <w:rsid w:val="000A1215"/>
    <w:rsid w:val="000A18A7"/>
    <w:rsid w:val="000A1DFA"/>
    <w:rsid w:val="000A4660"/>
    <w:rsid w:val="000A4FAF"/>
    <w:rsid w:val="000A77F0"/>
    <w:rsid w:val="000A7C1D"/>
    <w:rsid w:val="000B0DB2"/>
    <w:rsid w:val="000B124D"/>
    <w:rsid w:val="000B25F3"/>
    <w:rsid w:val="000B2F67"/>
    <w:rsid w:val="000B6B36"/>
    <w:rsid w:val="000C269E"/>
    <w:rsid w:val="000C4CE1"/>
    <w:rsid w:val="000C5361"/>
    <w:rsid w:val="000D0F95"/>
    <w:rsid w:val="000D1925"/>
    <w:rsid w:val="000D3D9A"/>
    <w:rsid w:val="000D3FDC"/>
    <w:rsid w:val="000D54E6"/>
    <w:rsid w:val="000D63B7"/>
    <w:rsid w:val="000E0F8E"/>
    <w:rsid w:val="000E0FA1"/>
    <w:rsid w:val="000E2E7C"/>
    <w:rsid w:val="000E3187"/>
    <w:rsid w:val="000E35D2"/>
    <w:rsid w:val="000E5161"/>
    <w:rsid w:val="000E676B"/>
    <w:rsid w:val="000E6C0B"/>
    <w:rsid w:val="000E78A0"/>
    <w:rsid w:val="000E7A5D"/>
    <w:rsid w:val="000F44B6"/>
    <w:rsid w:val="00101310"/>
    <w:rsid w:val="00101736"/>
    <w:rsid w:val="00106757"/>
    <w:rsid w:val="00106A69"/>
    <w:rsid w:val="00107C61"/>
    <w:rsid w:val="00110E27"/>
    <w:rsid w:val="001165F5"/>
    <w:rsid w:val="00116F6A"/>
    <w:rsid w:val="00117B24"/>
    <w:rsid w:val="0012341A"/>
    <w:rsid w:val="00124159"/>
    <w:rsid w:val="001256C4"/>
    <w:rsid w:val="001306B5"/>
    <w:rsid w:val="0013118D"/>
    <w:rsid w:val="00131D80"/>
    <w:rsid w:val="00131E14"/>
    <w:rsid w:val="00133FCA"/>
    <w:rsid w:val="00136C60"/>
    <w:rsid w:val="00141D16"/>
    <w:rsid w:val="00142AEE"/>
    <w:rsid w:val="00142CB4"/>
    <w:rsid w:val="00143AD7"/>
    <w:rsid w:val="0014427A"/>
    <w:rsid w:val="00144B22"/>
    <w:rsid w:val="0014672E"/>
    <w:rsid w:val="00147995"/>
    <w:rsid w:val="00152B93"/>
    <w:rsid w:val="00152E7B"/>
    <w:rsid w:val="001720D0"/>
    <w:rsid w:val="001722C3"/>
    <w:rsid w:val="00173107"/>
    <w:rsid w:val="00174CE0"/>
    <w:rsid w:val="0017545F"/>
    <w:rsid w:val="0017694F"/>
    <w:rsid w:val="00176A2A"/>
    <w:rsid w:val="00177FA7"/>
    <w:rsid w:val="00184BF7"/>
    <w:rsid w:val="00191853"/>
    <w:rsid w:val="001946E0"/>
    <w:rsid w:val="00194DF5"/>
    <w:rsid w:val="00196312"/>
    <w:rsid w:val="00197388"/>
    <w:rsid w:val="001A1872"/>
    <w:rsid w:val="001A1D6E"/>
    <w:rsid w:val="001A2092"/>
    <w:rsid w:val="001A6BFA"/>
    <w:rsid w:val="001A7B70"/>
    <w:rsid w:val="001B1E92"/>
    <w:rsid w:val="001B3EA3"/>
    <w:rsid w:val="001B4F2E"/>
    <w:rsid w:val="001B53AC"/>
    <w:rsid w:val="001B5AD6"/>
    <w:rsid w:val="001C1326"/>
    <w:rsid w:val="001C32E6"/>
    <w:rsid w:val="001C4612"/>
    <w:rsid w:val="001C762E"/>
    <w:rsid w:val="001D0E11"/>
    <w:rsid w:val="001D111E"/>
    <w:rsid w:val="001D144A"/>
    <w:rsid w:val="001D15C6"/>
    <w:rsid w:val="001D2374"/>
    <w:rsid w:val="001D2F95"/>
    <w:rsid w:val="001D38B2"/>
    <w:rsid w:val="001D38F9"/>
    <w:rsid w:val="001D55FA"/>
    <w:rsid w:val="001E1A00"/>
    <w:rsid w:val="001E1ECE"/>
    <w:rsid w:val="001E26FE"/>
    <w:rsid w:val="001E27E5"/>
    <w:rsid w:val="001E3237"/>
    <w:rsid w:val="001E4A29"/>
    <w:rsid w:val="001E61BE"/>
    <w:rsid w:val="001E6428"/>
    <w:rsid w:val="001E64A9"/>
    <w:rsid w:val="001F1FB5"/>
    <w:rsid w:val="001F309C"/>
    <w:rsid w:val="001F4086"/>
    <w:rsid w:val="001F587A"/>
    <w:rsid w:val="00200286"/>
    <w:rsid w:val="00203453"/>
    <w:rsid w:val="00203989"/>
    <w:rsid w:val="00206F72"/>
    <w:rsid w:val="00207273"/>
    <w:rsid w:val="002075A2"/>
    <w:rsid w:val="00207D0D"/>
    <w:rsid w:val="00211AF5"/>
    <w:rsid w:val="00211F1A"/>
    <w:rsid w:val="002124FB"/>
    <w:rsid w:val="0021623B"/>
    <w:rsid w:val="00217928"/>
    <w:rsid w:val="00217B2A"/>
    <w:rsid w:val="00217B88"/>
    <w:rsid w:val="00220144"/>
    <w:rsid w:val="00224E1E"/>
    <w:rsid w:val="00227D1A"/>
    <w:rsid w:val="002307C3"/>
    <w:rsid w:val="00240256"/>
    <w:rsid w:val="0024161B"/>
    <w:rsid w:val="002424FB"/>
    <w:rsid w:val="002433ED"/>
    <w:rsid w:val="00244366"/>
    <w:rsid w:val="002455CC"/>
    <w:rsid w:val="002464CA"/>
    <w:rsid w:val="002469AB"/>
    <w:rsid w:val="002478B9"/>
    <w:rsid w:val="00250B39"/>
    <w:rsid w:val="00253C0B"/>
    <w:rsid w:val="0025538C"/>
    <w:rsid w:val="00256682"/>
    <w:rsid w:val="0026046C"/>
    <w:rsid w:val="00261263"/>
    <w:rsid w:val="002617A5"/>
    <w:rsid w:val="00264D9D"/>
    <w:rsid w:val="0027069C"/>
    <w:rsid w:val="00273010"/>
    <w:rsid w:val="00275ADE"/>
    <w:rsid w:val="00276BF4"/>
    <w:rsid w:val="0027745A"/>
    <w:rsid w:val="00280E6A"/>
    <w:rsid w:val="00281527"/>
    <w:rsid w:val="002827D8"/>
    <w:rsid w:val="00282AC6"/>
    <w:rsid w:val="002942FC"/>
    <w:rsid w:val="00297A65"/>
    <w:rsid w:val="00297F08"/>
    <w:rsid w:val="002A0550"/>
    <w:rsid w:val="002A32A6"/>
    <w:rsid w:val="002A4535"/>
    <w:rsid w:val="002A5432"/>
    <w:rsid w:val="002A7320"/>
    <w:rsid w:val="002A782E"/>
    <w:rsid w:val="002B1E98"/>
    <w:rsid w:val="002B4BFE"/>
    <w:rsid w:val="002B58F7"/>
    <w:rsid w:val="002C00AB"/>
    <w:rsid w:val="002C1A75"/>
    <w:rsid w:val="002C1B66"/>
    <w:rsid w:val="002C21A3"/>
    <w:rsid w:val="002C7710"/>
    <w:rsid w:val="002D393C"/>
    <w:rsid w:val="002D4D15"/>
    <w:rsid w:val="002D6993"/>
    <w:rsid w:val="002D6AA6"/>
    <w:rsid w:val="002D7500"/>
    <w:rsid w:val="002E0D24"/>
    <w:rsid w:val="002E15EF"/>
    <w:rsid w:val="002E221A"/>
    <w:rsid w:val="002E5EBA"/>
    <w:rsid w:val="002E7988"/>
    <w:rsid w:val="002F0B6B"/>
    <w:rsid w:val="002F12F7"/>
    <w:rsid w:val="002F2EF9"/>
    <w:rsid w:val="002F436F"/>
    <w:rsid w:val="002F71D1"/>
    <w:rsid w:val="00306D43"/>
    <w:rsid w:val="00307680"/>
    <w:rsid w:val="00307B74"/>
    <w:rsid w:val="0031016E"/>
    <w:rsid w:val="003138C8"/>
    <w:rsid w:val="00313907"/>
    <w:rsid w:val="00316966"/>
    <w:rsid w:val="00325554"/>
    <w:rsid w:val="00325769"/>
    <w:rsid w:val="00325CC7"/>
    <w:rsid w:val="00326E1C"/>
    <w:rsid w:val="00327ADF"/>
    <w:rsid w:val="00327FAC"/>
    <w:rsid w:val="00331DA8"/>
    <w:rsid w:val="003324F4"/>
    <w:rsid w:val="0033266D"/>
    <w:rsid w:val="00334760"/>
    <w:rsid w:val="0034131C"/>
    <w:rsid w:val="003443E7"/>
    <w:rsid w:val="00345F79"/>
    <w:rsid w:val="0034617D"/>
    <w:rsid w:val="00356802"/>
    <w:rsid w:val="00356B50"/>
    <w:rsid w:val="00357350"/>
    <w:rsid w:val="0035748F"/>
    <w:rsid w:val="00357925"/>
    <w:rsid w:val="00360A96"/>
    <w:rsid w:val="00367C1E"/>
    <w:rsid w:val="00373F28"/>
    <w:rsid w:val="00374DD2"/>
    <w:rsid w:val="00376315"/>
    <w:rsid w:val="0037796D"/>
    <w:rsid w:val="003803AD"/>
    <w:rsid w:val="00390DAC"/>
    <w:rsid w:val="00390F04"/>
    <w:rsid w:val="00393FE3"/>
    <w:rsid w:val="00394958"/>
    <w:rsid w:val="00395E90"/>
    <w:rsid w:val="00396F75"/>
    <w:rsid w:val="003A12A4"/>
    <w:rsid w:val="003A185E"/>
    <w:rsid w:val="003A1A04"/>
    <w:rsid w:val="003A2B26"/>
    <w:rsid w:val="003A314D"/>
    <w:rsid w:val="003A432E"/>
    <w:rsid w:val="003A5172"/>
    <w:rsid w:val="003A588C"/>
    <w:rsid w:val="003A623B"/>
    <w:rsid w:val="003B06F6"/>
    <w:rsid w:val="003B29C6"/>
    <w:rsid w:val="003B2C75"/>
    <w:rsid w:val="003B3D3F"/>
    <w:rsid w:val="003B499E"/>
    <w:rsid w:val="003B66A9"/>
    <w:rsid w:val="003B7D5D"/>
    <w:rsid w:val="003B7F41"/>
    <w:rsid w:val="003C093B"/>
    <w:rsid w:val="003C0D8C"/>
    <w:rsid w:val="003C4580"/>
    <w:rsid w:val="003C5986"/>
    <w:rsid w:val="003C625E"/>
    <w:rsid w:val="003C6A2F"/>
    <w:rsid w:val="003C7194"/>
    <w:rsid w:val="003D1B22"/>
    <w:rsid w:val="003D5746"/>
    <w:rsid w:val="003D5E66"/>
    <w:rsid w:val="003D7208"/>
    <w:rsid w:val="003D7EB9"/>
    <w:rsid w:val="003E291E"/>
    <w:rsid w:val="003E2C5F"/>
    <w:rsid w:val="003E5914"/>
    <w:rsid w:val="003E7A06"/>
    <w:rsid w:val="003F03E3"/>
    <w:rsid w:val="003F0D6A"/>
    <w:rsid w:val="003F410A"/>
    <w:rsid w:val="00400E85"/>
    <w:rsid w:val="0040239A"/>
    <w:rsid w:val="00402579"/>
    <w:rsid w:val="00402714"/>
    <w:rsid w:val="004032F1"/>
    <w:rsid w:val="00403A5D"/>
    <w:rsid w:val="00405C42"/>
    <w:rsid w:val="004075E3"/>
    <w:rsid w:val="00410606"/>
    <w:rsid w:val="004106DF"/>
    <w:rsid w:val="00412294"/>
    <w:rsid w:val="0041232D"/>
    <w:rsid w:val="00412755"/>
    <w:rsid w:val="00412D0F"/>
    <w:rsid w:val="004160E0"/>
    <w:rsid w:val="00417CF8"/>
    <w:rsid w:val="004202DC"/>
    <w:rsid w:val="0042074C"/>
    <w:rsid w:val="004242FB"/>
    <w:rsid w:val="00425585"/>
    <w:rsid w:val="004309F8"/>
    <w:rsid w:val="004364E9"/>
    <w:rsid w:val="004418E2"/>
    <w:rsid w:val="00442D89"/>
    <w:rsid w:val="00443389"/>
    <w:rsid w:val="0044465B"/>
    <w:rsid w:val="00444B26"/>
    <w:rsid w:val="00444BEC"/>
    <w:rsid w:val="00453A53"/>
    <w:rsid w:val="00461F30"/>
    <w:rsid w:val="0046298F"/>
    <w:rsid w:val="0046656D"/>
    <w:rsid w:val="00467B85"/>
    <w:rsid w:val="00470378"/>
    <w:rsid w:val="00471038"/>
    <w:rsid w:val="0047296C"/>
    <w:rsid w:val="00472A18"/>
    <w:rsid w:val="00474625"/>
    <w:rsid w:val="00475D06"/>
    <w:rsid w:val="00476743"/>
    <w:rsid w:val="00480296"/>
    <w:rsid w:val="004807BB"/>
    <w:rsid w:val="004826A0"/>
    <w:rsid w:val="004837A4"/>
    <w:rsid w:val="00484495"/>
    <w:rsid w:val="004909F4"/>
    <w:rsid w:val="00492E61"/>
    <w:rsid w:val="00493095"/>
    <w:rsid w:val="004936C0"/>
    <w:rsid w:val="00494D92"/>
    <w:rsid w:val="004951D5"/>
    <w:rsid w:val="0049621D"/>
    <w:rsid w:val="004A058F"/>
    <w:rsid w:val="004A0A59"/>
    <w:rsid w:val="004A41CF"/>
    <w:rsid w:val="004A5C45"/>
    <w:rsid w:val="004A733A"/>
    <w:rsid w:val="004B03BB"/>
    <w:rsid w:val="004B566F"/>
    <w:rsid w:val="004B5C7B"/>
    <w:rsid w:val="004B5FAB"/>
    <w:rsid w:val="004B6F0B"/>
    <w:rsid w:val="004C083D"/>
    <w:rsid w:val="004C1E3B"/>
    <w:rsid w:val="004C5EDF"/>
    <w:rsid w:val="004C787E"/>
    <w:rsid w:val="004D1F07"/>
    <w:rsid w:val="004D2895"/>
    <w:rsid w:val="004D2F09"/>
    <w:rsid w:val="004D352C"/>
    <w:rsid w:val="004D5103"/>
    <w:rsid w:val="004D799E"/>
    <w:rsid w:val="004E09C1"/>
    <w:rsid w:val="004E111D"/>
    <w:rsid w:val="004E1242"/>
    <w:rsid w:val="004E1FE1"/>
    <w:rsid w:val="004E24DC"/>
    <w:rsid w:val="004E2A5F"/>
    <w:rsid w:val="004E3764"/>
    <w:rsid w:val="004E492C"/>
    <w:rsid w:val="004F0728"/>
    <w:rsid w:val="004F31D7"/>
    <w:rsid w:val="004F632E"/>
    <w:rsid w:val="004F63CC"/>
    <w:rsid w:val="004F754D"/>
    <w:rsid w:val="00501DCB"/>
    <w:rsid w:val="00504080"/>
    <w:rsid w:val="005073E5"/>
    <w:rsid w:val="00511C57"/>
    <w:rsid w:val="0051282F"/>
    <w:rsid w:val="005135B5"/>
    <w:rsid w:val="00515C5D"/>
    <w:rsid w:val="0051750C"/>
    <w:rsid w:val="0052043B"/>
    <w:rsid w:val="005233E7"/>
    <w:rsid w:val="00523DF7"/>
    <w:rsid w:val="005266F8"/>
    <w:rsid w:val="0052769F"/>
    <w:rsid w:val="00530253"/>
    <w:rsid w:val="00531AAF"/>
    <w:rsid w:val="00531E3A"/>
    <w:rsid w:val="00532192"/>
    <w:rsid w:val="00532950"/>
    <w:rsid w:val="0053593E"/>
    <w:rsid w:val="0053616E"/>
    <w:rsid w:val="00536C53"/>
    <w:rsid w:val="00540BAC"/>
    <w:rsid w:val="00541BB6"/>
    <w:rsid w:val="00541FBF"/>
    <w:rsid w:val="005432DD"/>
    <w:rsid w:val="0054433E"/>
    <w:rsid w:val="005445FA"/>
    <w:rsid w:val="00545397"/>
    <w:rsid w:val="00545CA8"/>
    <w:rsid w:val="005465AE"/>
    <w:rsid w:val="00547E86"/>
    <w:rsid w:val="00551AC3"/>
    <w:rsid w:val="00553631"/>
    <w:rsid w:val="00553FA0"/>
    <w:rsid w:val="00554F7A"/>
    <w:rsid w:val="00556444"/>
    <w:rsid w:val="00556D06"/>
    <w:rsid w:val="0056081F"/>
    <w:rsid w:val="005623EB"/>
    <w:rsid w:val="00564183"/>
    <w:rsid w:val="00571172"/>
    <w:rsid w:val="0057151C"/>
    <w:rsid w:val="00571D45"/>
    <w:rsid w:val="005737F1"/>
    <w:rsid w:val="005751D3"/>
    <w:rsid w:val="00576105"/>
    <w:rsid w:val="00576C57"/>
    <w:rsid w:val="00577522"/>
    <w:rsid w:val="00582D56"/>
    <w:rsid w:val="00583685"/>
    <w:rsid w:val="005857F1"/>
    <w:rsid w:val="005859FE"/>
    <w:rsid w:val="005866E2"/>
    <w:rsid w:val="00592481"/>
    <w:rsid w:val="00592B61"/>
    <w:rsid w:val="00596D6D"/>
    <w:rsid w:val="005A192C"/>
    <w:rsid w:val="005A2421"/>
    <w:rsid w:val="005A2A59"/>
    <w:rsid w:val="005A3E68"/>
    <w:rsid w:val="005A50DB"/>
    <w:rsid w:val="005A6827"/>
    <w:rsid w:val="005A6DCF"/>
    <w:rsid w:val="005A78E0"/>
    <w:rsid w:val="005B2230"/>
    <w:rsid w:val="005B2D82"/>
    <w:rsid w:val="005B362B"/>
    <w:rsid w:val="005B36E3"/>
    <w:rsid w:val="005B4FDE"/>
    <w:rsid w:val="005B52D6"/>
    <w:rsid w:val="005B590E"/>
    <w:rsid w:val="005B7A16"/>
    <w:rsid w:val="005B7AB8"/>
    <w:rsid w:val="005B7E37"/>
    <w:rsid w:val="005B7F15"/>
    <w:rsid w:val="005B7F24"/>
    <w:rsid w:val="005C032A"/>
    <w:rsid w:val="005C62BC"/>
    <w:rsid w:val="005D2DA4"/>
    <w:rsid w:val="005E07E0"/>
    <w:rsid w:val="005E1F1C"/>
    <w:rsid w:val="005E30A1"/>
    <w:rsid w:val="005E33B0"/>
    <w:rsid w:val="005E4732"/>
    <w:rsid w:val="005E55D6"/>
    <w:rsid w:val="005E744A"/>
    <w:rsid w:val="005F1627"/>
    <w:rsid w:val="005F1F9D"/>
    <w:rsid w:val="005F27C6"/>
    <w:rsid w:val="005F5983"/>
    <w:rsid w:val="00603C70"/>
    <w:rsid w:val="00604389"/>
    <w:rsid w:val="00613055"/>
    <w:rsid w:val="00613FA4"/>
    <w:rsid w:val="00626335"/>
    <w:rsid w:val="00630456"/>
    <w:rsid w:val="00631AB8"/>
    <w:rsid w:val="00631F44"/>
    <w:rsid w:val="006362C7"/>
    <w:rsid w:val="006400EB"/>
    <w:rsid w:val="00640ACC"/>
    <w:rsid w:val="0064102D"/>
    <w:rsid w:val="00641136"/>
    <w:rsid w:val="00641182"/>
    <w:rsid w:val="006437C2"/>
    <w:rsid w:val="00644CE4"/>
    <w:rsid w:val="00644F8B"/>
    <w:rsid w:val="00646300"/>
    <w:rsid w:val="0064685E"/>
    <w:rsid w:val="00646AE0"/>
    <w:rsid w:val="006473E4"/>
    <w:rsid w:val="00651436"/>
    <w:rsid w:val="006543AD"/>
    <w:rsid w:val="00655DA1"/>
    <w:rsid w:val="00656A64"/>
    <w:rsid w:val="0065728E"/>
    <w:rsid w:val="00657BE8"/>
    <w:rsid w:val="00661683"/>
    <w:rsid w:val="0066419D"/>
    <w:rsid w:val="006649CD"/>
    <w:rsid w:val="006719CF"/>
    <w:rsid w:val="00671A58"/>
    <w:rsid w:val="00672089"/>
    <w:rsid w:val="006730C2"/>
    <w:rsid w:val="006754D2"/>
    <w:rsid w:val="006770A5"/>
    <w:rsid w:val="006820B5"/>
    <w:rsid w:val="006832EB"/>
    <w:rsid w:val="00684EFE"/>
    <w:rsid w:val="00685B66"/>
    <w:rsid w:val="00686822"/>
    <w:rsid w:val="00690574"/>
    <w:rsid w:val="00690779"/>
    <w:rsid w:val="00691DF4"/>
    <w:rsid w:val="0069624E"/>
    <w:rsid w:val="00696821"/>
    <w:rsid w:val="00696B85"/>
    <w:rsid w:val="006A2025"/>
    <w:rsid w:val="006A4B06"/>
    <w:rsid w:val="006A7F66"/>
    <w:rsid w:val="006B0AD8"/>
    <w:rsid w:val="006C2CFF"/>
    <w:rsid w:val="006C3038"/>
    <w:rsid w:val="006D0AD7"/>
    <w:rsid w:val="006D2047"/>
    <w:rsid w:val="006D73BB"/>
    <w:rsid w:val="006E1DBD"/>
    <w:rsid w:val="006E295B"/>
    <w:rsid w:val="006E2B37"/>
    <w:rsid w:val="006E3F7F"/>
    <w:rsid w:val="006E6D1C"/>
    <w:rsid w:val="006F130B"/>
    <w:rsid w:val="006F5862"/>
    <w:rsid w:val="006F61D1"/>
    <w:rsid w:val="006F62F7"/>
    <w:rsid w:val="006F7974"/>
    <w:rsid w:val="007012F9"/>
    <w:rsid w:val="00703492"/>
    <w:rsid w:val="00704F6D"/>
    <w:rsid w:val="00711CCA"/>
    <w:rsid w:val="007120DF"/>
    <w:rsid w:val="007126EB"/>
    <w:rsid w:val="00714D2B"/>
    <w:rsid w:val="0071506C"/>
    <w:rsid w:val="00721518"/>
    <w:rsid w:val="007217CA"/>
    <w:rsid w:val="0072311F"/>
    <w:rsid w:val="00725432"/>
    <w:rsid w:val="0072700A"/>
    <w:rsid w:val="00727CDD"/>
    <w:rsid w:val="0073258F"/>
    <w:rsid w:val="00733E07"/>
    <w:rsid w:val="0073493A"/>
    <w:rsid w:val="0073566D"/>
    <w:rsid w:val="00735C6E"/>
    <w:rsid w:val="007375CA"/>
    <w:rsid w:val="007402A1"/>
    <w:rsid w:val="00741CF9"/>
    <w:rsid w:val="0074315C"/>
    <w:rsid w:val="007433CF"/>
    <w:rsid w:val="007449D4"/>
    <w:rsid w:val="00744F4E"/>
    <w:rsid w:val="0074575D"/>
    <w:rsid w:val="00746FA2"/>
    <w:rsid w:val="00750003"/>
    <w:rsid w:val="0075019E"/>
    <w:rsid w:val="0075131D"/>
    <w:rsid w:val="0075574D"/>
    <w:rsid w:val="0075615D"/>
    <w:rsid w:val="00756DB7"/>
    <w:rsid w:val="00757703"/>
    <w:rsid w:val="00760A8C"/>
    <w:rsid w:val="007618C4"/>
    <w:rsid w:val="00762DC0"/>
    <w:rsid w:val="00770645"/>
    <w:rsid w:val="00775AA4"/>
    <w:rsid w:val="00777477"/>
    <w:rsid w:val="00782E3D"/>
    <w:rsid w:val="00785C65"/>
    <w:rsid w:val="00791043"/>
    <w:rsid w:val="00791A32"/>
    <w:rsid w:val="00792285"/>
    <w:rsid w:val="00793ECA"/>
    <w:rsid w:val="007A17F8"/>
    <w:rsid w:val="007A2E61"/>
    <w:rsid w:val="007A6383"/>
    <w:rsid w:val="007A67E5"/>
    <w:rsid w:val="007B0947"/>
    <w:rsid w:val="007B25D3"/>
    <w:rsid w:val="007B2B09"/>
    <w:rsid w:val="007B36CE"/>
    <w:rsid w:val="007B5228"/>
    <w:rsid w:val="007B55BE"/>
    <w:rsid w:val="007B684F"/>
    <w:rsid w:val="007B7859"/>
    <w:rsid w:val="007C1895"/>
    <w:rsid w:val="007C5C82"/>
    <w:rsid w:val="007C6141"/>
    <w:rsid w:val="007C6391"/>
    <w:rsid w:val="007C7571"/>
    <w:rsid w:val="007C77E8"/>
    <w:rsid w:val="007D18FC"/>
    <w:rsid w:val="007D2B47"/>
    <w:rsid w:val="007D45EC"/>
    <w:rsid w:val="007D5313"/>
    <w:rsid w:val="007D769B"/>
    <w:rsid w:val="007E2146"/>
    <w:rsid w:val="007E231E"/>
    <w:rsid w:val="007E29EE"/>
    <w:rsid w:val="007E3F46"/>
    <w:rsid w:val="007E4515"/>
    <w:rsid w:val="007F0E17"/>
    <w:rsid w:val="007F195D"/>
    <w:rsid w:val="007F1A0D"/>
    <w:rsid w:val="007F363C"/>
    <w:rsid w:val="007F59B8"/>
    <w:rsid w:val="007F7724"/>
    <w:rsid w:val="007F7EE9"/>
    <w:rsid w:val="00802599"/>
    <w:rsid w:val="00802C51"/>
    <w:rsid w:val="00807BFD"/>
    <w:rsid w:val="0081132F"/>
    <w:rsid w:val="0081175B"/>
    <w:rsid w:val="00813DB4"/>
    <w:rsid w:val="00814B38"/>
    <w:rsid w:val="0081614D"/>
    <w:rsid w:val="008166E2"/>
    <w:rsid w:val="0081696D"/>
    <w:rsid w:val="00816BE6"/>
    <w:rsid w:val="0081721C"/>
    <w:rsid w:val="0082107C"/>
    <w:rsid w:val="00822958"/>
    <w:rsid w:val="008248FE"/>
    <w:rsid w:val="0082525E"/>
    <w:rsid w:val="00826374"/>
    <w:rsid w:val="00830D37"/>
    <w:rsid w:val="0083163E"/>
    <w:rsid w:val="00833580"/>
    <w:rsid w:val="00834BFB"/>
    <w:rsid w:val="00835AD3"/>
    <w:rsid w:val="0084375B"/>
    <w:rsid w:val="0084427A"/>
    <w:rsid w:val="0084554A"/>
    <w:rsid w:val="008462AC"/>
    <w:rsid w:val="00846705"/>
    <w:rsid w:val="00850F04"/>
    <w:rsid w:val="0085150F"/>
    <w:rsid w:val="008521C2"/>
    <w:rsid w:val="0085332A"/>
    <w:rsid w:val="00856914"/>
    <w:rsid w:val="00857409"/>
    <w:rsid w:val="00865F33"/>
    <w:rsid w:val="00866EDA"/>
    <w:rsid w:val="00866FEA"/>
    <w:rsid w:val="00867F0A"/>
    <w:rsid w:val="008722B8"/>
    <w:rsid w:val="00872517"/>
    <w:rsid w:val="00872601"/>
    <w:rsid w:val="00873836"/>
    <w:rsid w:val="008747A8"/>
    <w:rsid w:val="00874BF3"/>
    <w:rsid w:val="00874D19"/>
    <w:rsid w:val="00875D71"/>
    <w:rsid w:val="00876802"/>
    <w:rsid w:val="008778C8"/>
    <w:rsid w:val="00880B2E"/>
    <w:rsid w:val="00881C6F"/>
    <w:rsid w:val="00883AB6"/>
    <w:rsid w:val="00885446"/>
    <w:rsid w:val="00886CB0"/>
    <w:rsid w:val="00893058"/>
    <w:rsid w:val="00894851"/>
    <w:rsid w:val="008A0CC5"/>
    <w:rsid w:val="008A3937"/>
    <w:rsid w:val="008A64C8"/>
    <w:rsid w:val="008A6A85"/>
    <w:rsid w:val="008A7480"/>
    <w:rsid w:val="008A79C0"/>
    <w:rsid w:val="008B265B"/>
    <w:rsid w:val="008B7473"/>
    <w:rsid w:val="008C2267"/>
    <w:rsid w:val="008C3B36"/>
    <w:rsid w:val="008C4139"/>
    <w:rsid w:val="008C6DF5"/>
    <w:rsid w:val="008D0CD4"/>
    <w:rsid w:val="008D3E32"/>
    <w:rsid w:val="008D42FA"/>
    <w:rsid w:val="008D52A0"/>
    <w:rsid w:val="008D5CE7"/>
    <w:rsid w:val="008D770E"/>
    <w:rsid w:val="008D77FC"/>
    <w:rsid w:val="008D795C"/>
    <w:rsid w:val="008D7F04"/>
    <w:rsid w:val="008E2AAE"/>
    <w:rsid w:val="008E47BF"/>
    <w:rsid w:val="008E570F"/>
    <w:rsid w:val="008F01E6"/>
    <w:rsid w:val="008F0349"/>
    <w:rsid w:val="008F5708"/>
    <w:rsid w:val="008F68DD"/>
    <w:rsid w:val="008F7527"/>
    <w:rsid w:val="008F7D81"/>
    <w:rsid w:val="00900286"/>
    <w:rsid w:val="00901127"/>
    <w:rsid w:val="009023A4"/>
    <w:rsid w:val="009032E5"/>
    <w:rsid w:val="009070CE"/>
    <w:rsid w:val="009078B0"/>
    <w:rsid w:val="00910645"/>
    <w:rsid w:val="00920481"/>
    <w:rsid w:val="00920BE8"/>
    <w:rsid w:val="00922DE8"/>
    <w:rsid w:val="0092329E"/>
    <w:rsid w:val="00924A74"/>
    <w:rsid w:val="00925615"/>
    <w:rsid w:val="00926601"/>
    <w:rsid w:val="00933FD5"/>
    <w:rsid w:val="00934843"/>
    <w:rsid w:val="00934AB4"/>
    <w:rsid w:val="00934B13"/>
    <w:rsid w:val="00934CA7"/>
    <w:rsid w:val="009356AB"/>
    <w:rsid w:val="009361B3"/>
    <w:rsid w:val="009433F4"/>
    <w:rsid w:val="00943DCE"/>
    <w:rsid w:val="009455E6"/>
    <w:rsid w:val="00947856"/>
    <w:rsid w:val="00947D75"/>
    <w:rsid w:val="009507E4"/>
    <w:rsid w:val="00950F9D"/>
    <w:rsid w:val="00952A50"/>
    <w:rsid w:val="009537E3"/>
    <w:rsid w:val="009546F3"/>
    <w:rsid w:val="00956F1D"/>
    <w:rsid w:val="00960E79"/>
    <w:rsid w:val="009615A2"/>
    <w:rsid w:val="009639B1"/>
    <w:rsid w:val="00964490"/>
    <w:rsid w:val="00964F88"/>
    <w:rsid w:val="00967E05"/>
    <w:rsid w:val="00971F09"/>
    <w:rsid w:val="009731AD"/>
    <w:rsid w:val="009736C3"/>
    <w:rsid w:val="009740CB"/>
    <w:rsid w:val="00975740"/>
    <w:rsid w:val="00980218"/>
    <w:rsid w:val="009811CA"/>
    <w:rsid w:val="00981785"/>
    <w:rsid w:val="00981FE1"/>
    <w:rsid w:val="00984C55"/>
    <w:rsid w:val="0099232D"/>
    <w:rsid w:val="009925D4"/>
    <w:rsid w:val="0099433E"/>
    <w:rsid w:val="009947F6"/>
    <w:rsid w:val="00994DF3"/>
    <w:rsid w:val="009954BF"/>
    <w:rsid w:val="00997B4B"/>
    <w:rsid w:val="00997E49"/>
    <w:rsid w:val="009A005E"/>
    <w:rsid w:val="009A0C55"/>
    <w:rsid w:val="009A40BA"/>
    <w:rsid w:val="009A6A8E"/>
    <w:rsid w:val="009A76A2"/>
    <w:rsid w:val="009B0583"/>
    <w:rsid w:val="009B0902"/>
    <w:rsid w:val="009B17BC"/>
    <w:rsid w:val="009B1C90"/>
    <w:rsid w:val="009C1984"/>
    <w:rsid w:val="009C4FAD"/>
    <w:rsid w:val="009C6B1A"/>
    <w:rsid w:val="009D0130"/>
    <w:rsid w:val="009D134E"/>
    <w:rsid w:val="009D7914"/>
    <w:rsid w:val="009E051D"/>
    <w:rsid w:val="009E3F3D"/>
    <w:rsid w:val="009E47D7"/>
    <w:rsid w:val="009E5FBE"/>
    <w:rsid w:val="009E6BBB"/>
    <w:rsid w:val="009F08C6"/>
    <w:rsid w:val="009F0F92"/>
    <w:rsid w:val="009F1236"/>
    <w:rsid w:val="009F3824"/>
    <w:rsid w:val="009F491B"/>
    <w:rsid w:val="009F5E3F"/>
    <w:rsid w:val="009F7330"/>
    <w:rsid w:val="009F7EAF"/>
    <w:rsid w:val="00A054DA"/>
    <w:rsid w:val="00A05AEA"/>
    <w:rsid w:val="00A07E71"/>
    <w:rsid w:val="00A11E19"/>
    <w:rsid w:val="00A1226A"/>
    <w:rsid w:val="00A1250A"/>
    <w:rsid w:val="00A12D4F"/>
    <w:rsid w:val="00A13958"/>
    <w:rsid w:val="00A16B65"/>
    <w:rsid w:val="00A201A7"/>
    <w:rsid w:val="00A209BC"/>
    <w:rsid w:val="00A20BAD"/>
    <w:rsid w:val="00A24B51"/>
    <w:rsid w:val="00A303B4"/>
    <w:rsid w:val="00A3127E"/>
    <w:rsid w:val="00A31545"/>
    <w:rsid w:val="00A31AAB"/>
    <w:rsid w:val="00A3220A"/>
    <w:rsid w:val="00A3280C"/>
    <w:rsid w:val="00A3383F"/>
    <w:rsid w:val="00A342E3"/>
    <w:rsid w:val="00A40E50"/>
    <w:rsid w:val="00A410D4"/>
    <w:rsid w:val="00A427E5"/>
    <w:rsid w:val="00A4509E"/>
    <w:rsid w:val="00A458F0"/>
    <w:rsid w:val="00A5056A"/>
    <w:rsid w:val="00A51E08"/>
    <w:rsid w:val="00A520B3"/>
    <w:rsid w:val="00A52E83"/>
    <w:rsid w:val="00A53C80"/>
    <w:rsid w:val="00A5533F"/>
    <w:rsid w:val="00A579F7"/>
    <w:rsid w:val="00A60AD1"/>
    <w:rsid w:val="00A62A01"/>
    <w:rsid w:val="00A64B7D"/>
    <w:rsid w:val="00A71DF5"/>
    <w:rsid w:val="00A744C6"/>
    <w:rsid w:val="00A80E58"/>
    <w:rsid w:val="00A81E58"/>
    <w:rsid w:val="00A821F9"/>
    <w:rsid w:val="00A82B46"/>
    <w:rsid w:val="00A8426B"/>
    <w:rsid w:val="00A86088"/>
    <w:rsid w:val="00A94357"/>
    <w:rsid w:val="00A9701F"/>
    <w:rsid w:val="00AA0664"/>
    <w:rsid w:val="00AA06A9"/>
    <w:rsid w:val="00AA2277"/>
    <w:rsid w:val="00AA2AC1"/>
    <w:rsid w:val="00AA7D42"/>
    <w:rsid w:val="00AB0685"/>
    <w:rsid w:val="00AB33AE"/>
    <w:rsid w:val="00AB49A9"/>
    <w:rsid w:val="00AB5510"/>
    <w:rsid w:val="00AB72FD"/>
    <w:rsid w:val="00AC1EED"/>
    <w:rsid w:val="00AC20B1"/>
    <w:rsid w:val="00AC3803"/>
    <w:rsid w:val="00AC5BDA"/>
    <w:rsid w:val="00AD13FA"/>
    <w:rsid w:val="00AD2BF1"/>
    <w:rsid w:val="00AD3087"/>
    <w:rsid w:val="00AD400F"/>
    <w:rsid w:val="00AD40C9"/>
    <w:rsid w:val="00AD69D6"/>
    <w:rsid w:val="00AE0643"/>
    <w:rsid w:val="00AE170F"/>
    <w:rsid w:val="00AE1A39"/>
    <w:rsid w:val="00AE34F2"/>
    <w:rsid w:val="00AE4160"/>
    <w:rsid w:val="00AE423E"/>
    <w:rsid w:val="00AE543F"/>
    <w:rsid w:val="00AE5591"/>
    <w:rsid w:val="00AE6244"/>
    <w:rsid w:val="00B02BB4"/>
    <w:rsid w:val="00B02F64"/>
    <w:rsid w:val="00B03511"/>
    <w:rsid w:val="00B04F4F"/>
    <w:rsid w:val="00B12135"/>
    <w:rsid w:val="00B14362"/>
    <w:rsid w:val="00B1524E"/>
    <w:rsid w:val="00B15A8E"/>
    <w:rsid w:val="00B17E86"/>
    <w:rsid w:val="00B200EE"/>
    <w:rsid w:val="00B223DE"/>
    <w:rsid w:val="00B232A1"/>
    <w:rsid w:val="00B2620C"/>
    <w:rsid w:val="00B2624F"/>
    <w:rsid w:val="00B26307"/>
    <w:rsid w:val="00B31A3D"/>
    <w:rsid w:val="00B31CEB"/>
    <w:rsid w:val="00B34874"/>
    <w:rsid w:val="00B35232"/>
    <w:rsid w:val="00B35D54"/>
    <w:rsid w:val="00B3738C"/>
    <w:rsid w:val="00B40836"/>
    <w:rsid w:val="00B4513E"/>
    <w:rsid w:val="00B45F7E"/>
    <w:rsid w:val="00B46761"/>
    <w:rsid w:val="00B47251"/>
    <w:rsid w:val="00B4779C"/>
    <w:rsid w:val="00B52A36"/>
    <w:rsid w:val="00B537F3"/>
    <w:rsid w:val="00B57606"/>
    <w:rsid w:val="00B60304"/>
    <w:rsid w:val="00B607EA"/>
    <w:rsid w:val="00B62E0F"/>
    <w:rsid w:val="00B70261"/>
    <w:rsid w:val="00B70D02"/>
    <w:rsid w:val="00B72E98"/>
    <w:rsid w:val="00B73179"/>
    <w:rsid w:val="00B74B9C"/>
    <w:rsid w:val="00B75DDE"/>
    <w:rsid w:val="00B766BE"/>
    <w:rsid w:val="00B774F5"/>
    <w:rsid w:val="00B84288"/>
    <w:rsid w:val="00B8520C"/>
    <w:rsid w:val="00B866FE"/>
    <w:rsid w:val="00B95944"/>
    <w:rsid w:val="00B95B38"/>
    <w:rsid w:val="00B96947"/>
    <w:rsid w:val="00B96D4F"/>
    <w:rsid w:val="00B971E7"/>
    <w:rsid w:val="00BA0C36"/>
    <w:rsid w:val="00BA39C4"/>
    <w:rsid w:val="00BA59CB"/>
    <w:rsid w:val="00BB1B4A"/>
    <w:rsid w:val="00BB23D8"/>
    <w:rsid w:val="00BB27D6"/>
    <w:rsid w:val="00BB3693"/>
    <w:rsid w:val="00BB48B1"/>
    <w:rsid w:val="00BB53B6"/>
    <w:rsid w:val="00BB5414"/>
    <w:rsid w:val="00BB54DB"/>
    <w:rsid w:val="00BB57D9"/>
    <w:rsid w:val="00BB6888"/>
    <w:rsid w:val="00BB71D8"/>
    <w:rsid w:val="00BB7C6E"/>
    <w:rsid w:val="00BC01A5"/>
    <w:rsid w:val="00BC0522"/>
    <w:rsid w:val="00BC0D5A"/>
    <w:rsid w:val="00BC181F"/>
    <w:rsid w:val="00BC19F5"/>
    <w:rsid w:val="00BC5485"/>
    <w:rsid w:val="00BC7016"/>
    <w:rsid w:val="00BC794E"/>
    <w:rsid w:val="00BD007C"/>
    <w:rsid w:val="00BD0924"/>
    <w:rsid w:val="00BD23A3"/>
    <w:rsid w:val="00BD4901"/>
    <w:rsid w:val="00BD62CF"/>
    <w:rsid w:val="00BD7FFE"/>
    <w:rsid w:val="00BE0A83"/>
    <w:rsid w:val="00BE2C7D"/>
    <w:rsid w:val="00BE40BA"/>
    <w:rsid w:val="00BE60D8"/>
    <w:rsid w:val="00BE6E4F"/>
    <w:rsid w:val="00BE7CBF"/>
    <w:rsid w:val="00BF095D"/>
    <w:rsid w:val="00BF5F3A"/>
    <w:rsid w:val="00C06D1B"/>
    <w:rsid w:val="00C0712F"/>
    <w:rsid w:val="00C12DA6"/>
    <w:rsid w:val="00C1301C"/>
    <w:rsid w:val="00C149FE"/>
    <w:rsid w:val="00C154A3"/>
    <w:rsid w:val="00C16298"/>
    <w:rsid w:val="00C164C8"/>
    <w:rsid w:val="00C166B7"/>
    <w:rsid w:val="00C204D3"/>
    <w:rsid w:val="00C209C1"/>
    <w:rsid w:val="00C26A06"/>
    <w:rsid w:val="00C270EC"/>
    <w:rsid w:val="00C36A05"/>
    <w:rsid w:val="00C36B7A"/>
    <w:rsid w:val="00C37D2D"/>
    <w:rsid w:val="00C40200"/>
    <w:rsid w:val="00C41186"/>
    <w:rsid w:val="00C432D6"/>
    <w:rsid w:val="00C4559D"/>
    <w:rsid w:val="00C45B29"/>
    <w:rsid w:val="00C46B47"/>
    <w:rsid w:val="00C47408"/>
    <w:rsid w:val="00C50B44"/>
    <w:rsid w:val="00C51408"/>
    <w:rsid w:val="00C536DE"/>
    <w:rsid w:val="00C53C8E"/>
    <w:rsid w:val="00C5409F"/>
    <w:rsid w:val="00C62692"/>
    <w:rsid w:val="00C662E1"/>
    <w:rsid w:val="00C6649D"/>
    <w:rsid w:val="00C66AF0"/>
    <w:rsid w:val="00C6702D"/>
    <w:rsid w:val="00C701FB"/>
    <w:rsid w:val="00C70823"/>
    <w:rsid w:val="00C70F56"/>
    <w:rsid w:val="00C720EC"/>
    <w:rsid w:val="00C7260F"/>
    <w:rsid w:val="00C75B26"/>
    <w:rsid w:val="00C770AE"/>
    <w:rsid w:val="00C77744"/>
    <w:rsid w:val="00C777E5"/>
    <w:rsid w:val="00C77CDF"/>
    <w:rsid w:val="00C82987"/>
    <w:rsid w:val="00C8388E"/>
    <w:rsid w:val="00C848A0"/>
    <w:rsid w:val="00C87C19"/>
    <w:rsid w:val="00C87CB8"/>
    <w:rsid w:val="00C91C66"/>
    <w:rsid w:val="00C93291"/>
    <w:rsid w:val="00C97DE7"/>
    <w:rsid w:val="00C97F07"/>
    <w:rsid w:val="00CA1329"/>
    <w:rsid w:val="00CA4112"/>
    <w:rsid w:val="00CA7451"/>
    <w:rsid w:val="00CB0070"/>
    <w:rsid w:val="00CB1D0E"/>
    <w:rsid w:val="00CB212F"/>
    <w:rsid w:val="00CB25E6"/>
    <w:rsid w:val="00CB35D9"/>
    <w:rsid w:val="00CB3FFC"/>
    <w:rsid w:val="00CB51B0"/>
    <w:rsid w:val="00CB63D5"/>
    <w:rsid w:val="00CB7DDA"/>
    <w:rsid w:val="00CC09C1"/>
    <w:rsid w:val="00CC1C60"/>
    <w:rsid w:val="00CC297E"/>
    <w:rsid w:val="00CC2BF4"/>
    <w:rsid w:val="00CC3A2D"/>
    <w:rsid w:val="00CC52F4"/>
    <w:rsid w:val="00CC576E"/>
    <w:rsid w:val="00CC5B0E"/>
    <w:rsid w:val="00CD079C"/>
    <w:rsid w:val="00CD36C5"/>
    <w:rsid w:val="00CD49C0"/>
    <w:rsid w:val="00CE0559"/>
    <w:rsid w:val="00CE0FEE"/>
    <w:rsid w:val="00CE50ED"/>
    <w:rsid w:val="00CF10DB"/>
    <w:rsid w:val="00CF1CC3"/>
    <w:rsid w:val="00CF2932"/>
    <w:rsid w:val="00CF3E12"/>
    <w:rsid w:val="00CF50EE"/>
    <w:rsid w:val="00CF5D71"/>
    <w:rsid w:val="00CF6BC0"/>
    <w:rsid w:val="00CF7749"/>
    <w:rsid w:val="00D0097E"/>
    <w:rsid w:val="00D0180F"/>
    <w:rsid w:val="00D02514"/>
    <w:rsid w:val="00D04A86"/>
    <w:rsid w:val="00D065B7"/>
    <w:rsid w:val="00D1098C"/>
    <w:rsid w:val="00D117C6"/>
    <w:rsid w:val="00D15A0A"/>
    <w:rsid w:val="00D1683A"/>
    <w:rsid w:val="00D20309"/>
    <w:rsid w:val="00D23B4B"/>
    <w:rsid w:val="00D243E8"/>
    <w:rsid w:val="00D26B05"/>
    <w:rsid w:val="00D30506"/>
    <w:rsid w:val="00D30D1C"/>
    <w:rsid w:val="00D323A1"/>
    <w:rsid w:val="00D3314C"/>
    <w:rsid w:val="00D33319"/>
    <w:rsid w:val="00D36806"/>
    <w:rsid w:val="00D37BDA"/>
    <w:rsid w:val="00D404BE"/>
    <w:rsid w:val="00D460F1"/>
    <w:rsid w:val="00D4639F"/>
    <w:rsid w:val="00D46F5F"/>
    <w:rsid w:val="00D47A69"/>
    <w:rsid w:val="00D47E49"/>
    <w:rsid w:val="00D51A4F"/>
    <w:rsid w:val="00D51AA4"/>
    <w:rsid w:val="00D51DFF"/>
    <w:rsid w:val="00D52E21"/>
    <w:rsid w:val="00D57531"/>
    <w:rsid w:val="00D622BF"/>
    <w:rsid w:val="00D647AD"/>
    <w:rsid w:val="00D652BB"/>
    <w:rsid w:val="00D662BA"/>
    <w:rsid w:val="00D66C31"/>
    <w:rsid w:val="00D66D30"/>
    <w:rsid w:val="00D6728D"/>
    <w:rsid w:val="00D67ACB"/>
    <w:rsid w:val="00D8183B"/>
    <w:rsid w:val="00D82500"/>
    <w:rsid w:val="00D87062"/>
    <w:rsid w:val="00D9094E"/>
    <w:rsid w:val="00D90E84"/>
    <w:rsid w:val="00D9181A"/>
    <w:rsid w:val="00D9502C"/>
    <w:rsid w:val="00D96894"/>
    <w:rsid w:val="00D96E64"/>
    <w:rsid w:val="00DA572C"/>
    <w:rsid w:val="00DA5F99"/>
    <w:rsid w:val="00DA6D88"/>
    <w:rsid w:val="00DA742D"/>
    <w:rsid w:val="00DC09E2"/>
    <w:rsid w:val="00DC1274"/>
    <w:rsid w:val="00DC1AAF"/>
    <w:rsid w:val="00DC32DD"/>
    <w:rsid w:val="00DC3411"/>
    <w:rsid w:val="00DC3D4F"/>
    <w:rsid w:val="00DC66F5"/>
    <w:rsid w:val="00DC7955"/>
    <w:rsid w:val="00DD0003"/>
    <w:rsid w:val="00DD01D1"/>
    <w:rsid w:val="00DD0250"/>
    <w:rsid w:val="00DD0E23"/>
    <w:rsid w:val="00DD3B22"/>
    <w:rsid w:val="00DD6197"/>
    <w:rsid w:val="00DD68B7"/>
    <w:rsid w:val="00DD75A9"/>
    <w:rsid w:val="00DD7EA1"/>
    <w:rsid w:val="00DE1CCE"/>
    <w:rsid w:val="00DE6368"/>
    <w:rsid w:val="00DF12DC"/>
    <w:rsid w:val="00DF1391"/>
    <w:rsid w:val="00DF18AF"/>
    <w:rsid w:val="00DF2770"/>
    <w:rsid w:val="00DF5346"/>
    <w:rsid w:val="00DF635B"/>
    <w:rsid w:val="00E0063A"/>
    <w:rsid w:val="00E00C27"/>
    <w:rsid w:val="00E02D63"/>
    <w:rsid w:val="00E047F5"/>
    <w:rsid w:val="00E0579C"/>
    <w:rsid w:val="00E06514"/>
    <w:rsid w:val="00E06583"/>
    <w:rsid w:val="00E07C2B"/>
    <w:rsid w:val="00E12ACE"/>
    <w:rsid w:val="00E13336"/>
    <w:rsid w:val="00E15033"/>
    <w:rsid w:val="00E21C22"/>
    <w:rsid w:val="00E240D3"/>
    <w:rsid w:val="00E25941"/>
    <w:rsid w:val="00E26588"/>
    <w:rsid w:val="00E32160"/>
    <w:rsid w:val="00E40B40"/>
    <w:rsid w:val="00E41A0E"/>
    <w:rsid w:val="00E41D15"/>
    <w:rsid w:val="00E42F50"/>
    <w:rsid w:val="00E44E2B"/>
    <w:rsid w:val="00E45790"/>
    <w:rsid w:val="00E46427"/>
    <w:rsid w:val="00E4696E"/>
    <w:rsid w:val="00E50CF0"/>
    <w:rsid w:val="00E519D0"/>
    <w:rsid w:val="00E52808"/>
    <w:rsid w:val="00E53588"/>
    <w:rsid w:val="00E54031"/>
    <w:rsid w:val="00E543B8"/>
    <w:rsid w:val="00E54441"/>
    <w:rsid w:val="00E54E5F"/>
    <w:rsid w:val="00E6187D"/>
    <w:rsid w:val="00E61CF4"/>
    <w:rsid w:val="00E628F8"/>
    <w:rsid w:val="00E65221"/>
    <w:rsid w:val="00E65FA4"/>
    <w:rsid w:val="00E6686D"/>
    <w:rsid w:val="00E67E42"/>
    <w:rsid w:val="00E70CEB"/>
    <w:rsid w:val="00E7205D"/>
    <w:rsid w:val="00E76064"/>
    <w:rsid w:val="00E77C89"/>
    <w:rsid w:val="00E80055"/>
    <w:rsid w:val="00E8007E"/>
    <w:rsid w:val="00E82792"/>
    <w:rsid w:val="00E82EE5"/>
    <w:rsid w:val="00E85266"/>
    <w:rsid w:val="00E8698D"/>
    <w:rsid w:val="00E96230"/>
    <w:rsid w:val="00E966EE"/>
    <w:rsid w:val="00E9677E"/>
    <w:rsid w:val="00E96CEA"/>
    <w:rsid w:val="00E9734C"/>
    <w:rsid w:val="00EA2316"/>
    <w:rsid w:val="00EA5622"/>
    <w:rsid w:val="00EB0125"/>
    <w:rsid w:val="00EB2105"/>
    <w:rsid w:val="00EB7DA6"/>
    <w:rsid w:val="00EC1B2F"/>
    <w:rsid w:val="00EC3166"/>
    <w:rsid w:val="00EC6BC5"/>
    <w:rsid w:val="00ED1138"/>
    <w:rsid w:val="00ED1C35"/>
    <w:rsid w:val="00ED2E3F"/>
    <w:rsid w:val="00ED33C0"/>
    <w:rsid w:val="00ED47A2"/>
    <w:rsid w:val="00ED6358"/>
    <w:rsid w:val="00ED710B"/>
    <w:rsid w:val="00EE032F"/>
    <w:rsid w:val="00EE05D8"/>
    <w:rsid w:val="00EE08B9"/>
    <w:rsid w:val="00EE0BF8"/>
    <w:rsid w:val="00EE150B"/>
    <w:rsid w:val="00EE2333"/>
    <w:rsid w:val="00EE4050"/>
    <w:rsid w:val="00EE684E"/>
    <w:rsid w:val="00EE76A9"/>
    <w:rsid w:val="00EF07CF"/>
    <w:rsid w:val="00EF2F80"/>
    <w:rsid w:val="00EF40A7"/>
    <w:rsid w:val="00EF5331"/>
    <w:rsid w:val="00EF67F6"/>
    <w:rsid w:val="00EF7039"/>
    <w:rsid w:val="00F02E18"/>
    <w:rsid w:val="00F0481B"/>
    <w:rsid w:val="00F05E4B"/>
    <w:rsid w:val="00F10927"/>
    <w:rsid w:val="00F139DF"/>
    <w:rsid w:val="00F14CA5"/>
    <w:rsid w:val="00F15021"/>
    <w:rsid w:val="00F157CA"/>
    <w:rsid w:val="00F22504"/>
    <w:rsid w:val="00F2411F"/>
    <w:rsid w:val="00F306A9"/>
    <w:rsid w:val="00F30B07"/>
    <w:rsid w:val="00F33F9E"/>
    <w:rsid w:val="00F35FA0"/>
    <w:rsid w:val="00F368AA"/>
    <w:rsid w:val="00F42C2B"/>
    <w:rsid w:val="00F476EA"/>
    <w:rsid w:val="00F50C82"/>
    <w:rsid w:val="00F528F6"/>
    <w:rsid w:val="00F54149"/>
    <w:rsid w:val="00F56758"/>
    <w:rsid w:val="00F570CC"/>
    <w:rsid w:val="00F57399"/>
    <w:rsid w:val="00F60CEB"/>
    <w:rsid w:val="00F625EB"/>
    <w:rsid w:val="00F6339A"/>
    <w:rsid w:val="00F646E9"/>
    <w:rsid w:val="00F65175"/>
    <w:rsid w:val="00F65E59"/>
    <w:rsid w:val="00F65F9A"/>
    <w:rsid w:val="00F66AA3"/>
    <w:rsid w:val="00F67A25"/>
    <w:rsid w:val="00F7017D"/>
    <w:rsid w:val="00F7094D"/>
    <w:rsid w:val="00F709C6"/>
    <w:rsid w:val="00F70FF7"/>
    <w:rsid w:val="00F712E5"/>
    <w:rsid w:val="00F720E1"/>
    <w:rsid w:val="00F73ACA"/>
    <w:rsid w:val="00F75D07"/>
    <w:rsid w:val="00F76237"/>
    <w:rsid w:val="00F80F47"/>
    <w:rsid w:val="00F81011"/>
    <w:rsid w:val="00F82357"/>
    <w:rsid w:val="00F8390C"/>
    <w:rsid w:val="00F8557F"/>
    <w:rsid w:val="00F86CED"/>
    <w:rsid w:val="00F86E8E"/>
    <w:rsid w:val="00F86E9B"/>
    <w:rsid w:val="00F87FBA"/>
    <w:rsid w:val="00F90E0A"/>
    <w:rsid w:val="00F93560"/>
    <w:rsid w:val="00F93700"/>
    <w:rsid w:val="00F93A0D"/>
    <w:rsid w:val="00F94116"/>
    <w:rsid w:val="00F96766"/>
    <w:rsid w:val="00F97F45"/>
    <w:rsid w:val="00FA156A"/>
    <w:rsid w:val="00FA1857"/>
    <w:rsid w:val="00FA211E"/>
    <w:rsid w:val="00FA3143"/>
    <w:rsid w:val="00FA3982"/>
    <w:rsid w:val="00FA3B68"/>
    <w:rsid w:val="00FA574B"/>
    <w:rsid w:val="00FA6EA5"/>
    <w:rsid w:val="00FB1FA0"/>
    <w:rsid w:val="00FB22FA"/>
    <w:rsid w:val="00FB234E"/>
    <w:rsid w:val="00FB28DB"/>
    <w:rsid w:val="00FB2CAE"/>
    <w:rsid w:val="00FB33A0"/>
    <w:rsid w:val="00FB5949"/>
    <w:rsid w:val="00FC6FAF"/>
    <w:rsid w:val="00FD1846"/>
    <w:rsid w:val="00FD300A"/>
    <w:rsid w:val="00FD3980"/>
    <w:rsid w:val="00FD4496"/>
    <w:rsid w:val="00FD668D"/>
    <w:rsid w:val="00FD6BBC"/>
    <w:rsid w:val="00FE0DE6"/>
    <w:rsid w:val="00FE211D"/>
    <w:rsid w:val="00FE29E6"/>
    <w:rsid w:val="00FE30AB"/>
    <w:rsid w:val="00FE520B"/>
    <w:rsid w:val="00FE5CC0"/>
    <w:rsid w:val="00FE7E7D"/>
    <w:rsid w:val="00FF3003"/>
    <w:rsid w:val="00FF5501"/>
    <w:rsid w:val="00FF60DB"/>
    <w:rsid w:val="00FF6549"/>
    <w:rsid w:val="00FF7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9B9389"/>
  <w15:docId w15:val="{29B4A77A-B3A4-4D83-9500-51B4D422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94D"/>
    <w:pPr>
      <w:spacing w:after="200" w:line="276" w:lineRule="auto"/>
    </w:pPr>
    <w:rPr>
      <w:sz w:val="22"/>
      <w:szCs w:val="22"/>
      <w:lang w:eastAsia="en-US"/>
    </w:rPr>
  </w:style>
  <w:style w:type="paragraph" w:styleId="Heading1">
    <w:name w:val="heading 1"/>
    <w:basedOn w:val="Normal"/>
    <w:next w:val="Normal"/>
    <w:link w:val="Heading1Char"/>
    <w:qFormat/>
    <w:locked/>
    <w:rsid w:val="00866FE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locked/>
    <w:rsid w:val="00DC1A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DC1A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locked/>
    <w:rsid w:val="00DC1AAF"/>
    <w:pPr>
      <w:keepNext/>
      <w:tabs>
        <w:tab w:val="num" w:pos="864"/>
      </w:tabs>
      <w:spacing w:after="0" w:line="240" w:lineRule="auto"/>
      <w:ind w:left="864" w:hanging="864"/>
      <w:outlineLvl w:val="3"/>
    </w:pPr>
    <w:rPr>
      <w:rFonts w:ascii="Arial" w:eastAsia="Times New Roman" w:hAnsi="Arial" w:cs="Arial"/>
      <w:b/>
      <w:bCs/>
      <w:color w:val="000080"/>
      <w:sz w:val="20"/>
      <w:szCs w:val="20"/>
    </w:rPr>
  </w:style>
  <w:style w:type="paragraph" w:styleId="Heading5">
    <w:name w:val="heading 5"/>
    <w:basedOn w:val="Normal"/>
    <w:next w:val="Normal"/>
    <w:link w:val="Heading5Char"/>
    <w:qFormat/>
    <w:locked/>
    <w:rsid w:val="00866FEA"/>
    <w:pPr>
      <w:spacing w:before="240" w:after="60" w:line="240" w:lineRule="auto"/>
      <w:outlineLvl w:val="4"/>
    </w:pPr>
    <w:rPr>
      <w:rFonts w:ascii="Century Gothic" w:eastAsia="Times New Roman" w:hAnsi="Century Gothic"/>
      <w:b/>
      <w:bCs/>
      <w:i/>
      <w:iCs/>
      <w:sz w:val="26"/>
      <w:szCs w:val="26"/>
    </w:rPr>
  </w:style>
  <w:style w:type="paragraph" w:styleId="Heading6">
    <w:name w:val="heading 6"/>
    <w:basedOn w:val="Normal"/>
    <w:next w:val="Normal"/>
    <w:link w:val="Heading6Char"/>
    <w:qFormat/>
    <w:locked/>
    <w:rsid w:val="00200286"/>
    <w:pPr>
      <w:keepNext/>
      <w:spacing w:after="0" w:line="240" w:lineRule="auto"/>
      <w:outlineLvl w:val="5"/>
    </w:pPr>
    <w:rPr>
      <w:rFonts w:ascii="Century Gothic" w:eastAsia="Times New Roman" w:hAnsi="Century Gothic"/>
      <w:b/>
      <w:szCs w:val="20"/>
    </w:rPr>
  </w:style>
  <w:style w:type="paragraph" w:styleId="Heading7">
    <w:name w:val="heading 7"/>
    <w:basedOn w:val="Normal"/>
    <w:next w:val="Normal"/>
    <w:link w:val="Heading7Char"/>
    <w:qFormat/>
    <w:locked/>
    <w:rsid w:val="00866FEA"/>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qFormat/>
    <w:locked/>
    <w:rsid w:val="00866FEA"/>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locked/>
    <w:rsid w:val="00DC1AAF"/>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9"/>
    <w:locked/>
    <w:rsid w:val="00200286"/>
    <w:rPr>
      <w:rFonts w:ascii="Century Gothic" w:hAnsi="Century Gothic" w:cs="Times New Roman"/>
      <w:b/>
      <w:sz w:val="20"/>
      <w:szCs w:val="20"/>
      <w:lang w:eastAsia="en-US"/>
    </w:rPr>
  </w:style>
  <w:style w:type="paragraph" w:styleId="Header">
    <w:name w:val="header"/>
    <w:aliases w:val="MEL Header"/>
    <w:basedOn w:val="Normal"/>
    <w:link w:val="HeaderChar"/>
    <w:uiPriority w:val="99"/>
    <w:rsid w:val="008B7473"/>
    <w:pPr>
      <w:tabs>
        <w:tab w:val="center" w:pos="4513"/>
        <w:tab w:val="right" w:pos="9026"/>
      </w:tabs>
      <w:spacing w:after="0" w:line="240" w:lineRule="auto"/>
    </w:pPr>
  </w:style>
  <w:style w:type="character" w:customStyle="1" w:styleId="HeaderChar">
    <w:name w:val="Header Char"/>
    <w:aliases w:val="MEL Header Char"/>
    <w:link w:val="Header"/>
    <w:uiPriority w:val="99"/>
    <w:locked/>
    <w:rsid w:val="008B7473"/>
    <w:rPr>
      <w:rFonts w:cs="Times New Roman"/>
    </w:rPr>
  </w:style>
  <w:style w:type="paragraph" w:styleId="Footer">
    <w:name w:val="footer"/>
    <w:basedOn w:val="Normal"/>
    <w:link w:val="FooterChar"/>
    <w:rsid w:val="008B7473"/>
    <w:pPr>
      <w:tabs>
        <w:tab w:val="center" w:pos="4513"/>
        <w:tab w:val="right" w:pos="9026"/>
      </w:tabs>
      <w:spacing w:after="0" w:line="240" w:lineRule="auto"/>
    </w:pPr>
  </w:style>
  <w:style w:type="character" w:customStyle="1" w:styleId="FooterChar">
    <w:name w:val="Footer Char"/>
    <w:link w:val="Footer"/>
    <w:uiPriority w:val="99"/>
    <w:locked/>
    <w:rsid w:val="008B7473"/>
    <w:rPr>
      <w:rFonts w:cs="Times New Roman"/>
    </w:rPr>
  </w:style>
  <w:style w:type="paragraph" w:styleId="ListParagraph">
    <w:name w:val="List Paragraph"/>
    <w:basedOn w:val="Normal"/>
    <w:link w:val="ListParagraphChar"/>
    <w:uiPriority w:val="34"/>
    <w:qFormat/>
    <w:rsid w:val="00101736"/>
    <w:pPr>
      <w:ind w:left="720"/>
      <w:contextualSpacing/>
    </w:pPr>
  </w:style>
  <w:style w:type="table" w:styleId="TableGrid">
    <w:name w:val="Table Grid"/>
    <w:basedOn w:val="TableNormal"/>
    <w:uiPriority w:val="39"/>
    <w:rsid w:val="004F75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F754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F754D"/>
    <w:rPr>
      <w:rFonts w:ascii="Tahoma" w:hAnsi="Tahoma" w:cs="Tahoma"/>
      <w:sz w:val="16"/>
      <w:szCs w:val="16"/>
    </w:rPr>
  </w:style>
  <w:style w:type="character" w:styleId="CommentReference">
    <w:name w:val="annotation reference"/>
    <w:rsid w:val="00F6339A"/>
    <w:rPr>
      <w:rFonts w:cs="Times New Roman"/>
      <w:sz w:val="16"/>
      <w:szCs w:val="16"/>
    </w:rPr>
  </w:style>
  <w:style w:type="paragraph" w:styleId="CommentText">
    <w:name w:val="annotation text"/>
    <w:basedOn w:val="Normal"/>
    <w:link w:val="CommentTextChar"/>
    <w:rsid w:val="00F6339A"/>
    <w:pPr>
      <w:spacing w:line="240" w:lineRule="auto"/>
    </w:pPr>
    <w:rPr>
      <w:sz w:val="20"/>
      <w:szCs w:val="20"/>
    </w:rPr>
  </w:style>
  <w:style w:type="character" w:customStyle="1" w:styleId="CommentTextChar">
    <w:name w:val="Comment Text Char"/>
    <w:link w:val="CommentText"/>
    <w:locked/>
    <w:rsid w:val="00F6339A"/>
    <w:rPr>
      <w:rFonts w:cs="Times New Roman"/>
      <w:sz w:val="20"/>
      <w:szCs w:val="20"/>
    </w:rPr>
  </w:style>
  <w:style w:type="paragraph" w:styleId="CommentSubject">
    <w:name w:val="annotation subject"/>
    <w:basedOn w:val="CommentText"/>
    <w:next w:val="CommentText"/>
    <w:link w:val="CommentSubjectChar"/>
    <w:rsid w:val="00F6339A"/>
    <w:rPr>
      <w:b/>
      <w:bCs/>
    </w:rPr>
  </w:style>
  <w:style w:type="character" w:customStyle="1" w:styleId="CommentSubjectChar">
    <w:name w:val="Comment Subject Char"/>
    <w:link w:val="CommentSubject"/>
    <w:locked/>
    <w:rsid w:val="00F6339A"/>
    <w:rPr>
      <w:rFonts w:cs="Times New Roman"/>
      <w:b/>
      <w:bCs/>
      <w:sz w:val="20"/>
      <w:szCs w:val="20"/>
    </w:rPr>
  </w:style>
  <w:style w:type="paragraph" w:styleId="BodyText">
    <w:name w:val="Body Text"/>
    <w:basedOn w:val="Normal"/>
    <w:link w:val="BodyTextChar"/>
    <w:uiPriority w:val="99"/>
    <w:semiHidden/>
    <w:rsid w:val="00BE60D8"/>
    <w:pPr>
      <w:spacing w:after="120"/>
    </w:pPr>
  </w:style>
  <w:style w:type="character" w:customStyle="1" w:styleId="BodyTextChar">
    <w:name w:val="Body Text Char"/>
    <w:link w:val="BodyText"/>
    <w:uiPriority w:val="99"/>
    <w:semiHidden/>
    <w:locked/>
    <w:rsid w:val="00BE60D8"/>
    <w:rPr>
      <w:rFonts w:cs="Times New Roman"/>
    </w:rPr>
  </w:style>
  <w:style w:type="character" w:styleId="Hyperlink">
    <w:name w:val="Hyperlink"/>
    <w:uiPriority w:val="99"/>
    <w:rsid w:val="003B7D5D"/>
    <w:rPr>
      <w:rFonts w:cs="Times New Roman"/>
      <w:color w:val="0000FF"/>
      <w:u w:val="single"/>
    </w:rPr>
  </w:style>
  <w:style w:type="paragraph" w:styleId="BodyTextIndent2">
    <w:name w:val="Body Text Indent 2"/>
    <w:basedOn w:val="Normal"/>
    <w:link w:val="BodyTextIndent2Char"/>
    <w:rsid w:val="00173107"/>
    <w:pPr>
      <w:spacing w:after="120" w:line="480" w:lineRule="auto"/>
      <w:ind w:left="283"/>
    </w:pPr>
    <w:rPr>
      <w:rFonts w:ascii="Century Gothic" w:eastAsia="Times New Roman" w:hAnsi="Century Gothic"/>
      <w:sz w:val="20"/>
      <w:szCs w:val="20"/>
    </w:rPr>
  </w:style>
  <w:style w:type="character" w:customStyle="1" w:styleId="BodyTextIndent2Char">
    <w:name w:val="Body Text Indent 2 Char"/>
    <w:link w:val="BodyTextIndent2"/>
    <w:uiPriority w:val="99"/>
    <w:locked/>
    <w:rsid w:val="00173107"/>
    <w:rPr>
      <w:rFonts w:ascii="Century Gothic" w:hAnsi="Century Gothic" w:cs="Times New Roman"/>
      <w:sz w:val="20"/>
      <w:szCs w:val="20"/>
      <w:lang w:eastAsia="en-US"/>
    </w:rPr>
  </w:style>
  <w:style w:type="paragraph" w:styleId="NoSpacing">
    <w:name w:val="No Spacing"/>
    <w:uiPriority w:val="1"/>
    <w:qFormat/>
    <w:rsid w:val="001946E0"/>
    <w:rPr>
      <w:sz w:val="22"/>
      <w:szCs w:val="22"/>
      <w:lang w:eastAsia="en-US"/>
    </w:rPr>
  </w:style>
  <w:style w:type="character" w:customStyle="1" w:styleId="emailstyle17">
    <w:name w:val="emailstyle17"/>
    <w:uiPriority w:val="99"/>
    <w:semiHidden/>
    <w:rsid w:val="005737F1"/>
    <w:rPr>
      <w:rFonts w:ascii="Arial" w:hAnsi="Arial" w:cs="Arial"/>
      <w:color w:val="auto"/>
      <w:sz w:val="20"/>
      <w:szCs w:val="20"/>
    </w:rPr>
  </w:style>
  <w:style w:type="paragraph" w:customStyle="1" w:styleId="Default">
    <w:name w:val="Default"/>
    <w:rsid w:val="008462AC"/>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327ADF"/>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Heading1Char">
    <w:name w:val="Heading 1 Char"/>
    <w:basedOn w:val="DefaultParagraphFont"/>
    <w:link w:val="Heading1"/>
    <w:rsid w:val="00866FEA"/>
    <w:rPr>
      <w:rFonts w:ascii="Arial" w:eastAsia="Times New Roman" w:hAnsi="Arial" w:cs="Arial"/>
      <w:b/>
      <w:bCs/>
      <w:kern w:val="32"/>
      <w:sz w:val="32"/>
      <w:szCs w:val="32"/>
      <w:lang w:eastAsia="en-US"/>
    </w:rPr>
  </w:style>
  <w:style w:type="character" w:customStyle="1" w:styleId="Heading5Char">
    <w:name w:val="Heading 5 Char"/>
    <w:basedOn w:val="DefaultParagraphFont"/>
    <w:link w:val="Heading5"/>
    <w:rsid w:val="00866FEA"/>
    <w:rPr>
      <w:rFonts w:ascii="Century Gothic" w:eastAsia="Times New Roman" w:hAnsi="Century Gothic"/>
      <w:b/>
      <w:bCs/>
      <w:i/>
      <w:iCs/>
      <w:sz w:val="26"/>
      <w:szCs w:val="26"/>
      <w:lang w:eastAsia="en-US"/>
    </w:rPr>
  </w:style>
  <w:style w:type="character" w:customStyle="1" w:styleId="Heading7Char">
    <w:name w:val="Heading 7 Char"/>
    <w:basedOn w:val="DefaultParagraphFont"/>
    <w:link w:val="Heading7"/>
    <w:rsid w:val="00866FEA"/>
    <w:rPr>
      <w:rFonts w:ascii="Times New Roman" w:eastAsia="Times New Roman" w:hAnsi="Times New Roman"/>
      <w:sz w:val="24"/>
      <w:szCs w:val="24"/>
      <w:lang w:eastAsia="en-US"/>
    </w:rPr>
  </w:style>
  <w:style w:type="character" w:customStyle="1" w:styleId="Heading8Char">
    <w:name w:val="Heading 8 Char"/>
    <w:basedOn w:val="DefaultParagraphFont"/>
    <w:link w:val="Heading8"/>
    <w:rsid w:val="00866FEA"/>
    <w:rPr>
      <w:rFonts w:ascii="Times New Roman" w:eastAsia="Times New Roman" w:hAnsi="Times New Roman"/>
      <w:i/>
      <w:iCs/>
      <w:sz w:val="24"/>
      <w:szCs w:val="24"/>
      <w:lang w:eastAsia="en-US"/>
    </w:rPr>
  </w:style>
  <w:style w:type="paragraph" w:styleId="BodyTextIndent">
    <w:name w:val="Body Text Indent"/>
    <w:basedOn w:val="Normal"/>
    <w:link w:val="BodyTextIndentChar"/>
    <w:rsid w:val="00866FEA"/>
    <w:pPr>
      <w:spacing w:after="120" w:line="240" w:lineRule="auto"/>
      <w:ind w:left="283"/>
    </w:pPr>
    <w:rPr>
      <w:rFonts w:ascii="Century Gothic" w:eastAsia="Times New Roman" w:hAnsi="Century Gothic"/>
      <w:sz w:val="20"/>
      <w:szCs w:val="20"/>
    </w:rPr>
  </w:style>
  <w:style w:type="character" w:customStyle="1" w:styleId="BodyTextIndentChar">
    <w:name w:val="Body Text Indent Char"/>
    <w:basedOn w:val="DefaultParagraphFont"/>
    <w:link w:val="BodyTextIndent"/>
    <w:rsid w:val="00866FEA"/>
    <w:rPr>
      <w:rFonts w:ascii="Century Gothic" w:eastAsia="Times New Roman" w:hAnsi="Century Gothic"/>
      <w:lang w:eastAsia="en-US"/>
    </w:rPr>
  </w:style>
  <w:style w:type="paragraph" w:styleId="FootnoteText">
    <w:name w:val="footnote text"/>
    <w:basedOn w:val="Normal"/>
    <w:link w:val="FootnoteTextChar"/>
    <w:uiPriority w:val="99"/>
    <w:semiHidden/>
    <w:unhideWhenUsed/>
    <w:rsid w:val="002D699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D6993"/>
    <w:rPr>
      <w:rFonts w:asciiTheme="minorHAnsi" w:hAnsiTheme="minorHAnsi" w:cstheme="minorBidi"/>
      <w:lang w:eastAsia="en-US"/>
    </w:rPr>
  </w:style>
  <w:style w:type="character" w:styleId="FootnoteReference">
    <w:name w:val="footnote reference"/>
    <w:basedOn w:val="DefaultParagraphFont"/>
    <w:uiPriority w:val="99"/>
    <w:semiHidden/>
    <w:unhideWhenUsed/>
    <w:rsid w:val="002D6993"/>
    <w:rPr>
      <w:vertAlign w:val="superscript"/>
    </w:rPr>
  </w:style>
  <w:style w:type="paragraph" w:styleId="Revision">
    <w:name w:val="Revision"/>
    <w:hidden/>
    <w:uiPriority w:val="99"/>
    <w:semiHidden/>
    <w:rsid w:val="00950F9D"/>
    <w:rPr>
      <w:sz w:val="22"/>
      <w:szCs w:val="22"/>
      <w:lang w:eastAsia="en-US"/>
    </w:rPr>
  </w:style>
  <w:style w:type="character" w:customStyle="1" w:styleId="Heading2Char">
    <w:name w:val="Heading 2 Char"/>
    <w:basedOn w:val="DefaultParagraphFont"/>
    <w:link w:val="Heading2"/>
    <w:semiHidden/>
    <w:rsid w:val="00DC1AAF"/>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DC1AAF"/>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rsid w:val="00DC1AAF"/>
    <w:rPr>
      <w:rFonts w:ascii="Arial" w:eastAsia="Times New Roman" w:hAnsi="Arial" w:cs="Arial"/>
      <w:b/>
      <w:bCs/>
      <w:color w:val="000080"/>
      <w:lang w:eastAsia="en-US"/>
    </w:rPr>
  </w:style>
  <w:style w:type="character" w:customStyle="1" w:styleId="Heading9Char">
    <w:name w:val="Heading 9 Char"/>
    <w:basedOn w:val="DefaultParagraphFont"/>
    <w:link w:val="Heading9"/>
    <w:rsid w:val="00DC1AAF"/>
    <w:rPr>
      <w:rFonts w:ascii="Arial" w:eastAsia="Times New Roman" w:hAnsi="Arial" w:cs="Arial"/>
      <w:sz w:val="22"/>
      <w:szCs w:val="22"/>
      <w:lang w:eastAsia="en-US"/>
    </w:rPr>
  </w:style>
  <w:style w:type="numbering" w:customStyle="1" w:styleId="NoList1">
    <w:name w:val="No List1"/>
    <w:next w:val="NoList"/>
    <w:semiHidden/>
    <w:rsid w:val="00DC1AAF"/>
  </w:style>
  <w:style w:type="paragraph" w:styleId="BodyTextIndent3">
    <w:name w:val="Body Text Indent 3"/>
    <w:basedOn w:val="Normal"/>
    <w:link w:val="BodyTextIndent3Char"/>
    <w:rsid w:val="00DC1AAF"/>
    <w:pPr>
      <w:spacing w:after="0" w:line="240" w:lineRule="auto"/>
      <w:ind w:left="576"/>
      <w:jc w:val="both"/>
    </w:pPr>
    <w:rPr>
      <w:rFonts w:ascii="Arial" w:eastAsia="Times New Roman" w:hAnsi="Arial"/>
      <w:lang w:val="en"/>
    </w:rPr>
  </w:style>
  <w:style w:type="character" w:customStyle="1" w:styleId="BodyTextIndent3Char">
    <w:name w:val="Body Text Indent 3 Char"/>
    <w:basedOn w:val="DefaultParagraphFont"/>
    <w:link w:val="BodyTextIndent3"/>
    <w:rsid w:val="00DC1AAF"/>
    <w:rPr>
      <w:rFonts w:ascii="Arial" w:eastAsia="Times New Roman" w:hAnsi="Arial"/>
      <w:sz w:val="22"/>
      <w:szCs w:val="22"/>
      <w:lang w:val="en" w:eastAsia="en-US"/>
    </w:rPr>
  </w:style>
  <w:style w:type="character" w:styleId="PageNumber">
    <w:name w:val="page number"/>
    <w:basedOn w:val="DefaultParagraphFont"/>
    <w:rsid w:val="00DC1AAF"/>
  </w:style>
  <w:style w:type="paragraph" w:customStyle="1" w:styleId="StyleCCC">
    <w:name w:val="StyleCCC"/>
    <w:basedOn w:val="Normal"/>
    <w:rsid w:val="00DC1AAF"/>
    <w:pPr>
      <w:tabs>
        <w:tab w:val="num" w:pos="360"/>
      </w:tabs>
      <w:spacing w:after="0" w:line="240" w:lineRule="auto"/>
      <w:ind w:left="360" w:hanging="360"/>
    </w:pPr>
    <w:rPr>
      <w:rFonts w:ascii="Arial" w:eastAsia="Times New Roman" w:hAnsi="Arial"/>
      <w:sz w:val="24"/>
      <w:szCs w:val="20"/>
    </w:rPr>
  </w:style>
  <w:style w:type="paragraph" w:customStyle="1" w:styleId="Char">
    <w:name w:val="Char"/>
    <w:basedOn w:val="Normal"/>
    <w:rsid w:val="00DC1AAF"/>
    <w:pPr>
      <w:spacing w:after="160" w:line="240" w:lineRule="exact"/>
    </w:pPr>
    <w:rPr>
      <w:rFonts w:ascii="Verdana" w:eastAsia="Times New Roman" w:hAnsi="Verdana" w:cs="Verdana"/>
      <w:sz w:val="20"/>
      <w:szCs w:val="20"/>
      <w:lang w:val="en-US"/>
    </w:rPr>
  </w:style>
  <w:style w:type="table" w:customStyle="1" w:styleId="TableGrid1">
    <w:name w:val="Table Grid1"/>
    <w:basedOn w:val="TableNormal"/>
    <w:next w:val="TableGrid"/>
    <w:rsid w:val="00DC1A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DC1AAF"/>
    <w:pPr>
      <w:spacing w:before="240" w:after="60" w:line="240" w:lineRule="auto"/>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DC1AAF"/>
    <w:rPr>
      <w:rFonts w:ascii="Calibri Light" w:eastAsia="Times New Roman" w:hAnsi="Calibri Light"/>
      <w:b/>
      <w:bCs/>
      <w:kern w:val="28"/>
      <w:sz w:val="32"/>
      <w:szCs w:val="32"/>
      <w:lang w:eastAsia="en-US"/>
    </w:rPr>
  </w:style>
  <w:style w:type="paragraph" w:customStyle="1" w:styleId="PanelPara">
    <w:name w:val="Panel Para"/>
    <w:basedOn w:val="ListParagraph"/>
    <w:link w:val="PanelParaChar"/>
    <w:qFormat/>
    <w:rsid w:val="00083DE2"/>
    <w:pPr>
      <w:numPr>
        <w:numId w:val="31"/>
      </w:numPr>
      <w:spacing w:after="240" w:line="240" w:lineRule="auto"/>
      <w:contextualSpacing w:val="0"/>
      <w:jc w:val="both"/>
    </w:pPr>
    <w:rPr>
      <w:rFonts w:asciiTheme="minorHAnsi" w:hAnsiTheme="minorHAnsi" w:cstheme="minorHAnsi"/>
      <w:sz w:val="24"/>
      <w:szCs w:val="24"/>
    </w:rPr>
  </w:style>
  <w:style w:type="paragraph" w:customStyle="1" w:styleId="PanelHeading">
    <w:name w:val="Panel Heading"/>
    <w:basedOn w:val="ListParagraph"/>
    <w:link w:val="PanelHeadingChar"/>
    <w:qFormat/>
    <w:rsid w:val="00685B66"/>
    <w:pPr>
      <w:spacing w:after="240" w:line="240" w:lineRule="auto"/>
      <w:ind w:left="0"/>
      <w:jc w:val="both"/>
    </w:pPr>
    <w:rPr>
      <w:rFonts w:asciiTheme="minorHAnsi" w:hAnsiTheme="minorHAnsi" w:cstheme="minorHAnsi"/>
      <w:b/>
      <w:sz w:val="24"/>
      <w:szCs w:val="24"/>
    </w:rPr>
  </w:style>
  <w:style w:type="character" w:customStyle="1" w:styleId="ListParagraphChar">
    <w:name w:val="List Paragraph Char"/>
    <w:basedOn w:val="DefaultParagraphFont"/>
    <w:link w:val="ListParagraph"/>
    <w:uiPriority w:val="34"/>
    <w:rsid w:val="00EE08B9"/>
    <w:rPr>
      <w:sz w:val="22"/>
      <w:szCs w:val="22"/>
      <w:lang w:eastAsia="en-US"/>
    </w:rPr>
  </w:style>
  <w:style w:type="character" w:customStyle="1" w:styleId="PanelParaChar">
    <w:name w:val="Panel Para Char"/>
    <w:basedOn w:val="ListParagraphChar"/>
    <w:link w:val="PanelPara"/>
    <w:rsid w:val="00083DE2"/>
    <w:rPr>
      <w:rFonts w:asciiTheme="minorHAnsi" w:hAnsiTheme="minorHAnsi" w:cstheme="minorHAnsi"/>
      <w:sz w:val="24"/>
      <w:szCs w:val="24"/>
      <w:lang w:eastAsia="en-US"/>
    </w:rPr>
  </w:style>
  <w:style w:type="character" w:customStyle="1" w:styleId="PanelHeadingChar">
    <w:name w:val="Panel Heading Char"/>
    <w:basedOn w:val="ListParagraphChar"/>
    <w:link w:val="PanelHeading"/>
    <w:rsid w:val="00685B66"/>
    <w:rPr>
      <w:rFonts w:asciiTheme="minorHAnsi" w:hAnsiTheme="minorHAnsi" w:cstheme="minorHAnsi"/>
      <w:b/>
      <w:sz w:val="24"/>
      <w:szCs w:val="24"/>
      <w:lang w:eastAsia="en-US"/>
    </w:rPr>
  </w:style>
  <w:style w:type="paragraph" w:customStyle="1" w:styleId="ReservesHeading">
    <w:name w:val="Reserves Heading"/>
    <w:basedOn w:val="Normal"/>
    <w:link w:val="ReservesHeadingChar"/>
    <w:qFormat/>
    <w:rsid w:val="008722B8"/>
    <w:pPr>
      <w:numPr>
        <w:numId w:val="35"/>
      </w:numPr>
      <w:spacing w:after="240" w:line="240" w:lineRule="auto"/>
      <w:ind w:left="567" w:hanging="567"/>
      <w:jc w:val="both"/>
    </w:pPr>
    <w:rPr>
      <w:rFonts w:eastAsia="Times New Roman" w:cs="Calibri"/>
      <w:b/>
      <w:bCs/>
      <w:sz w:val="24"/>
      <w:szCs w:val="24"/>
    </w:rPr>
  </w:style>
  <w:style w:type="paragraph" w:customStyle="1" w:styleId="ReservesBody">
    <w:name w:val="Reserves Body"/>
    <w:basedOn w:val="ReservesHeading"/>
    <w:link w:val="ReservesBodyChar"/>
    <w:qFormat/>
    <w:rsid w:val="008722B8"/>
    <w:pPr>
      <w:numPr>
        <w:ilvl w:val="1"/>
      </w:numPr>
      <w:ind w:left="567" w:hanging="567"/>
    </w:pPr>
    <w:rPr>
      <w:b w:val="0"/>
      <w:bCs w:val="0"/>
    </w:rPr>
  </w:style>
  <w:style w:type="character" w:customStyle="1" w:styleId="ReservesHeadingChar">
    <w:name w:val="Reserves Heading Char"/>
    <w:basedOn w:val="DefaultParagraphFont"/>
    <w:link w:val="ReservesHeading"/>
    <w:rsid w:val="008722B8"/>
    <w:rPr>
      <w:rFonts w:eastAsia="Times New Roman" w:cs="Calibri"/>
      <w:b/>
      <w:bCs/>
      <w:sz w:val="24"/>
      <w:szCs w:val="24"/>
      <w:lang w:eastAsia="en-US"/>
    </w:rPr>
  </w:style>
  <w:style w:type="paragraph" w:customStyle="1" w:styleId="Reservesbullet">
    <w:name w:val="Reserves bullet"/>
    <w:basedOn w:val="ReservesBody"/>
    <w:link w:val="ReservesbulletChar"/>
    <w:qFormat/>
    <w:rsid w:val="0075574D"/>
    <w:pPr>
      <w:numPr>
        <w:ilvl w:val="2"/>
      </w:numPr>
      <w:spacing w:after="120"/>
      <w:ind w:left="1077" w:hanging="357"/>
    </w:pPr>
  </w:style>
  <w:style w:type="character" w:customStyle="1" w:styleId="ReservesBodyChar">
    <w:name w:val="Reserves Body Char"/>
    <w:basedOn w:val="ReservesHeadingChar"/>
    <w:link w:val="ReservesBody"/>
    <w:rsid w:val="008722B8"/>
    <w:rPr>
      <w:rFonts w:eastAsia="Times New Roman" w:cs="Calibri"/>
      <w:b w:val="0"/>
      <w:bCs w:val="0"/>
      <w:sz w:val="24"/>
      <w:szCs w:val="24"/>
      <w:lang w:eastAsia="en-US"/>
    </w:rPr>
  </w:style>
  <w:style w:type="character" w:customStyle="1" w:styleId="ReservesbulletChar">
    <w:name w:val="Reserves bullet Char"/>
    <w:basedOn w:val="ReservesBodyChar"/>
    <w:link w:val="Reservesbullet"/>
    <w:rsid w:val="0075574D"/>
    <w:rPr>
      <w:rFonts w:eastAsia="Times New Roman" w:cs="Calibri"/>
      <w:b w:val="0"/>
      <w:bCs w:val="0"/>
      <w:sz w:val="24"/>
      <w:szCs w:val="24"/>
      <w:lang w:eastAsia="en-US"/>
    </w:rPr>
  </w:style>
  <w:style w:type="paragraph" w:customStyle="1" w:styleId="PanelBullet">
    <w:name w:val="Panel Bullet"/>
    <w:basedOn w:val="PanelPara"/>
    <w:link w:val="PanelBulletChar"/>
    <w:qFormat/>
    <w:rsid w:val="00640ACC"/>
    <w:pPr>
      <w:numPr>
        <w:ilvl w:val="2"/>
      </w:numPr>
      <w:spacing w:after="120"/>
    </w:pPr>
  </w:style>
  <w:style w:type="character" w:customStyle="1" w:styleId="PanelBulletChar">
    <w:name w:val="Panel Bullet Char"/>
    <w:basedOn w:val="PanelParaChar"/>
    <w:link w:val="PanelBullet"/>
    <w:rsid w:val="00640ACC"/>
    <w:rPr>
      <w:rFonts w:asciiTheme="minorHAnsi" w:hAnsiTheme="minorHAnsi" w:cs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7327">
      <w:bodyDiv w:val="1"/>
      <w:marLeft w:val="0"/>
      <w:marRight w:val="0"/>
      <w:marTop w:val="0"/>
      <w:marBottom w:val="0"/>
      <w:divBdr>
        <w:top w:val="none" w:sz="0" w:space="0" w:color="auto"/>
        <w:left w:val="none" w:sz="0" w:space="0" w:color="auto"/>
        <w:bottom w:val="none" w:sz="0" w:space="0" w:color="auto"/>
        <w:right w:val="none" w:sz="0" w:space="0" w:color="auto"/>
      </w:divBdr>
    </w:div>
    <w:div w:id="30233006">
      <w:bodyDiv w:val="1"/>
      <w:marLeft w:val="0"/>
      <w:marRight w:val="0"/>
      <w:marTop w:val="0"/>
      <w:marBottom w:val="0"/>
      <w:divBdr>
        <w:top w:val="none" w:sz="0" w:space="0" w:color="auto"/>
        <w:left w:val="none" w:sz="0" w:space="0" w:color="auto"/>
        <w:bottom w:val="none" w:sz="0" w:space="0" w:color="auto"/>
        <w:right w:val="none" w:sz="0" w:space="0" w:color="auto"/>
      </w:divBdr>
    </w:div>
    <w:div w:id="37821086">
      <w:bodyDiv w:val="1"/>
      <w:marLeft w:val="0"/>
      <w:marRight w:val="0"/>
      <w:marTop w:val="0"/>
      <w:marBottom w:val="0"/>
      <w:divBdr>
        <w:top w:val="none" w:sz="0" w:space="0" w:color="auto"/>
        <w:left w:val="none" w:sz="0" w:space="0" w:color="auto"/>
        <w:bottom w:val="none" w:sz="0" w:space="0" w:color="auto"/>
        <w:right w:val="none" w:sz="0" w:space="0" w:color="auto"/>
      </w:divBdr>
    </w:div>
    <w:div w:id="62681711">
      <w:bodyDiv w:val="1"/>
      <w:marLeft w:val="0"/>
      <w:marRight w:val="0"/>
      <w:marTop w:val="0"/>
      <w:marBottom w:val="0"/>
      <w:divBdr>
        <w:top w:val="none" w:sz="0" w:space="0" w:color="auto"/>
        <w:left w:val="none" w:sz="0" w:space="0" w:color="auto"/>
        <w:bottom w:val="none" w:sz="0" w:space="0" w:color="auto"/>
        <w:right w:val="none" w:sz="0" w:space="0" w:color="auto"/>
      </w:divBdr>
    </w:div>
    <w:div w:id="82651841">
      <w:bodyDiv w:val="1"/>
      <w:marLeft w:val="0"/>
      <w:marRight w:val="0"/>
      <w:marTop w:val="0"/>
      <w:marBottom w:val="0"/>
      <w:divBdr>
        <w:top w:val="none" w:sz="0" w:space="0" w:color="auto"/>
        <w:left w:val="none" w:sz="0" w:space="0" w:color="auto"/>
        <w:bottom w:val="none" w:sz="0" w:space="0" w:color="auto"/>
        <w:right w:val="none" w:sz="0" w:space="0" w:color="auto"/>
      </w:divBdr>
    </w:div>
    <w:div w:id="91174414">
      <w:bodyDiv w:val="1"/>
      <w:marLeft w:val="0"/>
      <w:marRight w:val="0"/>
      <w:marTop w:val="0"/>
      <w:marBottom w:val="0"/>
      <w:divBdr>
        <w:top w:val="none" w:sz="0" w:space="0" w:color="auto"/>
        <w:left w:val="none" w:sz="0" w:space="0" w:color="auto"/>
        <w:bottom w:val="none" w:sz="0" w:space="0" w:color="auto"/>
        <w:right w:val="none" w:sz="0" w:space="0" w:color="auto"/>
      </w:divBdr>
    </w:div>
    <w:div w:id="94982937">
      <w:bodyDiv w:val="1"/>
      <w:marLeft w:val="0"/>
      <w:marRight w:val="0"/>
      <w:marTop w:val="0"/>
      <w:marBottom w:val="0"/>
      <w:divBdr>
        <w:top w:val="none" w:sz="0" w:space="0" w:color="auto"/>
        <w:left w:val="none" w:sz="0" w:space="0" w:color="auto"/>
        <w:bottom w:val="none" w:sz="0" w:space="0" w:color="auto"/>
        <w:right w:val="none" w:sz="0" w:space="0" w:color="auto"/>
      </w:divBdr>
    </w:div>
    <w:div w:id="105933893">
      <w:bodyDiv w:val="1"/>
      <w:marLeft w:val="0"/>
      <w:marRight w:val="0"/>
      <w:marTop w:val="0"/>
      <w:marBottom w:val="0"/>
      <w:divBdr>
        <w:top w:val="none" w:sz="0" w:space="0" w:color="auto"/>
        <w:left w:val="none" w:sz="0" w:space="0" w:color="auto"/>
        <w:bottom w:val="none" w:sz="0" w:space="0" w:color="auto"/>
        <w:right w:val="none" w:sz="0" w:space="0" w:color="auto"/>
      </w:divBdr>
    </w:div>
    <w:div w:id="110824851">
      <w:bodyDiv w:val="1"/>
      <w:marLeft w:val="0"/>
      <w:marRight w:val="0"/>
      <w:marTop w:val="0"/>
      <w:marBottom w:val="0"/>
      <w:divBdr>
        <w:top w:val="none" w:sz="0" w:space="0" w:color="auto"/>
        <w:left w:val="none" w:sz="0" w:space="0" w:color="auto"/>
        <w:bottom w:val="none" w:sz="0" w:space="0" w:color="auto"/>
        <w:right w:val="none" w:sz="0" w:space="0" w:color="auto"/>
      </w:divBdr>
    </w:div>
    <w:div w:id="185019873">
      <w:bodyDiv w:val="1"/>
      <w:marLeft w:val="0"/>
      <w:marRight w:val="0"/>
      <w:marTop w:val="0"/>
      <w:marBottom w:val="0"/>
      <w:divBdr>
        <w:top w:val="none" w:sz="0" w:space="0" w:color="auto"/>
        <w:left w:val="none" w:sz="0" w:space="0" w:color="auto"/>
        <w:bottom w:val="none" w:sz="0" w:space="0" w:color="auto"/>
        <w:right w:val="none" w:sz="0" w:space="0" w:color="auto"/>
      </w:divBdr>
    </w:div>
    <w:div w:id="202376253">
      <w:bodyDiv w:val="1"/>
      <w:marLeft w:val="0"/>
      <w:marRight w:val="0"/>
      <w:marTop w:val="0"/>
      <w:marBottom w:val="0"/>
      <w:divBdr>
        <w:top w:val="none" w:sz="0" w:space="0" w:color="auto"/>
        <w:left w:val="none" w:sz="0" w:space="0" w:color="auto"/>
        <w:bottom w:val="none" w:sz="0" w:space="0" w:color="auto"/>
        <w:right w:val="none" w:sz="0" w:space="0" w:color="auto"/>
      </w:divBdr>
    </w:div>
    <w:div w:id="237713323">
      <w:bodyDiv w:val="1"/>
      <w:marLeft w:val="0"/>
      <w:marRight w:val="0"/>
      <w:marTop w:val="0"/>
      <w:marBottom w:val="0"/>
      <w:divBdr>
        <w:top w:val="none" w:sz="0" w:space="0" w:color="auto"/>
        <w:left w:val="none" w:sz="0" w:space="0" w:color="auto"/>
        <w:bottom w:val="none" w:sz="0" w:space="0" w:color="auto"/>
        <w:right w:val="none" w:sz="0" w:space="0" w:color="auto"/>
      </w:divBdr>
    </w:div>
    <w:div w:id="250431114">
      <w:bodyDiv w:val="1"/>
      <w:marLeft w:val="0"/>
      <w:marRight w:val="0"/>
      <w:marTop w:val="0"/>
      <w:marBottom w:val="0"/>
      <w:divBdr>
        <w:top w:val="none" w:sz="0" w:space="0" w:color="auto"/>
        <w:left w:val="none" w:sz="0" w:space="0" w:color="auto"/>
        <w:bottom w:val="none" w:sz="0" w:space="0" w:color="auto"/>
        <w:right w:val="none" w:sz="0" w:space="0" w:color="auto"/>
      </w:divBdr>
    </w:div>
    <w:div w:id="265307284">
      <w:bodyDiv w:val="1"/>
      <w:marLeft w:val="0"/>
      <w:marRight w:val="0"/>
      <w:marTop w:val="0"/>
      <w:marBottom w:val="0"/>
      <w:divBdr>
        <w:top w:val="none" w:sz="0" w:space="0" w:color="auto"/>
        <w:left w:val="none" w:sz="0" w:space="0" w:color="auto"/>
        <w:bottom w:val="none" w:sz="0" w:space="0" w:color="auto"/>
        <w:right w:val="none" w:sz="0" w:space="0" w:color="auto"/>
      </w:divBdr>
    </w:div>
    <w:div w:id="267785233">
      <w:bodyDiv w:val="1"/>
      <w:marLeft w:val="0"/>
      <w:marRight w:val="0"/>
      <w:marTop w:val="0"/>
      <w:marBottom w:val="0"/>
      <w:divBdr>
        <w:top w:val="none" w:sz="0" w:space="0" w:color="auto"/>
        <w:left w:val="none" w:sz="0" w:space="0" w:color="auto"/>
        <w:bottom w:val="none" w:sz="0" w:space="0" w:color="auto"/>
        <w:right w:val="none" w:sz="0" w:space="0" w:color="auto"/>
      </w:divBdr>
    </w:div>
    <w:div w:id="276564186">
      <w:bodyDiv w:val="1"/>
      <w:marLeft w:val="0"/>
      <w:marRight w:val="0"/>
      <w:marTop w:val="0"/>
      <w:marBottom w:val="0"/>
      <w:divBdr>
        <w:top w:val="none" w:sz="0" w:space="0" w:color="auto"/>
        <w:left w:val="none" w:sz="0" w:space="0" w:color="auto"/>
        <w:bottom w:val="none" w:sz="0" w:space="0" w:color="auto"/>
        <w:right w:val="none" w:sz="0" w:space="0" w:color="auto"/>
      </w:divBdr>
    </w:div>
    <w:div w:id="375157011">
      <w:bodyDiv w:val="1"/>
      <w:marLeft w:val="0"/>
      <w:marRight w:val="0"/>
      <w:marTop w:val="0"/>
      <w:marBottom w:val="0"/>
      <w:divBdr>
        <w:top w:val="none" w:sz="0" w:space="0" w:color="auto"/>
        <w:left w:val="none" w:sz="0" w:space="0" w:color="auto"/>
        <w:bottom w:val="none" w:sz="0" w:space="0" w:color="auto"/>
        <w:right w:val="none" w:sz="0" w:space="0" w:color="auto"/>
      </w:divBdr>
    </w:div>
    <w:div w:id="382141448">
      <w:bodyDiv w:val="1"/>
      <w:marLeft w:val="0"/>
      <w:marRight w:val="0"/>
      <w:marTop w:val="0"/>
      <w:marBottom w:val="0"/>
      <w:divBdr>
        <w:top w:val="none" w:sz="0" w:space="0" w:color="auto"/>
        <w:left w:val="none" w:sz="0" w:space="0" w:color="auto"/>
        <w:bottom w:val="none" w:sz="0" w:space="0" w:color="auto"/>
        <w:right w:val="none" w:sz="0" w:space="0" w:color="auto"/>
      </w:divBdr>
    </w:div>
    <w:div w:id="391125181">
      <w:bodyDiv w:val="1"/>
      <w:marLeft w:val="0"/>
      <w:marRight w:val="0"/>
      <w:marTop w:val="0"/>
      <w:marBottom w:val="0"/>
      <w:divBdr>
        <w:top w:val="none" w:sz="0" w:space="0" w:color="auto"/>
        <w:left w:val="none" w:sz="0" w:space="0" w:color="auto"/>
        <w:bottom w:val="none" w:sz="0" w:space="0" w:color="auto"/>
        <w:right w:val="none" w:sz="0" w:space="0" w:color="auto"/>
      </w:divBdr>
    </w:div>
    <w:div w:id="402290788">
      <w:bodyDiv w:val="1"/>
      <w:marLeft w:val="0"/>
      <w:marRight w:val="0"/>
      <w:marTop w:val="0"/>
      <w:marBottom w:val="0"/>
      <w:divBdr>
        <w:top w:val="none" w:sz="0" w:space="0" w:color="auto"/>
        <w:left w:val="none" w:sz="0" w:space="0" w:color="auto"/>
        <w:bottom w:val="none" w:sz="0" w:space="0" w:color="auto"/>
        <w:right w:val="none" w:sz="0" w:space="0" w:color="auto"/>
      </w:divBdr>
    </w:div>
    <w:div w:id="406222546">
      <w:marLeft w:val="0"/>
      <w:marRight w:val="0"/>
      <w:marTop w:val="0"/>
      <w:marBottom w:val="0"/>
      <w:divBdr>
        <w:top w:val="none" w:sz="0" w:space="0" w:color="auto"/>
        <w:left w:val="none" w:sz="0" w:space="0" w:color="auto"/>
        <w:bottom w:val="none" w:sz="0" w:space="0" w:color="auto"/>
        <w:right w:val="none" w:sz="0" w:space="0" w:color="auto"/>
      </w:divBdr>
    </w:div>
    <w:div w:id="406222547">
      <w:marLeft w:val="0"/>
      <w:marRight w:val="0"/>
      <w:marTop w:val="0"/>
      <w:marBottom w:val="0"/>
      <w:divBdr>
        <w:top w:val="none" w:sz="0" w:space="0" w:color="auto"/>
        <w:left w:val="none" w:sz="0" w:space="0" w:color="auto"/>
        <w:bottom w:val="none" w:sz="0" w:space="0" w:color="auto"/>
        <w:right w:val="none" w:sz="0" w:space="0" w:color="auto"/>
      </w:divBdr>
    </w:div>
    <w:div w:id="406222549">
      <w:marLeft w:val="0"/>
      <w:marRight w:val="0"/>
      <w:marTop w:val="0"/>
      <w:marBottom w:val="0"/>
      <w:divBdr>
        <w:top w:val="none" w:sz="0" w:space="0" w:color="auto"/>
        <w:left w:val="none" w:sz="0" w:space="0" w:color="auto"/>
        <w:bottom w:val="none" w:sz="0" w:space="0" w:color="auto"/>
        <w:right w:val="none" w:sz="0" w:space="0" w:color="auto"/>
      </w:divBdr>
      <w:divsChild>
        <w:div w:id="406222548">
          <w:marLeft w:val="0"/>
          <w:marRight w:val="0"/>
          <w:marTop w:val="0"/>
          <w:marBottom w:val="0"/>
          <w:divBdr>
            <w:top w:val="none" w:sz="0" w:space="0" w:color="auto"/>
            <w:left w:val="none" w:sz="0" w:space="0" w:color="auto"/>
            <w:bottom w:val="none" w:sz="0" w:space="0" w:color="auto"/>
            <w:right w:val="none" w:sz="0" w:space="0" w:color="auto"/>
          </w:divBdr>
        </w:div>
      </w:divsChild>
    </w:div>
    <w:div w:id="456459977">
      <w:bodyDiv w:val="1"/>
      <w:marLeft w:val="0"/>
      <w:marRight w:val="0"/>
      <w:marTop w:val="0"/>
      <w:marBottom w:val="0"/>
      <w:divBdr>
        <w:top w:val="none" w:sz="0" w:space="0" w:color="auto"/>
        <w:left w:val="none" w:sz="0" w:space="0" w:color="auto"/>
        <w:bottom w:val="none" w:sz="0" w:space="0" w:color="auto"/>
        <w:right w:val="none" w:sz="0" w:space="0" w:color="auto"/>
      </w:divBdr>
    </w:div>
    <w:div w:id="478302141">
      <w:bodyDiv w:val="1"/>
      <w:marLeft w:val="0"/>
      <w:marRight w:val="0"/>
      <w:marTop w:val="0"/>
      <w:marBottom w:val="0"/>
      <w:divBdr>
        <w:top w:val="none" w:sz="0" w:space="0" w:color="auto"/>
        <w:left w:val="none" w:sz="0" w:space="0" w:color="auto"/>
        <w:bottom w:val="none" w:sz="0" w:space="0" w:color="auto"/>
        <w:right w:val="none" w:sz="0" w:space="0" w:color="auto"/>
      </w:divBdr>
    </w:div>
    <w:div w:id="480973471">
      <w:bodyDiv w:val="1"/>
      <w:marLeft w:val="0"/>
      <w:marRight w:val="0"/>
      <w:marTop w:val="0"/>
      <w:marBottom w:val="0"/>
      <w:divBdr>
        <w:top w:val="none" w:sz="0" w:space="0" w:color="auto"/>
        <w:left w:val="none" w:sz="0" w:space="0" w:color="auto"/>
        <w:bottom w:val="none" w:sz="0" w:space="0" w:color="auto"/>
        <w:right w:val="none" w:sz="0" w:space="0" w:color="auto"/>
      </w:divBdr>
    </w:div>
    <w:div w:id="515264879">
      <w:bodyDiv w:val="1"/>
      <w:marLeft w:val="0"/>
      <w:marRight w:val="0"/>
      <w:marTop w:val="0"/>
      <w:marBottom w:val="0"/>
      <w:divBdr>
        <w:top w:val="none" w:sz="0" w:space="0" w:color="auto"/>
        <w:left w:val="none" w:sz="0" w:space="0" w:color="auto"/>
        <w:bottom w:val="none" w:sz="0" w:space="0" w:color="auto"/>
        <w:right w:val="none" w:sz="0" w:space="0" w:color="auto"/>
      </w:divBdr>
    </w:div>
    <w:div w:id="551579603">
      <w:bodyDiv w:val="1"/>
      <w:marLeft w:val="0"/>
      <w:marRight w:val="0"/>
      <w:marTop w:val="0"/>
      <w:marBottom w:val="0"/>
      <w:divBdr>
        <w:top w:val="none" w:sz="0" w:space="0" w:color="auto"/>
        <w:left w:val="none" w:sz="0" w:space="0" w:color="auto"/>
        <w:bottom w:val="none" w:sz="0" w:space="0" w:color="auto"/>
        <w:right w:val="none" w:sz="0" w:space="0" w:color="auto"/>
      </w:divBdr>
    </w:div>
    <w:div w:id="585965054">
      <w:bodyDiv w:val="1"/>
      <w:marLeft w:val="0"/>
      <w:marRight w:val="0"/>
      <w:marTop w:val="0"/>
      <w:marBottom w:val="0"/>
      <w:divBdr>
        <w:top w:val="none" w:sz="0" w:space="0" w:color="auto"/>
        <w:left w:val="none" w:sz="0" w:space="0" w:color="auto"/>
        <w:bottom w:val="none" w:sz="0" w:space="0" w:color="auto"/>
        <w:right w:val="none" w:sz="0" w:space="0" w:color="auto"/>
      </w:divBdr>
    </w:div>
    <w:div w:id="644091303">
      <w:bodyDiv w:val="1"/>
      <w:marLeft w:val="0"/>
      <w:marRight w:val="0"/>
      <w:marTop w:val="0"/>
      <w:marBottom w:val="0"/>
      <w:divBdr>
        <w:top w:val="none" w:sz="0" w:space="0" w:color="auto"/>
        <w:left w:val="none" w:sz="0" w:space="0" w:color="auto"/>
        <w:bottom w:val="none" w:sz="0" w:space="0" w:color="auto"/>
        <w:right w:val="none" w:sz="0" w:space="0" w:color="auto"/>
      </w:divBdr>
    </w:div>
    <w:div w:id="740174890">
      <w:bodyDiv w:val="1"/>
      <w:marLeft w:val="0"/>
      <w:marRight w:val="0"/>
      <w:marTop w:val="0"/>
      <w:marBottom w:val="0"/>
      <w:divBdr>
        <w:top w:val="none" w:sz="0" w:space="0" w:color="auto"/>
        <w:left w:val="none" w:sz="0" w:space="0" w:color="auto"/>
        <w:bottom w:val="none" w:sz="0" w:space="0" w:color="auto"/>
        <w:right w:val="none" w:sz="0" w:space="0" w:color="auto"/>
      </w:divBdr>
    </w:div>
    <w:div w:id="748771688">
      <w:bodyDiv w:val="1"/>
      <w:marLeft w:val="0"/>
      <w:marRight w:val="0"/>
      <w:marTop w:val="0"/>
      <w:marBottom w:val="0"/>
      <w:divBdr>
        <w:top w:val="none" w:sz="0" w:space="0" w:color="auto"/>
        <w:left w:val="none" w:sz="0" w:space="0" w:color="auto"/>
        <w:bottom w:val="none" w:sz="0" w:space="0" w:color="auto"/>
        <w:right w:val="none" w:sz="0" w:space="0" w:color="auto"/>
      </w:divBdr>
    </w:div>
    <w:div w:id="793406257">
      <w:bodyDiv w:val="1"/>
      <w:marLeft w:val="0"/>
      <w:marRight w:val="0"/>
      <w:marTop w:val="0"/>
      <w:marBottom w:val="0"/>
      <w:divBdr>
        <w:top w:val="none" w:sz="0" w:space="0" w:color="auto"/>
        <w:left w:val="none" w:sz="0" w:space="0" w:color="auto"/>
        <w:bottom w:val="none" w:sz="0" w:space="0" w:color="auto"/>
        <w:right w:val="none" w:sz="0" w:space="0" w:color="auto"/>
      </w:divBdr>
    </w:div>
    <w:div w:id="801583269">
      <w:bodyDiv w:val="1"/>
      <w:marLeft w:val="0"/>
      <w:marRight w:val="0"/>
      <w:marTop w:val="0"/>
      <w:marBottom w:val="0"/>
      <w:divBdr>
        <w:top w:val="none" w:sz="0" w:space="0" w:color="auto"/>
        <w:left w:val="none" w:sz="0" w:space="0" w:color="auto"/>
        <w:bottom w:val="none" w:sz="0" w:space="0" w:color="auto"/>
        <w:right w:val="none" w:sz="0" w:space="0" w:color="auto"/>
      </w:divBdr>
    </w:div>
    <w:div w:id="849874349">
      <w:bodyDiv w:val="1"/>
      <w:marLeft w:val="0"/>
      <w:marRight w:val="0"/>
      <w:marTop w:val="0"/>
      <w:marBottom w:val="0"/>
      <w:divBdr>
        <w:top w:val="none" w:sz="0" w:space="0" w:color="auto"/>
        <w:left w:val="none" w:sz="0" w:space="0" w:color="auto"/>
        <w:bottom w:val="none" w:sz="0" w:space="0" w:color="auto"/>
        <w:right w:val="none" w:sz="0" w:space="0" w:color="auto"/>
      </w:divBdr>
    </w:div>
    <w:div w:id="876508509">
      <w:bodyDiv w:val="1"/>
      <w:marLeft w:val="0"/>
      <w:marRight w:val="0"/>
      <w:marTop w:val="0"/>
      <w:marBottom w:val="0"/>
      <w:divBdr>
        <w:top w:val="none" w:sz="0" w:space="0" w:color="auto"/>
        <w:left w:val="none" w:sz="0" w:space="0" w:color="auto"/>
        <w:bottom w:val="none" w:sz="0" w:space="0" w:color="auto"/>
        <w:right w:val="none" w:sz="0" w:space="0" w:color="auto"/>
      </w:divBdr>
    </w:div>
    <w:div w:id="878401470">
      <w:bodyDiv w:val="1"/>
      <w:marLeft w:val="0"/>
      <w:marRight w:val="0"/>
      <w:marTop w:val="0"/>
      <w:marBottom w:val="0"/>
      <w:divBdr>
        <w:top w:val="none" w:sz="0" w:space="0" w:color="auto"/>
        <w:left w:val="none" w:sz="0" w:space="0" w:color="auto"/>
        <w:bottom w:val="none" w:sz="0" w:space="0" w:color="auto"/>
        <w:right w:val="none" w:sz="0" w:space="0" w:color="auto"/>
      </w:divBdr>
    </w:div>
    <w:div w:id="923106852">
      <w:bodyDiv w:val="1"/>
      <w:marLeft w:val="0"/>
      <w:marRight w:val="0"/>
      <w:marTop w:val="0"/>
      <w:marBottom w:val="0"/>
      <w:divBdr>
        <w:top w:val="none" w:sz="0" w:space="0" w:color="auto"/>
        <w:left w:val="none" w:sz="0" w:space="0" w:color="auto"/>
        <w:bottom w:val="none" w:sz="0" w:space="0" w:color="auto"/>
        <w:right w:val="none" w:sz="0" w:space="0" w:color="auto"/>
      </w:divBdr>
    </w:div>
    <w:div w:id="981084011">
      <w:bodyDiv w:val="1"/>
      <w:marLeft w:val="0"/>
      <w:marRight w:val="0"/>
      <w:marTop w:val="0"/>
      <w:marBottom w:val="0"/>
      <w:divBdr>
        <w:top w:val="none" w:sz="0" w:space="0" w:color="auto"/>
        <w:left w:val="none" w:sz="0" w:space="0" w:color="auto"/>
        <w:bottom w:val="none" w:sz="0" w:space="0" w:color="auto"/>
        <w:right w:val="none" w:sz="0" w:space="0" w:color="auto"/>
      </w:divBdr>
    </w:div>
    <w:div w:id="994332232">
      <w:bodyDiv w:val="1"/>
      <w:marLeft w:val="0"/>
      <w:marRight w:val="0"/>
      <w:marTop w:val="0"/>
      <w:marBottom w:val="0"/>
      <w:divBdr>
        <w:top w:val="none" w:sz="0" w:space="0" w:color="auto"/>
        <w:left w:val="none" w:sz="0" w:space="0" w:color="auto"/>
        <w:bottom w:val="none" w:sz="0" w:space="0" w:color="auto"/>
        <w:right w:val="none" w:sz="0" w:space="0" w:color="auto"/>
      </w:divBdr>
    </w:div>
    <w:div w:id="1057319249">
      <w:bodyDiv w:val="1"/>
      <w:marLeft w:val="0"/>
      <w:marRight w:val="0"/>
      <w:marTop w:val="0"/>
      <w:marBottom w:val="0"/>
      <w:divBdr>
        <w:top w:val="none" w:sz="0" w:space="0" w:color="auto"/>
        <w:left w:val="none" w:sz="0" w:space="0" w:color="auto"/>
        <w:bottom w:val="none" w:sz="0" w:space="0" w:color="auto"/>
        <w:right w:val="none" w:sz="0" w:space="0" w:color="auto"/>
      </w:divBdr>
    </w:div>
    <w:div w:id="1059478166">
      <w:bodyDiv w:val="1"/>
      <w:marLeft w:val="0"/>
      <w:marRight w:val="0"/>
      <w:marTop w:val="0"/>
      <w:marBottom w:val="0"/>
      <w:divBdr>
        <w:top w:val="none" w:sz="0" w:space="0" w:color="auto"/>
        <w:left w:val="none" w:sz="0" w:space="0" w:color="auto"/>
        <w:bottom w:val="none" w:sz="0" w:space="0" w:color="auto"/>
        <w:right w:val="none" w:sz="0" w:space="0" w:color="auto"/>
      </w:divBdr>
    </w:div>
    <w:div w:id="1066612931">
      <w:bodyDiv w:val="1"/>
      <w:marLeft w:val="0"/>
      <w:marRight w:val="0"/>
      <w:marTop w:val="0"/>
      <w:marBottom w:val="0"/>
      <w:divBdr>
        <w:top w:val="none" w:sz="0" w:space="0" w:color="auto"/>
        <w:left w:val="none" w:sz="0" w:space="0" w:color="auto"/>
        <w:bottom w:val="none" w:sz="0" w:space="0" w:color="auto"/>
        <w:right w:val="none" w:sz="0" w:space="0" w:color="auto"/>
      </w:divBdr>
    </w:div>
    <w:div w:id="1069963515">
      <w:bodyDiv w:val="1"/>
      <w:marLeft w:val="0"/>
      <w:marRight w:val="0"/>
      <w:marTop w:val="0"/>
      <w:marBottom w:val="0"/>
      <w:divBdr>
        <w:top w:val="none" w:sz="0" w:space="0" w:color="auto"/>
        <w:left w:val="none" w:sz="0" w:space="0" w:color="auto"/>
        <w:bottom w:val="none" w:sz="0" w:space="0" w:color="auto"/>
        <w:right w:val="none" w:sz="0" w:space="0" w:color="auto"/>
      </w:divBdr>
    </w:div>
    <w:div w:id="1212351138">
      <w:bodyDiv w:val="1"/>
      <w:marLeft w:val="0"/>
      <w:marRight w:val="0"/>
      <w:marTop w:val="0"/>
      <w:marBottom w:val="0"/>
      <w:divBdr>
        <w:top w:val="none" w:sz="0" w:space="0" w:color="auto"/>
        <w:left w:val="none" w:sz="0" w:space="0" w:color="auto"/>
        <w:bottom w:val="none" w:sz="0" w:space="0" w:color="auto"/>
        <w:right w:val="none" w:sz="0" w:space="0" w:color="auto"/>
      </w:divBdr>
    </w:div>
    <w:div w:id="1215000469">
      <w:bodyDiv w:val="1"/>
      <w:marLeft w:val="0"/>
      <w:marRight w:val="0"/>
      <w:marTop w:val="0"/>
      <w:marBottom w:val="0"/>
      <w:divBdr>
        <w:top w:val="none" w:sz="0" w:space="0" w:color="auto"/>
        <w:left w:val="none" w:sz="0" w:space="0" w:color="auto"/>
        <w:bottom w:val="none" w:sz="0" w:space="0" w:color="auto"/>
        <w:right w:val="none" w:sz="0" w:space="0" w:color="auto"/>
      </w:divBdr>
    </w:div>
    <w:div w:id="1228767072">
      <w:bodyDiv w:val="1"/>
      <w:marLeft w:val="0"/>
      <w:marRight w:val="0"/>
      <w:marTop w:val="0"/>
      <w:marBottom w:val="0"/>
      <w:divBdr>
        <w:top w:val="none" w:sz="0" w:space="0" w:color="auto"/>
        <w:left w:val="none" w:sz="0" w:space="0" w:color="auto"/>
        <w:bottom w:val="none" w:sz="0" w:space="0" w:color="auto"/>
        <w:right w:val="none" w:sz="0" w:space="0" w:color="auto"/>
      </w:divBdr>
    </w:div>
    <w:div w:id="1243683817">
      <w:bodyDiv w:val="1"/>
      <w:marLeft w:val="0"/>
      <w:marRight w:val="0"/>
      <w:marTop w:val="0"/>
      <w:marBottom w:val="0"/>
      <w:divBdr>
        <w:top w:val="none" w:sz="0" w:space="0" w:color="auto"/>
        <w:left w:val="none" w:sz="0" w:space="0" w:color="auto"/>
        <w:bottom w:val="none" w:sz="0" w:space="0" w:color="auto"/>
        <w:right w:val="none" w:sz="0" w:space="0" w:color="auto"/>
      </w:divBdr>
    </w:div>
    <w:div w:id="1294363130">
      <w:bodyDiv w:val="1"/>
      <w:marLeft w:val="0"/>
      <w:marRight w:val="0"/>
      <w:marTop w:val="0"/>
      <w:marBottom w:val="0"/>
      <w:divBdr>
        <w:top w:val="none" w:sz="0" w:space="0" w:color="auto"/>
        <w:left w:val="none" w:sz="0" w:space="0" w:color="auto"/>
        <w:bottom w:val="none" w:sz="0" w:space="0" w:color="auto"/>
        <w:right w:val="none" w:sz="0" w:space="0" w:color="auto"/>
      </w:divBdr>
    </w:div>
    <w:div w:id="1304041036">
      <w:bodyDiv w:val="1"/>
      <w:marLeft w:val="0"/>
      <w:marRight w:val="0"/>
      <w:marTop w:val="0"/>
      <w:marBottom w:val="0"/>
      <w:divBdr>
        <w:top w:val="none" w:sz="0" w:space="0" w:color="auto"/>
        <w:left w:val="none" w:sz="0" w:space="0" w:color="auto"/>
        <w:bottom w:val="none" w:sz="0" w:space="0" w:color="auto"/>
        <w:right w:val="none" w:sz="0" w:space="0" w:color="auto"/>
      </w:divBdr>
    </w:div>
    <w:div w:id="1314142659">
      <w:bodyDiv w:val="1"/>
      <w:marLeft w:val="0"/>
      <w:marRight w:val="0"/>
      <w:marTop w:val="0"/>
      <w:marBottom w:val="0"/>
      <w:divBdr>
        <w:top w:val="none" w:sz="0" w:space="0" w:color="auto"/>
        <w:left w:val="none" w:sz="0" w:space="0" w:color="auto"/>
        <w:bottom w:val="none" w:sz="0" w:space="0" w:color="auto"/>
        <w:right w:val="none" w:sz="0" w:space="0" w:color="auto"/>
      </w:divBdr>
    </w:div>
    <w:div w:id="1332374942">
      <w:bodyDiv w:val="1"/>
      <w:marLeft w:val="0"/>
      <w:marRight w:val="0"/>
      <w:marTop w:val="0"/>
      <w:marBottom w:val="0"/>
      <w:divBdr>
        <w:top w:val="none" w:sz="0" w:space="0" w:color="auto"/>
        <w:left w:val="none" w:sz="0" w:space="0" w:color="auto"/>
        <w:bottom w:val="none" w:sz="0" w:space="0" w:color="auto"/>
        <w:right w:val="none" w:sz="0" w:space="0" w:color="auto"/>
      </w:divBdr>
    </w:div>
    <w:div w:id="1378120466">
      <w:bodyDiv w:val="1"/>
      <w:marLeft w:val="0"/>
      <w:marRight w:val="0"/>
      <w:marTop w:val="0"/>
      <w:marBottom w:val="0"/>
      <w:divBdr>
        <w:top w:val="none" w:sz="0" w:space="0" w:color="auto"/>
        <w:left w:val="none" w:sz="0" w:space="0" w:color="auto"/>
        <w:bottom w:val="none" w:sz="0" w:space="0" w:color="auto"/>
        <w:right w:val="none" w:sz="0" w:space="0" w:color="auto"/>
      </w:divBdr>
    </w:div>
    <w:div w:id="1414201979">
      <w:bodyDiv w:val="1"/>
      <w:marLeft w:val="0"/>
      <w:marRight w:val="0"/>
      <w:marTop w:val="0"/>
      <w:marBottom w:val="0"/>
      <w:divBdr>
        <w:top w:val="none" w:sz="0" w:space="0" w:color="auto"/>
        <w:left w:val="none" w:sz="0" w:space="0" w:color="auto"/>
        <w:bottom w:val="none" w:sz="0" w:space="0" w:color="auto"/>
        <w:right w:val="none" w:sz="0" w:space="0" w:color="auto"/>
      </w:divBdr>
    </w:div>
    <w:div w:id="1441103837">
      <w:bodyDiv w:val="1"/>
      <w:marLeft w:val="0"/>
      <w:marRight w:val="0"/>
      <w:marTop w:val="0"/>
      <w:marBottom w:val="0"/>
      <w:divBdr>
        <w:top w:val="none" w:sz="0" w:space="0" w:color="auto"/>
        <w:left w:val="none" w:sz="0" w:space="0" w:color="auto"/>
        <w:bottom w:val="none" w:sz="0" w:space="0" w:color="auto"/>
        <w:right w:val="none" w:sz="0" w:space="0" w:color="auto"/>
      </w:divBdr>
    </w:div>
    <w:div w:id="1444838323">
      <w:bodyDiv w:val="1"/>
      <w:marLeft w:val="0"/>
      <w:marRight w:val="0"/>
      <w:marTop w:val="0"/>
      <w:marBottom w:val="0"/>
      <w:divBdr>
        <w:top w:val="none" w:sz="0" w:space="0" w:color="auto"/>
        <w:left w:val="none" w:sz="0" w:space="0" w:color="auto"/>
        <w:bottom w:val="none" w:sz="0" w:space="0" w:color="auto"/>
        <w:right w:val="none" w:sz="0" w:space="0" w:color="auto"/>
      </w:divBdr>
    </w:div>
    <w:div w:id="1453593131">
      <w:bodyDiv w:val="1"/>
      <w:marLeft w:val="0"/>
      <w:marRight w:val="0"/>
      <w:marTop w:val="0"/>
      <w:marBottom w:val="0"/>
      <w:divBdr>
        <w:top w:val="none" w:sz="0" w:space="0" w:color="auto"/>
        <w:left w:val="none" w:sz="0" w:space="0" w:color="auto"/>
        <w:bottom w:val="none" w:sz="0" w:space="0" w:color="auto"/>
        <w:right w:val="none" w:sz="0" w:space="0" w:color="auto"/>
      </w:divBdr>
    </w:div>
    <w:div w:id="1459103590">
      <w:bodyDiv w:val="1"/>
      <w:marLeft w:val="0"/>
      <w:marRight w:val="0"/>
      <w:marTop w:val="0"/>
      <w:marBottom w:val="0"/>
      <w:divBdr>
        <w:top w:val="none" w:sz="0" w:space="0" w:color="auto"/>
        <w:left w:val="none" w:sz="0" w:space="0" w:color="auto"/>
        <w:bottom w:val="none" w:sz="0" w:space="0" w:color="auto"/>
        <w:right w:val="none" w:sz="0" w:space="0" w:color="auto"/>
      </w:divBdr>
    </w:div>
    <w:div w:id="1467629159">
      <w:bodyDiv w:val="1"/>
      <w:marLeft w:val="0"/>
      <w:marRight w:val="0"/>
      <w:marTop w:val="0"/>
      <w:marBottom w:val="0"/>
      <w:divBdr>
        <w:top w:val="none" w:sz="0" w:space="0" w:color="auto"/>
        <w:left w:val="none" w:sz="0" w:space="0" w:color="auto"/>
        <w:bottom w:val="none" w:sz="0" w:space="0" w:color="auto"/>
        <w:right w:val="none" w:sz="0" w:space="0" w:color="auto"/>
      </w:divBdr>
    </w:div>
    <w:div w:id="1494686972">
      <w:bodyDiv w:val="1"/>
      <w:marLeft w:val="0"/>
      <w:marRight w:val="0"/>
      <w:marTop w:val="0"/>
      <w:marBottom w:val="0"/>
      <w:divBdr>
        <w:top w:val="none" w:sz="0" w:space="0" w:color="auto"/>
        <w:left w:val="none" w:sz="0" w:space="0" w:color="auto"/>
        <w:bottom w:val="none" w:sz="0" w:space="0" w:color="auto"/>
        <w:right w:val="none" w:sz="0" w:space="0" w:color="auto"/>
      </w:divBdr>
    </w:div>
    <w:div w:id="1538589287">
      <w:bodyDiv w:val="1"/>
      <w:marLeft w:val="0"/>
      <w:marRight w:val="0"/>
      <w:marTop w:val="0"/>
      <w:marBottom w:val="0"/>
      <w:divBdr>
        <w:top w:val="none" w:sz="0" w:space="0" w:color="auto"/>
        <w:left w:val="none" w:sz="0" w:space="0" w:color="auto"/>
        <w:bottom w:val="none" w:sz="0" w:space="0" w:color="auto"/>
        <w:right w:val="none" w:sz="0" w:space="0" w:color="auto"/>
      </w:divBdr>
    </w:div>
    <w:div w:id="1544907320">
      <w:bodyDiv w:val="1"/>
      <w:marLeft w:val="0"/>
      <w:marRight w:val="0"/>
      <w:marTop w:val="0"/>
      <w:marBottom w:val="0"/>
      <w:divBdr>
        <w:top w:val="none" w:sz="0" w:space="0" w:color="auto"/>
        <w:left w:val="none" w:sz="0" w:space="0" w:color="auto"/>
        <w:bottom w:val="none" w:sz="0" w:space="0" w:color="auto"/>
        <w:right w:val="none" w:sz="0" w:space="0" w:color="auto"/>
      </w:divBdr>
    </w:div>
    <w:div w:id="1558004893">
      <w:bodyDiv w:val="1"/>
      <w:marLeft w:val="0"/>
      <w:marRight w:val="0"/>
      <w:marTop w:val="0"/>
      <w:marBottom w:val="0"/>
      <w:divBdr>
        <w:top w:val="none" w:sz="0" w:space="0" w:color="auto"/>
        <w:left w:val="none" w:sz="0" w:space="0" w:color="auto"/>
        <w:bottom w:val="none" w:sz="0" w:space="0" w:color="auto"/>
        <w:right w:val="none" w:sz="0" w:space="0" w:color="auto"/>
      </w:divBdr>
    </w:div>
    <w:div w:id="1670474723">
      <w:bodyDiv w:val="1"/>
      <w:marLeft w:val="0"/>
      <w:marRight w:val="0"/>
      <w:marTop w:val="0"/>
      <w:marBottom w:val="0"/>
      <w:divBdr>
        <w:top w:val="none" w:sz="0" w:space="0" w:color="auto"/>
        <w:left w:val="none" w:sz="0" w:space="0" w:color="auto"/>
        <w:bottom w:val="none" w:sz="0" w:space="0" w:color="auto"/>
        <w:right w:val="none" w:sz="0" w:space="0" w:color="auto"/>
      </w:divBdr>
    </w:div>
    <w:div w:id="1747922578">
      <w:bodyDiv w:val="1"/>
      <w:marLeft w:val="0"/>
      <w:marRight w:val="0"/>
      <w:marTop w:val="0"/>
      <w:marBottom w:val="0"/>
      <w:divBdr>
        <w:top w:val="none" w:sz="0" w:space="0" w:color="auto"/>
        <w:left w:val="none" w:sz="0" w:space="0" w:color="auto"/>
        <w:bottom w:val="none" w:sz="0" w:space="0" w:color="auto"/>
        <w:right w:val="none" w:sz="0" w:space="0" w:color="auto"/>
      </w:divBdr>
    </w:div>
    <w:div w:id="1767652474">
      <w:bodyDiv w:val="1"/>
      <w:marLeft w:val="0"/>
      <w:marRight w:val="0"/>
      <w:marTop w:val="0"/>
      <w:marBottom w:val="0"/>
      <w:divBdr>
        <w:top w:val="none" w:sz="0" w:space="0" w:color="auto"/>
        <w:left w:val="none" w:sz="0" w:space="0" w:color="auto"/>
        <w:bottom w:val="none" w:sz="0" w:space="0" w:color="auto"/>
        <w:right w:val="none" w:sz="0" w:space="0" w:color="auto"/>
      </w:divBdr>
    </w:div>
    <w:div w:id="1888251328">
      <w:bodyDiv w:val="1"/>
      <w:marLeft w:val="0"/>
      <w:marRight w:val="0"/>
      <w:marTop w:val="0"/>
      <w:marBottom w:val="0"/>
      <w:divBdr>
        <w:top w:val="none" w:sz="0" w:space="0" w:color="auto"/>
        <w:left w:val="none" w:sz="0" w:space="0" w:color="auto"/>
        <w:bottom w:val="none" w:sz="0" w:space="0" w:color="auto"/>
        <w:right w:val="none" w:sz="0" w:space="0" w:color="auto"/>
      </w:divBdr>
    </w:div>
    <w:div w:id="1898514003">
      <w:bodyDiv w:val="1"/>
      <w:marLeft w:val="0"/>
      <w:marRight w:val="0"/>
      <w:marTop w:val="0"/>
      <w:marBottom w:val="0"/>
      <w:divBdr>
        <w:top w:val="none" w:sz="0" w:space="0" w:color="auto"/>
        <w:left w:val="none" w:sz="0" w:space="0" w:color="auto"/>
        <w:bottom w:val="none" w:sz="0" w:space="0" w:color="auto"/>
        <w:right w:val="none" w:sz="0" w:space="0" w:color="auto"/>
      </w:divBdr>
    </w:div>
    <w:div w:id="1900431792">
      <w:bodyDiv w:val="1"/>
      <w:marLeft w:val="0"/>
      <w:marRight w:val="0"/>
      <w:marTop w:val="0"/>
      <w:marBottom w:val="0"/>
      <w:divBdr>
        <w:top w:val="none" w:sz="0" w:space="0" w:color="auto"/>
        <w:left w:val="none" w:sz="0" w:space="0" w:color="auto"/>
        <w:bottom w:val="none" w:sz="0" w:space="0" w:color="auto"/>
        <w:right w:val="none" w:sz="0" w:space="0" w:color="auto"/>
      </w:divBdr>
    </w:div>
    <w:div w:id="1903297563">
      <w:bodyDiv w:val="1"/>
      <w:marLeft w:val="0"/>
      <w:marRight w:val="0"/>
      <w:marTop w:val="0"/>
      <w:marBottom w:val="0"/>
      <w:divBdr>
        <w:top w:val="none" w:sz="0" w:space="0" w:color="auto"/>
        <w:left w:val="none" w:sz="0" w:space="0" w:color="auto"/>
        <w:bottom w:val="none" w:sz="0" w:space="0" w:color="auto"/>
        <w:right w:val="none" w:sz="0" w:space="0" w:color="auto"/>
      </w:divBdr>
    </w:div>
    <w:div w:id="1912693683">
      <w:bodyDiv w:val="1"/>
      <w:marLeft w:val="0"/>
      <w:marRight w:val="0"/>
      <w:marTop w:val="0"/>
      <w:marBottom w:val="0"/>
      <w:divBdr>
        <w:top w:val="none" w:sz="0" w:space="0" w:color="auto"/>
        <w:left w:val="none" w:sz="0" w:space="0" w:color="auto"/>
        <w:bottom w:val="none" w:sz="0" w:space="0" w:color="auto"/>
        <w:right w:val="none" w:sz="0" w:space="0" w:color="auto"/>
      </w:divBdr>
    </w:div>
    <w:div w:id="1923372052">
      <w:bodyDiv w:val="1"/>
      <w:marLeft w:val="0"/>
      <w:marRight w:val="0"/>
      <w:marTop w:val="0"/>
      <w:marBottom w:val="0"/>
      <w:divBdr>
        <w:top w:val="none" w:sz="0" w:space="0" w:color="auto"/>
        <w:left w:val="none" w:sz="0" w:space="0" w:color="auto"/>
        <w:bottom w:val="none" w:sz="0" w:space="0" w:color="auto"/>
        <w:right w:val="none" w:sz="0" w:space="0" w:color="auto"/>
      </w:divBdr>
    </w:div>
    <w:div w:id="1964379383">
      <w:bodyDiv w:val="1"/>
      <w:marLeft w:val="0"/>
      <w:marRight w:val="0"/>
      <w:marTop w:val="0"/>
      <w:marBottom w:val="0"/>
      <w:divBdr>
        <w:top w:val="none" w:sz="0" w:space="0" w:color="auto"/>
        <w:left w:val="none" w:sz="0" w:space="0" w:color="auto"/>
        <w:bottom w:val="none" w:sz="0" w:space="0" w:color="auto"/>
        <w:right w:val="none" w:sz="0" w:space="0" w:color="auto"/>
      </w:divBdr>
    </w:div>
    <w:div w:id="1967152575">
      <w:bodyDiv w:val="1"/>
      <w:marLeft w:val="0"/>
      <w:marRight w:val="0"/>
      <w:marTop w:val="0"/>
      <w:marBottom w:val="0"/>
      <w:divBdr>
        <w:top w:val="none" w:sz="0" w:space="0" w:color="auto"/>
        <w:left w:val="none" w:sz="0" w:space="0" w:color="auto"/>
        <w:bottom w:val="none" w:sz="0" w:space="0" w:color="auto"/>
        <w:right w:val="none" w:sz="0" w:space="0" w:color="auto"/>
      </w:divBdr>
    </w:div>
    <w:div w:id="2004505434">
      <w:bodyDiv w:val="1"/>
      <w:marLeft w:val="0"/>
      <w:marRight w:val="0"/>
      <w:marTop w:val="0"/>
      <w:marBottom w:val="0"/>
      <w:divBdr>
        <w:top w:val="none" w:sz="0" w:space="0" w:color="auto"/>
        <w:left w:val="none" w:sz="0" w:space="0" w:color="auto"/>
        <w:bottom w:val="none" w:sz="0" w:space="0" w:color="auto"/>
        <w:right w:val="none" w:sz="0" w:space="0" w:color="auto"/>
      </w:divBdr>
    </w:div>
    <w:div w:id="2037391733">
      <w:bodyDiv w:val="1"/>
      <w:marLeft w:val="0"/>
      <w:marRight w:val="0"/>
      <w:marTop w:val="0"/>
      <w:marBottom w:val="0"/>
      <w:divBdr>
        <w:top w:val="none" w:sz="0" w:space="0" w:color="auto"/>
        <w:left w:val="none" w:sz="0" w:space="0" w:color="auto"/>
        <w:bottom w:val="none" w:sz="0" w:space="0" w:color="auto"/>
        <w:right w:val="none" w:sz="0" w:space="0" w:color="auto"/>
      </w:divBdr>
    </w:div>
    <w:div w:id="2040813394">
      <w:bodyDiv w:val="1"/>
      <w:marLeft w:val="0"/>
      <w:marRight w:val="0"/>
      <w:marTop w:val="0"/>
      <w:marBottom w:val="0"/>
      <w:divBdr>
        <w:top w:val="none" w:sz="0" w:space="0" w:color="auto"/>
        <w:left w:val="none" w:sz="0" w:space="0" w:color="auto"/>
        <w:bottom w:val="none" w:sz="0" w:space="0" w:color="auto"/>
        <w:right w:val="none" w:sz="0" w:space="0" w:color="auto"/>
      </w:divBdr>
    </w:div>
    <w:div w:id="2088766336">
      <w:bodyDiv w:val="1"/>
      <w:marLeft w:val="0"/>
      <w:marRight w:val="0"/>
      <w:marTop w:val="0"/>
      <w:marBottom w:val="0"/>
      <w:divBdr>
        <w:top w:val="none" w:sz="0" w:space="0" w:color="auto"/>
        <w:left w:val="none" w:sz="0" w:space="0" w:color="auto"/>
        <w:bottom w:val="none" w:sz="0" w:space="0" w:color="auto"/>
        <w:right w:val="none" w:sz="0" w:space="0" w:color="auto"/>
      </w:divBdr>
    </w:div>
    <w:div w:id="2103526597">
      <w:bodyDiv w:val="1"/>
      <w:marLeft w:val="0"/>
      <w:marRight w:val="0"/>
      <w:marTop w:val="0"/>
      <w:marBottom w:val="0"/>
      <w:divBdr>
        <w:top w:val="none" w:sz="0" w:space="0" w:color="auto"/>
        <w:left w:val="none" w:sz="0" w:space="0" w:color="auto"/>
        <w:bottom w:val="none" w:sz="0" w:space="0" w:color="auto"/>
        <w:right w:val="none" w:sz="0" w:space="0" w:color="auto"/>
      </w:divBdr>
    </w:div>
    <w:div w:id="2119985828">
      <w:bodyDiv w:val="1"/>
      <w:marLeft w:val="0"/>
      <w:marRight w:val="0"/>
      <w:marTop w:val="0"/>
      <w:marBottom w:val="0"/>
      <w:divBdr>
        <w:top w:val="none" w:sz="0" w:space="0" w:color="auto"/>
        <w:left w:val="none" w:sz="0" w:space="0" w:color="auto"/>
        <w:bottom w:val="none" w:sz="0" w:space="0" w:color="auto"/>
        <w:right w:val="none" w:sz="0" w:space="0" w:color="auto"/>
      </w:divBdr>
    </w:div>
    <w:div w:id="213818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4.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eader" Target="header4.xml"/><Relationship Id="rId27"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0641\AppData\Local\Microsoft\Windows\INetCache\Content.Outlook\EZ2Y0X3T\Copy%20of%20population%20%20growth%20for%20Budget%20report%20202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npa.priv\pcc\PCC\Finance\Police%20and%20Crime%20Panel\23.24\February%202024\Council%20Tax%20East%20Midlands%2023-2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GB" sz="1200" b="0" i="0" baseline="0">
                <a:solidFill>
                  <a:schemeClr val="tx1"/>
                </a:solidFill>
                <a:effectLst/>
              </a:rPr>
              <a:t>Mid-Year Population Increases 2002 - 2022</a:t>
            </a:r>
            <a:endParaRPr lang="en-GB" sz="1200">
              <a:solidFill>
                <a:schemeClr val="tx1"/>
              </a:solidFill>
              <a:effectLst/>
            </a:endParaRPr>
          </a:p>
        </c:rich>
      </c:tx>
      <c:layout>
        <c:manualLayout>
          <c:xMode val="edge"/>
          <c:yMode val="edge"/>
          <c:x val="0.29750100749678471"/>
          <c:y val="3.184043583624544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9.7253017788406296E-2"/>
          <c:y val="0.12425723424694944"/>
          <c:w val="0.87349327241213448"/>
          <c:h val="0.64593499995957027"/>
        </c:manualLayout>
      </c:layout>
      <c:lineChart>
        <c:grouping val="standard"/>
        <c:varyColors val="0"/>
        <c:ser>
          <c:idx val="0"/>
          <c:order val="0"/>
          <c:tx>
            <c:strRef>
              <c:f>Sheet1!$A$14</c:f>
              <c:strCache>
                <c:ptCount val="1"/>
                <c:pt idx="0">
                  <c:v>England</c:v>
                </c:pt>
              </c:strCache>
            </c:strRef>
          </c:tx>
          <c:spPr>
            <a:ln w="28575" cap="rnd">
              <a:solidFill>
                <a:srgbClr val="0070C0"/>
              </a:solidFill>
              <a:round/>
            </a:ln>
            <a:effectLst/>
          </c:spPr>
          <c:marker>
            <c:symbol val="none"/>
          </c:marker>
          <c:cat>
            <c:numRef>
              <c:f>Sheet1!$C$13:$V$13</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Sheet1!$C$14:$V$14</c:f>
              <c:numCache>
                <c:formatCode>0.00%</c:formatCode>
                <c:ptCount val="20"/>
                <c:pt idx="0">
                  <c:v>9.6213032115473347E-3</c:v>
                </c:pt>
                <c:pt idx="1">
                  <c:v>1.5062847845568307E-2</c:v>
                </c:pt>
                <c:pt idx="2">
                  <c:v>2.3383092806988331E-2</c:v>
                </c:pt>
                <c:pt idx="3">
                  <c:v>3.0646062368045329E-2</c:v>
                </c:pt>
                <c:pt idx="4">
                  <c:v>3.905676279914562E-2</c:v>
                </c:pt>
                <c:pt idx="5">
                  <c:v>4.784871898027545E-2</c:v>
                </c:pt>
                <c:pt idx="6">
                  <c:v>5.5543965787003234E-2</c:v>
                </c:pt>
                <c:pt idx="7">
                  <c:v>6.456465924011015E-2</c:v>
                </c:pt>
                <c:pt idx="8">
                  <c:v>7.3962422375233233E-2</c:v>
                </c:pt>
                <c:pt idx="9">
                  <c:v>8.1779651608321707E-2</c:v>
                </c:pt>
                <c:pt idx="10">
                  <c:v>8.9304220086388317E-2</c:v>
                </c:pt>
                <c:pt idx="11">
                  <c:v>9.8420566204728333E-2</c:v>
                </c:pt>
                <c:pt idx="12">
                  <c:v>0.10791928031339129</c:v>
                </c:pt>
                <c:pt idx="13">
                  <c:v>0.1176612919305996</c:v>
                </c:pt>
                <c:pt idx="14">
                  <c:v>0.12476674804355921</c:v>
                </c:pt>
                <c:pt idx="15">
                  <c:v>0.13200132514330812</c:v>
                </c:pt>
                <c:pt idx="16">
                  <c:v>0.13826592759445114</c:v>
                </c:pt>
                <c:pt idx="17">
                  <c:v>0.14358803784351087</c:v>
                </c:pt>
                <c:pt idx="18">
                  <c:v>0.20520942615155191</c:v>
                </c:pt>
                <c:pt idx="19">
                  <c:v>0.21479999999999999</c:v>
                </c:pt>
              </c:numCache>
            </c:numRef>
          </c:val>
          <c:smooth val="1"/>
          <c:extLst>
            <c:ext xmlns:c16="http://schemas.microsoft.com/office/drawing/2014/chart" uri="{C3380CC4-5D6E-409C-BE32-E72D297353CC}">
              <c16:uniqueId val="{00000000-C46B-43D6-AD76-5301C65E04D3}"/>
            </c:ext>
          </c:extLst>
        </c:ser>
        <c:ser>
          <c:idx val="1"/>
          <c:order val="1"/>
          <c:tx>
            <c:strRef>
              <c:f>Sheet1!$A$15</c:f>
              <c:strCache>
                <c:ptCount val="1"/>
                <c:pt idx="0">
                  <c:v>Northamptonshire</c:v>
                </c:pt>
              </c:strCache>
            </c:strRef>
          </c:tx>
          <c:spPr>
            <a:ln w="28575" cap="rnd">
              <a:solidFill>
                <a:srgbClr val="C00000"/>
              </a:solidFill>
              <a:round/>
            </a:ln>
            <a:effectLst/>
          </c:spPr>
          <c:marker>
            <c:symbol val="none"/>
          </c:marker>
          <c:cat>
            <c:numRef>
              <c:f>Sheet1!$C$13:$V$13</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Sheet1!$C$15:$V$15</c:f>
              <c:numCache>
                <c:formatCode>0.0%</c:formatCode>
                <c:ptCount val="20"/>
                <c:pt idx="0">
                  <c:v>1.8510711806601098E-2</c:v>
                </c:pt>
                <c:pt idx="1">
                  <c:v>2.4770755611059517E-2</c:v>
                </c:pt>
                <c:pt idx="2">
                  <c:v>3.7186245019699325E-2</c:v>
                </c:pt>
                <c:pt idx="3">
                  <c:v>5.1692113612663355E-2</c:v>
                </c:pt>
                <c:pt idx="4">
                  <c:v>6.5098116281502277E-2</c:v>
                </c:pt>
                <c:pt idx="5">
                  <c:v>7.482733372848209E-2</c:v>
                </c:pt>
                <c:pt idx="6">
                  <c:v>8.3168247789966815E-2</c:v>
                </c:pt>
                <c:pt idx="7">
                  <c:v>9.0374429860567429E-2</c:v>
                </c:pt>
                <c:pt idx="8">
                  <c:v>9.9813625024960939E-2</c:v>
                </c:pt>
                <c:pt idx="9">
                  <c:v>0.10989942724561243</c:v>
                </c:pt>
                <c:pt idx="10">
                  <c:v>0.11833701540129259</c:v>
                </c:pt>
                <c:pt idx="11">
                  <c:v>0.13053379948208044</c:v>
                </c:pt>
                <c:pt idx="12">
                  <c:v>0.1445055833251451</c:v>
                </c:pt>
                <c:pt idx="13">
                  <c:v>0.16080546953498176</c:v>
                </c:pt>
                <c:pt idx="14">
                  <c:v>0.17468374892628363</c:v>
                </c:pt>
                <c:pt idx="15">
                  <c:v>0.18484720738653473</c:v>
                </c:pt>
                <c:pt idx="16">
                  <c:v>0.19381095618603264</c:v>
                </c:pt>
                <c:pt idx="17">
                  <c:v>0.19999651339332411</c:v>
                </c:pt>
                <c:pt idx="18">
                  <c:v>0.24440161905335459</c:v>
                </c:pt>
                <c:pt idx="19" formatCode="0.00%">
                  <c:v>0.251</c:v>
                </c:pt>
              </c:numCache>
            </c:numRef>
          </c:val>
          <c:smooth val="1"/>
          <c:extLst>
            <c:ext xmlns:c16="http://schemas.microsoft.com/office/drawing/2014/chart" uri="{C3380CC4-5D6E-409C-BE32-E72D297353CC}">
              <c16:uniqueId val="{00000001-C46B-43D6-AD76-5301C65E04D3}"/>
            </c:ext>
          </c:extLst>
        </c:ser>
        <c:dLbls>
          <c:showLegendKey val="0"/>
          <c:showVal val="0"/>
          <c:showCatName val="0"/>
          <c:showSerName val="0"/>
          <c:showPercent val="0"/>
          <c:showBubbleSize val="0"/>
        </c:dLbls>
        <c:smooth val="0"/>
        <c:axId val="2030032288"/>
        <c:axId val="2030033536"/>
      </c:lineChart>
      <c:catAx>
        <c:axId val="203003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030033536"/>
        <c:crosses val="autoZero"/>
        <c:auto val="1"/>
        <c:lblAlgn val="ctr"/>
        <c:lblOffset val="100"/>
        <c:noMultiLvlLbl val="0"/>
      </c:catAx>
      <c:valAx>
        <c:axId val="2030033536"/>
        <c:scaling>
          <c:orientation val="minMax"/>
        </c:scaling>
        <c:delete val="0"/>
        <c:axPos val="l"/>
        <c:majorGridlines>
          <c:spPr>
            <a:ln w="9525" cap="flat" cmpd="sng" algn="ctr">
              <a:solidFill>
                <a:schemeClr val="tx1"/>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03003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a:solidFill>
                  <a:schemeClr val="tx1"/>
                </a:solidFill>
              </a:rPr>
              <a:t>East Midlands Funding per Household (£)</a:t>
            </a:r>
          </a:p>
          <a:p>
            <a:pPr>
              <a:defRPr sz="1200" b="1">
                <a:solidFill>
                  <a:schemeClr val="tx1"/>
                </a:solidFill>
              </a:defRPr>
            </a:pPr>
            <a:r>
              <a:rPr lang="en-GB" sz="1200" b="1">
                <a:solidFill>
                  <a:schemeClr val="tx1"/>
                </a:solidFill>
              </a:rPr>
              <a:t>2023/24</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975077881619938E-2"/>
          <c:y val="0.20967559908629649"/>
          <c:w val="0.8928348909657321"/>
          <c:h val="0.56039387975375143"/>
        </c:manualLayout>
      </c:layout>
      <c:barChart>
        <c:barDir val="col"/>
        <c:grouping val="stacked"/>
        <c:varyColors val="0"/>
        <c:ser>
          <c:idx val="0"/>
          <c:order val="0"/>
          <c:tx>
            <c:strRef>
              <c:f>'23.24'!$H$3</c:f>
              <c:strCache>
                <c:ptCount val="1"/>
                <c:pt idx="0">
                  <c:v> Grant per Household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'23.24'!$A$4:$A$8</c:f>
              <c:strCache>
                <c:ptCount val="5"/>
                <c:pt idx="0">
                  <c:v>Notts</c:v>
                </c:pt>
                <c:pt idx="1">
                  <c:v>Leics</c:v>
                </c:pt>
                <c:pt idx="2">
                  <c:v>Derby</c:v>
                </c:pt>
                <c:pt idx="3">
                  <c:v>Northants</c:v>
                </c:pt>
                <c:pt idx="4">
                  <c:v>Lincs</c:v>
                </c:pt>
              </c:strCache>
            </c:strRef>
          </c:cat>
          <c:val>
            <c:numRef>
              <c:f>'23.24'!$H$4:$H$8</c:f>
              <c:numCache>
                <c:formatCode>_(* #,##0.00_);_(* \(#,##0.00\);_(* "-"??_);_(@_)</c:formatCode>
                <c:ptCount val="5"/>
                <c:pt idx="0">
                  <c:v>514.00954546138905</c:v>
                </c:pt>
                <c:pt idx="1">
                  <c:v>419.37161850407472</c:v>
                </c:pt>
                <c:pt idx="2">
                  <c:v>409.7176229754952</c:v>
                </c:pt>
                <c:pt idx="3">
                  <c:v>360.45876570180229</c:v>
                </c:pt>
                <c:pt idx="4">
                  <c:v>338.75590961545618</c:v>
                </c:pt>
              </c:numCache>
            </c:numRef>
          </c:val>
          <c:extLst>
            <c:ext xmlns:c16="http://schemas.microsoft.com/office/drawing/2014/chart" uri="{C3380CC4-5D6E-409C-BE32-E72D297353CC}">
              <c16:uniqueId val="{00000000-20DD-4059-A0AA-2154CB40F2C0}"/>
            </c:ext>
          </c:extLst>
        </c:ser>
        <c:ser>
          <c:idx val="1"/>
          <c:order val="1"/>
          <c:tx>
            <c:strRef>
              <c:f>'23.24'!$I$3</c:f>
              <c:strCache>
                <c:ptCount val="1"/>
                <c:pt idx="0">
                  <c:v> Precept per Household </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'23.24'!$A$4:$A$8</c:f>
              <c:strCache>
                <c:ptCount val="5"/>
                <c:pt idx="0">
                  <c:v>Notts</c:v>
                </c:pt>
                <c:pt idx="1">
                  <c:v>Leics</c:v>
                </c:pt>
                <c:pt idx="2">
                  <c:v>Derby</c:v>
                </c:pt>
                <c:pt idx="3">
                  <c:v>Northants</c:v>
                </c:pt>
                <c:pt idx="4">
                  <c:v>Lincs</c:v>
                </c:pt>
              </c:strCache>
            </c:strRef>
          </c:cat>
          <c:val>
            <c:numRef>
              <c:f>'23.24'!$I$4:$I$8</c:f>
              <c:numCache>
                <c:formatCode>_(* #,##0.00_);_(* \(#,##0.00\);_(* "-"??_);_(@_)</c:formatCode>
                <c:ptCount val="5"/>
                <c:pt idx="0">
                  <c:v>269.19030699046959</c:v>
                </c:pt>
                <c:pt idx="1">
                  <c:v>273.22979918946959</c:v>
                </c:pt>
                <c:pt idx="2">
                  <c:v>266.59993678126318</c:v>
                </c:pt>
                <c:pt idx="3">
                  <c:v>293.03977139736287</c:v>
                </c:pt>
                <c:pt idx="4">
                  <c:v>291.2402892040684</c:v>
                </c:pt>
              </c:numCache>
            </c:numRef>
          </c:val>
          <c:extLst>
            <c:ext xmlns:c16="http://schemas.microsoft.com/office/drawing/2014/chart" uri="{C3380CC4-5D6E-409C-BE32-E72D297353CC}">
              <c16:uniqueId val="{00000001-20DD-4059-A0AA-2154CB40F2C0}"/>
            </c:ext>
          </c:extLst>
        </c:ser>
        <c:dLbls>
          <c:showLegendKey val="0"/>
          <c:showVal val="0"/>
          <c:showCatName val="0"/>
          <c:showSerName val="0"/>
          <c:showPercent val="0"/>
          <c:showBubbleSize val="0"/>
        </c:dLbls>
        <c:gapWidth val="18"/>
        <c:overlap val="100"/>
        <c:axId val="735388256"/>
        <c:axId val="1373241776"/>
      </c:barChart>
      <c:catAx>
        <c:axId val="73538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373241776"/>
        <c:crosses val="autoZero"/>
        <c:auto val="1"/>
        <c:lblAlgn val="ctr"/>
        <c:lblOffset val="100"/>
        <c:noMultiLvlLbl val="0"/>
      </c:catAx>
      <c:valAx>
        <c:axId val="137324177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538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3F396D-FAD9-434C-B431-993BEA1F1B6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58D56BA6-200A-400B-BFC7-EBF76D8C8B08}">
      <dgm:prSet phldrT="[Text]"/>
      <dgm:spPr/>
      <dgm:t>
        <a:bodyPr/>
        <a:lstStyle/>
        <a:p>
          <a:r>
            <a:rPr lang="en-GB" dirty="0"/>
            <a:t>September/ October</a:t>
          </a:r>
        </a:p>
      </dgm:t>
    </dgm:pt>
    <dgm:pt modelId="{62E5B131-F2A4-46D7-A531-F8377ACC2443}" type="parTrans" cxnId="{A814B54D-1702-434E-8A55-9EA985368E61}">
      <dgm:prSet/>
      <dgm:spPr/>
      <dgm:t>
        <a:bodyPr/>
        <a:lstStyle/>
        <a:p>
          <a:endParaRPr lang="en-GB"/>
        </a:p>
      </dgm:t>
    </dgm:pt>
    <dgm:pt modelId="{8BF36C57-A1E2-4000-A74C-EEB26BEAB328}" type="sibTrans" cxnId="{A814B54D-1702-434E-8A55-9EA985368E61}">
      <dgm:prSet/>
      <dgm:spPr/>
      <dgm:t>
        <a:bodyPr/>
        <a:lstStyle/>
        <a:p>
          <a:endParaRPr lang="en-GB"/>
        </a:p>
      </dgm:t>
    </dgm:pt>
    <dgm:pt modelId="{FBF3BEDF-45C4-46F7-BAC0-00D15BB0AE3C}">
      <dgm:prSet phldrT="[Text]"/>
      <dgm:spPr/>
      <dgm:t>
        <a:bodyPr/>
        <a:lstStyle/>
        <a:p>
          <a:pPr>
            <a:buNone/>
          </a:pPr>
          <a:r>
            <a:rPr lang="en-GB" dirty="0">
              <a:solidFill>
                <a:schemeClr val="tx1"/>
              </a:solidFill>
              <a:latin typeface="Calibri" panose="020F0502020204030204" pitchFamily="34" charset="0"/>
              <a:cs typeface="Calibri" panose="020F0502020204030204" pitchFamily="34" charset="0"/>
            </a:rPr>
            <a:t>Finance personnel calculate the budget requirements in conjunction with budget holders</a:t>
          </a:r>
          <a:endParaRPr lang="en-GB" dirty="0"/>
        </a:p>
      </dgm:t>
    </dgm:pt>
    <dgm:pt modelId="{EA11BC2E-2E92-4675-A3EE-4DCB06D409AC}" type="parTrans" cxnId="{5DFAEC87-1AB7-4820-939D-A16151E1E602}">
      <dgm:prSet/>
      <dgm:spPr/>
      <dgm:t>
        <a:bodyPr/>
        <a:lstStyle/>
        <a:p>
          <a:endParaRPr lang="en-GB"/>
        </a:p>
      </dgm:t>
    </dgm:pt>
    <dgm:pt modelId="{EF61D74B-2A49-4411-BD2A-07FF49CFB1B9}" type="sibTrans" cxnId="{5DFAEC87-1AB7-4820-939D-A16151E1E602}">
      <dgm:prSet/>
      <dgm:spPr/>
      <dgm:t>
        <a:bodyPr/>
        <a:lstStyle/>
        <a:p>
          <a:endParaRPr lang="en-GB"/>
        </a:p>
      </dgm:t>
    </dgm:pt>
    <dgm:pt modelId="{8CFA7F46-3F36-44EF-97ED-3294C53D6A91}">
      <dgm:prSet phldrT="[Text]"/>
      <dgm:spPr/>
      <dgm:t>
        <a:bodyPr/>
        <a:lstStyle/>
        <a:p>
          <a:pPr>
            <a:buNone/>
          </a:pPr>
          <a:r>
            <a:rPr lang="en-GB" dirty="0">
              <a:solidFill>
                <a:schemeClr val="tx1"/>
              </a:solidFill>
              <a:latin typeface="Calibri" panose="020F0502020204030204" pitchFamily="34" charset="0"/>
              <a:cs typeface="Calibri" panose="020F0502020204030204" pitchFamily="34" charset="0"/>
            </a:rPr>
            <a:t>Review and Challenge by Joint Head of Finance and CC CFO</a:t>
          </a:r>
          <a:endParaRPr lang="en-GB" dirty="0"/>
        </a:p>
      </dgm:t>
    </dgm:pt>
    <dgm:pt modelId="{44375A24-BBC7-4947-AF37-0EE2EEC88B20}" type="parTrans" cxnId="{4CB026C6-0939-4312-B8ED-8FB31B339EA4}">
      <dgm:prSet/>
      <dgm:spPr/>
      <dgm:t>
        <a:bodyPr/>
        <a:lstStyle/>
        <a:p>
          <a:endParaRPr lang="en-GB"/>
        </a:p>
      </dgm:t>
    </dgm:pt>
    <dgm:pt modelId="{209495F1-F492-4763-ABD5-1FE9B304899A}" type="sibTrans" cxnId="{4CB026C6-0939-4312-B8ED-8FB31B339EA4}">
      <dgm:prSet/>
      <dgm:spPr/>
      <dgm:t>
        <a:bodyPr/>
        <a:lstStyle/>
        <a:p>
          <a:endParaRPr lang="en-GB"/>
        </a:p>
      </dgm:t>
    </dgm:pt>
    <dgm:pt modelId="{9F0ED3C2-CDE0-4FCB-A7F9-1792C9708150}">
      <dgm:prSet phldrT="[Text]"/>
      <dgm:spPr/>
      <dgm:t>
        <a:bodyPr/>
        <a:lstStyle/>
        <a:p>
          <a:r>
            <a:rPr lang="en-GB" dirty="0"/>
            <a:t>October/ November</a:t>
          </a:r>
        </a:p>
      </dgm:t>
    </dgm:pt>
    <dgm:pt modelId="{CB75B86D-59B8-4896-9EC7-A56190B92500}" type="parTrans" cxnId="{D3D3D273-AB98-448C-80F3-D2389E7CE731}">
      <dgm:prSet/>
      <dgm:spPr/>
      <dgm:t>
        <a:bodyPr/>
        <a:lstStyle/>
        <a:p>
          <a:endParaRPr lang="en-GB"/>
        </a:p>
      </dgm:t>
    </dgm:pt>
    <dgm:pt modelId="{ED769993-7F3A-4372-8DEB-5CE741AD1616}" type="sibTrans" cxnId="{D3D3D273-AB98-448C-80F3-D2389E7CE731}">
      <dgm:prSet/>
      <dgm:spPr/>
      <dgm:t>
        <a:bodyPr/>
        <a:lstStyle/>
        <a:p>
          <a:endParaRPr lang="en-GB"/>
        </a:p>
      </dgm:t>
    </dgm:pt>
    <dgm:pt modelId="{3B1CEB3D-4914-43F5-8318-B58F40D70609}">
      <dgm:prSet phldrT="[Text]"/>
      <dgm:spPr/>
      <dgm:t>
        <a:bodyPr/>
        <a:lstStyle/>
        <a:p>
          <a:pPr>
            <a:buNone/>
          </a:pPr>
          <a:r>
            <a:rPr lang="en-GB" dirty="0">
              <a:solidFill>
                <a:schemeClr val="tx1"/>
              </a:solidFill>
              <a:latin typeface="Calibri" panose="020F0502020204030204" pitchFamily="34" charset="0"/>
              <a:cs typeface="Calibri" panose="020F0502020204030204" pitchFamily="34" charset="0"/>
            </a:rPr>
            <a:t>Review and further challenge by PFCC CFO</a:t>
          </a:r>
          <a:endParaRPr lang="en-GB" dirty="0"/>
        </a:p>
      </dgm:t>
    </dgm:pt>
    <dgm:pt modelId="{5016D617-AD71-4802-A53E-4FEFEAE2C9D0}" type="parTrans" cxnId="{70ECDBB9-25D9-48EC-B523-FC02C876BF3A}">
      <dgm:prSet/>
      <dgm:spPr/>
      <dgm:t>
        <a:bodyPr/>
        <a:lstStyle/>
        <a:p>
          <a:endParaRPr lang="en-GB"/>
        </a:p>
      </dgm:t>
    </dgm:pt>
    <dgm:pt modelId="{82BF9941-2772-4B57-97A8-5FB170C955FB}" type="sibTrans" cxnId="{70ECDBB9-25D9-48EC-B523-FC02C876BF3A}">
      <dgm:prSet/>
      <dgm:spPr/>
      <dgm:t>
        <a:bodyPr/>
        <a:lstStyle/>
        <a:p>
          <a:endParaRPr lang="en-GB"/>
        </a:p>
      </dgm:t>
    </dgm:pt>
    <dgm:pt modelId="{82FF0DAF-BB70-4602-BB3D-FECD5A68A2EC}">
      <dgm:prSet phldrT="[Text]"/>
      <dgm:spPr/>
      <dgm:t>
        <a:bodyPr/>
        <a:lstStyle/>
        <a:p>
          <a:r>
            <a:rPr lang="en-GB" dirty="0"/>
            <a:t>October</a:t>
          </a:r>
        </a:p>
      </dgm:t>
    </dgm:pt>
    <dgm:pt modelId="{C1A173C6-A5E2-4507-9B67-57E30BA5C608}" type="parTrans" cxnId="{8E14D47C-545F-423D-B994-633EDFFEFB3A}">
      <dgm:prSet/>
      <dgm:spPr/>
      <dgm:t>
        <a:bodyPr/>
        <a:lstStyle/>
        <a:p>
          <a:endParaRPr lang="en-GB"/>
        </a:p>
      </dgm:t>
    </dgm:pt>
    <dgm:pt modelId="{5A7A3C5A-725B-4724-A154-67BD86E1BB12}" type="sibTrans" cxnId="{8E14D47C-545F-423D-B994-633EDFFEFB3A}">
      <dgm:prSet/>
      <dgm:spPr/>
      <dgm:t>
        <a:bodyPr/>
        <a:lstStyle/>
        <a:p>
          <a:endParaRPr lang="en-GB"/>
        </a:p>
      </dgm:t>
    </dgm:pt>
    <dgm:pt modelId="{2C2503A6-1FF0-47AC-A13D-0A0BE77A6AFE}">
      <dgm:prSet phldrT="[Text]"/>
      <dgm:spPr/>
      <dgm:t>
        <a:bodyPr/>
        <a:lstStyle/>
        <a:p>
          <a:pPr>
            <a:buNone/>
          </a:pPr>
          <a:r>
            <a:rPr lang="en-GB" dirty="0">
              <a:solidFill>
                <a:schemeClr val="tx1"/>
              </a:solidFill>
              <a:latin typeface="Calibri" panose="020F0502020204030204" pitchFamily="34" charset="0"/>
              <a:cs typeface="Calibri" panose="020F0502020204030204" pitchFamily="34" charset="0"/>
            </a:rPr>
            <a:t>First level of reconciliation and scrutiny by team leader </a:t>
          </a:r>
          <a:endParaRPr lang="en-GB" dirty="0"/>
        </a:p>
      </dgm:t>
    </dgm:pt>
    <dgm:pt modelId="{E4A59C71-0E3D-44E9-967B-F1E10ADC78B3}" type="parTrans" cxnId="{97C5AB28-A21A-4DCC-AFC2-5E0B70B01B80}">
      <dgm:prSet/>
      <dgm:spPr/>
      <dgm:t>
        <a:bodyPr/>
        <a:lstStyle/>
        <a:p>
          <a:endParaRPr lang="en-GB"/>
        </a:p>
      </dgm:t>
    </dgm:pt>
    <dgm:pt modelId="{07ADC382-0698-4A50-8940-D39CE8D1E31C}" type="sibTrans" cxnId="{97C5AB28-A21A-4DCC-AFC2-5E0B70B01B80}">
      <dgm:prSet/>
      <dgm:spPr/>
      <dgm:t>
        <a:bodyPr/>
        <a:lstStyle/>
        <a:p>
          <a:endParaRPr lang="en-GB"/>
        </a:p>
      </dgm:t>
    </dgm:pt>
    <dgm:pt modelId="{B7DFAB61-C46A-4EA2-8493-72B794392D41}">
      <dgm:prSet phldrT="[Text]"/>
      <dgm:spPr/>
      <dgm:t>
        <a:bodyPr/>
        <a:lstStyle/>
        <a:p>
          <a:r>
            <a:rPr lang="en-GB" dirty="0"/>
            <a:t>October</a:t>
          </a:r>
        </a:p>
      </dgm:t>
    </dgm:pt>
    <dgm:pt modelId="{9654F6BC-CB5F-4F46-97A9-EA108E2946E8}" type="parTrans" cxnId="{E8153720-C513-4146-9012-810E72BDBE0D}">
      <dgm:prSet/>
      <dgm:spPr/>
      <dgm:t>
        <a:bodyPr/>
        <a:lstStyle/>
        <a:p>
          <a:endParaRPr lang="en-GB"/>
        </a:p>
      </dgm:t>
    </dgm:pt>
    <dgm:pt modelId="{6E04C1E2-5D86-40B4-8508-10E45451F34D}" type="sibTrans" cxnId="{E8153720-C513-4146-9012-810E72BDBE0D}">
      <dgm:prSet/>
      <dgm:spPr/>
      <dgm:t>
        <a:bodyPr/>
        <a:lstStyle/>
        <a:p>
          <a:endParaRPr lang="en-GB"/>
        </a:p>
      </dgm:t>
    </dgm:pt>
    <dgm:pt modelId="{719001B5-FABC-4998-840E-3709978992B1}">
      <dgm:prSet phldrT="[Text]"/>
      <dgm:spPr/>
      <dgm:t>
        <a:bodyPr/>
        <a:lstStyle/>
        <a:p>
          <a:pPr>
            <a:buNone/>
          </a:pPr>
          <a:r>
            <a:rPr lang="en-GB" dirty="0">
              <a:solidFill>
                <a:schemeClr val="tx1"/>
              </a:solidFill>
              <a:latin typeface="Calibri" panose="020F0502020204030204" pitchFamily="34" charset="0"/>
              <a:cs typeface="Calibri" panose="020F0502020204030204" pitchFamily="34" charset="0"/>
            </a:rPr>
            <a:t>Report and discussions with Chief Constable/Chief Fire Officer </a:t>
          </a:r>
          <a:endParaRPr lang="en-GB" dirty="0"/>
        </a:p>
      </dgm:t>
    </dgm:pt>
    <dgm:pt modelId="{7353D9FE-9E7B-4F6D-A2F7-E8196F1D2B10}" type="parTrans" cxnId="{E4314648-7C03-4BF3-BD65-3C30D25CF7C9}">
      <dgm:prSet/>
      <dgm:spPr/>
      <dgm:t>
        <a:bodyPr/>
        <a:lstStyle/>
        <a:p>
          <a:endParaRPr lang="en-GB"/>
        </a:p>
      </dgm:t>
    </dgm:pt>
    <dgm:pt modelId="{DEC51A6B-446B-4409-9C0C-E68A76DDC776}" type="sibTrans" cxnId="{E4314648-7C03-4BF3-BD65-3C30D25CF7C9}">
      <dgm:prSet/>
      <dgm:spPr/>
      <dgm:t>
        <a:bodyPr/>
        <a:lstStyle/>
        <a:p>
          <a:endParaRPr lang="en-GB"/>
        </a:p>
      </dgm:t>
    </dgm:pt>
    <dgm:pt modelId="{3087A382-C96F-4546-B4D1-B582819098FD}">
      <dgm:prSet phldrT="[Text]"/>
      <dgm:spPr/>
      <dgm:t>
        <a:bodyPr/>
        <a:lstStyle/>
        <a:p>
          <a:r>
            <a:rPr lang="en-GB" dirty="0"/>
            <a:t>December</a:t>
          </a:r>
        </a:p>
      </dgm:t>
    </dgm:pt>
    <dgm:pt modelId="{B6F70E16-8553-40EB-A1BE-F8959CC5EEDF}" type="parTrans" cxnId="{E4FFD3B3-D366-4070-8B70-69A0E23B181F}">
      <dgm:prSet/>
      <dgm:spPr/>
      <dgm:t>
        <a:bodyPr/>
        <a:lstStyle/>
        <a:p>
          <a:endParaRPr lang="en-GB"/>
        </a:p>
      </dgm:t>
    </dgm:pt>
    <dgm:pt modelId="{532B05A4-5ACB-43B0-B8C8-B480D0D66803}" type="sibTrans" cxnId="{E4FFD3B3-D366-4070-8B70-69A0E23B181F}">
      <dgm:prSet/>
      <dgm:spPr/>
      <dgm:t>
        <a:bodyPr/>
        <a:lstStyle/>
        <a:p>
          <a:endParaRPr lang="en-GB"/>
        </a:p>
      </dgm:t>
    </dgm:pt>
    <dgm:pt modelId="{E72B679F-D95A-4BBB-A3CD-F7DBADD30467}">
      <dgm:prSet phldrT="[Text]"/>
      <dgm:spPr/>
      <dgm:t>
        <a:bodyPr/>
        <a:lstStyle/>
        <a:p>
          <a:pPr>
            <a:buNone/>
          </a:pPr>
          <a:r>
            <a:rPr lang="en-GB" dirty="0">
              <a:solidFill>
                <a:schemeClr val="tx1"/>
              </a:solidFill>
              <a:latin typeface="Calibri" panose="020F0502020204030204" pitchFamily="34" charset="0"/>
              <a:cs typeface="Calibri" panose="020F0502020204030204" pitchFamily="34" charset="0"/>
            </a:rPr>
            <a:t>PFCC challenge at December Accountability Board – DRAFT budget proposals</a:t>
          </a:r>
          <a:endParaRPr lang="en-GB" dirty="0"/>
        </a:p>
      </dgm:t>
    </dgm:pt>
    <dgm:pt modelId="{AAB31C4F-A753-47E6-A990-E74E7A42EF3A}" type="parTrans" cxnId="{644A1839-C838-4DC3-B8C9-3EC6BD9FC2F5}">
      <dgm:prSet/>
      <dgm:spPr/>
      <dgm:t>
        <a:bodyPr/>
        <a:lstStyle/>
        <a:p>
          <a:endParaRPr lang="en-GB"/>
        </a:p>
      </dgm:t>
    </dgm:pt>
    <dgm:pt modelId="{913711B8-684C-4BF9-BFEB-B786210380A3}" type="sibTrans" cxnId="{644A1839-C838-4DC3-B8C9-3EC6BD9FC2F5}">
      <dgm:prSet/>
      <dgm:spPr/>
      <dgm:t>
        <a:bodyPr/>
        <a:lstStyle/>
        <a:p>
          <a:endParaRPr lang="en-GB"/>
        </a:p>
      </dgm:t>
    </dgm:pt>
    <dgm:pt modelId="{EB083492-A14F-45B0-85BC-C2150C530255}">
      <dgm:prSet phldrT="[Text]"/>
      <dgm:spPr/>
      <dgm:t>
        <a:bodyPr/>
        <a:lstStyle/>
        <a:p>
          <a:r>
            <a:rPr lang="en-GB" dirty="0"/>
            <a:t>January</a:t>
          </a:r>
        </a:p>
      </dgm:t>
    </dgm:pt>
    <dgm:pt modelId="{66420801-F069-47AE-B08B-041CA8FFB77E}" type="parTrans" cxnId="{6BDEE3C1-3EC0-4FAC-B6DD-49B37D4D93FF}">
      <dgm:prSet/>
      <dgm:spPr/>
      <dgm:t>
        <a:bodyPr/>
        <a:lstStyle/>
        <a:p>
          <a:endParaRPr lang="en-GB"/>
        </a:p>
      </dgm:t>
    </dgm:pt>
    <dgm:pt modelId="{88E32DC5-D602-478E-8E3D-4AA138EC2AB3}" type="sibTrans" cxnId="{6BDEE3C1-3EC0-4FAC-B6DD-49B37D4D93FF}">
      <dgm:prSet/>
      <dgm:spPr/>
      <dgm:t>
        <a:bodyPr/>
        <a:lstStyle/>
        <a:p>
          <a:endParaRPr lang="en-GB"/>
        </a:p>
      </dgm:t>
    </dgm:pt>
    <dgm:pt modelId="{3A403949-B436-4552-A1AB-8EECC0ACF743}">
      <dgm:prSet phldrT="[Text]"/>
      <dgm:spPr/>
      <dgm:t>
        <a:bodyPr/>
        <a:lstStyle/>
        <a:p>
          <a:pPr>
            <a:buNone/>
          </a:pPr>
          <a:r>
            <a:rPr lang="en-GB" dirty="0">
              <a:solidFill>
                <a:schemeClr val="tx1"/>
              </a:solidFill>
              <a:latin typeface="Calibri" panose="020F0502020204030204" pitchFamily="34" charset="0"/>
              <a:cs typeface="Calibri" panose="020F0502020204030204" pitchFamily="34" charset="0"/>
            </a:rPr>
            <a:t>PFCC final approval at January Accountability Board – FINAL budget proposals</a:t>
          </a:r>
          <a:endParaRPr lang="en-GB" dirty="0"/>
        </a:p>
      </dgm:t>
    </dgm:pt>
    <dgm:pt modelId="{BA2D68C5-5DCE-4C2C-B665-BBF9A18BFF90}" type="parTrans" cxnId="{F4EE6D1D-2329-4B6D-A7EB-793DD9D45A1B}">
      <dgm:prSet/>
      <dgm:spPr/>
      <dgm:t>
        <a:bodyPr/>
        <a:lstStyle/>
        <a:p>
          <a:endParaRPr lang="en-GB"/>
        </a:p>
      </dgm:t>
    </dgm:pt>
    <dgm:pt modelId="{DEBAF137-0642-4181-9F53-5C16819F2660}" type="sibTrans" cxnId="{F4EE6D1D-2329-4B6D-A7EB-793DD9D45A1B}">
      <dgm:prSet/>
      <dgm:spPr/>
      <dgm:t>
        <a:bodyPr/>
        <a:lstStyle/>
        <a:p>
          <a:endParaRPr lang="en-GB"/>
        </a:p>
      </dgm:t>
    </dgm:pt>
    <dgm:pt modelId="{9F8AE336-FD06-429A-81B2-1596B4741605}">
      <dgm:prSet phldrT="[Text]"/>
      <dgm:spPr/>
      <dgm:t>
        <a:bodyPr/>
        <a:lstStyle/>
        <a:p>
          <a:r>
            <a:rPr lang="en-GB" dirty="0"/>
            <a:t>February</a:t>
          </a:r>
        </a:p>
      </dgm:t>
    </dgm:pt>
    <dgm:pt modelId="{46104067-ACFD-4C91-A4AE-27807F0F8448}" type="parTrans" cxnId="{77BF0075-629A-42CA-9343-A4995805A1BD}">
      <dgm:prSet/>
      <dgm:spPr/>
      <dgm:t>
        <a:bodyPr/>
        <a:lstStyle/>
        <a:p>
          <a:endParaRPr lang="en-GB"/>
        </a:p>
      </dgm:t>
    </dgm:pt>
    <dgm:pt modelId="{FD0D9C9A-36E1-4BA7-856F-6D27803EEDFB}" type="sibTrans" cxnId="{77BF0075-629A-42CA-9343-A4995805A1BD}">
      <dgm:prSet/>
      <dgm:spPr/>
      <dgm:t>
        <a:bodyPr/>
        <a:lstStyle/>
        <a:p>
          <a:endParaRPr lang="en-GB"/>
        </a:p>
      </dgm:t>
    </dgm:pt>
    <dgm:pt modelId="{B0914334-38E6-47EB-8E5E-EE054F75E4F7}">
      <dgm:prSet phldrT="[Text]"/>
      <dgm:spPr/>
      <dgm:t>
        <a:bodyPr/>
        <a:lstStyle/>
        <a:p>
          <a:pPr>
            <a:buNone/>
          </a:pPr>
          <a:r>
            <a:rPr lang="en-GB" dirty="0"/>
            <a:t>Budget Papers and Precept Proposal considered by the Panel</a:t>
          </a:r>
        </a:p>
      </dgm:t>
    </dgm:pt>
    <dgm:pt modelId="{A7FC66FA-E2ED-48AA-80F1-0792BDCC6DAB}" type="parTrans" cxnId="{2D4E5E8F-442A-4886-B406-A5F9E264F256}">
      <dgm:prSet/>
      <dgm:spPr/>
      <dgm:t>
        <a:bodyPr/>
        <a:lstStyle/>
        <a:p>
          <a:endParaRPr lang="en-GB"/>
        </a:p>
      </dgm:t>
    </dgm:pt>
    <dgm:pt modelId="{11278B4B-58B8-45D3-9E76-9F69EA9D7012}" type="sibTrans" cxnId="{2D4E5E8F-442A-4886-B406-A5F9E264F256}">
      <dgm:prSet/>
      <dgm:spPr/>
      <dgm:t>
        <a:bodyPr/>
        <a:lstStyle/>
        <a:p>
          <a:endParaRPr lang="en-GB"/>
        </a:p>
      </dgm:t>
    </dgm:pt>
    <dgm:pt modelId="{B1CFEE0E-0710-4A52-B485-C83971F2F6E4}">
      <dgm:prSet phldrT="[Text]"/>
      <dgm:spPr/>
      <dgm:t>
        <a:bodyPr/>
        <a:lstStyle/>
        <a:p>
          <a:r>
            <a:rPr lang="en-GB" dirty="0"/>
            <a:t>November</a:t>
          </a:r>
        </a:p>
      </dgm:t>
    </dgm:pt>
    <dgm:pt modelId="{7AE011EE-2FCC-4871-9247-5818F3C21393}" type="parTrans" cxnId="{71D775D5-B96B-4BFA-AC86-3DC73C23D9D9}">
      <dgm:prSet/>
      <dgm:spPr/>
      <dgm:t>
        <a:bodyPr/>
        <a:lstStyle/>
        <a:p>
          <a:endParaRPr lang="en-GB"/>
        </a:p>
      </dgm:t>
    </dgm:pt>
    <dgm:pt modelId="{7D1AD7D9-9DFB-409A-9E82-06F32D72861F}" type="sibTrans" cxnId="{71D775D5-B96B-4BFA-AC86-3DC73C23D9D9}">
      <dgm:prSet/>
      <dgm:spPr/>
      <dgm:t>
        <a:bodyPr/>
        <a:lstStyle/>
        <a:p>
          <a:endParaRPr lang="en-GB"/>
        </a:p>
      </dgm:t>
    </dgm:pt>
    <dgm:pt modelId="{A471EF92-0089-4C2C-A961-3BFC038565B9}" type="pres">
      <dgm:prSet presAssocID="{4C3F396D-FAD9-434C-B431-993BEA1F1B60}" presName="linearFlow" presStyleCnt="0">
        <dgm:presLayoutVars>
          <dgm:dir/>
          <dgm:animLvl val="lvl"/>
          <dgm:resizeHandles val="exact"/>
        </dgm:presLayoutVars>
      </dgm:prSet>
      <dgm:spPr/>
    </dgm:pt>
    <dgm:pt modelId="{4D9EE095-1D58-49F8-860D-8535E41C0379}" type="pres">
      <dgm:prSet presAssocID="{58D56BA6-200A-400B-BFC7-EBF76D8C8B08}" presName="composite" presStyleCnt="0"/>
      <dgm:spPr/>
    </dgm:pt>
    <dgm:pt modelId="{93C5A65B-FEDE-4A95-8750-B64043D7CF19}" type="pres">
      <dgm:prSet presAssocID="{58D56BA6-200A-400B-BFC7-EBF76D8C8B08}" presName="parentText" presStyleLbl="alignNode1" presStyleIdx="0" presStyleCnt="8">
        <dgm:presLayoutVars>
          <dgm:chMax val="1"/>
          <dgm:bulletEnabled val="1"/>
        </dgm:presLayoutVars>
      </dgm:prSet>
      <dgm:spPr/>
    </dgm:pt>
    <dgm:pt modelId="{B6214A9C-FC0A-40EB-9481-C1A415E38D89}" type="pres">
      <dgm:prSet presAssocID="{58D56BA6-200A-400B-BFC7-EBF76D8C8B08}" presName="descendantText" presStyleLbl="alignAcc1" presStyleIdx="0" presStyleCnt="8">
        <dgm:presLayoutVars>
          <dgm:bulletEnabled val="1"/>
        </dgm:presLayoutVars>
      </dgm:prSet>
      <dgm:spPr/>
    </dgm:pt>
    <dgm:pt modelId="{31964F2F-3420-4ECD-B608-777773ACFACB}" type="pres">
      <dgm:prSet presAssocID="{8BF36C57-A1E2-4000-A74C-EEB26BEAB328}" presName="sp" presStyleCnt="0"/>
      <dgm:spPr/>
    </dgm:pt>
    <dgm:pt modelId="{B2F36A81-CEBE-46E0-A2A0-76693F3014C6}" type="pres">
      <dgm:prSet presAssocID="{B7DFAB61-C46A-4EA2-8493-72B794392D41}" presName="composite" presStyleCnt="0"/>
      <dgm:spPr/>
    </dgm:pt>
    <dgm:pt modelId="{FF032F62-3E43-4B40-AC74-44D91BDC6B5E}" type="pres">
      <dgm:prSet presAssocID="{B7DFAB61-C46A-4EA2-8493-72B794392D41}" presName="parentText" presStyleLbl="alignNode1" presStyleIdx="1" presStyleCnt="8">
        <dgm:presLayoutVars>
          <dgm:chMax val="1"/>
          <dgm:bulletEnabled val="1"/>
        </dgm:presLayoutVars>
      </dgm:prSet>
      <dgm:spPr/>
    </dgm:pt>
    <dgm:pt modelId="{600CA261-7C2F-4088-8E48-39DE8129A95D}" type="pres">
      <dgm:prSet presAssocID="{B7DFAB61-C46A-4EA2-8493-72B794392D41}" presName="descendantText" presStyleLbl="alignAcc1" presStyleIdx="1" presStyleCnt="8">
        <dgm:presLayoutVars>
          <dgm:bulletEnabled val="1"/>
        </dgm:presLayoutVars>
      </dgm:prSet>
      <dgm:spPr/>
    </dgm:pt>
    <dgm:pt modelId="{9F35907E-84AD-4675-B07D-D90C04911EEC}" type="pres">
      <dgm:prSet presAssocID="{6E04C1E2-5D86-40B4-8508-10E45451F34D}" presName="sp" presStyleCnt="0"/>
      <dgm:spPr/>
    </dgm:pt>
    <dgm:pt modelId="{E9B8D935-58F5-4430-B896-532A26B84FEB}" type="pres">
      <dgm:prSet presAssocID="{82FF0DAF-BB70-4602-BB3D-FECD5A68A2EC}" presName="composite" presStyleCnt="0"/>
      <dgm:spPr/>
    </dgm:pt>
    <dgm:pt modelId="{7E8E2E81-B372-487E-AE3D-B9A41FC03C2D}" type="pres">
      <dgm:prSet presAssocID="{82FF0DAF-BB70-4602-BB3D-FECD5A68A2EC}" presName="parentText" presStyleLbl="alignNode1" presStyleIdx="2" presStyleCnt="8">
        <dgm:presLayoutVars>
          <dgm:chMax val="1"/>
          <dgm:bulletEnabled val="1"/>
        </dgm:presLayoutVars>
      </dgm:prSet>
      <dgm:spPr/>
    </dgm:pt>
    <dgm:pt modelId="{BD94E167-1A74-4C28-8F1D-CF50A6F7B8CC}" type="pres">
      <dgm:prSet presAssocID="{82FF0DAF-BB70-4602-BB3D-FECD5A68A2EC}" presName="descendantText" presStyleLbl="alignAcc1" presStyleIdx="2" presStyleCnt="8">
        <dgm:presLayoutVars>
          <dgm:bulletEnabled val="1"/>
        </dgm:presLayoutVars>
      </dgm:prSet>
      <dgm:spPr/>
    </dgm:pt>
    <dgm:pt modelId="{7987A30F-3AC0-44FA-9DD6-38700242E29D}" type="pres">
      <dgm:prSet presAssocID="{5A7A3C5A-725B-4724-A154-67BD86E1BB12}" presName="sp" presStyleCnt="0"/>
      <dgm:spPr/>
    </dgm:pt>
    <dgm:pt modelId="{28A5F93C-6BC4-45A5-9915-8E342462B46C}" type="pres">
      <dgm:prSet presAssocID="{9F0ED3C2-CDE0-4FCB-A7F9-1792C9708150}" presName="composite" presStyleCnt="0"/>
      <dgm:spPr/>
    </dgm:pt>
    <dgm:pt modelId="{C334268B-13CF-4AF6-BE4D-36C6A337FAD0}" type="pres">
      <dgm:prSet presAssocID="{9F0ED3C2-CDE0-4FCB-A7F9-1792C9708150}" presName="parentText" presStyleLbl="alignNode1" presStyleIdx="3" presStyleCnt="8">
        <dgm:presLayoutVars>
          <dgm:chMax val="1"/>
          <dgm:bulletEnabled val="1"/>
        </dgm:presLayoutVars>
      </dgm:prSet>
      <dgm:spPr/>
    </dgm:pt>
    <dgm:pt modelId="{81C86889-B220-496F-9C29-F27E623DA04C}" type="pres">
      <dgm:prSet presAssocID="{9F0ED3C2-CDE0-4FCB-A7F9-1792C9708150}" presName="descendantText" presStyleLbl="alignAcc1" presStyleIdx="3" presStyleCnt="8">
        <dgm:presLayoutVars>
          <dgm:bulletEnabled val="1"/>
        </dgm:presLayoutVars>
      </dgm:prSet>
      <dgm:spPr/>
    </dgm:pt>
    <dgm:pt modelId="{096CFC96-437A-4183-A324-39516DECCE96}" type="pres">
      <dgm:prSet presAssocID="{ED769993-7F3A-4372-8DEB-5CE741AD1616}" presName="sp" presStyleCnt="0"/>
      <dgm:spPr/>
    </dgm:pt>
    <dgm:pt modelId="{AFB49B4D-ACC3-49F3-93CD-B242B56674B6}" type="pres">
      <dgm:prSet presAssocID="{B1CFEE0E-0710-4A52-B485-C83971F2F6E4}" presName="composite" presStyleCnt="0"/>
      <dgm:spPr/>
    </dgm:pt>
    <dgm:pt modelId="{520729A9-1C47-4970-B485-ED179A6D328E}" type="pres">
      <dgm:prSet presAssocID="{B1CFEE0E-0710-4A52-B485-C83971F2F6E4}" presName="parentText" presStyleLbl="alignNode1" presStyleIdx="4" presStyleCnt="8">
        <dgm:presLayoutVars>
          <dgm:chMax val="1"/>
          <dgm:bulletEnabled val="1"/>
        </dgm:presLayoutVars>
      </dgm:prSet>
      <dgm:spPr/>
    </dgm:pt>
    <dgm:pt modelId="{3EF0D81E-94B7-4263-8532-C417CD9E99FF}" type="pres">
      <dgm:prSet presAssocID="{B1CFEE0E-0710-4A52-B485-C83971F2F6E4}" presName="descendantText" presStyleLbl="alignAcc1" presStyleIdx="4" presStyleCnt="8">
        <dgm:presLayoutVars>
          <dgm:bulletEnabled val="1"/>
        </dgm:presLayoutVars>
      </dgm:prSet>
      <dgm:spPr/>
    </dgm:pt>
    <dgm:pt modelId="{ED1B3E09-B44F-49C9-83F8-87267AFA0C68}" type="pres">
      <dgm:prSet presAssocID="{7D1AD7D9-9DFB-409A-9E82-06F32D72861F}" presName="sp" presStyleCnt="0"/>
      <dgm:spPr/>
    </dgm:pt>
    <dgm:pt modelId="{352C8771-18CD-4218-9C25-6B2459A01062}" type="pres">
      <dgm:prSet presAssocID="{3087A382-C96F-4546-B4D1-B582819098FD}" presName="composite" presStyleCnt="0"/>
      <dgm:spPr/>
    </dgm:pt>
    <dgm:pt modelId="{AE9748B8-2736-47E3-A005-4C8ED8F65A2B}" type="pres">
      <dgm:prSet presAssocID="{3087A382-C96F-4546-B4D1-B582819098FD}" presName="parentText" presStyleLbl="alignNode1" presStyleIdx="5" presStyleCnt="8">
        <dgm:presLayoutVars>
          <dgm:chMax val="1"/>
          <dgm:bulletEnabled val="1"/>
        </dgm:presLayoutVars>
      </dgm:prSet>
      <dgm:spPr/>
    </dgm:pt>
    <dgm:pt modelId="{93E4C178-4971-488E-90F9-E065A2540AA3}" type="pres">
      <dgm:prSet presAssocID="{3087A382-C96F-4546-B4D1-B582819098FD}" presName="descendantText" presStyleLbl="alignAcc1" presStyleIdx="5" presStyleCnt="8">
        <dgm:presLayoutVars>
          <dgm:bulletEnabled val="1"/>
        </dgm:presLayoutVars>
      </dgm:prSet>
      <dgm:spPr/>
    </dgm:pt>
    <dgm:pt modelId="{AC326FD5-A49E-456F-9D15-54C39CAE70B4}" type="pres">
      <dgm:prSet presAssocID="{532B05A4-5ACB-43B0-B8C8-B480D0D66803}" presName="sp" presStyleCnt="0"/>
      <dgm:spPr/>
    </dgm:pt>
    <dgm:pt modelId="{C52F9743-A8B6-4F68-80F2-620FF555276F}" type="pres">
      <dgm:prSet presAssocID="{EB083492-A14F-45B0-85BC-C2150C530255}" presName="composite" presStyleCnt="0"/>
      <dgm:spPr/>
    </dgm:pt>
    <dgm:pt modelId="{D98FF503-CA8D-442A-ABF9-A8B228430D4D}" type="pres">
      <dgm:prSet presAssocID="{EB083492-A14F-45B0-85BC-C2150C530255}" presName="parentText" presStyleLbl="alignNode1" presStyleIdx="6" presStyleCnt="8">
        <dgm:presLayoutVars>
          <dgm:chMax val="1"/>
          <dgm:bulletEnabled val="1"/>
        </dgm:presLayoutVars>
      </dgm:prSet>
      <dgm:spPr/>
    </dgm:pt>
    <dgm:pt modelId="{596651A8-09C5-4682-812F-7891D37AF21D}" type="pres">
      <dgm:prSet presAssocID="{EB083492-A14F-45B0-85BC-C2150C530255}" presName="descendantText" presStyleLbl="alignAcc1" presStyleIdx="6" presStyleCnt="8">
        <dgm:presLayoutVars>
          <dgm:bulletEnabled val="1"/>
        </dgm:presLayoutVars>
      </dgm:prSet>
      <dgm:spPr/>
    </dgm:pt>
    <dgm:pt modelId="{8A0C94ED-86A5-425A-87EF-BF2783B2393E}" type="pres">
      <dgm:prSet presAssocID="{88E32DC5-D602-478E-8E3D-4AA138EC2AB3}" presName="sp" presStyleCnt="0"/>
      <dgm:spPr/>
    </dgm:pt>
    <dgm:pt modelId="{08CC169C-AC72-4DAE-82FF-D1F99EADA293}" type="pres">
      <dgm:prSet presAssocID="{9F8AE336-FD06-429A-81B2-1596B4741605}" presName="composite" presStyleCnt="0"/>
      <dgm:spPr/>
    </dgm:pt>
    <dgm:pt modelId="{51C8A537-7C5A-4262-89F6-338B290EC87F}" type="pres">
      <dgm:prSet presAssocID="{9F8AE336-FD06-429A-81B2-1596B4741605}" presName="parentText" presStyleLbl="alignNode1" presStyleIdx="7" presStyleCnt="8">
        <dgm:presLayoutVars>
          <dgm:chMax val="1"/>
          <dgm:bulletEnabled val="1"/>
        </dgm:presLayoutVars>
      </dgm:prSet>
      <dgm:spPr/>
    </dgm:pt>
    <dgm:pt modelId="{A79DC3F1-CBC2-43C8-9800-3925CAE939F5}" type="pres">
      <dgm:prSet presAssocID="{9F8AE336-FD06-429A-81B2-1596B4741605}" presName="descendantText" presStyleLbl="alignAcc1" presStyleIdx="7" presStyleCnt="8">
        <dgm:presLayoutVars>
          <dgm:bulletEnabled val="1"/>
        </dgm:presLayoutVars>
      </dgm:prSet>
      <dgm:spPr/>
    </dgm:pt>
  </dgm:ptLst>
  <dgm:cxnLst>
    <dgm:cxn modelId="{FF45EA0B-051C-4763-A551-266B826EF3F4}" type="presOf" srcId="{2C2503A6-1FF0-47AC-A13D-0A0BE77A6AFE}" destId="{600CA261-7C2F-4088-8E48-39DE8129A95D}" srcOrd="0" destOrd="0" presId="urn:microsoft.com/office/officeart/2005/8/layout/chevron2"/>
    <dgm:cxn modelId="{E6DA5E10-53DA-4711-B633-FAFD14C73212}" type="presOf" srcId="{9F0ED3C2-CDE0-4FCB-A7F9-1792C9708150}" destId="{C334268B-13CF-4AF6-BE4D-36C6A337FAD0}" srcOrd="0" destOrd="0" presId="urn:microsoft.com/office/officeart/2005/8/layout/chevron2"/>
    <dgm:cxn modelId="{577D6610-7FCC-45E0-9A0A-2D78F7A7005A}" type="presOf" srcId="{3A403949-B436-4552-A1AB-8EECC0ACF743}" destId="{596651A8-09C5-4682-812F-7891D37AF21D}" srcOrd="0" destOrd="0" presId="urn:microsoft.com/office/officeart/2005/8/layout/chevron2"/>
    <dgm:cxn modelId="{AA10D319-32E9-4513-824D-41238A66B415}" type="presOf" srcId="{B0914334-38E6-47EB-8E5E-EE054F75E4F7}" destId="{A79DC3F1-CBC2-43C8-9800-3925CAE939F5}" srcOrd="0" destOrd="0" presId="urn:microsoft.com/office/officeart/2005/8/layout/chevron2"/>
    <dgm:cxn modelId="{F4EE6D1D-2329-4B6D-A7EB-793DD9D45A1B}" srcId="{EB083492-A14F-45B0-85BC-C2150C530255}" destId="{3A403949-B436-4552-A1AB-8EECC0ACF743}" srcOrd="0" destOrd="0" parTransId="{BA2D68C5-5DCE-4C2C-B665-BBF9A18BFF90}" sibTransId="{DEBAF137-0642-4181-9F53-5C16819F2660}"/>
    <dgm:cxn modelId="{DB9E491F-2956-46D8-A90D-B9CFB6573132}" type="presOf" srcId="{B7DFAB61-C46A-4EA2-8493-72B794392D41}" destId="{FF032F62-3E43-4B40-AC74-44D91BDC6B5E}" srcOrd="0" destOrd="0" presId="urn:microsoft.com/office/officeart/2005/8/layout/chevron2"/>
    <dgm:cxn modelId="{E8153720-C513-4146-9012-810E72BDBE0D}" srcId="{4C3F396D-FAD9-434C-B431-993BEA1F1B60}" destId="{B7DFAB61-C46A-4EA2-8493-72B794392D41}" srcOrd="1" destOrd="0" parTransId="{9654F6BC-CB5F-4F46-97A9-EA108E2946E8}" sibTransId="{6E04C1E2-5D86-40B4-8508-10E45451F34D}"/>
    <dgm:cxn modelId="{97C5AB28-A21A-4DCC-AFC2-5E0B70B01B80}" srcId="{B7DFAB61-C46A-4EA2-8493-72B794392D41}" destId="{2C2503A6-1FF0-47AC-A13D-0A0BE77A6AFE}" srcOrd="0" destOrd="0" parTransId="{E4A59C71-0E3D-44E9-967B-F1E10ADC78B3}" sibTransId="{07ADC382-0698-4A50-8940-D39CE8D1E31C}"/>
    <dgm:cxn modelId="{384ECF2A-E6ED-420A-8738-0162A8E8C3BB}" type="presOf" srcId="{FBF3BEDF-45C4-46F7-BAC0-00D15BB0AE3C}" destId="{B6214A9C-FC0A-40EB-9481-C1A415E38D89}" srcOrd="0" destOrd="0" presId="urn:microsoft.com/office/officeart/2005/8/layout/chevron2"/>
    <dgm:cxn modelId="{72376C38-B937-4F35-89A8-8601B25512BC}" type="presOf" srcId="{4C3F396D-FAD9-434C-B431-993BEA1F1B60}" destId="{A471EF92-0089-4C2C-A961-3BFC038565B9}" srcOrd="0" destOrd="0" presId="urn:microsoft.com/office/officeart/2005/8/layout/chevron2"/>
    <dgm:cxn modelId="{644A1839-C838-4DC3-B8C9-3EC6BD9FC2F5}" srcId="{3087A382-C96F-4546-B4D1-B582819098FD}" destId="{E72B679F-D95A-4BBB-A3CD-F7DBADD30467}" srcOrd="0" destOrd="0" parTransId="{AAB31C4F-A753-47E6-A990-E74E7A42EF3A}" sibTransId="{913711B8-684C-4BF9-BFEB-B786210380A3}"/>
    <dgm:cxn modelId="{6333913A-BEDF-40AA-8949-B045862817EA}" type="presOf" srcId="{82FF0DAF-BB70-4602-BB3D-FECD5A68A2EC}" destId="{7E8E2E81-B372-487E-AE3D-B9A41FC03C2D}" srcOrd="0" destOrd="0" presId="urn:microsoft.com/office/officeart/2005/8/layout/chevron2"/>
    <dgm:cxn modelId="{E4314648-7C03-4BF3-BD65-3C30D25CF7C9}" srcId="{B1CFEE0E-0710-4A52-B485-C83971F2F6E4}" destId="{719001B5-FABC-4998-840E-3709978992B1}" srcOrd="0" destOrd="0" parTransId="{7353D9FE-9E7B-4F6D-A2F7-E8196F1D2B10}" sibTransId="{DEC51A6B-446B-4409-9C0C-E68A76DDC776}"/>
    <dgm:cxn modelId="{A814B54D-1702-434E-8A55-9EA985368E61}" srcId="{4C3F396D-FAD9-434C-B431-993BEA1F1B60}" destId="{58D56BA6-200A-400B-BFC7-EBF76D8C8B08}" srcOrd="0" destOrd="0" parTransId="{62E5B131-F2A4-46D7-A531-F8377ACC2443}" sibTransId="{8BF36C57-A1E2-4000-A74C-EEB26BEAB328}"/>
    <dgm:cxn modelId="{775B6B4E-691E-4175-8ED1-4A9276DB281B}" type="presOf" srcId="{719001B5-FABC-4998-840E-3709978992B1}" destId="{3EF0D81E-94B7-4263-8532-C417CD9E99FF}" srcOrd="0" destOrd="0" presId="urn:microsoft.com/office/officeart/2005/8/layout/chevron2"/>
    <dgm:cxn modelId="{D3D3D273-AB98-448C-80F3-D2389E7CE731}" srcId="{4C3F396D-FAD9-434C-B431-993BEA1F1B60}" destId="{9F0ED3C2-CDE0-4FCB-A7F9-1792C9708150}" srcOrd="3" destOrd="0" parTransId="{CB75B86D-59B8-4896-9EC7-A56190B92500}" sibTransId="{ED769993-7F3A-4372-8DEB-5CE741AD1616}"/>
    <dgm:cxn modelId="{77BF0075-629A-42CA-9343-A4995805A1BD}" srcId="{4C3F396D-FAD9-434C-B431-993BEA1F1B60}" destId="{9F8AE336-FD06-429A-81B2-1596B4741605}" srcOrd="7" destOrd="0" parTransId="{46104067-ACFD-4C91-A4AE-27807F0F8448}" sibTransId="{FD0D9C9A-36E1-4BA7-856F-6D27803EEDFB}"/>
    <dgm:cxn modelId="{8E14D47C-545F-423D-B994-633EDFFEFB3A}" srcId="{4C3F396D-FAD9-434C-B431-993BEA1F1B60}" destId="{82FF0DAF-BB70-4602-BB3D-FECD5A68A2EC}" srcOrd="2" destOrd="0" parTransId="{C1A173C6-A5E2-4507-9B67-57E30BA5C608}" sibTransId="{5A7A3C5A-725B-4724-A154-67BD86E1BB12}"/>
    <dgm:cxn modelId="{8CC8487E-B797-4D30-BF67-9FD582B608DD}" type="presOf" srcId="{58D56BA6-200A-400B-BFC7-EBF76D8C8B08}" destId="{93C5A65B-FEDE-4A95-8750-B64043D7CF19}" srcOrd="0" destOrd="0" presId="urn:microsoft.com/office/officeart/2005/8/layout/chevron2"/>
    <dgm:cxn modelId="{4C154F7F-028A-4EDE-BB54-9FF11805DDE0}" type="presOf" srcId="{9F8AE336-FD06-429A-81B2-1596B4741605}" destId="{51C8A537-7C5A-4262-89F6-338B290EC87F}" srcOrd="0" destOrd="0" presId="urn:microsoft.com/office/officeart/2005/8/layout/chevron2"/>
    <dgm:cxn modelId="{5DFAEC87-1AB7-4820-939D-A16151E1E602}" srcId="{58D56BA6-200A-400B-BFC7-EBF76D8C8B08}" destId="{FBF3BEDF-45C4-46F7-BAC0-00D15BB0AE3C}" srcOrd="0" destOrd="0" parTransId="{EA11BC2E-2E92-4675-A3EE-4DCB06D409AC}" sibTransId="{EF61D74B-2A49-4411-BD2A-07FF49CFB1B9}"/>
    <dgm:cxn modelId="{2D4E5E8F-442A-4886-B406-A5F9E264F256}" srcId="{9F8AE336-FD06-429A-81B2-1596B4741605}" destId="{B0914334-38E6-47EB-8E5E-EE054F75E4F7}" srcOrd="0" destOrd="0" parTransId="{A7FC66FA-E2ED-48AA-80F1-0792BDCC6DAB}" sibTransId="{11278B4B-58B8-45D3-9E76-9F69EA9D7012}"/>
    <dgm:cxn modelId="{6E687290-C9E4-4980-9980-B5F50C946C11}" type="presOf" srcId="{3087A382-C96F-4546-B4D1-B582819098FD}" destId="{AE9748B8-2736-47E3-A005-4C8ED8F65A2B}" srcOrd="0" destOrd="0" presId="urn:microsoft.com/office/officeart/2005/8/layout/chevron2"/>
    <dgm:cxn modelId="{BE3BD59C-F17B-414E-9AC5-6B39850744A4}" type="presOf" srcId="{EB083492-A14F-45B0-85BC-C2150C530255}" destId="{D98FF503-CA8D-442A-ABF9-A8B228430D4D}" srcOrd="0" destOrd="0" presId="urn:microsoft.com/office/officeart/2005/8/layout/chevron2"/>
    <dgm:cxn modelId="{B6BE1AB0-15DF-4493-945A-187F4CA85C63}" type="presOf" srcId="{E72B679F-D95A-4BBB-A3CD-F7DBADD30467}" destId="{93E4C178-4971-488E-90F9-E065A2540AA3}" srcOrd="0" destOrd="0" presId="urn:microsoft.com/office/officeart/2005/8/layout/chevron2"/>
    <dgm:cxn modelId="{E4FFD3B3-D366-4070-8B70-69A0E23B181F}" srcId="{4C3F396D-FAD9-434C-B431-993BEA1F1B60}" destId="{3087A382-C96F-4546-B4D1-B582819098FD}" srcOrd="5" destOrd="0" parTransId="{B6F70E16-8553-40EB-A1BE-F8959CC5EEDF}" sibTransId="{532B05A4-5ACB-43B0-B8C8-B480D0D66803}"/>
    <dgm:cxn modelId="{22258AB4-7278-4475-BED3-428363418DF3}" type="presOf" srcId="{8CFA7F46-3F36-44EF-97ED-3294C53D6A91}" destId="{BD94E167-1A74-4C28-8F1D-CF50A6F7B8CC}" srcOrd="0" destOrd="0" presId="urn:microsoft.com/office/officeart/2005/8/layout/chevron2"/>
    <dgm:cxn modelId="{70ECDBB9-25D9-48EC-B523-FC02C876BF3A}" srcId="{9F0ED3C2-CDE0-4FCB-A7F9-1792C9708150}" destId="{3B1CEB3D-4914-43F5-8318-B58F40D70609}" srcOrd="0" destOrd="0" parTransId="{5016D617-AD71-4802-A53E-4FEFEAE2C9D0}" sibTransId="{82BF9941-2772-4B57-97A8-5FB170C955FB}"/>
    <dgm:cxn modelId="{6BDEE3C1-3EC0-4FAC-B6DD-49B37D4D93FF}" srcId="{4C3F396D-FAD9-434C-B431-993BEA1F1B60}" destId="{EB083492-A14F-45B0-85BC-C2150C530255}" srcOrd="6" destOrd="0" parTransId="{66420801-F069-47AE-B08B-041CA8FFB77E}" sibTransId="{88E32DC5-D602-478E-8E3D-4AA138EC2AB3}"/>
    <dgm:cxn modelId="{4CB026C6-0939-4312-B8ED-8FB31B339EA4}" srcId="{82FF0DAF-BB70-4602-BB3D-FECD5A68A2EC}" destId="{8CFA7F46-3F36-44EF-97ED-3294C53D6A91}" srcOrd="0" destOrd="0" parTransId="{44375A24-BBC7-4947-AF37-0EE2EEC88B20}" sibTransId="{209495F1-F492-4763-ABD5-1FE9B304899A}"/>
    <dgm:cxn modelId="{71D775D5-B96B-4BFA-AC86-3DC73C23D9D9}" srcId="{4C3F396D-FAD9-434C-B431-993BEA1F1B60}" destId="{B1CFEE0E-0710-4A52-B485-C83971F2F6E4}" srcOrd="4" destOrd="0" parTransId="{7AE011EE-2FCC-4871-9247-5818F3C21393}" sibTransId="{7D1AD7D9-9DFB-409A-9E82-06F32D72861F}"/>
    <dgm:cxn modelId="{107141F3-4139-4CE3-87A9-58FAF527BF58}" type="presOf" srcId="{3B1CEB3D-4914-43F5-8318-B58F40D70609}" destId="{81C86889-B220-496F-9C29-F27E623DA04C}" srcOrd="0" destOrd="0" presId="urn:microsoft.com/office/officeart/2005/8/layout/chevron2"/>
    <dgm:cxn modelId="{494967F3-C9C0-43AD-95E1-7F25790D96A6}" type="presOf" srcId="{B1CFEE0E-0710-4A52-B485-C83971F2F6E4}" destId="{520729A9-1C47-4970-B485-ED179A6D328E}" srcOrd="0" destOrd="0" presId="urn:microsoft.com/office/officeart/2005/8/layout/chevron2"/>
    <dgm:cxn modelId="{DA4C6C7B-4F3E-4908-B5C4-579EA9F11104}" type="presParOf" srcId="{A471EF92-0089-4C2C-A961-3BFC038565B9}" destId="{4D9EE095-1D58-49F8-860D-8535E41C0379}" srcOrd="0" destOrd="0" presId="urn:microsoft.com/office/officeart/2005/8/layout/chevron2"/>
    <dgm:cxn modelId="{DDE87B35-1DC7-46AE-8369-C82041EA27DF}" type="presParOf" srcId="{4D9EE095-1D58-49F8-860D-8535E41C0379}" destId="{93C5A65B-FEDE-4A95-8750-B64043D7CF19}" srcOrd="0" destOrd="0" presId="urn:microsoft.com/office/officeart/2005/8/layout/chevron2"/>
    <dgm:cxn modelId="{10051C0E-1F13-4F19-824A-EB3611772A98}" type="presParOf" srcId="{4D9EE095-1D58-49F8-860D-8535E41C0379}" destId="{B6214A9C-FC0A-40EB-9481-C1A415E38D89}" srcOrd="1" destOrd="0" presId="urn:microsoft.com/office/officeart/2005/8/layout/chevron2"/>
    <dgm:cxn modelId="{C22E9DD1-9B7E-459D-B14F-DC6FED4F273A}" type="presParOf" srcId="{A471EF92-0089-4C2C-A961-3BFC038565B9}" destId="{31964F2F-3420-4ECD-B608-777773ACFACB}" srcOrd="1" destOrd="0" presId="urn:microsoft.com/office/officeart/2005/8/layout/chevron2"/>
    <dgm:cxn modelId="{2AE3545C-F37F-4F58-B5D1-26762651B8D4}" type="presParOf" srcId="{A471EF92-0089-4C2C-A961-3BFC038565B9}" destId="{B2F36A81-CEBE-46E0-A2A0-76693F3014C6}" srcOrd="2" destOrd="0" presId="urn:microsoft.com/office/officeart/2005/8/layout/chevron2"/>
    <dgm:cxn modelId="{B9CD9834-DEBD-4220-A733-6F2ABA2734CB}" type="presParOf" srcId="{B2F36A81-CEBE-46E0-A2A0-76693F3014C6}" destId="{FF032F62-3E43-4B40-AC74-44D91BDC6B5E}" srcOrd="0" destOrd="0" presId="urn:microsoft.com/office/officeart/2005/8/layout/chevron2"/>
    <dgm:cxn modelId="{3F7A605F-F16D-4397-9F90-FBB496BBEA9A}" type="presParOf" srcId="{B2F36A81-CEBE-46E0-A2A0-76693F3014C6}" destId="{600CA261-7C2F-4088-8E48-39DE8129A95D}" srcOrd="1" destOrd="0" presId="urn:microsoft.com/office/officeart/2005/8/layout/chevron2"/>
    <dgm:cxn modelId="{81A972A2-3FDB-4E00-8085-30E8C4C8B793}" type="presParOf" srcId="{A471EF92-0089-4C2C-A961-3BFC038565B9}" destId="{9F35907E-84AD-4675-B07D-D90C04911EEC}" srcOrd="3" destOrd="0" presId="urn:microsoft.com/office/officeart/2005/8/layout/chevron2"/>
    <dgm:cxn modelId="{A03D5ED5-9F16-4042-B7A3-E20B8527738F}" type="presParOf" srcId="{A471EF92-0089-4C2C-A961-3BFC038565B9}" destId="{E9B8D935-58F5-4430-B896-532A26B84FEB}" srcOrd="4" destOrd="0" presId="urn:microsoft.com/office/officeart/2005/8/layout/chevron2"/>
    <dgm:cxn modelId="{23F6EC58-93DD-46B4-BCEF-EE1830F6D9C1}" type="presParOf" srcId="{E9B8D935-58F5-4430-B896-532A26B84FEB}" destId="{7E8E2E81-B372-487E-AE3D-B9A41FC03C2D}" srcOrd="0" destOrd="0" presId="urn:microsoft.com/office/officeart/2005/8/layout/chevron2"/>
    <dgm:cxn modelId="{2CA08D9C-7481-4C2C-814D-3B446F8B463A}" type="presParOf" srcId="{E9B8D935-58F5-4430-B896-532A26B84FEB}" destId="{BD94E167-1A74-4C28-8F1D-CF50A6F7B8CC}" srcOrd="1" destOrd="0" presId="urn:microsoft.com/office/officeart/2005/8/layout/chevron2"/>
    <dgm:cxn modelId="{411345B5-EA30-47CE-8430-7E3EA24A5E79}" type="presParOf" srcId="{A471EF92-0089-4C2C-A961-3BFC038565B9}" destId="{7987A30F-3AC0-44FA-9DD6-38700242E29D}" srcOrd="5" destOrd="0" presId="urn:microsoft.com/office/officeart/2005/8/layout/chevron2"/>
    <dgm:cxn modelId="{3FD34F6D-10FA-4D3D-8262-B34CDEF04529}" type="presParOf" srcId="{A471EF92-0089-4C2C-A961-3BFC038565B9}" destId="{28A5F93C-6BC4-45A5-9915-8E342462B46C}" srcOrd="6" destOrd="0" presId="urn:microsoft.com/office/officeart/2005/8/layout/chevron2"/>
    <dgm:cxn modelId="{CA05A474-1FE9-44EB-B07F-4B3B673B88E6}" type="presParOf" srcId="{28A5F93C-6BC4-45A5-9915-8E342462B46C}" destId="{C334268B-13CF-4AF6-BE4D-36C6A337FAD0}" srcOrd="0" destOrd="0" presId="urn:microsoft.com/office/officeart/2005/8/layout/chevron2"/>
    <dgm:cxn modelId="{13E0D251-95AF-4D03-91AB-C0B026C5646C}" type="presParOf" srcId="{28A5F93C-6BC4-45A5-9915-8E342462B46C}" destId="{81C86889-B220-496F-9C29-F27E623DA04C}" srcOrd="1" destOrd="0" presId="urn:microsoft.com/office/officeart/2005/8/layout/chevron2"/>
    <dgm:cxn modelId="{97776EA4-6442-47F3-9519-20FE8E83A21C}" type="presParOf" srcId="{A471EF92-0089-4C2C-A961-3BFC038565B9}" destId="{096CFC96-437A-4183-A324-39516DECCE96}" srcOrd="7" destOrd="0" presId="urn:microsoft.com/office/officeart/2005/8/layout/chevron2"/>
    <dgm:cxn modelId="{9C42B850-70E6-48B1-AA91-0BC084A2290A}" type="presParOf" srcId="{A471EF92-0089-4C2C-A961-3BFC038565B9}" destId="{AFB49B4D-ACC3-49F3-93CD-B242B56674B6}" srcOrd="8" destOrd="0" presId="urn:microsoft.com/office/officeart/2005/8/layout/chevron2"/>
    <dgm:cxn modelId="{1EBAA83C-B93A-4FFD-B373-D47DC209E580}" type="presParOf" srcId="{AFB49B4D-ACC3-49F3-93CD-B242B56674B6}" destId="{520729A9-1C47-4970-B485-ED179A6D328E}" srcOrd="0" destOrd="0" presId="urn:microsoft.com/office/officeart/2005/8/layout/chevron2"/>
    <dgm:cxn modelId="{AA8FFE61-2412-4333-8A2E-50C93AD5A849}" type="presParOf" srcId="{AFB49B4D-ACC3-49F3-93CD-B242B56674B6}" destId="{3EF0D81E-94B7-4263-8532-C417CD9E99FF}" srcOrd="1" destOrd="0" presId="urn:microsoft.com/office/officeart/2005/8/layout/chevron2"/>
    <dgm:cxn modelId="{0D3396DD-F31F-4E08-8050-69A3116FF6D0}" type="presParOf" srcId="{A471EF92-0089-4C2C-A961-3BFC038565B9}" destId="{ED1B3E09-B44F-49C9-83F8-87267AFA0C68}" srcOrd="9" destOrd="0" presId="urn:microsoft.com/office/officeart/2005/8/layout/chevron2"/>
    <dgm:cxn modelId="{28C22355-191D-4C4F-8327-B5E444783D61}" type="presParOf" srcId="{A471EF92-0089-4C2C-A961-3BFC038565B9}" destId="{352C8771-18CD-4218-9C25-6B2459A01062}" srcOrd="10" destOrd="0" presId="urn:microsoft.com/office/officeart/2005/8/layout/chevron2"/>
    <dgm:cxn modelId="{AE1015F0-1E88-455F-8438-BD2C024107C6}" type="presParOf" srcId="{352C8771-18CD-4218-9C25-6B2459A01062}" destId="{AE9748B8-2736-47E3-A005-4C8ED8F65A2B}" srcOrd="0" destOrd="0" presId="urn:microsoft.com/office/officeart/2005/8/layout/chevron2"/>
    <dgm:cxn modelId="{259600DE-5764-4FDD-8790-B4D7BDDA0BE7}" type="presParOf" srcId="{352C8771-18CD-4218-9C25-6B2459A01062}" destId="{93E4C178-4971-488E-90F9-E065A2540AA3}" srcOrd="1" destOrd="0" presId="urn:microsoft.com/office/officeart/2005/8/layout/chevron2"/>
    <dgm:cxn modelId="{A6B63EF4-2DE6-4ACA-9450-FEAA7A20BD0C}" type="presParOf" srcId="{A471EF92-0089-4C2C-A961-3BFC038565B9}" destId="{AC326FD5-A49E-456F-9D15-54C39CAE70B4}" srcOrd="11" destOrd="0" presId="urn:microsoft.com/office/officeart/2005/8/layout/chevron2"/>
    <dgm:cxn modelId="{1AAF2CCD-5C48-4D02-B6C9-5020A3766EB7}" type="presParOf" srcId="{A471EF92-0089-4C2C-A961-3BFC038565B9}" destId="{C52F9743-A8B6-4F68-80F2-620FF555276F}" srcOrd="12" destOrd="0" presId="urn:microsoft.com/office/officeart/2005/8/layout/chevron2"/>
    <dgm:cxn modelId="{E6F37C00-CD15-4B4E-82EE-3228799E2232}" type="presParOf" srcId="{C52F9743-A8B6-4F68-80F2-620FF555276F}" destId="{D98FF503-CA8D-442A-ABF9-A8B228430D4D}" srcOrd="0" destOrd="0" presId="urn:microsoft.com/office/officeart/2005/8/layout/chevron2"/>
    <dgm:cxn modelId="{A835042A-65EC-4E0F-9E85-9C5524A6962C}" type="presParOf" srcId="{C52F9743-A8B6-4F68-80F2-620FF555276F}" destId="{596651A8-09C5-4682-812F-7891D37AF21D}" srcOrd="1" destOrd="0" presId="urn:microsoft.com/office/officeart/2005/8/layout/chevron2"/>
    <dgm:cxn modelId="{4650AEF2-9C79-48FF-838A-A16E65A63FAC}" type="presParOf" srcId="{A471EF92-0089-4C2C-A961-3BFC038565B9}" destId="{8A0C94ED-86A5-425A-87EF-BF2783B2393E}" srcOrd="13" destOrd="0" presId="urn:microsoft.com/office/officeart/2005/8/layout/chevron2"/>
    <dgm:cxn modelId="{B1DFEF4B-2329-40FE-BC7F-63530C73B757}" type="presParOf" srcId="{A471EF92-0089-4C2C-A961-3BFC038565B9}" destId="{08CC169C-AC72-4DAE-82FF-D1F99EADA293}" srcOrd="14" destOrd="0" presId="urn:microsoft.com/office/officeart/2005/8/layout/chevron2"/>
    <dgm:cxn modelId="{B03EAECE-1428-4B0E-94FA-C4D9FC696C56}" type="presParOf" srcId="{08CC169C-AC72-4DAE-82FF-D1F99EADA293}" destId="{51C8A537-7C5A-4262-89F6-338B290EC87F}" srcOrd="0" destOrd="0" presId="urn:microsoft.com/office/officeart/2005/8/layout/chevron2"/>
    <dgm:cxn modelId="{6F8BE368-3136-4C8A-BB02-D0147B775BE4}" type="presParOf" srcId="{08CC169C-AC72-4DAE-82FF-D1F99EADA293}" destId="{A79DC3F1-CBC2-43C8-9800-3925CAE939F5}"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C5A65B-FEDE-4A95-8750-B64043D7CF19}">
      <dsp:nvSpPr>
        <dsp:cNvPr id="0" name=""/>
        <dsp:cNvSpPr/>
      </dsp:nvSpPr>
      <dsp:spPr>
        <a:xfrm rot="5400000">
          <a:off x="-88845" y="89253"/>
          <a:ext cx="592306" cy="4146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September/ October</a:t>
          </a:r>
        </a:p>
      </dsp:txBody>
      <dsp:txXfrm rot="-5400000">
        <a:off x="1" y="207714"/>
        <a:ext cx="414614" cy="177692"/>
      </dsp:txXfrm>
    </dsp:sp>
    <dsp:sp modelId="{B6214A9C-FC0A-40EB-9481-C1A415E38D89}">
      <dsp:nvSpPr>
        <dsp:cNvPr id="0" name=""/>
        <dsp:cNvSpPr/>
      </dsp:nvSpPr>
      <dsp:spPr>
        <a:xfrm rot="5400000">
          <a:off x="3074872" y="-2659850"/>
          <a:ext cx="384999" cy="57055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solidFill>
                <a:schemeClr val="tx1"/>
              </a:solidFill>
              <a:latin typeface="Calibri" panose="020F0502020204030204" pitchFamily="34" charset="0"/>
              <a:cs typeface="Calibri" panose="020F0502020204030204" pitchFamily="34" charset="0"/>
            </a:rPr>
            <a:t>Finance personnel calculate the budget requirements in conjunction with budget holders</a:t>
          </a:r>
          <a:endParaRPr lang="en-GB" sz="1200" kern="1200" dirty="0"/>
        </a:p>
      </dsp:txBody>
      <dsp:txXfrm rot="-5400000">
        <a:off x="414614" y="19202"/>
        <a:ext cx="5686721" cy="347411"/>
      </dsp:txXfrm>
    </dsp:sp>
    <dsp:sp modelId="{FF032F62-3E43-4B40-AC74-44D91BDC6B5E}">
      <dsp:nvSpPr>
        <dsp:cNvPr id="0" name=""/>
        <dsp:cNvSpPr/>
      </dsp:nvSpPr>
      <dsp:spPr>
        <a:xfrm rot="5400000">
          <a:off x="-88845" y="606229"/>
          <a:ext cx="592306" cy="4146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October</a:t>
          </a:r>
        </a:p>
      </dsp:txBody>
      <dsp:txXfrm rot="-5400000">
        <a:off x="1" y="724690"/>
        <a:ext cx="414614" cy="177692"/>
      </dsp:txXfrm>
    </dsp:sp>
    <dsp:sp modelId="{600CA261-7C2F-4088-8E48-39DE8129A95D}">
      <dsp:nvSpPr>
        <dsp:cNvPr id="0" name=""/>
        <dsp:cNvSpPr/>
      </dsp:nvSpPr>
      <dsp:spPr>
        <a:xfrm rot="5400000">
          <a:off x="3074872" y="-2142874"/>
          <a:ext cx="384999" cy="57055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solidFill>
                <a:schemeClr val="tx1"/>
              </a:solidFill>
              <a:latin typeface="Calibri" panose="020F0502020204030204" pitchFamily="34" charset="0"/>
              <a:cs typeface="Calibri" panose="020F0502020204030204" pitchFamily="34" charset="0"/>
            </a:rPr>
            <a:t>First level of reconciliation and scrutiny by team leader </a:t>
          </a:r>
          <a:endParaRPr lang="en-GB" sz="1200" kern="1200" dirty="0"/>
        </a:p>
      </dsp:txBody>
      <dsp:txXfrm rot="-5400000">
        <a:off x="414614" y="536178"/>
        <a:ext cx="5686721" cy="347411"/>
      </dsp:txXfrm>
    </dsp:sp>
    <dsp:sp modelId="{7E8E2E81-B372-487E-AE3D-B9A41FC03C2D}">
      <dsp:nvSpPr>
        <dsp:cNvPr id="0" name=""/>
        <dsp:cNvSpPr/>
      </dsp:nvSpPr>
      <dsp:spPr>
        <a:xfrm rot="5400000">
          <a:off x="-88845" y="1123206"/>
          <a:ext cx="592306" cy="4146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October</a:t>
          </a:r>
        </a:p>
      </dsp:txBody>
      <dsp:txXfrm rot="-5400000">
        <a:off x="1" y="1241667"/>
        <a:ext cx="414614" cy="177692"/>
      </dsp:txXfrm>
    </dsp:sp>
    <dsp:sp modelId="{BD94E167-1A74-4C28-8F1D-CF50A6F7B8CC}">
      <dsp:nvSpPr>
        <dsp:cNvPr id="0" name=""/>
        <dsp:cNvSpPr/>
      </dsp:nvSpPr>
      <dsp:spPr>
        <a:xfrm rot="5400000">
          <a:off x="3074872" y="-1625898"/>
          <a:ext cx="384999" cy="57055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solidFill>
                <a:schemeClr val="tx1"/>
              </a:solidFill>
              <a:latin typeface="Calibri" panose="020F0502020204030204" pitchFamily="34" charset="0"/>
              <a:cs typeface="Calibri" panose="020F0502020204030204" pitchFamily="34" charset="0"/>
            </a:rPr>
            <a:t>Review and Challenge by Joint Head of Finance and CC CFO</a:t>
          </a:r>
          <a:endParaRPr lang="en-GB" sz="1200" kern="1200" dirty="0"/>
        </a:p>
      </dsp:txBody>
      <dsp:txXfrm rot="-5400000">
        <a:off x="414614" y="1053154"/>
        <a:ext cx="5686721" cy="347411"/>
      </dsp:txXfrm>
    </dsp:sp>
    <dsp:sp modelId="{C334268B-13CF-4AF6-BE4D-36C6A337FAD0}">
      <dsp:nvSpPr>
        <dsp:cNvPr id="0" name=""/>
        <dsp:cNvSpPr/>
      </dsp:nvSpPr>
      <dsp:spPr>
        <a:xfrm rot="5400000">
          <a:off x="-88845" y="1640182"/>
          <a:ext cx="592306" cy="4146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October/ November</a:t>
          </a:r>
        </a:p>
      </dsp:txBody>
      <dsp:txXfrm rot="-5400000">
        <a:off x="1" y="1758643"/>
        <a:ext cx="414614" cy="177692"/>
      </dsp:txXfrm>
    </dsp:sp>
    <dsp:sp modelId="{81C86889-B220-496F-9C29-F27E623DA04C}">
      <dsp:nvSpPr>
        <dsp:cNvPr id="0" name=""/>
        <dsp:cNvSpPr/>
      </dsp:nvSpPr>
      <dsp:spPr>
        <a:xfrm rot="5400000">
          <a:off x="3074872" y="-1108922"/>
          <a:ext cx="384999" cy="57055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solidFill>
                <a:schemeClr val="tx1"/>
              </a:solidFill>
              <a:latin typeface="Calibri" panose="020F0502020204030204" pitchFamily="34" charset="0"/>
              <a:cs typeface="Calibri" panose="020F0502020204030204" pitchFamily="34" charset="0"/>
            </a:rPr>
            <a:t>Review and further challenge by PFCC CFO</a:t>
          </a:r>
          <a:endParaRPr lang="en-GB" sz="1200" kern="1200" dirty="0"/>
        </a:p>
      </dsp:txBody>
      <dsp:txXfrm rot="-5400000">
        <a:off x="414614" y="1570130"/>
        <a:ext cx="5686721" cy="347411"/>
      </dsp:txXfrm>
    </dsp:sp>
    <dsp:sp modelId="{520729A9-1C47-4970-B485-ED179A6D328E}">
      <dsp:nvSpPr>
        <dsp:cNvPr id="0" name=""/>
        <dsp:cNvSpPr/>
      </dsp:nvSpPr>
      <dsp:spPr>
        <a:xfrm rot="5400000">
          <a:off x="-88845" y="2157158"/>
          <a:ext cx="592306" cy="4146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November</a:t>
          </a:r>
        </a:p>
      </dsp:txBody>
      <dsp:txXfrm rot="-5400000">
        <a:off x="1" y="2275619"/>
        <a:ext cx="414614" cy="177692"/>
      </dsp:txXfrm>
    </dsp:sp>
    <dsp:sp modelId="{3EF0D81E-94B7-4263-8532-C417CD9E99FF}">
      <dsp:nvSpPr>
        <dsp:cNvPr id="0" name=""/>
        <dsp:cNvSpPr/>
      </dsp:nvSpPr>
      <dsp:spPr>
        <a:xfrm rot="5400000">
          <a:off x="3074872" y="-591945"/>
          <a:ext cx="384999" cy="57055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solidFill>
                <a:schemeClr val="tx1"/>
              </a:solidFill>
              <a:latin typeface="Calibri" panose="020F0502020204030204" pitchFamily="34" charset="0"/>
              <a:cs typeface="Calibri" panose="020F0502020204030204" pitchFamily="34" charset="0"/>
            </a:rPr>
            <a:t>Report and discussions with Chief Constable/Chief Fire Officer </a:t>
          </a:r>
          <a:endParaRPr lang="en-GB" sz="1200" kern="1200" dirty="0"/>
        </a:p>
      </dsp:txBody>
      <dsp:txXfrm rot="-5400000">
        <a:off x="414614" y="2087107"/>
        <a:ext cx="5686721" cy="347411"/>
      </dsp:txXfrm>
    </dsp:sp>
    <dsp:sp modelId="{AE9748B8-2736-47E3-A005-4C8ED8F65A2B}">
      <dsp:nvSpPr>
        <dsp:cNvPr id="0" name=""/>
        <dsp:cNvSpPr/>
      </dsp:nvSpPr>
      <dsp:spPr>
        <a:xfrm rot="5400000">
          <a:off x="-88845" y="2674134"/>
          <a:ext cx="592306" cy="4146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December</a:t>
          </a:r>
        </a:p>
      </dsp:txBody>
      <dsp:txXfrm rot="-5400000">
        <a:off x="1" y="2792595"/>
        <a:ext cx="414614" cy="177692"/>
      </dsp:txXfrm>
    </dsp:sp>
    <dsp:sp modelId="{93E4C178-4971-488E-90F9-E065A2540AA3}">
      <dsp:nvSpPr>
        <dsp:cNvPr id="0" name=""/>
        <dsp:cNvSpPr/>
      </dsp:nvSpPr>
      <dsp:spPr>
        <a:xfrm rot="5400000">
          <a:off x="3074872" y="-74969"/>
          <a:ext cx="384999" cy="57055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solidFill>
                <a:schemeClr val="tx1"/>
              </a:solidFill>
              <a:latin typeface="Calibri" panose="020F0502020204030204" pitchFamily="34" charset="0"/>
              <a:cs typeface="Calibri" panose="020F0502020204030204" pitchFamily="34" charset="0"/>
            </a:rPr>
            <a:t>PFCC challenge at December Accountability Board – DRAFT budget proposals</a:t>
          </a:r>
          <a:endParaRPr lang="en-GB" sz="1200" kern="1200" dirty="0"/>
        </a:p>
      </dsp:txBody>
      <dsp:txXfrm rot="-5400000">
        <a:off x="414614" y="2604083"/>
        <a:ext cx="5686721" cy="347411"/>
      </dsp:txXfrm>
    </dsp:sp>
    <dsp:sp modelId="{D98FF503-CA8D-442A-ABF9-A8B228430D4D}">
      <dsp:nvSpPr>
        <dsp:cNvPr id="0" name=""/>
        <dsp:cNvSpPr/>
      </dsp:nvSpPr>
      <dsp:spPr>
        <a:xfrm rot="5400000">
          <a:off x="-88845" y="3191110"/>
          <a:ext cx="592306" cy="4146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January</a:t>
          </a:r>
        </a:p>
      </dsp:txBody>
      <dsp:txXfrm rot="-5400000">
        <a:off x="1" y="3309571"/>
        <a:ext cx="414614" cy="177692"/>
      </dsp:txXfrm>
    </dsp:sp>
    <dsp:sp modelId="{596651A8-09C5-4682-812F-7891D37AF21D}">
      <dsp:nvSpPr>
        <dsp:cNvPr id="0" name=""/>
        <dsp:cNvSpPr/>
      </dsp:nvSpPr>
      <dsp:spPr>
        <a:xfrm rot="5400000">
          <a:off x="3074872" y="442006"/>
          <a:ext cx="384999" cy="57055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solidFill>
                <a:schemeClr val="tx1"/>
              </a:solidFill>
              <a:latin typeface="Calibri" panose="020F0502020204030204" pitchFamily="34" charset="0"/>
              <a:cs typeface="Calibri" panose="020F0502020204030204" pitchFamily="34" charset="0"/>
            </a:rPr>
            <a:t>PFCC final approval at January Accountability Board – FINAL budget proposals</a:t>
          </a:r>
          <a:endParaRPr lang="en-GB" sz="1200" kern="1200" dirty="0"/>
        </a:p>
      </dsp:txBody>
      <dsp:txXfrm rot="-5400000">
        <a:off x="414614" y="3121058"/>
        <a:ext cx="5686721" cy="347411"/>
      </dsp:txXfrm>
    </dsp:sp>
    <dsp:sp modelId="{51C8A537-7C5A-4262-89F6-338B290EC87F}">
      <dsp:nvSpPr>
        <dsp:cNvPr id="0" name=""/>
        <dsp:cNvSpPr/>
      </dsp:nvSpPr>
      <dsp:spPr>
        <a:xfrm rot="5400000">
          <a:off x="-88845" y="3708086"/>
          <a:ext cx="592306" cy="4146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February</a:t>
          </a:r>
        </a:p>
      </dsp:txBody>
      <dsp:txXfrm rot="-5400000">
        <a:off x="1" y="3826547"/>
        <a:ext cx="414614" cy="177692"/>
      </dsp:txXfrm>
    </dsp:sp>
    <dsp:sp modelId="{A79DC3F1-CBC2-43C8-9800-3925CAE939F5}">
      <dsp:nvSpPr>
        <dsp:cNvPr id="0" name=""/>
        <dsp:cNvSpPr/>
      </dsp:nvSpPr>
      <dsp:spPr>
        <a:xfrm rot="5400000">
          <a:off x="3074872" y="958982"/>
          <a:ext cx="384999" cy="57055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t>Budget Papers and Precept Proposal considered by the Panel</a:t>
          </a:r>
        </a:p>
      </dsp:txBody>
      <dsp:txXfrm rot="-5400000">
        <a:off x="414614" y="3638034"/>
        <a:ext cx="5686721" cy="34741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0.4071</cdr:x>
      <cdr:y>0.12298</cdr:y>
    </cdr:from>
    <cdr:to>
      <cdr:x>0.55258</cdr:x>
      <cdr:y>0.7764</cdr:y>
    </cdr:to>
    <cdr:grpSp>
      <cdr:nvGrpSpPr>
        <cdr:cNvPr id="6" name="Group 5">
          <a:extLst xmlns:a="http://schemas.openxmlformats.org/drawingml/2006/main">
            <a:ext uri="{FF2B5EF4-FFF2-40B4-BE49-F238E27FC236}">
              <a16:creationId xmlns:a16="http://schemas.microsoft.com/office/drawing/2014/main" id="{F6177A1A-D492-A020-1DE0-25E1B5BBD306}"/>
            </a:ext>
          </a:extLst>
        </cdr:cNvPr>
        <cdr:cNvGrpSpPr/>
      </cdr:nvGrpSpPr>
      <cdr:grpSpPr>
        <a:xfrm xmlns:a="http://schemas.openxmlformats.org/drawingml/2006/main">
          <a:off x="2426699" y="471488"/>
          <a:ext cx="867206" cy="2505075"/>
          <a:chOff x="2806349" y="440501"/>
          <a:chExt cx="980836" cy="2336037"/>
        </a:xfrm>
      </cdr:grpSpPr>
      <cdr:sp macro="" textlink="">
        <cdr:nvSpPr>
          <cdr:cNvPr id="2" name="TextBox 1">
            <a:extLst xmlns:a="http://schemas.openxmlformats.org/drawingml/2006/main">
              <a:ext uri="{FF2B5EF4-FFF2-40B4-BE49-F238E27FC236}">
                <a16:creationId xmlns:a16="http://schemas.microsoft.com/office/drawing/2014/main" id="{5643D938-C3F6-91AC-5882-CC4FB225FE03}"/>
              </a:ext>
            </a:extLst>
          </cdr:cNvPr>
          <cdr:cNvSpPr txBox="1"/>
        </cdr:nvSpPr>
        <cdr:spPr>
          <a:xfrm xmlns:a="http://schemas.openxmlformats.org/drawingml/2006/main">
            <a:off x="2806349" y="440501"/>
            <a:ext cx="980836" cy="534141"/>
          </a:xfrm>
          <a:prstGeom xmlns:a="http://schemas.openxmlformats.org/drawingml/2006/main" prst="rect">
            <a:avLst/>
          </a:prstGeom>
          <a:solidFill xmlns:a="http://schemas.openxmlformats.org/drawingml/2006/main">
            <a:schemeClr val="bg1"/>
          </a:solidFill>
          <a:ln xmlns:a="http://schemas.openxmlformats.org/drawingml/2006/main" w="28575">
            <a:solidFill>
              <a:schemeClr val="bg1">
                <a:lumMod val="75000"/>
              </a:schemeClr>
            </a:solidFill>
          </a:ln>
        </cdr:spPr>
        <cdr:txBody>
          <a:bodyPr xmlns:a="http://schemas.openxmlformats.org/drawingml/2006/main" vertOverflow="clip" wrap="square" rtlCol="0" anchor="ctr"/>
          <a:lstStyle xmlns:a="http://schemas.openxmlformats.org/drawingml/2006/main"/>
          <a:p xmlns:a="http://schemas.openxmlformats.org/drawingml/2006/main">
            <a:pPr algn="ctr"/>
            <a:r>
              <a:rPr lang="en-GB" sz="1100" b="1"/>
              <a:t>Formula</a:t>
            </a:r>
            <a:r>
              <a:rPr lang="en-GB" sz="1100" b="1" baseline="0"/>
              <a:t> Frozen</a:t>
            </a:r>
            <a:endParaRPr lang="en-GB" sz="1100" b="1"/>
          </a:p>
        </cdr:txBody>
      </cdr:sp>
      <cdr:cxnSp macro="">
        <cdr:nvCxnSpPr>
          <cdr:cNvPr id="4" name="Straight Arrow Connector 3">
            <a:extLst xmlns:a="http://schemas.openxmlformats.org/drawingml/2006/main">
              <a:ext uri="{FF2B5EF4-FFF2-40B4-BE49-F238E27FC236}">
                <a16:creationId xmlns:a16="http://schemas.microsoft.com/office/drawing/2014/main" id="{610264CB-A020-4D5F-C519-AF001687C745}"/>
              </a:ext>
            </a:extLst>
          </cdr:cNvPr>
          <cdr:cNvCxnSpPr/>
        </cdr:nvCxnSpPr>
        <cdr:spPr>
          <a:xfrm xmlns:a="http://schemas.openxmlformats.org/drawingml/2006/main" flipH="1">
            <a:off x="3284382" y="965645"/>
            <a:ext cx="10391" cy="1810893"/>
          </a:xfrm>
          <a:prstGeom xmlns:a="http://schemas.openxmlformats.org/drawingml/2006/main" prst="straightConnector1">
            <a:avLst/>
          </a:prstGeom>
          <a:ln xmlns:a="http://schemas.openxmlformats.org/drawingml/2006/main" w="31750">
            <a:solidFill>
              <a:schemeClr val="bg1">
                <a:lumMod val="75000"/>
              </a:schemeClr>
            </a:solidFill>
            <a:tailEnd type="triangle" w="lg" len="lg"/>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92732-23B1-4DF9-9549-07686B72D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16038</Words>
  <Characters>91419</Characters>
  <Application>Microsoft Office Word</Application>
  <DocSecurity>4</DocSecurity>
  <Lines>761</Lines>
  <Paragraphs>214</Paragraphs>
  <ScaleCrop>false</ScaleCrop>
  <HeadingPairs>
    <vt:vector size="2" baseType="variant">
      <vt:variant>
        <vt:lpstr>Title</vt:lpstr>
      </vt:variant>
      <vt:variant>
        <vt:i4>1</vt:i4>
      </vt:variant>
    </vt:vector>
  </HeadingPairs>
  <TitlesOfParts>
    <vt:vector size="1" baseType="lpstr">
      <vt:lpstr>POLICE AND CRIME COMMISSIONER FOR LEICESTERSHIRE</vt:lpstr>
    </vt:vector>
  </TitlesOfParts>
  <Company>Leicestershire Police</Company>
  <LinksUpToDate>false</LinksUpToDate>
  <CharactersWithSpaces>107243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COMMISSIONER FOR LEICESTERSHIRE</dc:title>
  <dc:creator>Vickers Robert</dc:creator>
  <cp:lastModifiedBy>Osborne Kate</cp:lastModifiedBy>
  <cp:revision>2</cp:revision>
  <cp:lastPrinted>2024-01-29T09:49:00Z</cp:lastPrinted>
  <dcterms:created xsi:type="dcterms:W3CDTF">2024-03-07T13:29:00Z</dcterms:created>
  <dcterms:modified xsi:type="dcterms:W3CDTF">2024-03-07T13:29:00Z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2021-01-21T15:10:24.3847426Z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